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WARREN KELCY L</w:t>
              </w:r>
            </w:hyperlink>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Energy Transfer LP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20" w:type="dxa"/>
            <w:vAlign w:val="bottom"/>
            <w:gridSpan w:val="3"/>
            <w:vMerge w:val="continue"/>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Borders>
              <w:bottom w:val="single" w:sz="8" w:color="0000EE"/>
            </w:tcBorders>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9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300"/>
              <w:spacing w:after="0"/>
              <w:rPr>
                <w:sz w:val="20"/>
                <w:szCs w:val="20"/>
                <w:color w:val="auto"/>
              </w:rPr>
            </w:pPr>
            <w:r>
              <w:rPr>
                <w:rFonts w:ascii="Arial" w:cs="Arial" w:eastAsia="Arial" w:hAnsi="Arial"/>
                <w:sz w:val="13"/>
                <w:szCs w:val="13"/>
                <w:color w:val="auto"/>
              </w:rPr>
              <w:t>(First)</w:t>
            </w:r>
          </w:p>
        </w:tc>
        <w:tc>
          <w:tcPr>
            <w:tcW w:w="1320" w:type="dxa"/>
            <w:vAlign w:val="bottom"/>
            <w:vMerge w:val="restart"/>
          </w:tcPr>
          <w:p>
            <w:pPr>
              <w:ind w:left="1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05/08/2026</w:t>
            </w:r>
          </w:p>
        </w:tc>
        <w:tc>
          <w:tcPr>
            <w:tcW w:w="2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8111 WESTCHESTER DRIVE</w:t>
            </w:r>
          </w:p>
        </w:tc>
        <w:tc>
          <w:tcPr>
            <w:tcW w:w="132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20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20" w:type="dxa"/>
            <w:vAlign w:val="bottom"/>
            <w:gridSpan w:val="3"/>
            <w:vMerge w:val="continue"/>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STE 600</w:t>
            </w: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3"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75225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2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3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5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 (Instr. 3, 4 and 5)</w:t>
            </w:r>
          </w:p>
        </w:tc>
        <w:tc>
          <w:tcPr>
            <w:tcW w:w="9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5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 or</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60" w:type="dxa"/>
            <w:vAlign w:val="bottom"/>
            <w:tcBorders>
              <w:bottom w:val="single" w:sz="8" w:color="2C2C2C"/>
            </w:tcBorders>
          </w:tcPr>
          <w:p>
            <w:pPr>
              <w:spacing w:after="0"/>
              <w:rPr>
                <w:sz w:val="13"/>
                <w:szCs w:val="13"/>
                <w:color w:val="auto"/>
              </w:rPr>
            </w:pPr>
          </w:p>
        </w:tc>
        <w:tc>
          <w:tcPr>
            <w:tcW w:w="15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2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Units</w:t>
            </w:r>
          </w:p>
        </w:tc>
        <w:tc>
          <w:tcPr>
            <w:tcW w:w="154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05/08/2026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9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1,109,279</w:t>
            </w:r>
            <w:r>
              <w:rPr>
                <w:rFonts w:ascii="Times New Roman" w:cs="Times New Roman" w:eastAsia="Times New Roman" w:hAnsi="Times New Roman"/>
                <w:sz w:val="22"/>
                <w:szCs w:val="22"/>
                <w:color w:val="008000"/>
                <w:vertAlign w:val="superscript"/>
              </w:rPr>
              <w:t>(7)</w:t>
            </w:r>
          </w:p>
        </w:tc>
        <w:tc>
          <w:tcPr>
            <w:tcW w:w="4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19.8327</w:t>
            </w:r>
            <w:r>
              <w:rPr>
                <w:rFonts w:ascii="Times New Roman" w:cs="Times New Roman" w:eastAsia="Times New Roman" w:hAnsi="Times New Roman"/>
                <w:sz w:val="22"/>
                <w:szCs w:val="22"/>
                <w:color w:val="008000"/>
                <w:vertAlign w:val="superscript"/>
              </w:rPr>
              <w:t>(7)</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14,978,717</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Kelcy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Units</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146,901,879</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Warren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2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Kelcy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Units</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10,224,429</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Warren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2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Kelcy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Units</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133,136,757</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Warren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III,</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2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Units</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1,233,857</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Warren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2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Corp.</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ET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Units</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328,383</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2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Ltd.</w:t>
            </w:r>
            <w:r>
              <w:rPr>
                <w:rFonts w:ascii="Times New Roman" w:cs="Times New Roman" w:eastAsia="Times New Roman" w:hAnsi="Times New Roman"/>
                <w:sz w:val="22"/>
                <w:szCs w:val="22"/>
                <w:color w:val="008000"/>
                <w:vertAlign w:val="superscript"/>
              </w:rPr>
              <w:t>(4)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LE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Units</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601,076</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GP,</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20" w:type="dxa"/>
            <w:vAlign w:val="bottom"/>
            <w:tcBorders>
              <w:bottom w:val="single" w:sz="8" w:color="2C2C2C"/>
            </w:tcBorders>
          </w:tcPr>
          <w:p>
            <w:pPr>
              <w:spacing w:after="0"/>
              <w:rPr>
                <w:sz w:val="24"/>
                <w:szCs w:val="24"/>
                <w:color w:val="auto"/>
              </w:rPr>
            </w:pPr>
          </w:p>
        </w:tc>
        <w:tc>
          <w:tcPr>
            <w:tcW w:w="22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(5)</w:t>
            </w: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260" w:type="dxa"/>
            <w:vAlign w:val="bottom"/>
            <w:tcBorders>
              <w:top w:val="single" w:sz="8" w:color="808080"/>
            </w:tcBorders>
            <w:shd w:val="clear" w:color="auto" w:fill="2C2C2C"/>
          </w:tcPr>
          <w:p>
            <w:pPr>
              <w:spacing w:after="0" w:line="20" w:lineRule="exact"/>
              <w:rPr>
                <w:sz w:val="1"/>
                <w:szCs w:val="1"/>
                <w:color w:val="auto"/>
              </w:rPr>
            </w:pPr>
          </w:p>
        </w:tc>
        <w:tc>
          <w:tcPr>
            <w:tcW w:w="15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6"/>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50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bl>
    <w:p>
      <w:pPr>
        <w:sectPr>
          <w:pgSz w:w="11900" w:h="16838" w:orient="portrait"/>
          <w:cols w:equalWidth="0" w:num="1">
            <w:col w:w="11080"/>
          </w:cols>
          <w:pgMar w:left="460" w:top="219" w:right="359" w:bottom="143"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276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27647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80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22"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70"/>
              </w:rPr>
              <w:t>6Exercisable.DateExercisableDate and</w:t>
            </w:r>
          </w:p>
        </w:tc>
        <w:tc>
          <w:tcPr>
            <w:tcW w:w="1020" w:type="dxa"/>
            <w:vAlign w:val="bottom"/>
          </w:tcPr>
          <w:p>
            <w:pPr>
              <w:ind w:left="10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2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21"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45"/>
        </w:trPr>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6"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0"/>
                <w:szCs w:val="10"/>
                <w:color w:val="auto"/>
              </w:rPr>
            </w:pP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20"/>
              <w:spacing w:after="0" w:line="121"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7"/>
        </w:trPr>
        <w:tc>
          <w:tcPr>
            <w:tcW w:w="11080" w:type="dxa"/>
            <w:vAlign w:val="bottom"/>
            <w:gridSpan w:val="12"/>
          </w:tcPr>
          <w:p>
            <w:pPr>
              <w:ind w:left="40"/>
              <w:spacing w:after="0" w:line="67" w:lineRule="exact"/>
              <w:rPr>
                <w:sz w:val="20"/>
                <w:szCs w:val="20"/>
                <w:color w:val="auto"/>
              </w:rPr>
            </w:pPr>
            <w:r>
              <w:rPr>
                <w:rFonts w:ascii="Times New Roman" w:cs="Times New Roman" w:eastAsia="Times New Roman" w:hAnsi="Times New Roman"/>
                <w:sz w:val="7"/>
                <w:szCs w:val="7"/>
                <w:color w:val="008000"/>
              </w:rPr>
              <w:t>1. The reported units are owned directly by Kelcy Warren Partners, LP, a limited partnership owned by Mr. Warren. Mr. Warren disclaims beneficial ownership of the reported units except to the extent of</w:t>
            </w:r>
          </w:p>
        </w:tc>
        <w:tc>
          <w:tcPr>
            <w:tcW w:w="0" w:type="dxa"/>
            <w:vAlign w:val="bottom"/>
          </w:tcPr>
          <w:p>
            <w:pPr>
              <w:spacing w:after="0"/>
              <w:rPr>
                <w:sz w:val="1"/>
                <w:szCs w:val="1"/>
                <w:color w:val="auto"/>
              </w:rPr>
            </w:pPr>
          </w:p>
        </w:tc>
      </w:tr>
      <w:tr>
        <w:trPr>
          <w:trHeight w:val="67"/>
        </w:trPr>
        <w:tc>
          <w:tcPr>
            <w:tcW w:w="800" w:type="dxa"/>
            <w:vAlign w:val="bottom"/>
          </w:tcPr>
          <w:p>
            <w:pPr>
              <w:spacing w:after="0"/>
              <w:rPr>
                <w:sz w:val="5"/>
                <w:szCs w:val="5"/>
                <w:color w:val="auto"/>
              </w:rPr>
            </w:pPr>
          </w:p>
        </w:tc>
        <w:tc>
          <w:tcPr>
            <w:tcW w:w="740" w:type="dxa"/>
            <w:vAlign w:val="bottom"/>
          </w:tcPr>
          <w:p>
            <w:pPr>
              <w:spacing w:after="0" w:line="67"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Acquired</w:t>
            </w:r>
          </w:p>
        </w:tc>
        <w:tc>
          <w:tcPr>
            <w:tcW w:w="1500" w:type="dxa"/>
            <w:vAlign w:val="bottom"/>
          </w:tcPr>
          <w:p>
            <w:pPr>
              <w:spacing w:after="0"/>
              <w:rPr>
                <w:sz w:val="5"/>
                <w:szCs w:val="5"/>
                <w:color w:val="auto"/>
              </w:rPr>
            </w:pPr>
          </w:p>
        </w:tc>
        <w:tc>
          <w:tcPr>
            <w:tcW w:w="1020" w:type="dxa"/>
            <w:vAlign w:val="bottom"/>
          </w:tcPr>
          <w:p>
            <w:pPr>
              <w:ind w:left="100"/>
              <w:spacing w:after="0" w:line="67" w:lineRule="exact"/>
              <w:rPr>
                <w:sz w:val="20"/>
                <w:szCs w:val="20"/>
                <w:color w:val="auto"/>
              </w:rPr>
            </w:pPr>
            <w:r>
              <w:rPr>
                <w:rFonts w:ascii="Arial" w:cs="Arial" w:eastAsia="Arial" w:hAnsi="Arial"/>
                <w:sz w:val="7"/>
                <w:szCs w:val="7"/>
                <w:b w:val="1"/>
                <w:bCs w:val="1"/>
                <w:color w:val="auto"/>
              </w:rPr>
              <w:t>Derivative</w:t>
            </w:r>
          </w:p>
        </w:tc>
        <w:tc>
          <w:tcPr>
            <w:tcW w:w="720" w:type="dxa"/>
            <w:vAlign w:val="bottom"/>
          </w:tcPr>
          <w:p>
            <w:pPr>
              <w:spacing w:after="0"/>
              <w:rPr>
                <w:sz w:val="5"/>
                <w:szCs w:val="5"/>
                <w:color w:val="auto"/>
              </w:rPr>
            </w:pPr>
          </w:p>
        </w:tc>
        <w:tc>
          <w:tcPr>
            <w:tcW w:w="92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Owned</w:t>
            </w:r>
          </w:p>
        </w:tc>
        <w:tc>
          <w:tcPr>
            <w:tcW w:w="800" w:type="dxa"/>
            <w:vAlign w:val="bottom"/>
          </w:tcPr>
          <w:p>
            <w:pPr>
              <w:ind w:left="120"/>
              <w:spacing w:after="0" w:line="67" w:lineRule="exact"/>
              <w:rPr>
                <w:sz w:val="20"/>
                <w:szCs w:val="20"/>
                <w:color w:val="auto"/>
              </w:rPr>
            </w:pPr>
            <w:r>
              <w:rPr>
                <w:rFonts w:ascii="Arial" w:cs="Arial" w:eastAsia="Arial" w:hAnsi="Arial"/>
                <w:sz w:val="7"/>
                <w:szCs w:val="7"/>
                <w:b w:val="1"/>
                <w:bCs w:val="1"/>
                <w:color w:val="auto"/>
              </w:rPr>
              <w:t>or Indirect</w:t>
            </w:r>
          </w:p>
        </w:tc>
        <w:tc>
          <w:tcPr>
            <w:tcW w:w="78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(Instr. 4)</w:t>
            </w:r>
          </w:p>
        </w:tc>
        <w:tc>
          <w:tcPr>
            <w:tcW w:w="0" w:type="dxa"/>
            <w:vAlign w:val="bottom"/>
          </w:tcPr>
          <w:p>
            <w:pPr>
              <w:spacing w:after="0"/>
              <w:rPr>
                <w:sz w:val="1"/>
                <w:szCs w:val="1"/>
                <w:color w:val="auto"/>
              </w:rPr>
            </w:pPr>
          </w:p>
        </w:tc>
      </w:tr>
      <w:tr>
        <w:trPr>
          <w:trHeight w:val="80"/>
        </w:trPr>
        <w:tc>
          <w:tcPr>
            <w:tcW w:w="2660" w:type="dxa"/>
            <w:vAlign w:val="bottom"/>
            <w:gridSpan w:val="3"/>
          </w:tcPr>
          <w:p>
            <w:pPr>
              <w:ind w:left="40"/>
              <w:spacing w:after="0" w:line="80" w:lineRule="exact"/>
              <w:rPr>
                <w:sz w:val="20"/>
                <w:szCs w:val="20"/>
                <w:color w:val="auto"/>
              </w:rPr>
            </w:pPr>
            <w:r>
              <w:rPr>
                <w:rFonts w:ascii="Times New Roman" w:cs="Times New Roman" w:eastAsia="Times New Roman" w:hAnsi="Times New Roman"/>
                <w:sz w:val="9"/>
                <w:szCs w:val="9"/>
                <w:color w:val="008000"/>
              </w:rPr>
              <w:t>his pecuniary interest therein.</w:t>
            </w: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1500" w:type="dxa"/>
            <w:vAlign w:val="bottom"/>
          </w:tcPr>
          <w:p>
            <w:pPr>
              <w:spacing w:after="0"/>
              <w:rPr>
                <w:sz w:val="6"/>
                <w:szCs w:val="6"/>
                <w:color w:val="auto"/>
              </w:rPr>
            </w:pPr>
          </w:p>
        </w:tc>
        <w:tc>
          <w:tcPr>
            <w:tcW w:w="10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Following</w:t>
            </w: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800" w:type="dxa"/>
            <w:vAlign w:val="bottom"/>
          </w:tcPr>
          <w:p>
            <w:pPr>
              <w:spacing w:after="0"/>
              <w:rPr>
                <w:sz w:val="6"/>
                <w:szCs w:val="6"/>
                <w:color w:val="auto"/>
              </w:rPr>
            </w:pPr>
          </w:p>
        </w:tc>
        <w:tc>
          <w:tcPr>
            <w:tcW w:w="740" w:type="dxa"/>
            <w:vAlign w:val="bottom"/>
          </w:tcPr>
          <w:p>
            <w:pPr>
              <w:spacing w:after="0" w:line="78" w:lineRule="exact"/>
              <w:rPr>
                <w:sz w:val="20"/>
                <w:szCs w:val="20"/>
                <w:color w:val="auto"/>
              </w:rPr>
            </w:pPr>
            <w:r>
              <w:rPr>
                <w:rFonts w:ascii="Arial" w:cs="Arial" w:eastAsia="Arial" w:hAnsi="Arial"/>
                <w:sz w:val="8"/>
                <w:szCs w:val="8"/>
                <w:b w:val="1"/>
                <w:bCs w:val="1"/>
                <w:color w:val="auto"/>
              </w:rPr>
              <w:t>Security</w:t>
            </w: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22"/>
        </w:trPr>
        <w:tc>
          <w:tcPr>
            <w:tcW w:w="120" w:type="dxa"/>
            <w:vAlign w:val="bottom"/>
          </w:tcPr>
          <w:p>
            <w:pPr>
              <w:spacing w:after="0" w:line="122" w:lineRule="exact"/>
              <w:rPr>
                <w:sz w:val="20"/>
                <w:szCs w:val="20"/>
                <w:color w:val="auto"/>
              </w:rPr>
            </w:pPr>
            <w:r>
              <w:rPr>
                <w:rFonts w:ascii="Times New Roman" w:cs="Times New Roman" w:eastAsia="Times New Roman" w:hAnsi="Times New Roman"/>
                <w:sz w:val="13"/>
                <w:szCs w:val="13"/>
                <w:color w:val="008000"/>
              </w:rPr>
              <w:t>2.</w:t>
            </w:r>
          </w:p>
        </w:tc>
        <w:tc>
          <w:tcPr>
            <w:tcW w:w="107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color w:val="008000"/>
                <w:w w:val="92"/>
              </w:rPr>
              <w:t>The reported units are owned directly by Kelcy Warren Partners II, LP, a limited partnership</w:t>
            </w:r>
            <w:r>
              <w:rPr>
                <w:rFonts w:ascii="Arial" w:cs="Arial" w:eastAsia="Arial" w:hAnsi="Arial"/>
                <w:sz w:val="11"/>
                <w:szCs w:val="11"/>
                <w:b w:val="1"/>
                <w:bCs w:val="1"/>
                <w:color w:val="000000"/>
                <w:w w:val="92"/>
              </w:rPr>
              <w:t>Disposed</w:t>
            </w:r>
            <w:r>
              <w:rPr>
                <w:rFonts w:ascii="Times New Roman" w:cs="Times New Roman" w:eastAsia="Times New Roman" w:hAnsi="Times New Roman"/>
                <w:sz w:val="13"/>
                <w:szCs w:val="13"/>
                <w:color w:val="008000"/>
                <w:w w:val="92"/>
              </w:rPr>
              <w:t>owned by Mr. Warren. Mr. Warren</w:t>
            </w:r>
            <w:r>
              <w:rPr>
                <w:rFonts w:ascii="Arial" w:cs="Arial" w:eastAsia="Arial" w:hAnsi="Arial"/>
                <w:sz w:val="11"/>
                <w:szCs w:val="11"/>
                <w:b w:val="1"/>
                <w:bCs w:val="1"/>
                <w:color w:val="000000"/>
                <w:w w:val="92"/>
              </w:rPr>
              <w:t>3</w:t>
            </w:r>
            <w:r>
              <w:rPr>
                <w:rFonts w:ascii="Times New Roman" w:cs="Times New Roman" w:eastAsia="Times New Roman" w:hAnsi="Times New Roman"/>
                <w:sz w:val="13"/>
                <w:szCs w:val="13"/>
                <w:color w:val="008000"/>
                <w:w w:val="92"/>
              </w:rPr>
              <w:t>disclaims</w:t>
            </w:r>
            <w:r>
              <w:rPr>
                <w:rFonts w:ascii="Arial" w:cs="Arial" w:eastAsia="Arial" w:hAnsi="Arial"/>
                <w:sz w:val="11"/>
                <w:szCs w:val="11"/>
                <w:b w:val="1"/>
                <w:bCs w:val="1"/>
                <w:color w:val="000000"/>
                <w:w w:val="92"/>
              </w:rPr>
              <w:t>and4)</w:t>
            </w:r>
            <w:r>
              <w:rPr>
                <w:rFonts w:ascii="Times New Roman" w:cs="Times New Roman" w:eastAsia="Times New Roman" w:hAnsi="Times New Roman"/>
                <w:sz w:val="13"/>
                <w:szCs w:val="13"/>
                <w:color w:val="008000"/>
                <w:w w:val="92"/>
              </w:rPr>
              <w:t xml:space="preserve"> beneficial ownership </w:t>
            </w:r>
            <w:r>
              <w:rPr>
                <w:rFonts w:ascii="Arial" w:cs="Arial" w:eastAsia="Arial" w:hAnsi="Arial"/>
                <w:sz w:val="11"/>
                <w:szCs w:val="11"/>
                <w:b w:val="1"/>
                <w:bCs w:val="1"/>
                <w:color w:val="000000"/>
                <w:w w:val="92"/>
              </w:rPr>
              <w:t>Reported</w:t>
            </w:r>
            <w:r>
              <w:rPr>
                <w:rFonts w:ascii="Times New Roman" w:cs="Times New Roman" w:eastAsia="Times New Roman" w:hAnsi="Times New Roman"/>
                <w:sz w:val="13"/>
                <w:szCs w:val="13"/>
                <w:color w:val="008000"/>
                <w:w w:val="92"/>
              </w:rPr>
              <w:t>ofthereported units except to the extent</w:t>
            </w:r>
          </w:p>
        </w:tc>
        <w:tc>
          <w:tcPr>
            <w:tcW w:w="0" w:type="dxa"/>
            <w:vAlign w:val="bottom"/>
          </w:tcPr>
          <w:p>
            <w:pPr>
              <w:spacing w:after="0"/>
              <w:rPr>
                <w:sz w:val="1"/>
                <w:szCs w:val="1"/>
                <w:color w:val="auto"/>
              </w:rPr>
            </w:pPr>
          </w:p>
        </w:tc>
      </w:tr>
      <w:tr>
        <w:trPr>
          <w:trHeight w:val="147"/>
        </w:trPr>
        <w:tc>
          <w:tcPr>
            <w:tcW w:w="318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008000"/>
              </w:rPr>
              <w:t>of his pecuniary interest therein.</w:t>
            </w:r>
          </w:p>
        </w:tc>
        <w:tc>
          <w:tcPr>
            <w:tcW w:w="3720" w:type="dxa"/>
            <w:vAlign w:val="bottom"/>
          </w:tcPr>
          <w:p>
            <w:pPr>
              <w:ind w:left="1460"/>
              <w:spacing w:after="0"/>
              <w:rPr>
                <w:sz w:val="20"/>
                <w:szCs w:val="20"/>
                <w:color w:val="auto"/>
              </w:rPr>
            </w:pPr>
            <w:r>
              <w:rPr>
                <w:rFonts w:ascii="Arial" w:cs="Arial" w:eastAsia="Arial" w:hAnsi="Arial"/>
                <w:sz w:val="12"/>
                <w:szCs w:val="12"/>
                <w:b w:val="1"/>
                <w:bCs w:val="1"/>
                <w:color w:val="auto"/>
              </w:rPr>
              <w:t>of (D)</w:t>
            </w:r>
          </w:p>
        </w:tc>
        <w:tc>
          <w:tcPr>
            <w:tcW w:w="4000" w:type="dxa"/>
            <w:vAlign w:val="bottom"/>
          </w:tcPr>
          <w:p>
            <w:pPr>
              <w:ind w:left="1720"/>
              <w:spacing w:after="0"/>
              <w:rPr>
                <w:sz w:val="20"/>
                <w:szCs w:val="20"/>
                <w:color w:val="auto"/>
              </w:rPr>
            </w:pPr>
            <w:r>
              <w:rPr>
                <w:rFonts w:ascii="Arial" w:cs="Arial" w:eastAsia="Arial" w:hAnsi="Arial"/>
                <w:sz w:val="12"/>
                <w:szCs w:val="12"/>
                <w:b w:val="1"/>
                <w:bCs w:val="1"/>
                <w:color w:val="auto"/>
              </w:rPr>
              <w:t>Transaction(s)</w:t>
            </w:r>
          </w:p>
        </w:tc>
        <w:tc>
          <w:tcPr>
            <w:tcW w:w="0" w:type="dxa"/>
            <w:vAlign w:val="bottom"/>
          </w:tcPr>
          <w:p>
            <w:pPr>
              <w:spacing w:after="0"/>
              <w:rPr>
                <w:sz w:val="1"/>
                <w:szCs w:val="1"/>
                <w:color w:val="auto"/>
              </w:rPr>
            </w:pPr>
          </w:p>
        </w:tc>
      </w:tr>
      <w:tr>
        <w:trPr>
          <w:trHeight w:val="107"/>
        </w:trPr>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008000"/>
              </w:rPr>
              <w:t>3.</w:t>
            </w:r>
          </w:p>
        </w:tc>
        <w:tc>
          <w:tcPr>
            <w:tcW w:w="3060" w:type="dxa"/>
            <w:vAlign w:val="bottom"/>
          </w:tcPr>
          <w:p>
            <w:pPr>
              <w:spacing w:after="0"/>
              <w:rPr>
                <w:sz w:val="9"/>
                <w:szCs w:val="9"/>
                <w:color w:val="auto"/>
              </w:rPr>
            </w:pPr>
          </w:p>
        </w:tc>
        <w:tc>
          <w:tcPr>
            <w:tcW w:w="3720" w:type="dxa"/>
            <w:vAlign w:val="bottom"/>
          </w:tcPr>
          <w:p>
            <w:pPr>
              <w:ind w:left="1460"/>
              <w:spacing w:after="0" w:line="107" w:lineRule="exact"/>
              <w:rPr>
                <w:sz w:val="20"/>
                <w:szCs w:val="20"/>
                <w:color w:val="auto"/>
              </w:rPr>
            </w:pPr>
            <w:r>
              <w:rPr>
                <w:rFonts w:ascii="Arial" w:cs="Arial" w:eastAsia="Arial" w:hAnsi="Arial"/>
                <w:sz w:val="12"/>
                <w:szCs w:val="12"/>
                <w:b w:val="1"/>
                <w:bCs w:val="1"/>
                <w:color w:val="auto"/>
              </w:rPr>
              <w:t>(Instr. 3, 4</w:t>
            </w:r>
          </w:p>
        </w:tc>
        <w:tc>
          <w:tcPr>
            <w:tcW w:w="4000" w:type="dxa"/>
            <w:vAlign w:val="bottom"/>
          </w:tcPr>
          <w:p>
            <w:pPr>
              <w:ind w:left="1720"/>
              <w:spacing w:after="0" w:line="107"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93"/>
        </w:trPr>
        <w:tc>
          <w:tcPr>
            <w:tcW w:w="120" w:type="dxa"/>
            <w:vAlign w:val="bottom"/>
            <w:vMerge w:val="continue"/>
          </w:tcPr>
          <w:p>
            <w:pPr>
              <w:spacing w:after="0"/>
              <w:rPr>
                <w:sz w:val="8"/>
                <w:szCs w:val="8"/>
                <w:color w:val="auto"/>
              </w:rPr>
            </w:pPr>
          </w:p>
        </w:tc>
        <w:tc>
          <w:tcPr>
            <w:tcW w:w="10780" w:type="dxa"/>
            <w:vAlign w:val="bottom"/>
            <w:gridSpan w:val="3"/>
          </w:tcPr>
          <w:p>
            <w:pPr>
              <w:ind w:left="20"/>
              <w:spacing w:after="0" w:line="93" w:lineRule="exact"/>
              <w:rPr>
                <w:sz w:val="20"/>
                <w:szCs w:val="20"/>
                <w:color w:val="auto"/>
              </w:rPr>
            </w:pPr>
            <w:r>
              <w:rPr>
                <w:rFonts w:ascii="Times New Roman" w:cs="Times New Roman" w:eastAsia="Times New Roman" w:hAnsi="Times New Roman"/>
                <w:sz w:val="10"/>
                <w:szCs w:val="10"/>
                <w:color w:val="008000"/>
              </w:rPr>
              <w:t>The reported units are owned directly by Warren Capital Corp., a corporation owned by Mr. Warren. Mr. Warren disclaims beneficial ownership of the reported units except to the extent of his pecuniary</w:t>
            </w:r>
          </w:p>
        </w:tc>
        <w:tc>
          <w:tcPr>
            <w:tcW w:w="0" w:type="dxa"/>
            <w:vAlign w:val="bottom"/>
          </w:tcPr>
          <w:p>
            <w:pPr>
              <w:spacing w:after="0"/>
              <w:rPr>
                <w:sz w:val="1"/>
                <w:szCs w:val="1"/>
                <w:color w:val="auto"/>
              </w:rPr>
            </w:pPr>
          </w:p>
        </w:tc>
      </w:tr>
      <w:tr>
        <w:trPr>
          <w:trHeight w:val="147"/>
        </w:trPr>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8000"/>
              </w:rPr>
              <w:t>interest therein.</w:t>
            </w:r>
          </w:p>
        </w:tc>
        <w:tc>
          <w:tcPr>
            <w:tcW w:w="3720" w:type="dxa"/>
            <w:vAlign w:val="bottom"/>
          </w:tcPr>
          <w:p>
            <w:pPr>
              <w:ind w:left="1460"/>
              <w:spacing w:after="0"/>
              <w:rPr>
                <w:sz w:val="20"/>
                <w:szCs w:val="20"/>
                <w:color w:val="auto"/>
              </w:rPr>
            </w:pPr>
            <w:r>
              <w:rPr>
                <w:rFonts w:ascii="Arial" w:cs="Arial" w:eastAsia="Arial" w:hAnsi="Arial"/>
                <w:sz w:val="12"/>
                <w:szCs w:val="12"/>
                <w:b w:val="1"/>
                <w:bCs w:val="1"/>
                <w:color w:val="auto"/>
              </w:rPr>
              <w:t>and 5)</w:t>
            </w:r>
          </w:p>
        </w:tc>
        <w:tc>
          <w:tcPr>
            <w:tcW w:w="4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3180" w:type="dxa"/>
            <w:vAlign w:val="bottom"/>
            <w:gridSpan w:val="2"/>
            <w:vMerge w:val="continue"/>
          </w:tcPr>
          <w:p>
            <w:pPr>
              <w:spacing w:after="0"/>
              <w:rPr>
                <w:sz w:val="3"/>
                <w:szCs w:val="3"/>
                <w:color w:val="auto"/>
              </w:rPr>
            </w:pPr>
          </w:p>
        </w:tc>
        <w:tc>
          <w:tcPr>
            <w:tcW w:w="37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units are owned directly by ET Company Ltd. The reported units represent the estimated pro rata interest of Mr. Warren in ET Company Ltd., including through his interest therein held through Three Dawaco, Inc. Mr. Warren disclaims beneficial ownership of the reported units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units are owned directly by LE GP, LLC. The reported units represent the estimated pro rata interest of Mr. Warren in LE GP, LLC. Mr. Warren disclaims beneficial ownership of the</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440" w:type="dxa"/>
            <w:vAlign w:val="bottom"/>
          </w:tcPr>
          <w:p>
            <w:pPr>
              <w:spacing w:after="0"/>
              <w:rPr>
                <w:sz w:val="20"/>
                <w:szCs w:val="20"/>
                <w:color w:val="auto"/>
              </w:rPr>
            </w:pPr>
            <w:r>
              <w:rPr>
                <w:rFonts w:ascii="Times New Roman" w:cs="Times New Roman" w:eastAsia="Times New Roman" w:hAnsi="Times New Roman"/>
                <w:sz w:val="13"/>
                <w:szCs w:val="13"/>
                <w:color w:val="008000"/>
              </w:rPr>
              <w:t>reported units except to the extent of his pecuniary interest therein.</w:t>
            </w:r>
          </w:p>
        </w:tc>
        <w:tc>
          <w:tcPr>
            <w:tcW w:w="2300" w:type="dxa"/>
            <w:vAlign w:val="bottom"/>
            <w:vMerge w:val="restart"/>
          </w:tcPr>
          <w:p>
            <w:pPr>
              <w:ind w:left="1860"/>
              <w:spacing w:after="0"/>
              <w:rPr>
                <w:sz w:val="20"/>
                <w:szCs w:val="20"/>
                <w:color w:val="auto"/>
              </w:rPr>
            </w:pPr>
            <w:r>
              <w:rPr>
                <w:rFonts w:ascii="Arial" w:cs="Arial" w:eastAsia="Arial" w:hAnsi="Arial"/>
                <w:sz w:val="12"/>
                <w:szCs w:val="12"/>
                <w:b w:val="1"/>
                <w:bCs w:val="1"/>
                <w:color w:val="auto"/>
                <w:w w:val="92"/>
              </w:rPr>
              <w:t>Amount</w:t>
            </w:r>
          </w:p>
        </w:tc>
        <w:tc>
          <w:tcPr>
            <w:tcW w:w="0" w:type="dxa"/>
            <w:vAlign w:val="bottom"/>
          </w:tcPr>
          <w:p>
            <w:pPr>
              <w:spacing w:after="0"/>
              <w:rPr>
                <w:sz w:val="1"/>
                <w:szCs w:val="1"/>
                <w:color w:val="auto"/>
              </w:rPr>
            </w:pPr>
          </w:p>
        </w:tc>
      </w:tr>
      <w:tr>
        <w:trPr>
          <w:trHeight w:val="25"/>
        </w:trPr>
        <w:tc>
          <w:tcPr>
            <w:tcW w:w="5440" w:type="dxa"/>
            <w:vAlign w:val="bottom"/>
          </w:tcPr>
          <w:p>
            <w:pPr>
              <w:spacing w:after="0"/>
              <w:rPr>
                <w:sz w:val="2"/>
                <w:szCs w:val="2"/>
                <w:color w:val="auto"/>
              </w:rPr>
            </w:pPr>
          </w:p>
        </w:tc>
        <w:tc>
          <w:tcPr>
            <w:tcW w:w="23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0"/>
        <w:spacing w:after="0" w:line="213" w:lineRule="auto"/>
        <w:rPr>
          <w:sz w:val="20"/>
          <w:szCs w:val="20"/>
          <w:color w:val="auto"/>
        </w:rPr>
      </w:pPr>
      <w:r>
        <w:rPr>
          <w:rFonts w:ascii="Times New Roman" w:cs="Times New Roman" w:eastAsia="Times New Roman" w:hAnsi="Times New Roman"/>
          <w:sz w:val="13"/>
          <w:szCs w:val="13"/>
          <w:color w:val="008000"/>
        </w:rPr>
        <w:t>6. The reported units are owned directly by Kelcy Warren Partners III, LLC (formerly known as Seven Bridges Holdings LLC), a limited</w:t>
      </w:r>
      <w:r>
        <w:rPr>
          <w:rFonts w:ascii="Arial" w:cs="Arial" w:eastAsia="Arial" w:hAnsi="Arial"/>
          <w:sz w:val="11"/>
          <w:szCs w:val="11"/>
          <w:b w:val="1"/>
          <w:bCs w:val="1"/>
          <w:color w:val="000000"/>
        </w:rPr>
        <w:t>or</w:t>
      </w:r>
      <w:r>
        <w:rPr>
          <w:rFonts w:ascii="Times New Roman" w:cs="Times New Roman" w:eastAsia="Times New Roman" w:hAnsi="Times New Roman"/>
          <w:sz w:val="13"/>
          <w:szCs w:val="13"/>
          <w:color w:val="008000"/>
        </w:rPr>
        <w:t>liability company owned by Mr. Warren. Mr. Warren disclaims</w:t>
      </w:r>
    </w:p>
    <w:tbl>
      <w:tblPr>
        <w:tblLayout w:type="fixed"/>
        <w:tblInd w:w="40" w:type="dxa"/>
        <w:tblCellMar>
          <w:top w:w="0" w:type="dxa"/>
          <w:left w:w="0" w:type="dxa"/>
          <w:bottom w:w="0" w:type="dxa"/>
          <w:right w:w="0" w:type="dxa"/>
        </w:tblCellMar>
      </w:tblPr>
      <w:tr>
        <w:trPr>
          <w:trHeight w:val="136"/>
        </w:trPr>
        <w:tc>
          <w:tcPr>
            <w:tcW w:w="610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008000"/>
              </w:rPr>
              <w:t>beneficial ownership of the reported units except to the extent of his pecuniary interest therein.</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4000" w:type="dxa"/>
            <w:vAlign w:val="bottom"/>
          </w:tcPr>
          <w:p>
            <w:pPr>
              <w:ind w:left="460"/>
              <w:spacing w:after="0" w:line="136" w:lineRule="exact"/>
              <w:rPr>
                <w:sz w:val="20"/>
                <w:szCs w:val="20"/>
                <w:color w:val="auto"/>
              </w:rPr>
            </w:pPr>
            <w:r>
              <w:rPr>
                <w:rFonts w:ascii="Arial" w:cs="Arial" w:eastAsia="Arial" w:hAnsi="Arial"/>
                <w:sz w:val="12"/>
                <w:szCs w:val="12"/>
                <w:b w:val="1"/>
                <w:bCs w:val="1"/>
                <w:color w:val="auto"/>
              </w:rPr>
              <w:t>Number</w:t>
            </w:r>
          </w:p>
        </w:tc>
        <w:tc>
          <w:tcPr>
            <w:tcW w:w="0" w:type="dxa"/>
            <w:vAlign w:val="bottom"/>
          </w:tcPr>
          <w:p>
            <w:pPr>
              <w:spacing w:after="0"/>
              <w:rPr>
                <w:sz w:val="1"/>
                <w:szCs w:val="1"/>
                <w:color w:val="auto"/>
              </w:rPr>
            </w:pPr>
          </w:p>
        </w:tc>
      </w:tr>
      <w:tr>
        <w:trPr>
          <w:trHeight w:val="107"/>
        </w:trPr>
        <w:tc>
          <w:tcPr>
            <w:tcW w:w="4480" w:type="dxa"/>
            <w:vAlign w:val="bottom"/>
          </w:tcPr>
          <w:p>
            <w:pPr>
              <w:spacing w:after="0"/>
              <w:rPr>
                <w:sz w:val="9"/>
                <w:szCs w:val="9"/>
                <w:color w:val="auto"/>
              </w:rPr>
            </w:pPr>
          </w:p>
        </w:tc>
        <w:tc>
          <w:tcPr>
            <w:tcW w:w="1620" w:type="dxa"/>
            <w:vAlign w:val="bottom"/>
          </w:tcPr>
          <w:p>
            <w:pPr>
              <w:ind w:left="880"/>
              <w:spacing w:after="0" w:line="107" w:lineRule="exact"/>
              <w:rPr>
                <w:sz w:val="20"/>
                <w:szCs w:val="20"/>
                <w:color w:val="auto"/>
              </w:rPr>
            </w:pPr>
            <w:r>
              <w:rPr>
                <w:rFonts w:ascii="Arial" w:cs="Arial" w:eastAsia="Arial" w:hAnsi="Arial"/>
                <w:sz w:val="12"/>
                <w:szCs w:val="12"/>
                <w:b w:val="1"/>
                <w:bCs w:val="1"/>
                <w:color w:val="auto"/>
              </w:rPr>
              <w:t>Date</w:t>
            </w:r>
          </w:p>
        </w:tc>
        <w:tc>
          <w:tcPr>
            <w:tcW w:w="740" w:type="dxa"/>
            <w:vAlign w:val="bottom"/>
            <w:vMerge w:val="continue"/>
          </w:tcPr>
          <w:p>
            <w:pPr>
              <w:spacing w:after="0"/>
              <w:rPr>
                <w:sz w:val="9"/>
                <w:szCs w:val="9"/>
                <w:color w:val="auto"/>
              </w:rPr>
            </w:pPr>
          </w:p>
        </w:tc>
        <w:tc>
          <w:tcPr>
            <w:tcW w:w="4000" w:type="dxa"/>
            <w:vAlign w:val="bottom"/>
          </w:tcPr>
          <w:p>
            <w:pPr>
              <w:ind w:left="460"/>
              <w:spacing w:after="0" w:line="107" w:lineRule="exact"/>
              <w:rPr>
                <w:sz w:val="20"/>
                <w:szCs w:val="20"/>
                <w:color w:val="auto"/>
              </w:rPr>
            </w:pPr>
            <w:r>
              <w:rPr>
                <w:rFonts w:ascii="Arial" w:cs="Arial" w:eastAsia="Arial" w:hAnsi="Arial"/>
                <w:sz w:val="12"/>
                <w:szCs w:val="12"/>
                <w:b w:val="1"/>
                <w:bCs w:val="1"/>
                <w:color w:val="auto"/>
              </w:rPr>
              <w:t>of</w:t>
            </w:r>
          </w:p>
        </w:tc>
        <w:tc>
          <w:tcPr>
            <w:tcW w:w="0" w:type="dxa"/>
            <w:vAlign w:val="bottom"/>
          </w:tcPr>
          <w:p>
            <w:pPr>
              <w:spacing w:after="0"/>
              <w:rPr>
                <w:sz w:val="1"/>
                <w:szCs w:val="1"/>
                <w:color w:val="auto"/>
              </w:rPr>
            </w:pPr>
          </w:p>
        </w:tc>
      </w:tr>
      <w:tr>
        <w:trPr>
          <w:trHeight w:val="93"/>
        </w:trPr>
        <w:tc>
          <w:tcPr>
            <w:tcW w:w="10840" w:type="dxa"/>
            <w:vAlign w:val="bottom"/>
            <w:gridSpan w:val="4"/>
          </w:tcPr>
          <w:p>
            <w:pPr>
              <w:spacing w:after="0" w:line="93" w:lineRule="exact"/>
              <w:rPr>
                <w:sz w:val="20"/>
                <w:szCs w:val="20"/>
                <w:color w:val="auto"/>
              </w:rPr>
            </w:pPr>
            <w:r>
              <w:rPr>
                <w:rFonts w:ascii="Times New Roman" w:cs="Times New Roman" w:eastAsia="Times New Roman" w:hAnsi="Times New Roman"/>
                <w:sz w:val="10"/>
                <w:szCs w:val="10"/>
                <w:color w:val="008000"/>
              </w:rPr>
              <w:t>7. In connection with a potential capital project, a subsidiary of Energy Transfer LP ("ET") acquired a business entity owned by Kelcy L. Warren in exchange for $22,000,000 of ET common units. The</w:t>
            </w:r>
          </w:p>
        </w:tc>
        <w:tc>
          <w:tcPr>
            <w:tcW w:w="0" w:type="dxa"/>
            <w:vAlign w:val="bottom"/>
          </w:tcPr>
          <w:p>
            <w:pPr>
              <w:spacing w:after="0"/>
              <w:rPr>
                <w:sz w:val="1"/>
                <w:szCs w:val="1"/>
                <w:color w:val="auto"/>
              </w:rPr>
            </w:pPr>
          </w:p>
        </w:tc>
      </w:tr>
      <w:tr>
        <w:trPr>
          <w:trHeight w:val="40"/>
        </w:trPr>
        <w:tc>
          <w:tcPr>
            <w:tcW w:w="4480" w:type="dxa"/>
            <w:vAlign w:val="bottom"/>
          </w:tcPr>
          <w:p>
            <w:pPr>
              <w:ind w:left="3800"/>
              <w:spacing w:after="0" w:line="40" w:lineRule="exact"/>
              <w:rPr>
                <w:sz w:val="20"/>
                <w:szCs w:val="20"/>
                <w:color w:val="auto"/>
              </w:rPr>
            </w:pPr>
            <w:r>
              <w:rPr>
                <w:rFonts w:ascii="Arial" w:cs="Arial" w:eastAsia="Arial" w:hAnsi="Arial"/>
                <w:sz w:val="4"/>
                <w:szCs w:val="4"/>
                <w:b w:val="1"/>
                <w:bCs w:val="1"/>
                <w:color w:val="auto"/>
              </w:rPr>
              <w:t>Code  V</w:t>
            </w:r>
          </w:p>
        </w:tc>
        <w:tc>
          <w:tcPr>
            <w:tcW w:w="1620" w:type="dxa"/>
            <w:vAlign w:val="bottom"/>
          </w:tcPr>
          <w:p>
            <w:pPr>
              <w:ind w:left="160"/>
              <w:spacing w:after="0" w:line="40" w:lineRule="exact"/>
              <w:rPr>
                <w:sz w:val="20"/>
                <w:szCs w:val="20"/>
                <w:color w:val="auto"/>
              </w:rPr>
            </w:pPr>
            <w:r>
              <w:rPr>
                <w:rFonts w:ascii="Arial" w:cs="Arial" w:eastAsia="Arial" w:hAnsi="Arial"/>
                <w:sz w:val="4"/>
                <w:szCs w:val="4"/>
                <w:b w:val="1"/>
                <w:bCs w:val="1"/>
                <w:color w:val="auto"/>
              </w:rPr>
              <w:t>(A)   (D)   Exercisable</w:t>
            </w:r>
          </w:p>
        </w:tc>
        <w:tc>
          <w:tcPr>
            <w:tcW w:w="740" w:type="dxa"/>
            <w:vAlign w:val="bottom"/>
          </w:tcPr>
          <w:p>
            <w:pPr>
              <w:ind w:left="80"/>
              <w:spacing w:after="0" w:line="40" w:lineRule="exact"/>
              <w:rPr>
                <w:sz w:val="20"/>
                <w:szCs w:val="20"/>
                <w:color w:val="auto"/>
              </w:rPr>
            </w:pPr>
            <w:r>
              <w:rPr>
                <w:rFonts w:ascii="Arial" w:cs="Arial" w:eastAsia="Arial" w:hAnsi="Arial"/>
                <w:sz w:val="4"/>
                <w:szCs w:val="4"/>
                <w:b w:val="1"/>
                <w:bCs w:val="1"/>
                <w:color w:val="auto"/>
              </w:rPr>
              <w:t>Date</w:t>
            </w:r>
          </w:p>
        </w:tc>
        <w:tc>
          <w:tcPr>
            <w:tcW w:w="4000" w:type="dxa"/>
            <w:vAlign w:val="bottom"/>
          </w:tcPr>
          <w:p>
            <w:pPr>
              <w:ind w:left="60"/>
              <w:spacing w:after="0" w:line="40" w:lineRule="exact"/>
              <w:rPr>
                <w:sz w:val="20"/>
                <w:szCs w:val="20"/>
                <w:color w:val="auto"/>
              </w:rPr>
            </w:pPr>
            <w:r>
              <w:rPr>
                <w:rFonts w:ascii="Arial" w:cs="Arial" w:eastAsia="Arial" w:hAnsi="Arial"/>
                <w:sz w:val="4"/>
                <w:szCs w:val="4"/>
                <w:b w:val="1"/>
                <w:bCs w:val="1"/>
                <w:color w:val="auto"/>
              </w:rPr>
              <w:t>Title  Shares</w:t>
            </w:r>
          </w:p>
        </w:tc>
        <w:tc>
          <w:tcPr>
            <w:tcW w:w="0" w:type="dxa"/>
            <w:vAlign w:val="bottom"/>
          </w:tcPr>
          <w:p>
            <w:pPr>
              <w:spacing w:after="0" w:line="20" w:lineRule="exact"/>
              <w:rPr>
                <w:sz w:val="1"/>
                <w:szCs w:val="1"/>
                <w:color w:val="auto"/>
              </w:rPr>
            </w:pPr>
          </w:p>
        </w:tc>
      </w:tr>
      <w:tr>
        <w:trPr>
          <w:trHeight w:val="120"/>
        </w:trPr>
        <w:tc>
          <w:tcPr>
            <w:tcW w:w="10840" w:type="dxa"/>
            <w:vAlign w:val="bottom"/>
            <w:gridSpan w:val="4"/>
          </w:tcPr>
          <w:p>
            <w:pPr>
              <w:spacing w:after="0" w:line="121" w:lineRule="exact"/>
              <w:rPr>
                <w:sz w:val="20"/>
                <w:szCs w:val="20"/>
                <w:color w:val="auto"/>
              </w:rPr>
            </w:pPr>
            <w:r>
              <w:rPr>
                <w:rFonts w:ascii="Times New Roman" w:cs="Times New Roman" w:eastAsia="Times New Roman" w:hAnsi="Times New Roman"/>
                <w:sz w:val="13"/>
                <w:szCs w:val="13"/>
                <w:color w:val="008000"/>
              </w:rPr>
              <w:t>common units were valued at $19.8327 per unit, based on the volume-weighted average price for the 10 trading days ending May 7, 2026. As a result, Mr. Warren received 1,109,279 ET common units in</w:t>
            </w:r>
          </w:p>
        </w:tc>
        <w:tc>
          <w:tcPr>
            <w:tcW w:w="0" w:type="dxa"/>
            <w:vAlign w:val="bottom"/>
          </w:tcPr>
          <w:p>
            <w:pPr>
              <w:spacing w:after="0"/>
              <w:rPr>
                <w:sz w:val="1"/>
                <w:szCs w:val="1"/>
                <w:color w:val="auto"/>
              </w:rPr>
            </w:pPr>
          </w:p>
        </w:tc>
      </w:tr>
      <w:tr>
        <w:trPr>
          <w:trHeight w:val="173"/>
        </w:trPr>
        <w:tc>
          <w:tcPr>
            <w:tcW w:w="4480" w:type="dxa"/>
            <w:vAlign w:val="bottom"/>
          </w:tcPr>
          <w:p>
            <w:pPr>
              <w:spacing w:after="0"/>
              <w:rPr>
                <w:sz w:val="20"/>
                <w:szCs w:val="20"/>
                <w:color w:val="auto"/>
              </w:rPr>
            </w:pPr>
            <w:r>
              <w:rPr>
                <w:rFonts w:ascii="Times New Roman" w:cs="Times New Roman" w:eastAsia="Times New Roman" w:hAnsi="Times New Roman"/>
                <w:sz w:val="13"/>
                <w:szCs w:val="13"/>
                <w:color w:val="008000"/>
              </w:rPr>
              <w:t>the transaction.</w:t>
            </w:r>
          </w:p>
        </w:tc>
        <w:tc>
          <w:tcPr>
            <w:tcW w:w="1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540" w:type="dxa"/>
            <w:vAlign w:val="bottom"/>
          </w:tcPr>
          <w:p>
            <w:pPr>
              <w:spacing w:after="0"/>
              <w:rPr>
                <w:sz w:val="18"/>
                <w:szCs w:val="18"/>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Sonia Aube, Attorney-in-fact</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05/11/2026</w:t>
            </w: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for Mr. Warren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6191" TargetMode="External"/><Relationship Id="rId14" Type="http://schemas.openxmlformats.org/officeDocument/2006/relationships/hyperlink" Target="http://www.sec.gov/cgi-bin/browse-edgar?action=getcompany&amp;CIK=00012761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2026-05-11T17:01:13Z</dcterms:created>
  <dcterms:modified xsi:type="dcterms:W3CDTF">2026-05-11T17:01:13Z</dcterms:modified>
</cp:coreProperties>
</file>