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ENERGY TRANSFER LP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1-32740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30-0108820</w:t>
      </w:r>
    </w:p>
    <w:p>
      <w:pPr>
        <w:spacing w:after="0" w:line="24" w:lineRule="exact"/>
        <w:rPr>
          <w:sz w:val="24"/>
          <w:szCs w:val="24"/>
          <w:color w:val="auto"/>
        </w:rPr>
      </w:pPr>
    </w:p>
    <w:p>
      <w:pPr>
        <w:sectPr>
          <w:pgSz w:w="11900" w:h="16838" w:orient="portrait"/>
          <w:cols w:equalWidth="0" w:num="3">
            <w:col w:w="4600" w:space="720"/>
            <w:col w:w="27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8111 Westchester Drive, Suite 600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Dallas, Texas 75225</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(214) 981-0700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39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9.250% Series I Fixed Rate Perpetual Preferred</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ETprI</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Units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January 12, 2026, Energy Transfer LP (the “Partnership”) entered into an underwriting agreement (the “Underwriting Agreement”) with BofA Securities, Inc., Deutsche Bank Securities Inc., Mizuho Securities USA LLC, MUFG Securities Americas Inc. and SMBC Nikko Securities America, Inc., as joint book-running managers and representatives of the several underwriters named therein (collectively, the “Underwriters”), with respect to the public offering (the “Offering”) by the Partnership of $1,000,000,000 aggregate principal amount of its 4.550% Senior Notes due 2031 (the “2031 Notes”), $1,000,000,000 aggregate principal amount of its 5.350% Senior Notes due 2036 (the “2036 Notes”) and $1,000,000,000 aggregate principal amount of its 6.300% Senior Notes due 2056 (the “2056 Notes” and, together with the 2031 Notes and the 2036 Notes, the “Notes”).</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Offering was registered under the Securities Act of 1933, as amended (the “Securities Act”), pursuant to a Registration Statement on Form S-3 (File No. 333-279982) of the Partnership, which became effective on June 6, 2024, as supplemented by the Prospectus Supplement dated January 12, 2026 relating to the Offering, as filed with the Securities and Exchange Commission pursuant to Rule 424(b) of the Securities Act on January 12, 2026. The Offering is expected to close on January 27, 2026, subject to the satisfaction of customary closing conditions. The Partnership intends to use the net proceeds of approximately $2.97 billion (before offering expenses) from the Offering to refinance existing indebtedness, including to repay commercial paper and borrowings under the Partnership’s revolving credit facility, and for general partnership purposes.</w:t>
      </w:r>
    </w:p>
    <w:p>
      <w:pPr>
        <w:spacing w:after="0" w:line="18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Partnership, and customary conditions to closing, indemnification obligations of the Partnership, as applicable, and the Underwriters, including for liabilities under the Securities Act, other obligations of the parties and termination provisions.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Underwriters may, from time to time, engage in transactions with and perform services for the Partnership and its affiliates in the ordinary course of business. Affiliates of each of the Underwriters are lenders under the Partnership’s revolving credit facility. Accordingly, each of the Underwriters and their affiliates may receive a portion of the net proceeds from this Offering through any repayment of borrowings under the Partnership’s revolving credit facility. Additionally, certain of the Underwriters or their affiliates are dealers on the Partnership’s commercial paper program and may receive a portion of the net proceeds from this Offering through any repayment of borrowings under such commercial paper program, to the extent they are holding any of the Partnership’s commercial paper.</w:t>
      </w:r>
    </w:p>
    <w:p>
      <w:pPr>
        <w:spacing w:after="0" w:line="187" w:lineRule="exact"/>
        <w:rPr>
          <w:sz w:val="20"/>
          <w:szCs w:val="20"/>
          <w:color w:val="auto"/>
        </w:rPr>
      </w:pPr>
    </w:p>
    <w:p>
      <w:pPr>
        <w:jc w:val="both"/>
        <w:ind w:right="580" w:firstLine="44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Underwriting Agreement is not complete and is qualified in its entirety by reference to the full text of the Underwriting Agreement, which is attached as Exhibit 1.1 to this Current Report on Form 8-K and incorporated into this Item 1.01 by reference.</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January 12, 2026, the Partnership issued a press release relating to the pricing of the Offering contemplated by the Underwriting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Current Report on Form 8-K and is incorporated into this Item 8.01 by reference.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78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740" w:type="dxa"/>
            <w:vAlign w:val="bottom"/>
            <w:gridSpan w:val="6"/>
            <w:vMerge w:val="restart"/>
          </w:tcPr>
          <w:p>
            <w:pPr>
              <w:ind w:left="4200"/>
              <w:spacing w:after="0"/>
              <w:rPr>
                <w:sz w:val="20"/>
                <w:szCs w:val="20"/>
                <w:color w:val="auto"/>
              </w:rPr>
            </w:pPr>
            <w:r>
              <w:rPr>
                <w:rFonts w:ascii="Times New Roman" w:cs="Times New Roman" w:eastAsia="Times New Roman" w:hAnsi="Times New Roman"/>
                <w:sz w:val="14"/>
                <w:szCs w:val="14"/>
                <w:b w:val="1"/>
                <w:bCs w:val="1"/>
                <w:color w:val="auto"/>
              </w:rPr>
              <w:t>Description of the Exhibit</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7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540" w:type="dxa"/>
            <w:vAlign w:val="bottom"/>
          </w:tcPr>
          <w:p>
            <w:pPr>
              <w:spacing w:after="0"/>
              <w:rPr>
                <w:sz w:val="24"/>
                <w:szCs w:val="24"/>
                <w:color w:val="auto"/>
              </w:rPr>
            </w:pPr>
          </w:p>
        </w:tc>
        <w:tc>
          <w:tcPr>
            <w:tcW w:w="9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Underwriting Agreement, dated as of January 12, 2026 among Energy Transfer LP, as issuer, and BofA Securities, Inc., Deutsche Bank</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Securities Inc., Mizuho Securities USA LLC, MUFG Securities Americas Inc. and SMBC Nikko Securities America, Inc., as</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representatives of the several underwriters named therein, with respect to the Notes.</w:t>
            </w:r>
          </w:p>
        </w:tc>
        <w:tc>
          <w:tcPr>
            <w:tcW w:w="2960" w:type="dxa"/>
            <w:vAlign w:val="bottom"/>
            <w:tcBorders>
              <w:top w:val="single" w:sz="8" w:color="0000EE"/>
            </w:tcBorders>
            <w:gridSpan w:val="2"/>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7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Energy Transfer LP Press Release, dated as of January 12, 2026, announcing the pricing of the Notes.</w:t>
            </w:r>
          </w:p>
        </w:tc>
        <w:tc>
          <w:tcPr>
            <w:tcW w:w="2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ENERGY TRANSFER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LE GP, LLC, its general partner</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January 13, 2026</w:t>
      </w:r>
      <w:r>
        <w:rPr>
          <w:sz w:val="20"/>
          <w:szCs w:val="20"/>
          <w:color w:val="auto"/>
        </w:rPr>
        <w:tab/>
      </w:r>
      <w:r>
        <w:rPr>
          <w:rFonts w:ascii="Times New Roman" w:cs="Times New Roman" w:eastAsia="Times New Roman" w:hAnsi="Times New Roman"/>
          <w:sz w:val="18"/>
          <w:szCs w:val="18"/>
          <w:color w:val="auto"/>
        </w:rPr>
        <w:t>/s/ Dylan A. Bramhall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Dylan A. Bramhall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Group Chief Financial Officer</w:t>
      </w:r>
    </w:p>
    <w:p>
      <w:pPr>
        <w:sectPr>
          <w:pgSz w:w="11900" w:h="16838" w:orient="portrait"/>
          <w:cols w:equalWidth="0" w:num="1">
            <w:col w:w="10780"/>
          </w:cols>
          <w:pgMar w:left="440" w:top="293"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ENERGY TRANSFER LP</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$1,000,000,000 4.550% Senior Notes due 2031</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$1,000,000,000 5.350% Senior Notes due 2036</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$1,000,000,000 6.300% Senior Notes due 2056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Representatives of the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Underwriters named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DEUTSCHE BANK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Columbus Circle, 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MIZUHO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MUFG SECURITIES AMERICAS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1221 Avenue of the Americas,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SMBC NIKKO SECURITIES AMERICA,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Energy Transfer LP, a Delaware limited partnership (the “</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proposes to issue and sell to the several underwriters (collectively,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xml:space="preserve">”) named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to this underwriting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 $1,000,000,000 aggregate principal amount of its 4.550% Senior Notes due 2031 (the “</w:t>
      </w:r>
      <w:r>
        <w:rPr>
          <w:rFonts w:ascii="Times New Roman" w:cs="Times New Roman" w:eastAsia="Times New Roman" w:hAnsi="Times New Roman"/>
          <w:sz w:val="18"/>
          <w:szCs w:val="18"/>
          <w:b w:val="1"/>
          <w:bCs w:val="1"/>
          <w:i w:val="1"/>
          <w:iCs w:val="1"/>
          <w:color w:val="auto"/>
        </w:rPr>
        <w:t>2031 Notes</w:t>
      </w:r>
      <w:r>
        <w:rPr>
          <w:rFonts w:ascii="Times New Roman" w:cs="Times New Roman" w:eastAsia="Times New Roman" w:hAnsi="Times New Roman"/>
          <w:sz w:val="18"/>
          <w:szCs w:val="18"/>
          <w:color w:val="auto"/>
        </w:rPr>
        <w:t>”), (ii) $1,000,000,000 aggregate principal amount of its 5.350% Senior Notes due 2036 (the “</w:t>
      </w:r>
      <w:r>
        <w:rPr>
          <w:rFonts w:ascii="Times New Roman" w:cs="Times New Roman" w:eastAsia="Times New Roman" w:hAnsi="Times New Roman"/>
          <w:sz w:val="18"/>
          <w:szCs w:val="18"/>
          <w:b w:val="1"/>
          <w:bCs w:val="1"/>
          <w:i w:val="1"/>
          <w:iCs w:val="1"/>
          <w:color w:val="auto"/>
        </w:rPr>
        <w:t>2036</w:t>
      </w:r>
    </w:p>
    <w:p>
      <w:pPr>
        <w:sectPr>
          <w:pgSz w:w="11900" w:h="16838" w:orient="portrait"/>
          <w:cols w:equalWidth="0" w:num="1">
            <w:col w:w="11020"/>
          </w:cols>
          <w:pgMar w:left="440" w:top="117" w:right="43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w:t>
      </w:r>
      <w:r>
        <w:rPr>
          <w:rFonts w:ascii="Times New Roman" w:cs="Times New Roman" w:eastAsia="Times New Roman" w:hAnsi="Times New Roman"/>
          <w:sz w:val="18"/>
          <w:szCs w:val="18"/>
          <w:color w:val="auto"/>
        </w:rPr>
        <w:t>”) and (iii) $1,000,000,000 aggregate principal amount of its 6.300% Senior Notes due 2056 (the “</w:t>
      </w:r>
      <w:r>
        <w:rPr>
          <w:rFonts w:ascii="Times New Roman" w:cs="Times New Roman" w:eastAsia="Times New Roman" w:hAnsi="Times New Roman"/>
          <w:sz w:val="18"/>
          <w:szCs w:val="18"/>
          <w:b w:val="1"/>
          <w:bCs w:val="1"/>
          <w:i w:val="1"/>
          <w:iCs w:val="1"/>
          <w:color w:val="auto"/>
        </w:rPr>
        <w:t>2056 Notes</w:t>
      </w:r>
      <w:r>
        <w:rPr>
          <w:rFonts w:ascii="Times New Roman" w:cs="Times New Roman" w:eastAsia="Times New Roman" w:hAnsi="Times New Roman"/>
          <w:sz w:val="18"/>
          <w:szCs w:val="18"/>
          <w:color w:val="auto"/>
        </w:rPr>
        <w:t>” and, together with the 2031 Notes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2036 Notes,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The Notes will have terms and provisions that are summarized in the Pricing Disclosure Package (as defined below) as of the Applicable Time (as defined below) and the Prospectus (as defined below) dated as of the date hereof. The Notes will be issued pursuant to the Indenture, dated December 14, 2022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among the Partnership, as the issuer of the Notes, and U.S. Bank Trust Company, National Association (successor to U.S. Bank National Association),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as supplemented by the Tenth Supplemental Indenture to be dated the Delivery Date (as defined below) (the “</w:t>
      </w:r>
      <w:r>
        <w:rPr>
          <w:rFonts w:ascii="Times New Roman" w:cs="Times New Roman" w:eastAsia="Times New Roman" w:hAnsi="Times New Roman"/>
          <w:sz w:val="18"/>
          <w:szCs w:val="18"/>
          <w:b w:val="1"/>
          <w:bCs w:val="1"/>
          <w:i w:val="1"/>
          <w:iCs w:val="1"/>
          <w:color w:val="auto"/>
        </w:rPr>
        <w:t>Tenth 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BofA Securities, Inc., Deutsche Bank Securities Inc., Mizuho Securities USA LLC, MUFG Securities Americas Inc. and SMBC Nikko Securities America, Inc. (collectively, 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shall act as the representatives of the several Underwriters.</w:t>
      </w:r>
    </w:p>
    <w:p>
      <w:pPr>
        <w:spacing w:after="0" w:line="18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LE GP, LLC, a Delaware limited liability company (the “</w:t>
      </w:r>
      <w:r>
        <w:rPr>
          <w:rFonts w:ascii="Times New Roman" w:cs="Times New Roman" w:eastAsia="Times New Roman" w:hAnsi="Times New Roman"/>
          <w:sz w:val="18"/>
          <w:szCs w:val="18"/>
          <w:b w:val="1"/>
          <w:bCs w:val="1"/>
          <w:i w:val="1"/>
          <w:iCs w:val="1"/>
          <w:color w:val="auto"/>
        </w:rPr>
        <w:t>General Partner</w:t>
      </w:r>
      <w:r>
        <w:rPr>
          <w:rFonts w:ascii="Times New Roman" w:cs="Times New Roman" w:eastAsia="Times New Roman" w:hAnsi="Times New Roman"/>
          <w:sz w:val="18"/>
          <w:szCs w:val="18"/>
          <w:color w:val="auto"/>
        </w:rPr>
        <w:t>”), is the general partner of the Partnership. Each of the General Partner and the Partnership is sometimes referred to herein individually as a “</w:t>
      </w:r>
      <w:r>
        <w:rPr>
          <w:rFonts w:ascii="Times New Roman" w:cs="Times New Roman" w:eastAsia="Times New Roman" w:hAnsi="Times New Roman"/>
          <w:sz w:val="18"/>
          <w:szCs w:val="18"/>
          <w:b w:val="1"/>
          <w:bCs w:val="1"/>
          <w:i w:val="1"/>
          <w:iCs w:val="1"/>
          <w:color w:val="auto"/>
        </w:rPr>
        <w:t>Partnership Entity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Partnership Entities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This Agreement is to confirm the agreement among the Partnership and the Underwriters concerning the purchase of the Notes from the Partnership by the Underwriters.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Warranties and Agreements of the Partnership</w:t>
      </w:r>
      <w:r>
        <w:rPr>
          <w:rFonts w:ascii="Times New Roman" w:cs="Times New Roman" w:eastAsia="Times New Roman" w:hAnsi="Times New Roman"/>
          <w:sz w:val="18"/>
          <w:szCs w:val="18"/>
          <w:color w:val="auto"/>
        </w:rPr>
        <w:t>. The Partnership represents and warrants to, and agrees with,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 that:</w:t>
      </w:r>
    </w:p>
    <w:p>
      <w:pPr>
        <w:spacing w:after="0" w:line="97" w:lineRule="exact"/>
        <w:rPr>
          <w:sz w:val="20"/>
          <w:szCs w:val="20"/>
          <w:color w:val="auto"/>
        </w:rPr>
      </w:pPr>
    </w:p>
    <w:p>
      <w:pPr>
        <w:ind w:right="80" w:firstLine="436"/>
        <w:spacing w:after="0" w:line="257" w:lineRule="auto"/>
        <w:tabs>
          <w:tab w:leader="none" w:pos="6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w:t>
      </w:r>
      <w:r>
        <w:rPr>
          <w:rFonts w:ascii="Times New Roman" w:cs="Times New Roman" w:eastAsia="Times New Roman" w:hAnsi="Times New Roman"/>
          <w:sz w:val="18"/>
          <w:szCs w:val="18"/>
          <w:color w:val="auto"/>
        </w:rPr>
        <w:t>An “automatic shelf registration statement” as defined in Rule 405 of the Rules and Regulations (defined below) on Form S-3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No. 333-279982) with respect to the Notes (i) has been prepared by the Partnership in conformity with the requirements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b w:val="1"/>
          <w:bCs w:val="1"/>
          <w:i w:val="1"/>
          <w:iCs w:val="1"/>
          <w:color w:val="auto"/>
        </w:rPr>
        <w:t>Rules and Regulations</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thereunder; (ii) has been filed with the Commission under the Securities Act; and (iii) became effective upon filing thereof under the Securities Act on June 6, 2024. Copies of such registration statement and any amendment thereto have been delivered by the Partnership to the Representatives. As used in this Agreement:</w:t>
      </w:r>
    </w:p>
    <w:p>
      <w:pPr>
        <w:spacing w:after="0" w:line="72" w:lineRule="exact"/>
        <w:rPr>
          <w:rFonts w:ascii="Times New Roman" w:cs="Times New Roman" w:eastAsia="Times New Roman" w:hAnsi="Times New Roman"/>
          <w:sz w:val="18"/>
          <w:szCs w:val="18"/>
          <w:color w:val="auto"/>
        </w:rPr>
      </w:pPr>
    </w:p>
    <w:p>
      <w:pPr>
        <w:ind w:left="440" w:right="340" w:firstLine="419"/>
        <w:spacing w:after="0" w:line="286" w:lineRule="auto"/>
        <w:tabs>
          <w:tab w:leader="none" w:pos="107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means 5:00 p.m. (New York City time) on the date of this Agreement, which the Underwriters have informed the Partnership is a time prior to the time of the first sale of the Notes;</w:t>
      </w:r>
    </w:p>
    <w:p>
      <w:pPr>
        <w:spacing w:after="0" w:line="46" w:lineRule="exact"/>
        <w:rPr>
          <w:rFonts w:ascii="Times New Roman" w:cs="Times New Roman" w:eastAsia="Times New Roman" w:hAnsi="Times New Roman"/>
          <w:sz w:val="18"/>
          <w:szCs w:val="18"/>
          <w:color w:val="auto"/>
        </w:rPr>
      </w:pPr>
    </w:p>
    <w:p>
      <w:pPr>
        <w:ind w:left="440" w:right="80" w:firstLine="419"/>
        <w:spacing w:after="0" w:line="286" w:lineRule="auto"/>
        <w:tabs>
          <w:tab w:leader="none" w:pos="112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means the base prospectus filed as part of the Registration Statement, in the form in which it has most recently been amended on or prior to the date hereof;</w:t>
      </w:r>
    </w:p>
    <w:p>
      <w:pPr>
        <w:spacing w:after="0" w:line="46" w:lineRule="exact"/>
        <w:rPr>
          <w:rFonts w:ascii="Times New Roman" w:cs="Times New Roman" w:eastAsia="Times New Roman" w:hAnsi="Times New Roman"/>
          <w:sz w:val="18"/>
          <w:szCs w:val="18"/>
          <w:color w:val="auto"/>
        </w:rPr>
      </w:pPr>
    </w:p>
    <w:p>
      <w:pPr>
        <w:ind w:left="440" w:right="80" w:firstLine="419"/>
        <w:spacing w:after="0" w:line="286" w:lineRule="auto"/>
        <w:tabs>
          <w:tab w:leader="none" w:pos="117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any date as of which any part of the Registration Statement relating to the Notes became, or is deemed to have become, effective under the Securities Act in accordance with the Rules and Regulations;</w:t>
      </w:r>
    </w:p>
    <w:p>
      <w:pPr>
        <w:spacing w:after="0" w:line="46" w:lineRule="exact"/>
        <w:rPr>
          <w:rFonts w:ascii="Times New Roman" w:cs="Times New Roman" w:eastAsia="Times New Roman" w:hAnsi="Times New Roman"/>
          <w:sz w:val="18"/>
          <w:szCs w:val="18"/>
          <w:color w:val="auto"/>
        </w:rPr>
      </w:pPr>
    </w:p>
    <w:p>
      <w:pPr>
        <w:ind w:left="440" w:firstLine="419"/>
        <w:spacing w:after="0" w:line="268" w:lineRule="auto"/>
        <w:tabs>
          <w:tab w:leader="none" w:pos="11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xml:space="preserve">” means each “free writing prospectus” (as defined in Rule 405 of the Rules and Regulations) prepared by or on behalf of the Partnership or used or referred to by the Partnership in connection with the offering of the Notes, including the Final Term Sheet prepared and filed by or on behalf of the Partnership pursuant to </w:t>
      </w:r>
      <w:r>
        <w:rPr>
          <w:rFonts w:ascii="Times New Roman" w:cs="Times New Roman" w:eastAsia="Times New Roman" w:hAnsi="Times New Roman"/>
          <w:sz w:val="18"/>
          <w:szCs w:val="18"/>
          <w:u w:val="single" w:color="auto"/>
          <w:color w:val="auto"/>
        </w:rPr>
        <w:t>Section 5(a)(xi)</w:t>
      </w:r>
      <w:r>
        <w:rPr>
          <w:rFonts w:ascii="Times New Roman" w:cs="Times New Roman" w:eastAsia="Times New Roman" w:hAnsi="Times New Roman"/>
          <w:sz w:val="18"/>
          <w:szCs w:val="18"/>
          <w:color w:val="auto"/>
        </w:rPr>
        <w:t xml:space="preserve"> hereof and attached in </w:t>
      </w:r>
      <w:r>
        <w:rPr>
          <w:rFonts w:ascii="Times New Roman" w:cs="Times New Roman" w:eastAsia="Times New Roman" w:hAnsi="Times New Roman"/>
          <w:sz w:val="18"/>
          <w:szCs w:val="18"/>
          <w:u w:val="single" w:color="auto"/>
          <w:color w:val="auto"/>
        </w:rPr>
        <w:t>Annex 3</w:t>
      </w:r>
      <w:r>
        <w:rPr>
          <w:rFonts w:ascii="Times New Roman" w:cs="Times New Roman" w:eastAsia="Times New Roman" w:hAnsi="Times New Roman"/>
          <w:sz w:val="18"/>
          <w:szCs w:val="18"/>
          <w:color w:val="auto"/>
        </w:rPr>
        <w:t xml:space="preserve"> hereto;</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5" w:name="page6"/>
    <w:bookmarkEnd w:id="5"/>
    <w:p>
      <w:pPr>
        <w:ind w:left="440" w:right="20" w:firstLine="419"/>
        <w:spacing w:after="0" w:line="286"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Preliminary Prospectus</w:t>
      </w:r>
      <w:r>
        <w:rPr>
          <w:rFonts w:ascii="Times New Roman" w:cs="Times New Roman" w:eastAsia="Times New Roman" w:hAnsi="Times New Roman"/>
          <w:sz w:val="18"/>
          <w:szCs w:val="18"/>
          <w:color w:val="auto"/>
        </w:rPr>
        <w:t>” means the preliminary prospectus supplement relating to the Notes that is filed with the Commission pursuant to Rule 424(b) of the Rules and Regulations and used prior to the filing of the Prospectus, together with the Base Prospectus;</w:t>
      </w:r>
    </w:p>
    <w:p>
      <w:pPr>
        <w:spacing w:after="0" w:line="46" w:lineRule="exact"/>
        <w:rPr>
          <w:rFonts w:ascii="Times New Roman" w:cs="Times New Roman" w:eastAsia="Times New Roman" w:hAnsi="Times New Roman"/>
          <w:sz w:val="18"/>
          <w:szCs w:val="18"/>
          <w:color w:val="auto"/>
        </w:rPr>
      </w:pPr>
    </w:p>
    <w:p>
      <w:pPr>
        <w:ind w:left="440" w:right="240" w:firstLine="419"/>
        <w:spacing w:after="0" w:line="268" w:lineRule="auto"/>
        <w:tabs>
          <w:tab w:leader="none" w:pos="11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Pricing Disclosure Package</w:t>
      </w:r>
      <w:r>
        <w:rPr>
          <w:rFonts w:ascii="Times New Roman" w:cs="Times New Roman" w:eastAsia="Times New Roman" w:hAnsi="Times New Roman"/>
          <w:sz w:val="18"/>
          <w:szCs w:val="18"/>
          <w:color w:val="auto"/>
        </w:rPr>
        <w:t xml:space="preserve">” means, as of the Applicable Time, the Preliminary Prospectus, together with (A) the Final Term Sheet attached in </w:t>
      </w:r>
      <w:r>
        <w:rPr>
          <w:rFonts w:ascii="Times New Roman" w:cs="Times New Roman" w:eastAsia="Times New Roman" w:hAnsi="Times New Roman"/>
          <w:sz w:val="18"/>
          <w:szCs w:val="18"/>
          <w:u w:val="single" w:color="auto"/>
          <w:color w:val="auto"/>
        </w:rPr>
        <w:t>Annex 3</w:t>
      </w:r>
      <w:r>
        <w:rPr>
          <w:rFonts w:ascii="Times New Roman" w:cs="Times New Roman" w:eastAsia="Times New Roman" w:hAnsi="Times New Roman"/>
          <w:sz w:val="18"/>
          <w:szCs w:val="18"/>
          <w:color w:val="auto"/>
        </w:rPr>
        <w:t xml:space="preserve"> hereto; and (B) any additional Issuer Free Writing Prospectus filed or used by the Partnership on or before the Applicable Time and identified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w:t>
      </w:r>
    </w:p>
    <w:p>
      <w:pPr>
        <w:spacing w:after="0" w:line="62" w:lineRule="exact"/>
        <w:rPr>
          <w:rFonts w:ascii="Times New Roman" w:cs="Times New Roman" w:eastAsia="Times New Roman" w:hAnsi="Times New Roman"/>
          <w:sz w:val="18"/>
          <w:szCs w:val="18"/>
          <w:color w:val="auto"/>
        </w:rPr>
      </w:pPr>
    </w:p>
    <w:p>
      <w:pPr>
        <w:ind w:left="440" w:right="120" w:firstLine="419"/>
        <w:spacing w:after="0" w:line="286" w:lineRule="auto"/>
        <w:tabs>
          <w:tab w:leader="none" w:pos="12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prospectus supplement relating to the Notes that is first filed with the Commission pursuant to Rule 424(b) of the Rules and Regulations after the Applicable Time, together with the Base Prospectus; and</w:t>
      </w:r>
    </w:p>
    <w:p>
      <w:pPr>
        <w:spacing w:after="0" w:line="46"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collectively, the various parts of the automatic shelf registration statement on Form S-3 (File</w:t>
      </w:r>
    </w:p>
    <w:p>
      <w:pPr>
        <w:spacing w:after="0" w:line="31" w:lineRule="exact"/>
        <w:rPr>
          <w:sz w:val="20"/>
          <w:szCs w:val="20"/>
          <w:color w:val="auto"/>
        </w:rPr>
      </w:pPr>
    </w:p>
    <w:p>
      <w:pPr>
        <w:ind w:left="440" w:right="20"/>
        <w:spacing w:after="0" w:line="290" w:lineRule="auto"/>
        <w:rPr>
          <w:sz w:val="20"/>
          <w:szCs w:val="20"/>
          <w:color w:val="auto"/>
        </w:rPr>
      </w:pPr>
      <w:r>
        <w:rPr>
          <w:rFonts w:ascii="Times New Roman" w:cs="Times New Roman" w:eastAsia="Times New Roman" w:hAnsi="Times New Roman"/>
          <w:sz w:val="17"/>
          <w:szCs w:val="17"/>
          <w:color w:val="auto"/>
        </w:rPr>
        <w:t>No. 333-279982), including exhibits and financial statements and any information in the prospectus supplement relating to the Notes that is filed with the Commission pursuant to Rule 424(b) and deemed part of such registration statement pursuant to Rule 430B of the Rules and Regulations.</w:t>
      </w:r>
    </w:p>
    <w:p>
      <w:pPr>
        <w:spacing w:after="0" w:line="157"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Any reference in this Agreement or the exhibits or annexes hereto to the Registration Statement, the Preliminary Prospectus or the Prospectus shall be deemed to refer to and include any documents incorporated by reference therein pursuant to Form S-3 under the Securities Act as of the date of the Registration Statement, the Preliminary Prospectus or the Prospectus, as the case may be. Any reference to any amendment or supplement to the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after the date of such Preliminary Prospectus or the Prospectus, as the case may be, and incorporated by reference in such Preliminary Prospectus or the Prospectus, as the case may be; and any reference to any amendment to the Registration Statement shall be deemed to include any periodic or current report of the Partnership filed with the Commission pursuant to Section 13(a) or 15(d) of the Exchange Act after the Effective Date that is incorporated by reference in the Registration Statement. The Commission has not issued any order preventing or suspending the use of the Preliminary Prospectus, the Prospectus or any Issuer Free Writing Prospectus or suspending the effectiveness of the Registration Statement, and no proceeding for such purpose or pursuant to Section 8A of the Securities Act has been instituted or, to the knowledge of the Partnership, threatened by the Commission. The Commission has not notified the Partnership of any objection to the use of the form of the Registration Statement.</w:t>
      </w:r>
    </w:p>
    <w:p>
      <w:pPr>
        <w:spacing w:after="0" w:line="190" w:lineRule="exact"/>
        <w:rPr>
          <w:sz w:val="20"/>
          <w:szCs w:val="20"/>
          <w:color w:val="auto"/>
        </w:rPr>
      </w:pPr>
    </w:p>
    <w:p>
      <w:pPr>
        <w:ind w:firstLine="436"/>
        <w:spacing w:after="0" w:line="261"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Well-Known Seasoned Issuer</w:t>
      </w:r>
      <w:r>
        <w:rPr>
          <w:rFonts w:ascii="Times New Roman" w:cs="Times New Roman" w:eastAsia="Times New Roman" w:hAnsi="Times New Roman"/>
          <w:sz w:val="18"/>
          <w:szCs w:val="18"/>
          <w:color w:val="auto"/>
        </w:rPr>
        <w:t>. (i) At the time of filing the Registration Statement, (ii) at the time of the most recent amendment thereto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complying with Section 10(a)(3) of the Securities Act (whether such amendment was by post-effective amendment, incorporated report filed pursuant to Sections 13 or 15(d) of the Exchange Act or form of prospectus), if any, (iii) at the time the Partnership or any person acting on its behalf (within the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6" w:name="page7"/>
    <w:bookmarkEnd w:id="6"/>
    <w:p>
      <w:pPr>
        <w:ind w:right="3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meaning, for this clause only, of Rule 163(c)) made any offer relating to the Notes in reliance on the exemption in Rule 163 and (iv) as of the date hereof, the Partnership was or is (as the case may be) a “well-known seasoned issuer” as defined in Rule 405 of the Rules and Regulations. The Partnership was not at the earliest time after the initial filing of the Registration Statement that the Partnership or another offering participant made a bona fide offer (within the meaning of Rule 164(h)(2) of the Rules and Regulations) of the Notes, is not on the date hereof and will not be on the Delivery Date (as defined below) an “ineligible issuer” (as defined in Rule 405 of the Rules and Regulations) relating to the offering and sale of the Notes contemplated by this Agreement. The Partnership has been since the time of initial filing of the Registration Statement and continues to be eligible to use Form S-3 for the offering of the Notes.</w:t>
      </w:r>
    </w:p>
    <w:p>
      <w:pPr>
        <w:spacing w:after="0" w:line="187" w:lineRule="exact"/>
        <w:rPr>
          <w:sz w:val="20"/>
          <w:szCs w:val="20"/>
          <w:color w:val="auto"/>
        </w:rPr>
      </w:pPr>
    </w:p>
    <w:p>
      <w:pPr>
        <w:ind w:firstLine="436"/>
        <w:spacing w:after="0" w:line="258"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of Documents</w:t>
      </w:r>
      <w:r>
        <w:rPr>
          <w:rFonts w:ascii="Times New Roman" w:cs="Times New Roman" w:eastAsia="Times New Roman" w:hAnsi="Times New Roman"/>
          <w:sz w:val="18"/>
          <w:szCs w:val="18"/>
          <w:color w:val="auto"/>
        </w:rPr>
        <w:t>. The Registration Statement conformed and will conform in all material respects on the Effective Date and on the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and any amendment to the Registration Statement filed after the date hereof will conform in all material respects when filed with the Commission, to the requirements of the Securities Act and the Rules and Regulations. The Preliminary Prospectus conformed, and the Prospectus will conform, in all material respects when filed with the Commission pursuant to Rule 424(b) and on the Delivery Date to the requirements of the Securities Act and the Rules and Regulations.</w:t>
      </w:r>
    </w:p>
    <w:p>
      <w:pPr>
        <w:spacing w:after="0" w:line="183" w:lineRule="exact"/>
        <w:rPr>
          <w:rFonts w:ascii="Times New Roman" w:cs="Times New Roman" w:eastAsia="Times New Roman" w:hAnsi="Times New Roman"/>
          <w:sz w:val="18"/>
          <w:szCs w:val="18"/>
          <w:color w:val="auto"/>
        </w:rPr>
      </w:pPr>
    </w:p>
    <w:p>
      <w:pPr>
        <w:ind w:right="60" w:firstLine="436"/>
        <w:spacing w:after="0" w:line="257"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The Registration Statement did not, as of the Effective Date, contain an untrue statement of a material fact or omit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 a material fact required to be stated therein or necessary to make the statements therein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 that part of the Registration Statement that shall constitute the Statement of Eligibility and Qualification under the Trust Indenture Act of 1939, as amended (the “</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of the Trustee on Form T-1 (the “</w:t>
      </w:r>
      <w:r>
        <w:rPr>
          <w:rFonts w:ascii="Times New Roman" w:cs="Times New Roman" w:eastAsia="Times New Roman" w:hAnsi="Times New Roman"/>
          <w:sz w:val="18"/>
          <w:szCs w:val="18"/>
          <w:b w:val="1"/>
          <w:bCs w:val="1"/>
          <w:i w:val="1"/>
          <w:iCs w:val="1"/>
          <w:color w:val="auto"/>
        </w:rPr>
        <w:t>Form T-1</w:t>
      </w:r>
      <w:r>
        <w:rPr>
          <w:rFonts w:ascii="Times New Roman" w:cs="Times New Roman" w:eastAsia="Times New Roman" w:hAnsi="Times New Roman"/>
          <w:sz w:val="18"/>
          <w:szCs w:val="18"/>
          <w:color w:val="auto"/>
        </w:rPr>
        <w:t xml:space="preserve">”) and (ii) information contained in or omitted from the Registration Statement in reliance upon and in conformity with written information furnished to the Partnership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right="160" w:firstLine="436"/>
        <w:spacing w:after="0" w:line="258"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The Prospectus will not, as of its date and on the Delivery Date, contain an untrue statement of a material fact or omit to state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material fact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Preliminary Prospectus or the Prospectus in reliance upon and in conformity with written information furnished to the Partnership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436"/>
        <w:spacing w:after="0" w:line="261" w:lineRule="auto"/>
        <w:tabs>
          <w:tab w:leader="none" w:pos="6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Statements in the Registration Statement and Prospectus</w:t>
      </w:r>
      <w:r>
        <w:rPr>
          <w:rFonts w:ascii="Times New Roman" w:cs="Times New Roman" w:eastAsia="Times New Roman" w:hAnsi="Times New Roman"/>
          <w:sz w:val="18"/>
          <w:szCs w:val="18"/>
          <w:color w:val="auto"/>
        </w:rPr>
        <w:t>. Each of the statements made by the Partnership (i) in the Registration Statement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further amendments to the Registration Statement and (ii) in the Preliminary Prospectus or the Prospectus, as applicable, and any further supplements to the Preliminary Prospectus or the Prospectus within the coverage of Rule 175(b) of the Rules and Regulations, including (but not limited to) any statements with respect to future cash distributions of the Partnership, was made with a reasonable basis and in good faith.</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ind w:right="20" w:firstLine="436"/>
        <w:spacing w:after="0" w:line="254"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Documents Incorporated by Reference. </w:t>
      </w:r>
      <w:r>
        <w:rPr>
          <w:rFonts w:ascii="Times New Roman" w:cs="Times New Roman" w:eastAsia="Times New Roman" w:hAnsi="Times New Roman"/>
          <w:sz w:val="18"/>
          <w:szCs w:val="18"/>
          <w:color w:val="auto"/>
        </w:rPr>
        <w:t>The documents incorporated by reference in the Registration Statement, the Preliminary Prospectus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Prospectus, when they were filed with the Commission and on the Delivery Date, conformed and will conform in all material respects to the requirements of the Exchange Act and the rules and regulations of the Commission thereunder and any further documents filed with the Commission prior to the Delivery Date and incorporated by reference in the Registration Statement, the Preliminary Prospectus or the Prospectus, when filed with the Commission and on the Delivery Date, will conform in all material respects to the requirements of the Exchange Act and the rules and regulations of the Commission thereunder. The documents incorporated by reference in the Registration Statement, the Preliminary Prospectus or the Prospectus did not, and any further documents filed prior to the Delivery Date and incorporated by reference therein will not, when filed with the Commission and on the Delivery Date, contain an untrue statement of a material fact or omit to state a material fact required to be stated therein or necessary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w:t>
      </w:r>
      <w:r>
        <w:rPr>
          <w:rFonts w:ascii="Times New Roman" w:cs="Times New Roman" w:eastAsia="Times New Roman" w:hAnsi="Times New Roman"/>
          <w:sz w:val="18"/>
          <w:szCs w:val="18"/>
          <w:color w:val="auto"/>
        </w:rPr>
        <w:t>. The Pricing Disclosure Package did not, as of the Applicable Time, contain an untrue statement of a material fact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omit to state a material fact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representation or warranty is made as to information contained in or omitted from the Pricing Disclosure Package in reliance upon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conformity with written information furnished to the Partnership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436"/>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 and Pricing Disclosure Package</w:t>
      </w:r>
      <w:r>
        <w:rPr>
          <w:rFonts w:ascii="Times New Roman" w:cs="Times New Roman" w:eastAsia="Times New Roman" w:hAnsi="Times New Roman"/>
          <w:sz w:val="18"/>
          <w:szCs w:val="18"/>
          <w:color w:val="auto"/>
        </w:rPr>
        <w:t>. Each Issuer Free Writing Prospectus, if any (including, without limitation,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road show that is a free writing prospectus under Rule 433 of the Rules and Regulations), when considered together with the Pricing Disclosure Package as of the Applicable Time, did not contain an untrue statement of a material fact or omit to state a material fact necessary to make the statements therein, in the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Each Issuer Free Writing Prospectus</w:t>
      </w:r>
      <w:r>
        <w:rPr>
          <w:rFonts w:ascii="Times New Roman" w:cs="Times New Roman" w:eastAsia="Times New Roman" w:hAnsi="Times New Roman"/>
          <w:sz w:val="18"/>
          <w:szCs w:val="18"/>
          <w:color w:val="auto"/>
        </w:rPr>
        <w:t>. Each Issuer Free Writing Prospectus, if any, conformed or will conform in all material respects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requirements of the Securities Act and the Rules and Regulations on the date of first use, and the Partnership has complied or will comply with any filing requirements applicable to such Issuer Free Writing Prospectus pursuant to the Rules and Regulations. The Partnership has not made any offer relating to the Notes that would constitute an Issuer Free Writing Prospectus without the prior written consent of the Representatives, except as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The Partnership has retained in accordance with the Rules and Regulations all Issuer Free Writing Prospectuses that were not required to be filed pursuant to the Rules and Regulations (it being understood that, as of the date hereof, the Partnership has not retained any Issuer Free Writing Prospectus for the three-year period required thereby).</w:t>
      </w:r>
    </w:p>
    <w:p>
      <w:pPr>
        <w:spacing w:after="0" w:line="182" w:lineRule="exact"/>
        <w:rPr>
          <w:rFonts w:ascii="Times New Roman" w:cs="Times New Roman" w:eastAsia="Times New Roman" w:hAnsi="Times New Roman"/>
          <w:sz w:val="18"/>
          <w:szCs w:val="18"/>
          <w:color w:val="auto"/>
        </w:rPr>
      </w:pPr>
    </w:p>
    <w:p>
      <w:pPr>
        <w:ind w:right="280" w:firstLine="436"/>
        <w:spacing w:after="0" w:line="267"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Formation and Qualification of the Partnership. </w:t>
      </w:r>
      <w:r>
        <w:rPr>
          <w:rFonts w:ascii="Times New Roman" w:cs="Times New Roman" w:eastAsia="Times New Roman" w:hAnsi="Times New Roman"/>
          <w:sz w:val="18"/>
          <w:szCs w:val="18"/>
          <w:color w:val="auto"/>
        </w:rPr>
        <w:t>The Partnership has been duly formed and is validly existing in good standing as a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under the Delaware Revised Uniform Limited Partnership Act, as amended (the “</w:t>
      </w:r>
      <w:r>
        <w:rPr>
          <w:rFonts w:ascii="Times New Roman" w:cs="Times New Roman" w:eastAsia="Times New Roman" w:hAnsi="Times New Roman"/>
          <w:sz w:val="18"/>
          <w:szCs w:val="18"/>
          <w:b w:val="1"/>
          <w:bCs w:val="1"/>
          <w:i w:val="1"/>
          <w:iCs w:val="1"/>
          <w:color w:val="auto"/>
        </w:rPr>
        <w:t>Delaware LP Act</w:t>
      </w:r>
      <w:r>
        <w:rPr>
          <w:rFonts w:ascii="Times New Roman" w:cs="Times New Roman" w:eastAsia="Times New Roman" w:hAnsi="Times New Roman"/>
          <w:sz w:val="18"/>
          <w:szCs w:val="18"/>
          <w:color w:val="auto"/>
        </w:rPr>
        <w:t>”), with full partnership power and authority necessary to own or hold its properties and assets and to conduct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8" w:name="page9"/>
    <w:bookmarkEnd w:id="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businesses in which it is engaged as described in the Registration Statement, the Pricing Disclosure Package and the Prospectus. The Partnership is duly registered or qualified as a foreign limited partnership for the transaction of business under the laws of each jurisdiction listed opposite its name on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such jurisdictions being the only jurisdictions in which the ownership or lease of property or the character of business conducted by it makes such qualification or registration necessary, except where the failure to so register or qualify would not (i) have a material adverse effect on the general affairs, management, condition (financial or otherwise), business, prospects, properties, assets, securityholders’ equity, capitalization or results of operations of the Partnership and the Subsidiaries (as defined below), taken as a whole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or (ii) subject the limited partners of the Partnership to any material liability or disability.</w:t>
      </w:r>
    </w:p>
    <w:p>
      <w:pPr>
        <w:spacing w:after="0" w:line="187" w:lineRule="exact"/>
        <w:rPr>
          <w:sz w:val="20"/>
          <w:szCs w:val="20"/>
          <w:color w:val="auto"/>
        </w:rPr>
      </w:pPr>
    </w:p>
    <w:p>
      <w:pPr>
        <w:ind w:right="20" w:firstLine="436"/>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Formation and Qualification of the General Partner. </w:t>
      </w:r>
      <w:r>
        <w:rPr>
          <w:rFonts w:ascii="Times New Roman" w:cs="Times New Roman" w:eastAsia="Times New Roman" w:hAnsi="Times New Roman"/>
          <w:sz w:val="18"/>
          <w:szCs w:val="18"/>
          <w:color w:val="auto"/>
        </w:rPr>
        <w:t>The General Partner has been duly formed and is validly existing in good standing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liability company under the Delaware Limited Liability Company Act, as amended (the “</w:t>
      </w:r>
      <w:r>
        <w:rPr>
          <w:rFonts w:ascii="Times New Roman" w:cs="Times New Roman" w:eastAsia="Times New Roman" w:hAnsi="Times New Roman"/>
          <w:sz w:val="18"/>
          <w:szCs w:val="18"/>
          <w:b w:val="1"/>
          <w:bCs w:val="1"/>
          <w:i w:val="1"/>
          <w:iCs w:val="1"/>
          <w:color w:val="auto"/>
        </w:rPr>
        <w:t>Delaware LLC Act</w:t>
      </w:r>
      <w:r>
        <w:rPr>
          <w:rFonts w:ascii="Times New Roman" w:cs="Times New Roman" w:eastAsia="Times New Roman" w:hAnsi="Times New Roman"/>
          <w:sz w:val="18"/>
          <w:szCs w:val="18"/>
          <w:color w:val="auto"/>
        </w:rPr>
        <w:t xml:space="preserve">”), with full limited liability company power and authority necessary to own or hold its properties and assets, to conduct the businesses in which it is engaged, in each case in all material respects, and to act as general partner the Partnership. The General Partner is duly registered or qualified as a foreign limited liability company for the transaction of business under the laws of each jurisdiction listed opposite its name on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such jurisdictions being the only jurisdictions in which the ownership or lease of property or the character of business conducted by it makes such registration or qualification necessary, except where the failure to so register or qualify would not (i) have a Material Adverse Effect or (ii) subject the limited partners of the Partnership to any material liability or disability.</w:t>
      </w:r>
    </w:p>
    <w:p>
      <w:pPr>
        <w:spacing w:after="0" w:line="184"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 of the General Partner</w:t>
      </w:r>
      <w:r>
        <w:rPr>
          <w:rFonts w:ascii="Times New Roman" w:cs="Times New Roman" w:eastAsia="Times New Roman" w:hAnsi="Times New Roman"/>
          <w:sz w:val="18"/>
          <w:szCs w:val="18"/>
          <w:color w:val="auto"/>
        </w:rPr>
        <w:t>. Kelcy L. Warren beneficially owns approximately 81.2% and Ray C. Davis beneficially owns</w:t>
      </w:r>
    </w:p>
    <w:p>
      <w:pPr>
        <w:spacing w:after="0" w:line="29"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18.8% of the issued and outstanding membership interests in the General Partner; such membership interests have been duly authorized and validly issued in accordance with the Second Amended and Restated Limited Liability Company Agreement of LE GP, LLC, dated as of October 19, 2018 (as amended, the “</w:t>
      </w:r>
      <w:r>
        <w:rPr>
          <w:rFonts w:ascii="Times New Roman" w:cs="Times New Roman" w:eastAsia="Times New Roman" w:hAnsi="Times New Roman"/>
          <w:sz w:val="18"/>
          <w:szCs w:val="18"/>
          <w:b w:val="1"/>
          <w:bCs w:val="1"/>
          <w:i w:val="1"/>
          <w:iCs w:val="1"/>
          <w:color w:val="auto"/>
        </w:rPr>
        <w:t>General Partner LLC Agreement</w:t>
      </w:r>
      <w:r>
        <w:rPr>
          <w:rFonts w:ascii="Times New Roman" w:cs="Times New Roman" w:eastAsia="Times New Roman" w:hAnsi="Times New Roman"/>
          <w:sz w:val="18"/>
          <w:szCs w:val="18"/>
          <w:color w:val="auto"/>
        </w:rPr>
        <w:t>”), and are fully paid (to the extent required by the General Partner LLC Agreement) and non-assessable (except as such non-assessability may be limited by Sections 18-607 and 18-804 of the Delaware LLC Act).</w:t>
      </w:r>
    </w:p>
    <w:p>
      <w:pPr>
        <w:spacing w:after="0" w:line="186" w:lineRule="exact"/>
        <w:rPr>
          <w:rFonts w:ascii="Times New Roman" w:cs="Times New Roman" w:eastAsia="Times New Roman" w:hAnsi="Times New Roman"/>
          <w:sz w:val="18"/>
          <w:szCs w:val="18"/>
          <w:color w:val="auto"/>
        </w:rPr>
      </w:pPr>
    </w:p>
    <w:p>
      <w:pPr>
        <w:ind w:right="60" w:firstLine="436"/>
        <w:spacing w:after="0" w:line="257"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Ownership of the General Partner Interest. </w:t>
      </w:r>
      <w:r>
        <w:rPr>
          <w:rFonts w:ascii="Times New Roman" w:cs="Times New Roman" w:eastAsia="Times New Roman" w:hAnsi="Times New Roman"/>
          <w:sz w:val="18"/>
          <w:szCs w:val="18"/>
          <w:color w:val="auto"/>
        </w:rPr>
        <w:t>The General Partner is the sole general partner of the Partnership and owns a 0.1%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partner interest in the Partnership; such general partner interest has been duly authorized and validly issued in accordance with the Fourth Amended and Restated Agreement of Limited Partnership of the Partnership, dated as of November 3, 2023 (the “</w:t>
      </w:r>
      <w:r>
        <w:rPr>
          <w:rFonts w:ascii="Times New Roman" w:cs="Times New Roman" w:eastAsia="Times New Roman" w:hAnsi="Times New Roman"/>
          <w:sz w:val="18"/>
          <w:szCs w:val="18"/>
          <w:b w:val="1"/>
          <w:bCs w:val="1"/>
          <w:i w:val="1"/>
          <w:iCs w:val="1"/>
          <w:color w:val="auto"/>
        </w:rPr>
        <w:t>Partnership Agreement</w:t>
      </w:r>
      <w:r>
        <w:rPr>
          <w:rFonts w:ascii="Times New Roman" w:cs="Times New Roman" w:eastAsia="Times New Roman" w:hAnsi="Times New Roman"/>
          <w:sz w:val="18"/>
          <w:szCs w:val="18"/>
          <w:color w:val="auto"/>
        </w:rPr>
        <w:t>”) and the General Partner owns such general partner interest free and clear of all liens, encumbrances, security interests, equities, charges or claims (collectively, “</w:t>
      </w:r>
      <w:r>
        <w:rPr>
          <w:rFonts w:ascii="Times New Roman" w:cs="Times New Roman" w:eastAsia="Times New Roman" w:hAnsi="Times New Roman"/>
          <w:sz w:val="18"/>
          <w:szCs w:val="18"/>
          <w:b w:val="1"/>
          <w:bCs w:val="1"/>
          <w:i w:val="1"/>
          <w:iCs w:val="1"/>
          <w:color w:val="auto"/>
        </w:rPr>
        <w:t>Liens</w:t>
      </w:r>
      <w:r>
        <w:rPr>
          <w:rFonts w:ascii="Times New Roman" w:cs="Times New Roman" w:eastAsia="Times New Roman" w:hAnsi="Times New Roman"/>
          <w:sz w:val="18"/>
          <w:szCs w:val="18"/>
          <w:color w:val="auto"/>
        </w:rPr>
        <w:t>”), except restrictions on transferability set forth in the Partnership Agreement or as included in the Amended and Restated Credit Agreement by and among the Partnership and Wells Fargo Bank, National Association, dated as of April 11, 2022.</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9" w:name="page10"/>
    <w:bookmarkEnd w:id="9"/>
    <w:p>
      <w:pPr>
        <w:ind w:left="704" w:hanging="264"/>
        <w:spacing w:after="0"/>
        <w:tabs>
          <w:tab w:leader="none" w:pos="7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Ownership of Outstanding Common Units and other Equity Securities. </w:t>
      </w:r>
      <w:r>
        <w:rPr>
          <w:rFonts w:ascii="Times New Roman" w:cs="Times New Roman" w:eastAsia="Times New Roman" w:hAnsi="Times New Roman"/>
          <w:sz w:val="18"/>
          <w:szCs w:val="18"/>
          <w:color w:val="auto"/>
        </w:rPr>
        <w:t>As of the date hereof, the limited partners of the Partnership own</w:t>
      </w:r>
    </w:p>
    <w:p>
      <w:pPr>
        <w:spacing w:after="0" w:line="29" w:lineRule="exact"/>
        <w:rPr>
          <w:rFonts w:ascii="Times New Roman" w:cs="Times New Roman" w:eastAsia="Times New Roman" w:hAnsi="Times New Roman"/>
          <w:sz w:val="18"/>
          <w:szCs w:val="18"/>
          <w:color w:val="auto"/>
        </w:rPr>
      </w:pPr>
    </w:p>
    <w:p>
      <w:pPr>
        <w:ind w:left="4" w:hanging="4"/>
        <w:spacing w:after="0" w:line="252"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3,440,076,111 Common Units, (ii) 851,442,708 Class A Units, (iii) 687,222,658 Class B Units, (iv) 550,000 Series B Fixed-to-Floating Rate Cumulative Redeemable Perpetual Preferred Units (“</w:t>
      </w:r>
      <w:r>
        <w:rPr>
          <w:rFonts w:ascii="Times New Roman" w:cs="Times New Roman" w:eastAsia="Times New Roman" w:hAnsi="Times New Roman"/>
          <w:sz w:val="18"/>
          <w:szCs w:val="18"/>
          <w:b w:val="1"/>
          <w:bCs w:val="1"/>
          <w:i w:val="1"/>
          <w:iCs w:val="1"/>
          <w:color w:val="auto"/>
        </w:rPr>
        <w:t>Series B Preferred Units</w:t>
      </w:r>
      <w:r>
        <w:rPr>
          <w:rFonts w:ascii="Times New Roman" w:cs="Times New Roman" w:eastAsia="Times New Roman" w:hAnsi="Times New Roman"/>
          <w:sz w:val="18"/>
          <w:szCs w:val="18"/>
          <w:color w:val="auto"/>
        </w:rPr>
        <w:t>”), (v) 1,484,780 Series G Fixed-Rate Reset Cumulative Redeemable Perpetual Preferred Units (“</w:t>
      </w:r>
      <w:r>
        <w:rPr>
          <w:rFonts w:ascii="Times New Roman" w:cs="Times New Roman" w:eastAsia="Times New Roman" w:hAnsi="Times New Roman"/>
          <w:sz w:val="18"/>
          <w:szCs w:val="18"/>
          <w:b w:val="1"/>
          <w:bCs w:val="1"/>
          <w:i w:val="1"/>
          <w:iCs w:val="1"/>
          <w:color w:val="auto"/>
        </w:rPr>
        <w:t>Series G Preferred Units</w:t>
      </w:r>
      <w:r>
        <w:rPr>
          <w:rFonts w:ascii="Times New Roman" w:cs="Times New Roman" w:eastAsia="Times New Roman" w:hAnsi="Times New Roman"/>
          <w:sz w:val="18"/>
          <w:szCs w:val="18"/>
          <w:color w:val="auto"/>
        </w:rPr>
        <w:t>”), (vi) 900,000 Series H Fixed-Rate Reset Cumulative Redeemable Perpetual Preferred Units (“</w:t>
      </w:r>
      <w:r>
        <w:rPr>
          <w:rFonts w:ascii="Times New Roman" w:cs="Times New Roman" w:eastAsia="Times New Roman" w:hAnsi="Times New Roman"/>
          <w:sz w:val="18"/>
          <w:szCs w:val="18"/>
          <w:b w:val="1"/>
          <w:bCs w:val="1"/>
          <w:i w:val="1"/>
          <w:iCs w:val="1"/>
          <w:color w:val="auto"/>
        </w:rPr>
        <w:t>Series H Preferred Units</w:t>
      </w:r>
      <w:r>
        <w:rPr>
          <w:rFonts w:ascii="Times New Roman" w:cs="Times New Roman" w:eastAsia="Times New Roman" w:hAnsi="Times New Roman"/>
          <w:sz w:val="18"/>
          <w:szCs w:val="18"/>
          <w:color w:val="auto"/>
        </w:rPr>
        <w:t>”) and (vii) 41,464,179 Series I Fixed Rate Perpetual Preferred Units (“</w:t>
      </w:r>
      <w:r>
        <w:rPr>
          <w:rFonts w:ascii="Times New Roman" w:cs="Times New Roman" w:eastAsia="Times New Roman" w:hAnsi="Times New Roman"/>
          <w:sz w:val="18"/>
          <w:szCs w:val="18"/>
          <w:b w:val="1"/>
          <w:bCs w:val="1"/>
          <w:i w:val="1"/>
          <w:iCs w:val="1"/>
          <w:color w:val="auto"/>
        </w:rPr>
        <w:t>Series I Preferred Units</w:t>
      </w:r>
      <w:r>
        <w:rPr>
          <w:rFonts w:ascii="Times New Roman" w:cs="Times New Roman" w:eastAsia="Times New Roman" w:hAnsi="Times New Roman"/>
          <w:sz w:val="18"/>
          <w:szCs w:val="18"/>
          <w:color w:val="auto"/>
        </w:rPr>
        <w:t>”), collectively representing a 100% limited partner interest in the Partnership. All of such units and the limited partner interests represented thereby have been duly authorized and validly issued in accordance with the Partnership Agreement and are fully paid (to the extent required under the Partnership Agreement) and non-assessable as such non-assessability may be limited by Sections 17-303, 17-607 and 17-804 of the Delaware LP Act.</w:t>
      </w:r>
    </w:p>
    <w:p>
      <w:pPr>
        <w:spacing w:after="0" w:line="186" w:lineRule="exact"/>
        <w:rPr>
          <w:rFonts w:ascii="Times New Roman" w:cs="Times New Roman" w:eastAsia="Times New Roman" w:hAnsi="Times New Roman"/>
          <w:sz w:val="18"/>
          <w:szCs w:val="18"/>
          <w:color w:val="auto"/>
        </w:rPr>
      </w:pPr>
    </w:p>
    <w:p>
      <w:pPr>
        <w:ind w:left="4" w:right="200" w:firstLine="436"/>
        <w:spacing w:after="0" w:line="258"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 of Sunoco LP</w:t>
      </w:r>
      <w:r>
        <w:rPr>
          <w:rFonts w:ascii="Times New Roman" w:cs="Times New Roman" w:eastAsia="Times New Roman" w:hAnsi="Times New Roman"/>
          <w:sz w:val="18"/>
          <w:szCs w:val="18"/>
          <w:color w:val="auto"/>
        </w:rPr>
        <w:t>. As of the date hereof, the Partnership owns (i) 28,463,967 common units representing limited partner interests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Sunoco LP, a Delaware limited partnership (“</w:t>
      </w:r>
      <w:r>
        <w:rPr>
          <w:rFonts w:ascii="Times New Roman" w:cs="Times New Roman" w:eastAsia="Times New Roman" w:hAnsi="Times New Roman"/>
          <w:sz w:val="18"/>
          <w:szCs w:val="18"/>
          <w:b w:val="1"/>
          <w:bCs w:val="1"/>
          <w:i w:val="1"/>
          <w:iCs w:val="1"/>
          <w:color w:val="auto"/>
        </w:rPr>
        <w:t>Sunoco</w:t>
      </w:r>
      <w:r>
        <w:rPr>
          <w:rFonts w:ascii="Times New Roman" w:cs="Times New Roman" w:eastAsia="Times New Roman" w:hAnsi="Times New Roman"/>
          <w:sz w:val="18"/>
          <w:szCs w:val="18"/>
          <w:color w:val="auto"/>
        </w:rPr>
        <w:t>”), (ii) 100% of the incentive distribution rights of Sunoco (“</w:t>
      </w:r>
      <w:r>
        <w:rPr>
          <w:rFonts w:ascii="Times New Roman" w:cs="Times New Roman" w:eastAsia="Times New Roman" w:hAnsi="Times New Roman"/>
          <w:sz w:val="18"/>
          <w:szCs w:val="18"/>
          <w:b w:val="1"/>
          <w:bCs w:val="1"/>
          <w:i w:val="1"/>
          <w:iCs w:val="1"/>
          <w:color w:val="auto"/>
        </w:rPr>
        <w:t>IDRs</w:t>
      </w:r>
      <w:r>
        <w:rPr>
          <w:rFonts w:ascii="Times New Roman" w:cs="Times New Roman" w:eastAsia="Times New Roman" w:hAnsi="Times New Roman"/>
          <w:sz w:val="18"/>
          <w:szCs w:val="18"/>
          <w:color w:val="auto"/>
        </w:rPr>
        <w:t>”), and (iii) a non-economic general partner interest in Sunoco. All of such units, IDRs and the limited partner interests represented thereby have been duly authorized and validly issued in accordance with the Partnership Agreement of Sunoco and are fully paid (to the extent required under the Partnership Agreement of Sunoco) and non-assessable as such non-assessability may be limited by Sections 17-303, 17-607 and 17-804 of the Delaware LP Act.</w:t>
      </w:r>
    </w:p>
    <w:p>
      <w:pPr>
        <w:spacing w:after="0" w:line="183"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 of USA Compression Partners, LP</w:t>
      </w:r>
      <w:r>
        <w:rPr>
          <w:rFonts w:ascii="Times New Roman" w:cs="Times New Roman" w:eastAsia="Times New Roman" w:hAnsi="Times New Roman"/>
          <w:sz w:val="18"/>
          <w:szCs w:val="18"/>
          <w:color w:val="auto"/>
        </w:rPr>
        <w:t>. As of the date hereof, the Partnership owns (i) 46,056,228 common units representing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interests in USA Compression Partners LP, a Delaware limited partnership (“</w:t>
      </w:r>
      <w:r>
        <w:rPr>
          <w:rFonts w:ascii="Times New Roman" w:cs="Times New Roman" w:eastAsia="Times New Roman" w:hAnsi="Times New Roman"/>
          <w:sz w:val="18"/>
          <w:szCs w:val="18"/>
          <w:b w:val="1"/>
          <w:bCs w:val="1"/>
          <w:i w:val="1"/>
          <w:iCs w:val="1"/>
          <w:color w:val="auto"/>
        </w:rPr>
        <w:t>USAC</w:t>
      </w:r>
      <w:r>
        <w:rPr>
          <w:rFonts w:ascii="Times New Roman" w:cs="Times New Roman" w:eastAsia="Times New Roman" w:hAnsi="Times New Roman"/>
          <w:sz w:val="18"/>
          <w:szCs w:val="18"/>
          <w:color w:val="auto"/>
        </w:rPr>
        <w:t>”) and (ii) a non-economic general partner interest in USAC. All of such units and the limited partner interests represented thereby have been duly authorized and validly issued in accordance with the Partnership Agreement of USAC and are fully paid (to the extent required under the Partnership Agreement of USAC) and non-assessable as such non-assessability may be limited by Sections 17-303, 17-607 and 17-804 of the Delaware LP Act.</w:t>
      </w:r>
    </w:p>
    <w:p>
      <w:pPr>
        <w:spacing w:after="0" w:line="183" w:lineRule="exact"/>
        <w:rPr>
          <w:rFonts w:ascii="Times New Roman" w:cs="Times New Roman" w:eastAsia="Times New Roman" w:hAnsi="Times New Roman"/>
          <w:sz w:val="18"/>
          <w:szCs w:val="18"/>
          <w:color w:val="auto"/>
        </w:rPr>
      </w:pPr>
    </w:p>
    <w:p>
      <w:pPr>
        <w:ind w:left="4" w:firstLine="436"/>
        <w:spacing w:after="0" w:line="256" w:lineRule="auto"/>
        <w:tabs>
          <w:tab w:leader="none" w:pos="66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Valid Issuance of Notes. </w:t>
      </w:r>
      <w:r>
        <w:rPr>
          <w:rFonts w:ascii="Times New Roman" w:cs="Times New Roman" w:eastAsia="Times New Roman" w:hAnsi="Times New Roman"/>
          <w:sz w:val="18"/>
          <w:szCs w:val="18"/>
          <w:color w:val="auto"/>
        </w:rPr>
        <w:t>The Notes have been duly and validly authorized by the Partnership and the General Partner for issuance and sale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pursuant to this Agreement and, when executed by the Partnership and authenticated by the Trustee in accordance with the Indenture and delivered to the Underwriters against payment therefor in accordance with the terms hereof, will have been validly issued and delivered and will constitute valid and legally binding obligations of the Partnership entitled to the benefits of the Indenture and enforceable in accordance with their terms, except as enforcement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w:t>
      </w:r>
    </w:p>
    <w:p>
      <w:pPr>
        <w:spacing w:after="0" w:line="182" w:lineRule="exact"/>
        <w:rPr>
          <w:rFonts w:ascii="Times New Roman" w:cs="Times New Roman" w:eastAsia="Times New Roman" w:hAnsi="Times New Roman"/>
          <w:sz w:val="18"/>
          <w:szCs w:val="18"/>
          <w:color w:val="auto"/>
        </w:rPr>
      </w:pPr>
    </w:p>
    <w:p>
      <w:pPr>
        <w:jc w:val="both"/>
        <w:ind w:left="4" w:right="260" w:firstLine="436"/>
        <w:spacing w:after="0" w:line="290" w:lineRule="auto"/>
        <w:tabs>
          <w:tab w:leader="none" w:pos="67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Material Subsidiaries</w:t>
      </w:r>
      <w:r>
        <w:rPr>
          <w:rFonts w:ascii="Times New Roman" w:cs="Times New Roman" w:eastAsia="Times New Roman" w:hAnsi="Times New Roman"/>
          <w:sz w:val="17"/>
          <w:szCs w:val="17"/>
          <w:color w:val="auto"/>
        </w:rPr>
        <w:t>. Attached hereto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Annex 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a listing of each direct or indirect Subsidiary of the Partnership that is a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subsidiary” as defined in Rule 1-02 of Regulation S-X as of the date of the Partnership’s latest historical financial statements (audited or unaudited) incorporated by reference in the Registration Statement, the Pricing Disclosure Package or the Prospectus (collectively, the “</w:t>
      </w:r>
      <w:r>
        <w:rPr>
          <w:rFonts w:ascii="Times New Roman" w:cs="Times New Roman" w:eastAsia="Times New Roman" w:hAnsi="Times New Roman"/>
          <w:sz w:val="17"/>
          <w:szCs w:val="17"/>
          <w:b w:val="1"/>
          <w:bCs w:val="1"/>
          <w:i w:val="1"/>
          <w:iCs w:val="1"/>
          <w:color w:val="auto"/>
        </w:rPr>
        <w:t>Material Subsidiaries</w:t>
      </w:r>
      <w:r>
        <w:rPr>
          <w:rFonts w:ascii="Times New Roman" w:cs="Times New Roman" w:eastAsia="Times New Roman" w:hAnsi="Times New Roman"/>
          <w:sz w:val="17"/>
          <w:szCs w:val="17"/>
          <w:color w:val="auto"/>
        </w:rPr>
        <w:t>”).</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8" w:right="459" w:bottom="1440" w:gutter="0" w:footer="0" w:header="0"/>
        </w:sectPr>
      </w:pPr>
    </w:p>
    <w:bookmarkStart w:id="10" w:name="page11"/>
    <w:bookmarkEnd w:id="10"/>
    <w:p>
      <w:pPr>
        <w:ind w:left="4" w:firstLine="436"/>
        <w:spacing w:after="0" w:line="254" w:lineRule="auto"/>
        <w:tabs>
          <w:tab w:leader="none" w:pos="65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Preemptive Rights, Options or Other Rights. </w:t>
      </w:r>
      <w:r>
        <w:rPr>
          <w:rFonts w:ascii="Times New Roman" w:cs="Times New Roman" w:eastAsia="Times New Roman" w:hAnsi="Times New Roman"/>
          <w:sz w:val="18"/>
          <w:szCs w:val="18"/>
          <w:color w:val="auto"/>
        </w:rPr>
        <w:t>Except as described in the Registration Statement,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Prospectus or for any such rights which have been effectively complied with or waived, (i) no person has the right, contractual or otherwise, to cause the Partnership to issue or register any equity interests in the Partnership or any other Partnership Entity, (ii) there are no statutory or contractual preemptive rights, resale rights, rights of first refusal or other rights to subscribe for or to purchase, nor any restriction upon voting or transfer of, any partnership or membership interests in the Partnership Entities, and (iii) other than the Underwriters, no person has the right to act as an underwriter, or as a financial advisor to the Partnership, in connection with the offer and sale of the Notes, in the case of each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whether as a result of the filing or the effectiveness of the Registration Statement or the offering or sale of the Notes as contemplated thereby or otherwise; and except as described in the Registration Statement, the Pricing Disclosure Package and the Prospectus, there are no outstanding options or warrants to purchase any Common Units, Series B Preferred Units, Series F Preferred Units, Series G Preferred Units, Series H Preferred Units, Series I Preferred Units or other interests in the Partnership.</w:t>
      </w:r>
    </w:p>
    <w:p>
      <w:pPr>
        <w:spacing w:after="0" w:line="185" w:lineRule="exact"/>
        <w:rPr>
          <w:rFonts w:ascii="Times New Roman" w:cs="Times New Roman" w:eastAsia="Times New Roman" w:hAnsi="Times New Roman"/>
          <w:sz w:val="18"/>
          <w:szCs w:val="18"/>
          <w:color w:val="auto"/>
        </w:rPr>
      </w:pPr>
    </w:p>
    <w:p>
      <w:pPr>
        <w:ind w:left="4" w:right="60" w:firstLine="436"/>
        <w:spacing w:after="0" w:line="269" w:lineRule="auto"/>
        <w:tabs>
          <w:tab w:leader="none" w:pos="69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Authority. </w:t>
      </w:r>
      <w:r>
        <w:rPr>
          <w:rFonts w:ascii="Times New Roman" w:cs="Times New Roman" w:eastAsia="Times New Roman" w:hAnsi="Times New Roman"/>
          <w:sz w:val="17"/>
          <w:szCs w:val="17"/>
          <w:color w:val="auto"/>
        </w:rPr>
        <w:t>The Partnership has all requisite power and authority to (i) issue, sell and deliver the Notes, as the case may be, in accordance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upon the terms and conditions set forth in this Agreement, the Indenture, the Partnership Agreement, the Registration Statement, the Pricing Disclosure Package and the Prospectus and perform its obligations under this Agreement, the Notes and the Indenture (this Agreement, the Notes and the Indenture are each referred to herein individually as a “</w:t>
      </w:r>
      <w:r>
        <w:rPr>
          <w:rFonts w:ascii="Times New Roman" w:cs="Times New Roman" w:eastAsia="Times New Roman" w:hAnsi="Times New Roman"/>
          <w:sz w:val="17"/>
          <w:szCs w:val="17"/>
          <w:b w:val="1"/>
          <w:bCs w:val="1"/>
          <w:i w:val="1"/>
          <w:iCs w:val="1"/>
          <w:color w:val="auto"/>
        </w:rPr>
        <w:t>Debt Document</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i w:val="1"/>
          <w:iCs w:val="1"/>
          <w:color w:val="auto"/>
        </w:rPr>
        <w:t>Debt Documents</w:t>
      </w:r>
      <w:r>
        <w:rPr>
          <w:rFonts w:ascii="Times New Roman" w:cs="Times New Roman" w:eastAsia="Times New Roman" w:hAnsi="Times New Roman"/>
          <w:sz w:val="17"/>
          <w:szCs w:val="17"/>
          <w:color w:val="auto"/>
        </w:rPr>
        <w:t>”) and (ii) consummate the transactions contemplated by this Agreement and the Indenture; and at the Delivery Date all limited partnership action required to be taken by the Partnership for (A) the authorization, issuance, sale and delivery of the Notes, (B) the authorization, execution and delivery of the Debt Documents, and</w:t>
      </w:r>
    </w:p>
    <w:p>
      <w:pPr>
        <w:spacing w:after="0" w:line="1"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contemplated by the Debt Documents, shall have been validly taken.</w:t>
      </w:r>
    </w:p>
    <w:p>
      <w:pPr>
        <w:spacing w:after="0" w:line="204"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Authorization of the Agreement. </w:t>
      </w:r>
      <w:r>
        <w:rPr>
          <w:rFonts w:ascii="Times New Roman" w:cs="Times New Roman" w:eastAsia="Times New Roman" w:hAnsi="Times New Roman"/>
          <w:sz w:val="18"/>
          <w:szCs w:val="18"/>
          <w:color w:val="auto"/>
        </w:rPr>
        <w:t>This Agreement has been duly authorized and validly executed and delivered by the Partnership.</w:t>
      </w:r>
    </w:p>
    <w:p>
      <w:pPr>
        <w:spacing w:after="0" w:line="225" w:lineRule="exact"/>
        <w:rPr>
          <w:rFonts w:ascii="Times New Roman" w:cs="Times New Roman" w:eastAsia="Times New Roman" w:hAnsi="Times New Roman"/>
          <w:sz w:val="18"/>
          <w:szCs w:val="18"/>
          <w:color w:val="auto"/>
        </w:rPr>
      </w:pPr>
    </w:p>
    <w:p>
      <w:pPr>
        <w:ind w:left="4" w:right="40" w:firstLine="436"/>
        <w:spacing w:after="0" w:line="257" w:lineRule="auto"/>
        <w:tabs>
          <w:tab w:leader="none" w:pos="73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and Enforceability of the Indenture</w:t>
      </w:r>
      <w:r>
        <w:rPr>
          <w:rFonts w:ascii="Times New Roman" w:cs="Times New Roman" w:eastAsia="Times New Roman" w:hAnsi="Times New Roman"/>
          <w:sz w:val="18"/>
          <w:szCs w:val="18"/>
          <w:color w:val="auto"/>
        </w:rPr>
        <w:t>. As of the Delivery Date, the Indenture will (i) be duly and validly authorized,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by the Partnership, (ii) be duly qualified under the Trust Indenture Act and the rules and regulations thereunder, (iii) comply as to form with the requirements of the Trust Indenture Act and (iv) assuming due authorization, execution and delivery by the Trustee, constitute a valid and legally binding agreement of the Partnership, enforceable against the Partnership in accordance with its terms, except as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w:t>
      </w:r>
    </w:p>
    <w:p>
      <w:pPr>
        <w:spacing w:after="0" w:line="182" w:lineRule="exact"/>
        <w:rPr>
          <w:rFonts w:ascii="Times New Roman" w:cs="Times New Roman" w:eastAsia="Times New Roman" w:hAnsi="Times New Roman"/>
          <w:sz w:val="18"/>
          <w:szCs w:val="18"/>
          <w:color w:val="auto"/>
        </w:rPr>
      </w:pPr>
    </w:p>
    <w:p>
      <w:pPr>
        <w:ind w:left="4" w:right="160" w:firstLine="436"/>
        <w:spacing w:after="0" w:line="315" w:lineRule="auto"/>
        <w:tabs>
          <w:tab w:leader="none" w:pos="69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Debt Documents</w:t>
      </w:r>
      <w:r>
        <w:rPr>
          <w:rFonts w:ascii="Times New Roman" w:cs="Times New Roman" w:eastAsia="Times New Roman" w:hAnsi="Times New Roman"/>
          <w:sz w:val="17"/>
          <w:szCs w:val="17"/>
          <w:color w:val="auto"/>
        </w:rPr>
        <w:t>. Each Debt Document that is described in the Registration Statement, the Pricing Disclosure Package and the Prospectus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conforms in all material respects to the description thereof contained in the Registration Statement, the Pricing Disclosure Package and the Prospectus.</w:t>
      </w:r>
    </w:p>
    <w:p>
      <w:pPr>
        <w:spacing w:after="0" w:line="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8" w:right="459" w:bottom="1440" w:gutter="0" w:footer="0" w:header="0"/>
        </w:sectPr>
      </w:pPr>
    </w:p>
    <w:bookmarkStart w:id="11" w:name="page12"/>
    <w:bookmarkEnd w:id="11"/>
    <w:p>
      <w:pPr>
        <w:ind w:left="700" w:hanging="264"/>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and Enforceability of Other Agreements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07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LLC Agreement has been duly authorized, executed and delivered by each of, and is a valid and legally binding agreement of each of General Partner, Kelcy L. Warren and Ray C. Davis, enforceable against each of the General Partner, Kelcy L. Warren and Ray C. Davis, in accordance with its terms; and</w:t>
      </w:r>
    </w:p>
    <w:p>
      <w:pPr>
        <w:spacing w:after="0" w:line="67" w:lineRule="exact"/>
        <w:rPr>
          <w:rFonts w:ascii="Times New Roman" w:cs="Times New Roman" w:eastAsia="Times New Roman" w:hAnsi="Times New Roman"/>
          <w:sz w:val="18"/>
          <w:szCs w:val="18"/>
          <w:color w:val="auto"/>
        </w:rPr>
      </w:pPr>
    </w:p>
    <w:p>
      <w:pPr>
        <w:ind w:left="440" w:right="500" w:firstLine="419"/>
        <w:spacing w:after="0" w:line="266" w:lineRule="auto"/>
        <w:tabs>
          <w:tab w:leader="none" w:pos="112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Agreement has been, and at the Delivery Date the Partnership Agreement will be, duly authorized, executed and delivered by the General Partner, and the Partnership Agreement is, and at the Delivery Date the Partnership Agreement will be, a valid and legally binding agreement of the General Partner, enforceable against the General Partner in accordance with its terms;</w:t>
      </w:r>
    </w:p>
    <w:p>
      <w:pPr>
        <w:spacing w:after="0" w:line="17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with respect to each agreement described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Sections 1(y)(i)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above, the enforceability thereof may be limited by bankruptcy,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insolvency, fraudulent transfer, reorganization, moratorium and similar laws relating to or affecting creditors’ rights generally and by general principles of equity (regardless of whether such enforceability is considered in a proceeding in equity or at law);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the indemnity, contribution and exoneration provisions contained in any of such agreements may be limited by federal or state securities laws and public policy.</w:t>
      </w:r>
    </w:p>
    <w:p>
      <w:pPr>
        <w:spacing w:after="0" w:line="164" w:lineRule="exact"/>
        <w:rPr>
          <w:sz w:val="20"/>
          <w:szCs w:val="20"/>
          <w:color w:val="auto"/>
        </w:rPr>
      </w:pPr>
    </w:p>
    <w:p>
      <w:pPr>
        <w:ind w:right="40" w:firstLine="436"/>
        <w:spacing w:after="0" w:line="253"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Violations. </w:t>
      </w:r>
      <w:r>
        <w:rPr>
          <w:rFonts w:ascii="Times New Roman" w:cs="Times New Roman" w:eastAsia="Times New Roman" w:hAnsi="Times New Roman"/>
          <w:sz w:val="18"/>
          <w:szCs w:val="18"/>
          <w:color w:val="auto"/>
        </w:rPr>
        <w:t>None of the (i) offering, issuance and sale by the Partnership of the Notes, (ii) execution, delivery and performance of the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by the Partnership, (iii) consummation of the transactions contemplated by the Debt Documents or (iv) the application of proceeds from the sales of the Notes as described under “Use of Proceeds” in each of the Pricing Disclosure Package and the Prospectus (A) conflicts or will conflict with or constitutes or will constitute a breach or violation of any provision of the certificate of limited partnership or agreement of limited partnership, certificate of formation or limited liability company or operating agreement or any other organizational or governing documents of any of the Partnership Entities, (B) conflicts or will conflict with or constitutes or will constitute a breach or violation of, or a default under (or an event which, with notice or lapse of time or both, would constitute such a default), any indenture, mortgage, deed of trust, loan agreement, lease, license or other agreement or instrument to which the Partnership or any of the Subsidiaries is a party or by which any of them or any of their respective properties or assets may be bound, (C) violates or will violate any statute, law or regulation or any order, judgment, ruling, decree or injunction of any court or governmental agency or body having jurisdiction over the Partnership or any direct or indirect subsidiary of the Partnership (collectively, the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or any of their assets or properties or (D) results or will result in the creation or imposition of any lien, charge or encumbrance upon any property or assets of any of the Partnership Entities or any of the Subsidiaries, except with respect to clauses (B), (C) or (D) as would not have a Material Adverse Effect or adversely affect the transactions contemplated by this Agreement.</w:t>
      </w:r>
    </w:p>
    <w:p>
      <w:pPr>
        <w:spacing w:after="0" w:line="187" w:lineRule="exact"/>
        <w:rPr>
          <w:sz w:val="20"/>
          <w:szCs w:val="20"/>
          <w:color w:val="auto"/>
        </w:rPr>
      </w:pPr>
    </w:p>
    <w:p>
      <w:pPr>
        <w:ind w:firstLine="436"/>
        <w:spacing w:after="0" w:line="261" w:lineRule="auto"/>
        <w:tabs>
          <w:tab w:leader="none" w:pos="7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Consents</w:t>
      </w:r>
      <w:r>
        <w:rPr>
          <w:rFonts w:ascii="Times New Roman" w:cs="Times New Roman" w:eastAsia="Times New Roman" w:hAnsi="Times New Roman"/>
          <w:sz w:val="18"/>
          <w:szCs w:val="18"/>
          <w:color w:val="auto"/>
        </w:rPr>
        <w:t>. No permit, consent, approval, authorization, order, registration, filing or qualification of or with any court, governmental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body having jurisdiction over any of the Partnership Entities or any of the Subsidiaries or any of their respective properties or assets (each a “</w:t>
      </w:r>
      <w:r>
        <w:rPr>
          <w:rFonts w:ascii="Times New Roman" w:cs="Times New Roman" w:eastAsia="Times New Roman" w:hAnsi="Times New Roman"/>
          <w:sz w:val="18"/>
          <w:szCs w:val="18"/>
          <w:b w:val="1"/>
          <w:bCs w:val="1"/>
          <w:i w:val="1"/>
          <w:iCs w:val="1"/>
          <w:color w:val="auto"/>
        </w:rPr>
        <w:t>Consent</w:t>
      </w:r>
      <w:r>
        <w:rPr>
          <w:rFonts w:ascii="Times New Roman" w:cs="Times New Roman" w:eastAsia="Times New Roman" w:hAnsi="Times New Roman"/>
          <w:sz w:val="18"/>
          <w:szCs w:val="18"/>
          <w:color w:val="auto"/>
        </w:rPr>
        <w:t>”) is required in connection with (i) the offering, issuance and sale by the Partnership of the Notes, (ii) the execution, delivery and performance of the Debt Documents by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8" w:right="45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Partnership, (iii) the consummation of the transactions contemplated by the Debt Documents or (iv) the application of the proceeds from the sale of the Notes as described under “Use of Proceeds” in each of the Pricing Disclosure Package and the Prospectus, except for such Consents (A) required under the Securities Act, the Exchange Act, and state securities or Blue Sky laws in connection with the purchase and sale of the Notes by the Underwriters, (B) that have been, or prior to the Delivery Date will be, obtained and (C) that, if not obtained, would not, individually or in the aggregate, have a Material Adverse Effect.</w:t>
      </w:r>
    </w:p>
    <w:p>
      <w:pPr>
        <w:spacing w:after="0" w:line="181" w:lineRule="exact"/>
        <w:rPr>
          <w:sz w:val="20"/>
          <w:szCs w:val="20"/>
          <w:color w:val="auto"/>
        </w:rPr>
      </w:pPr>
    </w:p>
    <w:p>
      <w:pPr>
        <w:ind w:right="120" w:firstLine="436"/>
        <w:spacing w:after="0" w:line="284" w:lineRule="auto"/>
        <w:tabs>
          <w:tab w:leader="none" w:pos="7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Sales. </w:t>
      </w:r>
      <w:r>
        <w:rPr>
          <w:rFonts w:ascii="Times New Roman" w:cs="Times New Roman" w:eastAsia="Times New Roman" w:hAnsi="Times New Roman"/>
          <w:sz w:val="18"/>
          <w:szCs w:val="18"/>
          <w:color w:val="auto"/>
        </w:rPr>
        <w:t>The Partnership has not sold or issued any securities of the same class as the Notes during the six-month period preceding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Prospectus, including any sales pursuant to Rule 144A under, or Regulations D or S of, the Securities Act.</w:t>
      </w:r>
    </w:p>
    <w:p>
      <w:pPr>
        <w:spacing w:after="0" w:line="158" w:lineRule="exact"/>
        <w:rPr>
          <w:rFonts w:ascii="Times New Roman" w:cs="Times New Roman" w:eastAsia="Times New Roman" w:hAnsi="Times New Roman"/>
          <w:sz w:val="18"/>
          <w:szCs w:val="18"/>
          <w:color w:val="auto"/>
        </w:rPr>
      </w:pPr>
    </w:p>
    <w:p>
      <w:pPr>
        <w:ind w:right="40" w:firstLine="436"/>
        <w:spacing w:after="0" w:line="254" w:lineRule="auto"/>
        <w:tabs>
          <w:tab w:leader="none" w:pos="7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Neither the Partnership nor any Subsidiary has sustained, since the date of the latest audited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or incorporated by reference in the Pricing Disclosure Package, any material loss or interference with its business from fire, explosion, flood or other calamity, whether or not covered by insurance, or from any labor dispute or court or governmental action, investigation, order or decree, otherwise than as set forth or contemplated in the Pricing Disclosure Package; and, since such date, there has not been any (i) material change in the capitalization or in the long-term debt of the General Partner or the capitalization or consolidated long-term debt of the Partnership and the Subsidiaries, taken as a whole, otherwise than as set forth in the Pricing Disclosure Package or (ii) material adverse change, or any development involving, or which may reasonably be expected to involve, a prospective material adverse change, in or affecting the general affairs, management, condition (financial or other), securityholders’ equity, assets, properties, capitalization, results of operations or business of the Partnership and the Subsidiaries, taken as a whole, otherwise than as set forth or contemplated in the Pricing Disclosure Package.</w:t>
      </w:r>
    </w:p>
    <w:p>
      <w:pPr>
        <w:spacing w:after="0" w:line="188" w:lineRule="exact"/>
        <w:rPr>
          <w:rFonts w:ascii="Times New Roman" w:cs="Times New Roman" w:eastAsia="Times New Roman" w:hAnsi="Times New Roman"/>
          <w:sz w:val="18"/>
          <w:szCs w:val="18"/>
          <w:color w:val="auto"/>
        </w:rPr>
      </w:pPr>
    </w:p>
    <w:p>
      <w:pPr>
        <w:ind w:right="80" w:firstLine="436"/>
        <w:spacing w:after="0" w:line="253" w:lineRule="auto"/>
        <w:tabs>
          <w:tab w:leader="none" w:pos="7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and Financial Statements. </w:t>
      </w:r>
      <w:r>
        <w:rPr>
          <w:rFonts w:ascii="Times New Roman" w:cs="Times New Roman" w:eastAsia="Times New Roman" w:hAnsi="Times New Roman"/>
          <w:sz w:val="18"/>
          <w:szCs w:val="18"/>
          <w:color w:val="auto"/>
        </w:rPr>
        <w:t>At September 30, 2025, the Partnership had, on the consolidated basis indicated in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any amendment or supplement thereto), a capitalization as set forth therein. The historical financial statements (including the related notes and supporting schedules) included or incorporated by reference in the Registration Statement, the Pricing Disclosure Package and the Prospectus (and any amendment or supplement thereto) comply as to form in all material respects with the requirements of Regulation S-X under the Securities Act and the Exchange Act and present fairly in all material respects the financial position, results of operations and cash flows of the entities purported to be shown thereby on the basis stated therein at the respective dates and for the respective periods to which they apply, and have been prepared in conformity with accounting principles generally accepted in the United States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consistently applied throughout the periods involved, except to the extent disclosed therein. As to any pro forma financial information to be included or incorporated by reference in the Registration Statement, the Pricing Disclosure Package and the Prospectus, the assumptions used in preparing such pro forma financial statements provide a reasonable basis for presenting the significant effects directly attributable to the transactions or events described therein, the related pro forma adjustments give appropriate effect to those assumptions, and the pro forma columns therein reflect the proper application of those adjustments to the corresponding historical financial statement amounts in the pro forma financial statements included or incorporated by reference in the Registration Statement, the Pricing Disclosure Package and the Prospectus. The pro forma financial statements included or incorporated by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 in the Registration Statement, the Pricing Disclosure Package and the Registration Statement comply as to form in all material respects with the applicable accounting requirements under Regulation S-X and Regulation G. There are no financial statements (historical or pro forma) that are required to be included or incorporated by reference in the Registration Statement or the Prospectus that are not so included or incorporated by reference as required. The interactive data in eXtensible Business Reporting Language (“</w:t>
      </w:r>
      <w:r>
        <w:rPr>
          <w:rFonts w:ascii="Times New Roman" w:cs="Times New Roman" w:eastAsia="Times New Roman" w:hAnsi="Times New Roman"/>
          <w:sz w:val="18"/>
          <w:szCs w:val="18"/>
          <w:b w:val="1"/>
          <w:bCs w:val="1"/>
          <w:i w:val="1"/>
          <w:iCs w:val="1"/>
          <w:color w:val="auto"/>
        </w:rPr>
        <w:t>XBRL</w:t>
      </w:r>
      <w:r>
        <w:rPr>
          <w:rFonts w:ascii="Times New Roman" w:cs="Times New Roman" w:eastAsia="Times New Roman" w:hAnsi="Times New Roman"/>
          <w:sz w:val="18"/>
          <w:szCs w:val="18"/>
          <w:color w:val="auto"/>
        </w:rPr>
        <w:t>”) included or incorporated by reference in the Registration Statement, the Pricing Disclosure Package and the Prospectus fairly presents the information called for in all material respects and was prepared in accordance with the Commission’s rules and guidelines applicable thereto.</w:t>
      </w:r>
    </w:p>
    <w:p>
      <w:pPr>
        <w:spacing w:after="0" w:line="183" w:lineRule="exact"/>
        <w:rPr>
          <w:sz w:val="20"/>
          <w:szCs w:val="20"/>
          <w:color w:val="auto"/>
        </w:rPr>
      </w:pPr>
    </w:p>
    <w:p>
      <w:pPr>
        <w:ind w:firstLine="436"/>
        <w:spacing w:after="0" w:line="256" w:lineRule="auto"/>
        <w:tabs>
          <w:tab w:leader="none" w:pos="7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Registered Public Accounting Firm. </w:t>
      </w:r>
      <w:r>
        <w:rPr>
          <w:rFonts w:ascii="Times New Roman" w:cs="Times New Roman" w:eastAsia="Times New Roman" w:hAnsi="Times New Roman"/>
          <w:sz w:val="18"/>
          <w:szCs w:val="18"/>
          <w:color w:val="auto"/>
        </w:rPr>
        <w:t>Grant Thornton LLP (“</w:t>
      </w:r>
      <w:r>
        <w:rPr>
          <w:rFonts w:ascii="Times New Roman" w:cs="Times New Roman" w:eastAsia="Times New Roman" w:hAnsi="Times New Roman"/>
          <w:sz w:val="18"/>
          <w:szCs w:val="18"/>
          <w:b w:val="1"/>
          <w:bCs w:val="1"/>
          <w:i w:val="1"/>
          <w:iCs w:val="1"/>
          <w:color w:val="auto"/>
        </w:rPr>
        <w:t>Grant Thornton</w:t>
      </w:r>
      <w:r>
        <w:rPr>
          <w:rFonts w:ascii="Times New Roman" w:cs="Times New Roman" w:eastAsia="Times New Roman" w:hAnsi="Times New Roman"/>
          <w:sz w:val="18"/>
          <w:szCs w:val="18"/>
          <w:color w:val="auto"/>
        </w:rPr>
        <w:t>”), who has certified certain financial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Partnership and its Subsidiaries, whose reports are included or incorporated by reference in the Registration Statement, the Pricing Disclosure Package and the Prospectus (and any amendment or supplement thereto) and who will deliver the initial letter referred to in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 xml:space="preserve"> hereof upon execution and delivery of this Agreement, is and has been, during the periods covered by the financial statements on which it reported contained or incorporated by reference in the Registration Statement, the Pricing Disclosure Package and the Prospectus (and any amendment or supplement thereto), an independent registered public accounting firm with respect to the Partnership and its Subsidiaries, as required by the Securities Act and the Rules and Regulations and the Public Company Accounting Oversight Board (United States) (the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firstLine="436"/>
        <w:spacing w:after="0" w:line="254" w:lineRule="auto"/>
        <w:tabs>
          <w:tab w:leader="none" w:pos="7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to Properties. </w:t>
      </w:r>
      <w:r>
        <w:rPr>
          <w:rFonts w:ascii="Times New Roman" w:cs="Times New Roman" w:eastAsia="Times New Roman" w:hAnsi="Times New Roman"/>
          <w:sz w:val="18"/>
          <w:szCs w:val="18"/>
          <w:color w:val="auto"/>
        </w:rPr>
        <w:t>The Partnership and each of the Subsidiaries have good and indefeasible title to all real property and good title to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property described in the Pricing Disclosure Package and the Prospectus as being owned by each of them, in each case, free and clear of all Liens and other defects, except (i) as described and qualified in the Pricing Disclosure Package and the Prospectus or (ii) such as do not materially affect the use of such properties taken as a whole as they have been used in the past and are proposed to be used in the future as described in the Pricing Disclosure Package and the Prospectus; provided, that, with respect to title to pipeline rights-of-way, the Partnership represents only that (A) each applicable Subsidiary has sufficient title to enable it to use and occupy the pipeline rights-of-way as they have been used and occupied in the past and are to be used and occupied in the future as described in the Pricing Disclosure Package and the Prospectus and (B) any lack of title to the pipeline rights-of-way will not have a Material Adverse Effect. All of the real property and buildings held under lease by the Partnership and each Subsidiary are held under valid, subsisting and enforceable leases, with such exceptions as would not materially interfere with the use of such properties, taken as a whole, as described in the Pricing Disclosure Package and the Prospectus.</w:t>
      </w:r>
    </w:p>
    <w:p>
      <w:pPr>
        <w:spacing w:after="0" w:line="185" w:lineRule="exact"/>
        <w:rPr>
          <w:rFonts w:ascii="Times New Roman" w:cs="Times New Roman" w:eastAsia="Times New Roman" w:hAnsi="Times New Roman"/>
          <w:sz w:val="18"/>
          <w:szCs w:val="18"/>
          <w:color w:val="auto"/>
        </w:rPr>
      </w:pPr>
    </w:p>
    <w:p>
      <w:pPr>
        <w:ind w:right="140" w:firstLine="436"/>
        <w:spacing w:after="0" w:line="257" w:lineRule="auto"/>
        <w:tabs>
          <w:tab w:leader="none" w:pos="7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Permits</w:t>
      </w:r>
      <w:r>
        <w:rPr>
          <w:rFonts w:ascii="Times New Roman" w:cs="Times New Roman" w:eastAsia="Times New Roman" w:hAnsi="Times New Roman"/>
          <w:sz w:val="18"/>
          <w:szCs w:val="18"/>
          <w:color w:val="auto"/>
        </w:rPr>
        <w:t>. The Partnership and each of the Subsidiaries have, and at the Delivery Date will have, such permits, consents, licenses, franchises,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and authorizations of governmental or regulatory authorities (collectively,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as are necessary to own or lease its properties and to conduct its business in the manner described in the Pricing Disclosure Package and the Prospectus, subject to such qualifications as may be set forth in the Pricing Disclosure Package and the Prospectus and except for such Permits that, if not obtained, would not have, individually or in the aggregate, a Material Adverse Effect; the Partnership and each of the Subsidiaries have, and at the Delivery Date will have, fulfilled and performed all its material obligations with respect to such Permits in the manner described, and subject to the limitations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4" w:name="page15"/>
    <w:bookmarkEnd w:id="1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contained in the Pricing Disclosure Package and the Prospectus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have a Material Adverse Effect.</w:t>
      </w:r>
    </w:p>
    <w:p>
      <w:pPr>
        <w:spacing w:after="0" w:line="178" w:lineRule="exact"/>
        <w:rPr>
          <w:sz w:val="20"/>
          <w:szCs w:val="20"/>
          <w:color w:val="auto"/>
        </w:rPr>
      </w:pPr>
    </w:p>
    <w:p>
      <w:pPr>
        <w:ind w:right="140" w:firstLine="436"/>
        <w:spacing w:after="0" w:line="256"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Partnership and each of the Subsidiaries carry, or are covered by, insurance from insurers of recognized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in such amounts and covering such risks as is reasonably adequate for the conduct of their respective businesses and the value of their respective properties and as is customary for businesses engaged in similar businesses in similar industries, and none of the Partnership Entities has received notice of cancellation or non-renewal of such insurance or notice that substantial capital improvements or other expenditures will have to be made in order to continue such insurance. All such policies of insurance are outstanding and in full force and effect on the date hereof and will be outstanding and in full force and effect on the Delivery Date; and the Partnership and each of the Subsidiaries are in compliance with the terms of such policies in all material respects.</w:t>
      </w:r>
    </w:p>
    <w:p>
      <w:pPr>
        <w:spacing w:after="0" w:line="182" w:lineRule="exact"/>
        <w:rPr>
          <w:rFonts w:ascii="Times New Roman" w:cs="Times New Roman" w:eastAsia="Times New Roman" w:hAnsi="Times New Roman"/>
          <w:sz w:val="18"/>
          <w:szCs w:val="18"/>
          <w:color w:val="auto"/>
        </w:rPr>
      </w:pPr>
    </w:p>
    <w:p>
      <w:pPr>
        <w:ind w:firstLine="436"/>
        <w:spacing w:after="0" w:line="257" w:lineRule="auto"/>
        <w:tabs>
          <w:tab w:leader="none" w:pos="7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The Partnership and each of the Subsidiaries own or possess adequate rights to use all patents, patent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service marks, trade names, trademark registrations, service mark registrations, copyrights, licenses and know-how (including trade secrets and other unpatented and/or unpatentable proprietary or confidential information, systems or procedures) necessary for the conduct of their respective businesses, and neither the Partnership nor, to the knowledge of the Partnership, any Subsidiary, has reason to believe that the conduct of their respective businesses will conflict with any such rights of others or are aware of any claim or any challenge by any other person to the rights of the Partnership or any of the Subsidiaries with respect to the foregoing.</w:t>
      </w:r>
    </w:p>
    <w:p>
      <w:pPr>
        <w:spacing w:after="0" w:line="182" w:lineRule="exact"/>
        <w:rPr>
          <w:rFonts w:ascii="Times New Roman" w:cs="Times New Roman" w:eastAsia="Times New Roman" w:hAnsi="Times New Roman"/>
          <w:sz w:val="18"/>
          <w:szCs w:val="18"/>
          <w:color w:val="auto"/>
        </w:rPr>
      </w:pPr>
    </w:p>
    <w:p>
      <w:pPr>
        <w:ind w:right="40" w:firstLine="436"/>
        <w:spacing w:after="0" w:line="253" w:lineRule="auto"/>
        <w:tabs>
          <w:tab w:leader="none" w:pos="7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Adequate Disclosure and Descriptions</w:t>
      </w:r>
      <w:r>
        <w:rPr>
          <w:rFonts w:ascii="Times New Roman" w:cs="Times New Roman" w:eastAsia="Times New Roman" w:hAnsi="Times New Roman"/>
          <w:sz w:val="18"/>
          <w:szCs w:val="18"/>
          <w:color w:val="auto"/>
        </w:rPr>
        <w:t>. All legal or governmental proceedings, affiliate transactions, off-balance sheet transactions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limitation, transactions related to, and the existence of, “variable interest entities” within the meaning of Financial Accounting Standards Board Interpretation No. 46), contracts, licenses, agreements, properties, leases or documents of a character required to be described in the Registration Statement, the Pricing Disclosure Package or the Prospectus or to be filed as an exhibit to the Registration Statement have been so described or filed as required; and the statements (i) set forth or incorporated by reference in the Registration Statement, the Pricing Disclosure Package and the Prospectus under the captions “Description of Debt Securities,” “Description of the Notes” and “Certain U.S. Federal Income Tax Considerations,” and (ii) in the Partnership’s Annual Report on Form 10-K for the year ended December 31, 2024, under the captions “Business—Regulation of Interstate Natural Gas Pipelines,” “Business—Regulation of Intrastate Natural Gas and NGL Pipelines,” “Business—Regulation of Sales of Natural Gas and NGLs,” “Business—Regulation of Gathering Pipelines,” “Business—Regulation of Interstate Crude Oil, NGL and Products Pipelines,” “Business—Regulation of Intrastate Crude Oil, NGL and Products Pipelines,” “Business—Regulation of LNG Liquefaction Facilities and LNG Exports” and “Business— Regulation of Pipeline Safety” in each case, as such matters have been updated by any subsequent Annual Report on Form 10-K, Quarterly Report on Form 10-Q or Current Report on Form 8-K filed by the Partnership with the Commission, insofar as such statements summarize agreements, documents or proceedings discussed therein, are accurate in all material respects.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5" w:name="page16"/>
    <w:bookmarkEnd w:id="15"/>
    <w:p>
      <w:pPr>
        <w:ind w:firstLine="436"/>
        <w:spacing w:after="0" w:line="255" w:lineRule="auto"/>
        <w:tabs>
          <w:tab w:leader="none" w:pos="7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Party Transactions</w:t>
      </w:r>
      <w:r>
        <w:rPr>
          <w:rFonts w:ascii="Times New Roman" w:cs="Times New Roman" w:eastAsia="Times New Roman" w:hAnsi="Times New Roman"/>
          <w:sz w:val="18"/>
          <w:szCs w:val="18"/>
          <w:color w:val="auto"/>
        </w:rPr>
        <w:t>. No relationship, direct or indirect, exists between or among (i) any of the Partnership and the Subsidiaries,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hand, and (ii) the securityholders, customers, suppliers, directors or officers of the General Partner or any of its affiliates, on the other hand, which is required to be described in the Pricing Disclosure Package or the Prospectus and is not so described; there are no outstanding loans, advances (except normal advances for business expenses in the ordinary course of business) or guarantees of indebtedness by the Partnership or the Subsidiaries to or for the benefit of any of the officers or directors of any Partnership Entity or their respective family members, except as disclosed in the Registration Statement, the Pricing Disclosure Package and the Prospectus; and neither the Partnership nor any Subsidiary has, in violation of the Sarbanes-Oxley Act of 2002, directly or indirectly, extended or maintained credit, arranged for the extension of credit, or renewed an extension of credit, in the form of a personal loan to or for any director or executive officer of any Partnership Entity.</w:t>
      </w:r>
    </w:p>
    <w:p>
      <w:pPr>
        <w:spacing w:after="0" w:line="184" w:lineRule="exact"/>
        <w:rPr>
          <w:rFonts w:ascii="Times New Roman" w:cs="Times New Roman" w:eastAsia="Times New Roman" w:hAnsi="Times New Roman"/>
          <w:sz w:val="18"/>
          <w:szCs w:val="18"/>
          <w:color w:val="auto"/>
        </w:rPr>
      </w:pPr>
    </w:p>
    <w:p>
      <w:pPr>
        <w:ind w:right="160" w:firstLine="436"/>
        <w:spacing w:after="0" w:line="267" w:lineRule="auto"/>
        <w:tabs>
          <w:tab w:leader="none" w:pos="7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Labor Dispute</w:t>
      </w:r>
      <w:r>
        <w:rPr>
          <w:rFonts w:ascii="Times New Roman" w:cs="Times New Roman" w:eastAsia="Times New Roman" w:hAnsi="Times New Roman"/>
          <w:sz w:val="18"/>
          <w:szCs w:val="18"/>
          <w:color w:val="auto"/>
        </w:rPr>
        <w:t>. No labor disturbance by the employees of the Partnership or any Subsidiary (and to the extent they perform services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Partnership or any Subsidiary, employees of the General Partner or any affiliate of the General Partner), exists or, to the knowledge of the Partnership, is imminent or threatened, that is reasonably likely to have a Material Adverse Effect.</w:t>
      </w:r>
    </w:p>
    <w:p>
      <w:pPr>
        <w:spacing w:after="0" w:line="173"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8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Benefit Matters. </w:t>
      </w:r>
      <w:r>
        <w:rPr>
          <w:rFonts w:ascii="Times New Roman" w:cs="Times New Roman" w:eastAsia="Times New Roman" w:hAnsi="Times New Roman"/>
          <w:sz w:val="18"/>
          <w:szCs w:val="18"/>
          <w:color w:val="auto"/>
        </w:rPr>
        <w:t>There has been no violation of any federal, state, local or foreign law relating to discrimination in the hiring,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promotion or pay of employees, any applicable wage or hour laws or any provision of the Employee Retirement Income Security Act of 1974 or the rules and regulations promulgated thereunder concerning the employees providing services to the Partnership or any Subsidiary, that is reasonably likely to have a Material Adverse Effect.</w:t>
      </w:r>
    </w:p>
    <w:p>
      <w:pPr>
        <w:spacing w:after="0" w:line="179" w:lineRule="exact"/>
        <w:rPr>
          <w:rFonts w:ascii="Times New Roman" w:cs="Times New Roman" w:eastAsia="Times New Roman" w:hAnsi="Times New Roman"/>
          <w:sz w:val="18"/>
          <w:szCs w:val="18"/>
          <w:color w:val="auto"/>
        </w:rPr>
      </w:pPr>
    </w:p>
    <w:p>
      <w:pPr>
        <w:ind w:firstLine="436"/>
        <w:spacing w:after="0" w:line="257" w:lineRule="auto"/>
        <w:tabs>
          <w:tab w:leader="none" w:pos="7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Returns</w:t>
      </w:r>
      <w:r>
        <w:rPr>
          <w:rFonts w:ascii="Times New Roman" w:cs="Times New Roman" w:eastAsia="Times New Roman" w:hAnsi="Times New Roman"/>
          <w:sz w:val="18"/>
          <w:szCs w:val="18"/>
          <w:color w:val="auto"/>
        </w:rPr>
        <w:t>. The Partnership and each of the Subsidiaries have filed (or have obtained extensions with respect to) all material federal,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local income and franchise tax returns required to be filed through the date of this Agreement, which such returns are complete and correct in all material respects, and have timely paid all taxes shown to be due pursuant to such returns, other than those (i) that, if not paid, would not have a Material Adverse Effect or (ii) that are being contested in good faith and for which adequate reserves have been established in accordance with GAAP. No tax deficiency has been determined adversely to the Partnership or any of the Subsidiaries which has had (nor does the Partnership have any knowledge of any tax deficiency which, if determined adversely to the Partnership or any of the Subsidiaries, might have) a Material Adverse Effect.</w:t>
      </w:r>
    </w:p>
    <w:p>
      <w:pPr>
        <w:spacing w:after="0" w:line="182" w:lineRule="exact"/>
        <w:rPr>
          <w:rFonts w:ascii="Times New Roman" w:cs="Times New Roman" w:eastAsia="Times New Roman" w:hAnsi="Times New Roman"/>
          <w:sz w:val="18"/>
          <w:szCs w:val="18"/>
          <w:color w:val="auto"/>
        </w:rPr>
      </w:pPr>
    </w:p>
    <w:p>
      <w:pPr>
        <w:ind w:right="80" w:firstLine="436"/>
        <w:spacing w:after="0" w:line="258" w:lineRule="auto"/>
        <w:tabs>
          <w:tab w:leader="none" w:pos="7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Changes</w:t>
      </w:r>
      <w:r>
        <w:rPr>
          <w:rFonts w:ascii="Times New Roman" w:cs="Times New Roman" w:eastAsia="Times New Roman" w:hAnsi="Times New Roman"/>
          <w:sz w:val="18"/>
          <w:szCs w:val="18"/>
          <w:color w:val="auto"/>
        </w:rPr>
        <w:t>. Since the date as of which information is given in the Preliminary Prospectus through the date of this Agreement, and except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otherwise be disclosed in the Preliminary Prospectus, there has not been (i) any material adverse change, or any development involving, individually or in the aggregate, a prospective material adverse change, in the business, properties, management, financial condition, prospects, net worth or results of operations of the Partnership Entities in the aggregate, on the one hand, and/or the Partnership and the Subsidiaries (taken as a whole), on the other hand, (ii) any transaction that is material to the Partnership or any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16" w:name="page17"/>
    <w:bookmarkEnd w:id="16"/>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Subsidiary (taken as a whole), (iii) any obligation or liability, direct or contingent (including any off-balance sheet obligations), incurred by any of the Partnership Entities or any of the Subsidiaries that is material to the Partnership and the Subsidiaries (taken as a whole), (iv) any material change in the capitalization, ownership or outstanding indebtedness of any of the Partnership Entities or (v) any dividend or distribution of any kind declared, other than quarterly distributions of Available Cash (as defined in the Partnership Agreement), paid or made on the securities of the Partnership or any Subsidiary, in each case whether or not arising from transactions in the ordinary course of business.</w:t>
      </w:r>
    </w:p>
    <w:p>
      <w:pPr>
        <w:spacing w:after="0" w:line="181" w:lineRule="exact"/>
        <w:rPr>
          <w:sz w:val="20"/>
          <w:szCs w:val="20"/>
          <w:color w:val="auto"/>
        </w:rPr>
      </w:pPr>
    </w:p>
    <w:p>
      <w:pPr>
        <w:ind w:left="4" w:right="100" w:firstLine="436"/>
        <w:spacing w:after="0" w:line="257" w:lineRule="auto"/>
        <w:tabs>
          <w:tab w:leader="none" w:pos="7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Books and Records</w:t>
      </w:r>
      <w:r>
        <w:rPr>
          <w:rFonts w:ascii="Times New Roman" w:cs="Times New Roman" w:eastAsia="Times New Roman" w:hAnsi="Times New Roman"/>
          <w:sz w:val="18"/>
          <w:szCs w:val="18"/>
          <w:color w:val="auto"/>
        </w:rPr>
        <w:t>. The Partnership (i) makes and keeps books, records and accounts, that, in reasonable detail, accurately and fairly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transactions and dispositions of assets of the Partnership and (ii) maintains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the Partnership’s consolidated assets, (C) access to assets is permitted only in accordance with management’s general or specific authorization and (D) the recorded accountability for assets is compared with existing assets at reasonable intervals and appropriate action is taken with respect to any differences.</w:t>
      </w:r>
    </w:p>
    <w:p>
      <w:pPr>
        <w:spacing w:after="0" w:line="182" w:lineRule="exact"/>
        <w:rPr>
          <w:rFonts w:ascii="Times New Roman" w:cs="Times New Roman" w:eastAsia="Times New Roman" w:hAnsi="Times New Roman"/>
          <w:sz w:val="18"/>
          <w:szCs w:val="18"/>
          <w:color w:val="auto"/>
        </w:rPr>
      </w:pPr>
    </w:p>
    <w:p>
      <w:pPr>
        <w:ind w:left="4" w:firstLine="436"/>
        <w:spacing w:after="0" w:line="253" w:lineRule="auto"/>
        <w:tabs>
          <w:tab w:leader="none" w:pos="7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Default. </w:t>
      </w:r>
      <w:r>
        <w:rPr>
          <w:rFonts w:ascii="Times New Roman" w:cs="Times New Roman" w:eastAsia="Times New Roman" w:hAnsi="Times New Roman"/>
          <w:sz w:val="18"/>
          <w:szCs w:val="18"/>
          <w:color w:val="auto"/>
        </w:rPr>
        <w:t>None of the Partnership Entities nor any of the Material Subsidiaries is in violation of its certificate of limited partnership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of limited partnership, certificate of formation or limited liability company agreement or any other organizational or governing documents. None of the Partnership Entities nor any of the Subsidiaries is: (i) in breach or default in any material respect, and no event has occurred that, with notice or lapse of time or both, would constitute such a breach or default, in the performance or observance of any term, covenant or condition contained in any bond, debenture, note or any other evidence of indebtedness or any agreement, indenture, mortgage, deed of trust, loan agreement, lease, license or other agreement or instrument to which it is a party or by which it is bound or to which any of its properties or assets is subject; or (ii) in violation of any statute or any order, rule or regulation of any court or governmental agency or body having jurisdiction over it or its property or assets or has failed to obtain any Permit necessary to the ownership of its property or to the conduct of its business, except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as would not, if continued, have a Material Adverse Effect, or would not materially impair the ability of the Partnership to perform its obligations under the Debt Documents. To the knowledge of the Partnership, no third party to any indenture, mortgage, deed of trust, loan agreement, guarantee, lease or other agreement or instrument to which any of the Partnership Entities or any of the Subsidiaries is a party or by which any of them are bound or to which any of their properties are subject, is in default under any such agreement, which breach, default or violation would, if continued, have a Material Adverse Effect.</w:t>
      </w:r>
    </w:p>
    <w:p>
      <w:pPr>
        <w:spacing w:after="0" w:line="187" w:lineRule="exact"/>
        <w:rPr>
          <w:rFonts w:ascii="Times New Roman" w:cs="Times New Roman" w:eastAsia="Times New Roman" w:hAnsi="Times New Roman"/>
          <w:sz w:val="18"/>
          <w:szCs w:val="18"/>
          <w:color w:val="auto"/>
        </w:rPr>
      </w:pPr>
    </w:p>
    <w:p>
      <w:pPr>
        <w:ind w:left="724" w:hanging="284"/>
        <w:spacing w:after="0"/>
        <w:tabs>
          <w:tab w:leader="none" w:pos="7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Compliance</w:t>
      </w:r>
      <w:r>
        <w:rPr>
          <w:rFonts w:ascii="Times New Roman" w:cs="Times New Roman" w:eastAsia="Times New Roman" w:hAnsi="Times New Roman"/>
          <w:sz w:val="18"/>
          <w:szCs w:val="18"/>
          <w:color w:val="auto"/>
        </w:rPr>
        <w:t>. Except as described in the Pricing Disclosure Package and the Prospectus, the Partnership and the Subsidiaries</w:t>
      </w:r>
    </w:p>
    <w:p>
      <w:pPr>
        <w:spacing w:after="0" w:line="29" w:lineRule="exact"/>
        <w:rPr>
          <w:rFonts w:ascii="Times New Roman" w:cs="Times New Roman" w:eastAsia="Times New Roman" w:hAnsi="Times New Roman"/>
          <w:sz w:val="18"/>
          <w:szCs w:val="18"/>
          <w:color w:val="auto"/>
        </w:rPr>
      </w:pPr>
    </w:p>
    <w:p>
      <w:pPr>
        <w:ind w:left="4" w:right="20" w:hanging="4"/>
        <w:spacing w:after="0" w:line="253" w:lineRule="auto"/>
        <w:tabs>
          <w:tab w:leader="none" w:pos="2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compliance with any and all applicable federal, state and local laws, regulations, ordinances, rules, orders, judgments, decrees, permits or other legally enforceable requirements relating to the protection of human health and safety, the environment or natural resources or imposing liability or standards of conduct concerning any Hazardous Materials (as defined below)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(ii) have received or timely applied for and, as necessary and applicable, maintained all permits required of</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17" w:name="page18"/>
    <w:bookmarkEnd w:id="17"/>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them under applicable Environmental Laws to conduct their respective businesses, (iii) are in compliance with all terms and conditions of any such permits, (iv) have not received written notice of any, and to the knowledge of the Partnership after due inquiry there are no, pending events or circumstances that could reasonably be expected to form the basis for any actual or potential liability for the investigation or remediation of any disposal or release of hazardous or toxic substances or wastes, pollutants or contaminants and (v) have not been named as a “potentially responsibly party” under the Comprehensive Environmental Response, Compensation and Liability Act of 1980, as amended (“</w:t>
      </w:r>
      <w:r>
        <w:rPr>
          <w:rFonts w:ascii="Times New Roman" w:cs="Times New Roman" w:eastAsia="Times New Roman" w:hAnsi="Times New Roman"/>
          <w:sz w:val="18"/>
          <w:szCs w:val="18"/>
          <w:b w:val="1"/>
          <w:bCs w:val="1"/>
          <w:i w:val="1"/>
          <w:iCs w:val="1"/>
          <w:color w:val="auto"/>
        </w:rPr>
        <w:t>CERCLA</w:t>
      </w:r>
      <w:r>
        <w:rPr>
          <w:rFonts w:ascii="Times New Roman" w:cs="Times New Roman" w:eastAsia="Times New Roman" w:hAnsi="Times New Roman"/>
          <w:sz w:val="18"/>
          <w:szCs w:val="18"/>
          <w:color w:val="auto"/>
        </w:rPr>
        <w:t>”), or any other analogous state Superfund statute, except where such noncompliance with Environmental Laws, failure to receive and maintain required permits, failure to comply with the terms and conditions of such permits, liability in connection with such releases or naming as a potentially responsible party under CERCLA would not, individually or in the aggregate, be reasonably expected to have a Material Adverse Effect. The term “</w:t>
      </w:r>
      <w:r>
        <w:rPr>
          <w:rFonts w:ascii="Times New Roman" w:cs="Times New Roman" w:eastAsia="Times New Roman" w:hAnsi="Times New Roman"/>
          <w:sz w:val="18"/>
          <w:szCs w:val="18"/>
          <w:b w:val="1"/>
          <w:bCs w:val="1"/>
          <w:i w:val="1"/>
          <w:iCs w:val="1"/>
          <w:color w:val="auto"/>
        </w:rPr>
        <w:t>Hazardous Material</w:t>
      </w:r>
      <w:r>
        <w:rPr>
          <w:rFonts w:ascii="Times New Roman" w:cs="Times New Roman" w:eastAsia="Times New Roman" w:hAnsi="Times New Roman"/>
          <w:sz w:val="18"/>
          <w:szCs w:val="18"/>
          <w:color w:val="auto"/>
        </w:rPr>
        <w:t>” means (A) any “hazardous substance” as defined in CERCLA, (B) any “hazardous waste” as defined in the Resource Conservation and Recovery Act, as amended,</w:t>
      </w:r>
    </w:p>
    <w:p>
      <w:pPr>
        <w:spacing w:after="0" w:line="6" w:lineRule="exact"/>
        <w:rPr>
          <w:sz w:val="20"/>
          <w:szCs w:val="20"/>
          <w:color w:val="auto"/>
        </w:rPr>
      </w:pPr>
    </w:p>
    <w:p>
      <w:pPr>
        <w:ind w:left="4" w:right="180" w:hanging="4"/>
        <w:spacing w:after="0" w:line="252" w:lineRule="auto"/>
        <w:tabs>
          <w:tab w:leader="none" w:pos="2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petroleum or petroleum product, (D) any polychlorinated biphenyl and (E) any pollutant, contaminant or hazardous, dangerous or toxic chemical, material, waste or substance regulated under or within the meaning of any other Environmental Law. Except as described in the Pricing Disclosure Package and the Prospectus, (1) neither the Partnership nor any of the Subsidiaries is a party to a proceeding under Environmental Laws in which a governmental authority is also a party, other than such proceedings regarding which it believes no monetary penalties of $300,000 or more ultimately will be imposed against it and (2) neither the Partnership nor any of the Subsidiaries anticipate material capital expenditures relating to Environmental Laws.</w:t>
      </w:r>
    </w:p>
    <w:p>
      <w:pPr>
        <w:spacing w:after="0" w:line="187" w:lineRule="exact"/>
        <w:rPr>
          <w:rFonts w:ascii="Times New Roman" w:cs="Times New Roman" w:eastAsia="Times New Roman" w:hAnsi="Times New Roman"/>
          <w:sz w:val="18"/>
          <w:szCs w:val="18"/>
          <w:color w:val="auto"/>
        </w:rPr>
      </w:pPr>
    </w:p>
    <w:p>
      <w:pPr>
        <w:ind w:left="4" w:firstLine="436"/>
        <w:spacing w:after="0" w:line="261" w:lineRule="auto"/>
        <w:tabs>
          <w:tab w:leader="none" w:pos="74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w:t>
      </w:r>
      <w:r>
        <w:rPr>
          <w:rFonts w:ascii="Times New Roman" w:cs="Times New Roman" w:eastAsia="Times New Roman" w:hAnsi="Times New Roman"/>
          <w:sz w:val="18"/>
          <w:szCs w:val="18"/>
          <w:color w:val="auto"/>
        </w:rPr>
        <w:t>. The Partnership is not, and as of the Delivery Date and, after giving effect to the offer and sale of the Notes to be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Partnership hereunder and application of the net proceeds from such sale as described in the Pricing Disclosure Package and the Prospectus under the caption “Use of Proceeds,” the Partnership will not be, an “investment company” within the meaning of the Investment Company Act of 1940, as amended (the “</w:t>
      </w:r>
      <w:r>
        <w:rPr>
          <w:rFonts w:ascii="Times New Roman" w:cs="Times New Roman" w:eastAsia="Times New Roman" w:hAnsi="Times New Roman"/>
          <w:sz w:val="18"/>
          <w:szCs w:val="18"/>
          <w:b w:val="1"/>
          <w:bCs w:val="1"/>
          <w:i w:val="1"/>
          <w:iCs w:val="1"/>
          <w:color w:val="auto"/>
        </w:rPr>
        <w:t>Investment Company Act</w:t>
      </w:r>
      <w:r>
        <w:rPr>
          <w:rFonts w:ascii="Times New Roman" w:cs="Times New Roman" w:eastAsia="Times New Roman" w:hAnsi="Times New Roman"/>
          <w:sz w:val="18"/>
          <w:szCs w:val="18"/>
          <w:color w:val="auto"/>
        </w:rPr>
        <w:t>”), and the rules and regulations of the Commission thereunder.</w:t>
      </w:r>
    </w:p>
    <w:p>
      <w:pPr>
        <w:spacing w:after="0" w:line="179" w:lineRule="exact"/>
        <w:rPr>
          <w:rFonts w:ascii="Times New Roman" w:cs="Times New Roman" w:eastAsia="Times New Roman" w:hAnsi="Times New Roman"/>
          <w:sz w:val="18"/>
          <w:szCs w:val="18"/>
          <w:color w:val="auto"/>
        </w:rPr>
      </w:pPr>
    </w:p>
    <w:p>
      <w:pPr>
        <w:ind w:left="4" w:firstLine="436"/>
        <w:spacing w:after="0" w:line="255" w:lineRule="auto"/>
        <w:tabs>
          <w:tab w:leader="none" w:pos="70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Actions or Violations. </w:t>
      </w:r>
      <w:r>
        <w:rPr>
          <w:rFonts w:ascii="Times New Roman" w:cs="Times New Roman" w:eastAsia="Times New Roman" w:hAnsi="Times New Roman"/>
          <w:sz w:val="18"/>
          <w:szCs w:val="18"/>
          <w:color w:val="auto"/>
        </w:rPr>
        <w:t>Except as described in the Pricing Disclosure Package and the Prospectus, there is (i) no action, suit, claim,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investigation or proceeding before or by any court, arbitrator or governmental agency, body or official, domestic or foreign, now pending or, to the knowledge of the Partnership, threatened or contemplated, to which the Partnership Entities, any Subsidiary or any of the General Partner’s officers and directors is or would be a party or to which any of their respective properties is or would be subject at law or in equity and (ii) no statute, rule, regulation or order that has been enacted, adopted or issued by any governmental agency or that, to the knowledge of the Partnership, has been proposed by any governmental agency,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is reasonably expected to (A) have a Material Adverse Effect, (B) prevent or result in the suspension of the offering and sale of the Notes or (C) in any manner draw into question the validity of the Debt Documents or the transactions contemplated hereby or thereby.</w:t>
      </w:r>
    </w:p>
    <w:p>
      <w:pPr>
        <w:spacing w:after="0" w:line="184" w:lineRule="exact"/>
        <w:rPr>
          <w:rFonts w:ascii="Times New Roman" w:cs="Times New Roman" w:eastAsia="Times New Roman" w:hAnsi="Times New Roman"/>
          <w:sz w:val="18"/>
          <w:szCs w:val="18"/>
          <w:color w:val="auto"/>
        </w:rPr>
      </w:pPr>
    </w:p>
    <w:p>
      <w:pPr>
        <w:ind w:left="4" w:right="540" w:firstLine="436"/>
        <w:spacing w:after="0" w:line="284" w:lineRule="auto"/>
        <w:tabs>
          <w:tab w:leader="none" w:pos="78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Data. </w:t>
      </w:r>
      <w:r>
        <w:rPr>
          <w:rFonts w:ascii="Times New Roman" w:cs="Times New Roman" w:eastAsia="Times New Roman" w:hAnsi="Times New Roman"/>
          <w:sz w:val="18"/>
          <w:szCs w:val="18"/>
          <w:color w:val="auto"/>
        </w:rPr>
        <w:t>The statistical and market-related data included in the Registration Statement,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are based on or derived from sources which the Partnership believes to be reliable and accurate in all material respects.</w:t>
      </w:r>
    </w:p>
    <w:p>
      <w:pPr>
        <w:spacing w:after="0" w:line="9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18" w:name="page19"/>
    <w:bookmarkEnd w:id="18"/>
    <w:p>
      <w:pPr>
        <w:ind w:left="4" w:right="160" w:firstLine="436"/>
        <w:spacing w:after="0" w:line="257" w:lineRule="auto"/>
        <w:tabs>
          <w:tab w:leader="none" w:pos="7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Disclosure Controls and Procedures. </w:t>
      </w:r>
      <w:r>
        <w:rPr>
          <w:rFonts w:ascii="Times New Roman" w:cs="Times New Roman" w:eastAsia="Times New Roman" w:hAnsi="Times New Roman"/>
          <w:sz w:val="18"/>
          <w:szCs w:val="18"/>
          <w:color w:val="auto"/>
        </w:rPr>
        <w:t>The Partnership has established and maintains disclosure controls and procedures (as such term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 13a-15 under the Exchange Act), which (i) are designed to ensure that material information relating to the Partnership, including its consolidated subsidiaries, is made known to the General Partner’s principal executive officer and its principal financial officer by others within those entities, particularly during the periods in which the periodic reports required under the Exchange Act are being prepared, (ii) have been evaluated for effectiveness as of the date of the most recent audited financial statements and (iii) are effective in all material respects to perform the functions for which they were established.</w:t>
      </w:r>
    </w:p>
    <w:p>
      <w:pPr>
        <w:spacing w:after="0" w:line="182" w:lineRule="exact"/>
        <w:rPr>
          <w:rFonts w:ascii="Times New Roman" w:cs="Times New Roman" w:eastAsia="Times New Roman" w:hAnsi="Times New Roman"/>
          <w:sz w:val="18"/>
          <w:szCs w:val="18"/>
          <w:color w:val="auto"/>
        </w:rPr>
      </w:pPr>
    </w:p>
    <w:p>
      <w:pPr>
        <w:ind w:left="4" w:right="40" w:firstLine="436"/>
        <w:spacing w:after="0" w:line="277" w:lineRule="auto"/>
        <w:tabs>
          <w:tab w:leader="none" w:pos="86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Internal Control Over Financial Reporting. </w:t>
      </w:r>
      <w:r>
        <w:rPr>
          <w:rFonts w:ascii="Times New Roman" w:cs="Times New Roman" w:eastAsia="Times New Roman" w:hAnsi="Times New Roman"/>
          <w:sz w:val="17"/>
          <w:szCs w:val="17"/>
          <w:color w:val="auto"/>
        </w:rPr>
        <w:t>Since the date of the most recent audited balance sheet of the Partnership and its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subsidiaries reviewed or audited by Grant Thornton LLP and the audit committee of the board of directors of the General Partner (“</w:t>
      </w:r>
      <w:r>
        <w:rPr>
          <w:rFonts w:ascii="Times New Roman" w:cs="Times New Roman" w:eastAsia="Times New Roman" w:hAnsi="Times New Roman"/>
          <w:sz w:val="17"/>
          <w:szCs w:val="17"/>
          <w:b w:val="1"/>
          <w:bCs w:val="1"/>
          <w:i w:val="1"/>
          <w:iCs w:val="1"/>
          <w:color w:val="auto"/>
        </w:rPr>
        <w:t>Audit Committee</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auditors and the Audit Committee have been advised of (A) all significant deficiencies in the design or operation of internal control over financial reporting that could adversely affect the ability of the Partnership and each of its subsidiaries to record, process, summarize and report financial data, or any material weaknesses in internal control over financial reporting and (B) all fraud, whether or not material, that involves management or other employees who have a significant role in the internal control over financial reporting of the Partnership and each of its subsidiaries, and (ii) there have been no changes in internal control over financial reporting, including any corrective actions with regard to significant deficiencies and material weaknesses, that has materially affected, or is reasonably likely to materially affect, the Partnership’s internal control over financial reporting. The Partnership and its consolidated subsidiaries maintain internal accounting controls sufficient to provide reasonable assurance that interactive data in XBRL included or incorporated by reference in the Registration Statement, the Pricing Disclosure Package and the Prospectus is prepared in accordance with the Commission’s rules and guidelines applicable thereto.</w:t>
      </w:r>
    </w:p>
    <w:p>
      <w:pPr>
        <w:spacing w:after="0" w:line="191" w:lineRule="exact"/>
        <w:rPr>
          <w:rFonts w:ascii="Times New Roman" w:cs="Times New Roman" w:eastAsia="Times New Roman" w:hAnsi="Times New Roman"/>
          <w:sz w:val="18"/>
          <w:szCs w:val="18"/>
          <w:color w:val="auto"/>
        </w:rPr>
      </w:pPr>
    </w:p>
    <w:p>
      <w:pPr>
        <w:ind w:left="4" w:firstLine="436"/>
        <w:spacing w:after="0" w:line="258" w:lineRule="auto"/>
        <w:tabs>
          <w:tab w:leader="none" w:pos="78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Distribution of Offering Materials. </w:t>
      </w:r>
      <w:r>
        <w:rPr>
          <w:rFonts w:ascii="Times New Roman" w:cs="Times New Roman" w:eastAsia="Times New Roman" w:hAnsi="Times New Roman"/>
          <w:sz w:val="18"/>
          <w:szCs w:val="18"/>
          <w:color w:val="auto"/>
        </w:rPr>
        <w:t>None of the Partnership Entities or, to the knowledge of the Partnership, any of their affiliates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distributed nor, prior to the later to occur of the Delivery Date and completion of the distribution of the Notes, will they distribute any offering material in connection with the offering and sale of the Notes other than the Preliminary Prospectus, the Prospectus, any Issuer Free Writing Prospectus to which the Representatives have consented in accordance with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5(a)(vi)</w:t>
      </w:r>
      <w:r>
        <w:rPr>
          <w:rFonts w:ascii="Times New Roman" w:cs="Times New Roman" w:eastAsia="Times New Roman" w:hAnsi="Times New Roman"/>
          <w:sz w:val="18"/>
          <w:szCs w:val="18"/>
          <w:color w:val="auto"/>
        </w:rPr>
        <w:t xml:space="preserve"> and any Issuer Free Writing Prospectus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w:t>
      </w:r>
    </w:p>
    <w:p>
      <w:pPr>
        <w:spacing w:after="0" w:line="183" w:lineRule="exact"/>
        <w:rPr>
          <w:rFonts w:ascii="Times New Roman" w:cs="Times New Roman" w:eastAsia="Times New Roman" w:hAnsi="Times New Roman"/>
          <w:sz w:val="18"/>
          <w:szCs w:val="18"/>
          <w:color w:val="auto"/>
        </w:rPr>
      </w:pPr>
    </w:p>
    <w:p>
      <w:pPr>
        <w:ind w:left="4" w:right="240" w:firstLine="436"/>
        <w:spacing w:after="0" w:line="284" w:lineRule="auto"/>
        <w:tabs>
          <w:tab w:leader="none" w:pos="78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Sarbanes-Oxley. </w:t>
      </w:r>
      <w:r>
        <w:rPr>
          <w:rFonts w:ascii="Times New Roman" w:cs="Times New Roman" w:eastAsia="Times New Roman" w:hAnsi="Times New Roman"/>
          <w:sz w:val="18"/>
          <w:szCs w:val="18"/>
          <w:color w:val="auto"/>
        </w:rPr>
        <w:t>The Partnership is in compliance in all material respects with all applicable provisions of the Sarbanes-Oxley Act of 2002 and the rules and regulations promulgated in connection therewith.</w:t>
      </w:r>
    </w:p>
    <w:p>
      <w:pPr>
        <w:spacing w:after="0" w:line="158" w:lineRule="exact"/>
        <w:rPr>
          <w:rFonts w:ascii="Times New Roman" w:cs="Times New Roman" w:eastAsia="Times New Roman" w:hAnsi="Times New Roman"/>
          <w:sz w:val="18"/>
          <w:szCs w:val="18"/>
          <w:color w:val="auto"/>
        </w:rPr>
      </w:pPr>
    </w:p>
    <w:p>
      <w:pPr>
        <w:ind w:left="4" w:right="360" w:firstLine="436"/>
        <w:spacing w:after="0" w:line="267" w:lineRule="auto"/>
        <w:tabs>
          <w:tab w:leader="none" w:pos="76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Each “forward-looking statement” (within the coverage of Rule 175(b) of the Securities Act) contained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the Registration Statement, the Pricing Disclosure Package and the Prospectus has been made or reaffirmed with a reasonable basis and in good faith.</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4"/>
          </w:cols>
          <w:pgMar w:left="436" w:top="268" w:right="519" w:bottom="1440" w:gutter="0" w:footer="0" w:header="0"/>
        </w:sectPr>
      </w:pPr>
    </w:p>
    <w:bookmarkStart w:id="19" w:name="page20"/>
    <w:bookmarkEnd w:id="19"/>
    <w:p>
      <w:pPr>
        <w:ind w:left="4" w:firstLine="436"/>
        <w:spacing w:after="0" w:line="253" w:lineRule="auto"/>
        <w:tabs>
          <w:tab w:leader="none" w:pos="84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Unlawful Payments. </w:t>
      </w:r>
      <w:r>
        <w:rPr>
          <w:rFonts w:ascii="Times New Roman" w:cs="Times New Roman" w:eastAsia="Times New Roman" w:hAnsi="Times New Roman"/>
          <w:sz w:val="18"/>
          <w:szCs w:val="18"/>
          <w:color w:val="auto"/>
        </w:rPr>
        <w:t>None of the Partnership Entities or its affiliates or any of the Subsidiaries, nor to the knowledge of the Partnership,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director, officer or employee of any of the Partnership Entities or any of the Subsidiaries or any agent, representative or other person associated with or acting on behalf of any of the Partnership Entities or any of the Subsidiaries has (i) used any funds for any unlawful contribution, gifts or anything else of value, entertainment or other unlawful expense, directly or indirectly, relating to political activity or in order to influence official action;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Times New Roman" w:cs="Times New Roman" w:eastAsia="Times New Roman" w:hAnsi="Times New Roman"/>
          <w:sz w:val="18"/>
          <w:szCs w:val="18"/>
          <w:color w:val="auto"/>
        </w:rPr>
      </w:pPr>
    </w:p>
    <w:p>
      <w:pPr>
        <w:ind w:left="4" w:right="40" w:hanging="4"/>
        <w:spacing w:after="0" w:line="252" w:lineRule="auto"/>
        <w:tabs>
          <w:tab w:leader="none" w:pos="3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Partnership Entities and the Subsidiaries have instituted and maintain and enforce policies and procedures designed to promote and ensure compliance with all applicable anti-bribery and anti-corruption laws.</w:t>
      </w:r>
    </w:p>
    <w:p>
      <w:pPr>
        <w:spacing w:after="0" w:line="187" w:lineRule="exact"/>
        <w:rPr>
          <w:rFonts w:ascii="Times New Roman" w:cs="Times New Roman" w:eastAsia="Times New Roman" w:hAnsi="Times New Roman"/>
          <w:sz w:val="18"/>
          <w:szCs w:val="18"/>
          <w:color w:val="auto"/>
        </w:rPr>
      </w:pPr>
    </w:p>
    <w:p>
      <w:pPr>
        <w:ind w:left="4" w:right="180" w:firstLine="436"/>
        <w:spacing w:after="0" w:line="273" w:lineRule="auto"/>
        <w:tabs>
          <w:tab w:leader="none" w:pos="879"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Compliance with Money Laundering Laws. </w:t>
      </w:r>
      <w:r>
        <w:rPr>
          <w:rFonts w:ascii="Times New Roman" w:cs="Times New Roman" w:eastAsia="Times New Roman" w:hAnsi="Times New Roman"/>
          <w:sz w:val="17"/>
          <w:szCs w:val="17"/>
          <w:color w:val="auto"/>
        </w:rPr>
        <w:t>The operations of the Partnership Entities and the Subsidiaries are and have been conducted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 times in compliance with applicable financial recordkeeping and reporting requirements, including those of the Currency and Foreign Transactions Reporting Act of 1970, as amended, the applicable money laundering statutes of all jurisdictions where any of the Partnership Entities or any of the Subsidiaries conduct business,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17"/>
          <w:szCs w:val="17"/>
          <w:b w:val="1"/>
          <w:bCs w:val="1"/>
          <w:i w:val="1"/>
          <w:iCs w:val="1"/>
          <w:color w:val="auto"/>
        </w:rPr>
        <w:t>Anti-Money Laundering Laws</w:t>
      </w:r>
      <w:r>
        <w:rPr>
          <w:rFonts w:ascii="Times New Roman" w:cs="Times New Roman" w:eastAsia="Times New Roman" w:hAnsi="Times New Roman"/>
          <w:sz w:val="17"/>
          <w:szCs w:val="17"/>
          <w:color w:val="auto"/>
        </w:rPr>
        <w:t>”) and no action, suit or proceeding by or before any court or governmental or regulatory agency, authority or body or any arbitrator involving any of the Partnership Entities or any of the Subsidiaries with respect to the Anti-Money Laundering Laws is pending or, to the knowledge of the General Partner and the Partnership, threatened.</w:t>
      </w:r>
    </w:p>
    <w:p>
      <w:pPr>
        <w:spacing w:after="0" w:line="171" w:lineRule="exact"/>
        <w:rPr>
          <w:rFonts w:ascii="Times New Roman" w:cs="Times New Roman" w:eastAsia="Times New Roman" w:hAnsi="Times New Roman"/>
          <w:sz w:val="17"/>
          <w:szCs w:val="17"/>
          <w:color w:val="auto"/>
        </w:rPr>
      </w:pPr>
    </w:p>
    <w:p>
      <w:pPr>
        <w:ind w:left="4" w:firstLine="436"/>
        <w:spacing w:after="0" w:line="253" w:lineRule="auto"/>
        <w:tabs>
          <w:tab w:leader="none" w:pos="84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None of the Partnership Entities nor to the knowledge of the Partnership, any director, officer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of any of the Partnership Entities, nor, to the knowledge of the Partnership, any agent, affiliate or other person associated with or acting on behalf of any of the Partnership Entities is currently, or is owned or controlled by one or more persons that are, (i) the subject or the target of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or the U.S. Department of State and including, without limitation, the designation as a “specially designated national” or “blocked person”), the United Nations Security Council (“</w:t>
      </w:r>
      <w:r>
        <w:rPr>
          <w:rFonts w:ascii="Times New Roman" w:cs="Times New Roman" w:eastAsia="Times New Roman" w:hAnsi="Times New Roman"/>
          <w:sz w:val="18"/>
          <w:szCs w:val="18"/>
          <w:b w:val="1"/>
          <w:bCs w:val="1"/>
          <w:i w:val="1"/>
          <w:iCs w:val="1"/>
          <w:color w:val="auto"/>
        </w:rPr>
        <w:t>UNSC</w:t>
      </w:r>
      <w:r>
        <w:rPr>
          <w:rFonts w:ascii="Times New Roman" w:cs="Times New Roman" w:eastAsia="Times New Roman" w:hAnsi="Times New Roman"/>
          <w:sz w:val="18"/>
          <w:szCs w:val="18"/>
          <w:color w:val="auto"/>
        </w:rPr>
        <w:t>”), the European Union, His Majesty’s Treasury (“</w:t>
      </w:r>
      <w:r>
        <w:rPr>
          <w:rFonts w:ascii="Times New Roman" w:cs="Times New Roman" w:eastAsia="Times New Roman" w:hAnsi="Times New Roman"/>
          <w:sz w:val="18"/>
          <w:szCs w:val="18"/>
          <w:b w:val="1"/>
          <w:bCs w:val="1"/>
          <w:i w:val="1"/>
          <w:iCs w:val="1"/>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or (ii) located, organized or resident in a country or territory that is the subject or the target of Sanctions, including, without limitation, Cuba, Iran, North Korea, Syria (prior to July 1, 2025), Russia, the so-called Donetsk People’s Republic, the so-called Luhansk People’s Republic, the Crimea region of Ukraine and the non-government controlled areas of Zaporizhzhia and Kherson (each, a “</w:t>
      </w:r>
      <w:r>
        <w:rPr>
          <w:rFonts w:ascii="Times New Roman" w:cs="Times New Roman" w:eastAsia="Times New Roman" w:hAnsi="Times New Roman"/>
          <w:sz w:val="18"/>
          <w:szCs w:val="18"/>
          <w:b w:val="1"/>
          <w:bCs w:val="1"/>
          <w:i w:val="1"/>
          <w:iCs w:val="1"/>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Country</w:t>
      </w:r>
      <w:r>
        <w:rPr>
          <w:rFonts w:ascii="Times New Roman" w:cs="Times New Roman" w:eastAsia="Times New Roman" w:hAnsi="Times New Roman"/>
          <w:sz w:val="18"/>
          <w:szCs w:val="18"/>
          <w:color w:val="auto"/>
        </w:rPr>
        <w:t>”); and the Partnership will not directly or indirectly use the proceeds of the offering of the Notes hereunder, or lend, contribute or otherwise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available such proceeds to any subsidiary, joint venture partner or other person or</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8" w:right="459" w:bottom="1440" w:gutter="0" w:footer="0" w:header="0"/>
        </w:sectPr>
      </w:pPr>
    </w:p>
    <w:bookmarkStart w:id="20" w:name="page21"/>
    <w:bookmarkEnd w:id="20"/>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none of the General Partner, the Partnership or the Subsidiaries has knowingly engaged in, are not now knowingly engaged in, and will not engage in, any dealings or transactions with any person that at the time of the dealing or transaction is or was the subject or the target of Sanctions or with any Sanctioned Country.</w:t>
      </w:r>
    </w:p>
    <w:p>
      <w:pPr>
        <w:spacing w:after="0" w:line="185" w:lineRule="exact"/>
        <w:rPr>
          <w:sz w:val="20"/>
          <w:szCs w:val="20"/>
          <w:color w:val="auto"/>
        </w:rPr>
      </w:pPr>
    </w:p>
    <w:p>
      <w:pPr>
        <w:ind w:left="4" w:firstLine="436"/>
        <w:spacing w:after="0" w:line="267" w:lineRule="auto"/>
        <w:tabs>
          <w:tab w:leader="none" w:pos="87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Stabilization. </w:t>
      </w:r>
      <w:r>
        <w:rPr>
          <w:rFonts w:ascii="Times New Roman" w:cs="Times New Roman" w:eastAsia="Times New Roman" w:hAnsi="Times New Roman"/>
          <w:sz w:val="18"/>
          <w:szCs w:val="18"/>
          <w:color w:val="auto"/>
        </w:rPr>
        <w:t>None of the Partnership Entities nor any of their respective Affiliates (as such term is defined in Rule 405 promulgated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has taken and none will take, directly or indirectly, any action designed to or that has constituted or that could reasonably be expected to cause or result in the stabilization or manipulation of the price of any security of the Partnership to facilitate the sale or resale of the Notes.</w:t>
      </w:r>
    </w:p>
    <w:p>
      <w:pPr>
        <w:spacing w:after="0" w:line="173" w:lineRule="exact"/>
        <w:rPr>
          <w:rFonts w:ascii="Times New Roman" w:cs="Times New Roman" w:eastAsia="Times New Roman" w:hAnsi="Times New Roman"/>
          <w:sz w:val="18"/>
          <w:szCs w:val="18"/>
          <w:color w:val="auto"/>
        </w:rPr>
      </w:pPr>
    </w:p>
    <w:p>
      <w:pPr>
        <w:ind w:left="4" w:firstLine="436"/>
        <w:spacing w:after="0" w:line="261" w:lineRule="auto"/>
        <w:tabs>
          <w:tab w:leader="none" w:pos="84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Distributions</w:t>
      </w:r>
      <w:r>
        <w:rPr>
          <w:rFonts w:ascii="Times New Roman" w:cs="Times New Roman" w:eastAsia="Times New Roman" w:hAnsi="Times New Roman"/>
          <w:sz w:val="18"/>
          <w:szCs w:val="18"/>
          <w:color w:val="auto"/>
        </w:rPr>
        <w:t>. Except as described in the Pricing Disclosure Package and the Prospectus, no wholly-owned Subsidiary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prohibited, directly or indirectly, from paying any dividends to the Partnership, from making any other distribution on such Subsidiary’s equity, from repaying to the General Partner or the Partnership any loans or advances to such entity from the General Partner or the Partnership or from transferring any of such entity’s property or assets to the Partnership or any other Subsidiary.</w:t>
      </w:r>
    </w:p>
    <w:p>
      <w:pPr>
        <w:spacing w:after="0" w:line="179" w:lineRule="exact"/>
        <w:rPr>
          <w:rFonts w:ascii="Times New Roman" w:cs="Times New Roman" w:eastAsia="Times New Roman" w:hAnsi="Times New Roman"/>
          <w:sz w:val="18"/>
          <w:szCs w:val="18"/>
          <w:color w:val="auto"/>
        </w:rPr>
      </w:pPr>
    </w:p>
    <w:p>
      <w:pPr>
        <w:ind w:left="4" w:firstLine="436"/>
        <w:spacing w:after="0" w:line="271" w:lineRule="auto"/>
        <w:tabs>
          <w:tab w:leader="none" w:pos="782"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Cybersecurity</w:t>
      </w:r>
      <w:r>
        <w:rPr>
          <w:rFonts w:ascii="Times New Roman" w:cs="Times New Roman" w:eastAsia="Times New Roman" w:hAnsi="Times New Roman"/>
          <w:sz w:val="17"/>
          <w:szCs w:val="17"/>
          <w:color w:val="auto"/>
        </w:rPr>
        <w:t>. (i) To the knowledge of the Partnership Entities, there has been no security breach or incident, unauthorized access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or other compromise of or relating to the Partnership or any of its Subsidiary’s information technology and computer systems, networks, hardware, software, data and databases (including the data and information of their respective customers, employees, suppliers, vendors and any third party data maintained, processed or stored by the Partnership or any of its Subsidiaries), equipment or technology (collectively, “</w:t>
      </w:r>
      <w:r>
        <w:rPr>
          <w:rFonts w:ascii="Times New Roman" w:cs="Times New Roman" w:eastAsia="Times New Roman" w:hAnsi="Times New Roman"/>
          <w:sz w:val="17"/>
          <w:szCs w:val="17"/>
          <w:b w:val="1"/>
          <w:bCs w:val="1"/>
          <w:i w:val="1"/>
          <w:iCs w:val="1"/>
          <w:color w:val="auto"/>
        </w:rPr>
        <w:t>IT Systems and Data</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4" w:right="140" w:hanging="4"/>
        <w:spacing w:after="0" w:line="251" w:lineRule="auto"/>
        <w:tabs>
          <w:tab w:leader="none" w:pos="2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Partnership or any of its Subsidiaries has been notified of, and to the knowledge of the Partnership Entities, there has been no event or condition that would be reasonably expected to result in, any security breach or incident, unauthorized access or disclosure or other compromise to any of the Partnership’s or any of its Subsidiary’s respective IT Systems and Data; (iii) each of the Partnership and its Subsidiaries have implemented appropriate controls, policies, procedures, and technological safeguards to maintain and protect the integrity, continuous operation, redundancy and security of their respective IT Systems and Data reasonably consistent with industry standards and practices, or as required by applicable regulatory standards; and (iv) the Partnership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193"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Each certificate signed by any officer of the General Partner and delivered to the Underwriters or counsel for the Underwriters pursuant to this Agreement shall be deemed to be a representation and warranty by the Partnership to the Underwriters as to the matters covered thereby.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Purchase of the Notes by the Underwriters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 the basis of the representations and warranties contained in, and subject to the terms and conditions of, this Agreement, the Partnership agrees to sell and each of the Underwriters, severally and not jointly, agrees to purchase from the Partnership, (i) the principal amount of the 2031 Notes set forth opposite that Underwriter’s name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at a price equal to 99.230% of the principal amount thereof, plus accrued interest, if any, from January 27, 2026, (ii) the principal amount of the 2036 Notes set forth opposite that Underwriter’s name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at a price equal to 99.283% of the principal amount thereof, plus accrued interest, if any, from January 27, 2026 and (iii) the principal amount of the 2056 Notes set forth opposite that Underwriter’s name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at a price equal to 98.967% of the principal amount thereof, plus accrued interest, if any, from January 27, 2026.</w:t>
      </w:r>
    </w:p>
    <w:p>
      <w:pPr>
        <w:spacing w:after="0" w:line="18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Partnership shall not be obligated to deliver any of the Notes to be delivered on the Delivery Date, except upon payment for all the Notes to be purchased on the Delivery Date as provided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Offering of the Notes by the Underwriters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Upon authorization by the Representatives of the release of the Notes, the several Underwriters propose to offer the Notes for sale upon the terms and conditions to be set forth in the Prospectus.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Delivery of and Payment for the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Delivery of and payment for the Notes shall be made at the offices of Hunton Andrews Kurth LLP, 600 Travis Street, Suite 4200, Houston, Texas 77002, beginning at 8:30 a.m., Houston, Texas time, on January 27, 2026 or at such other date or place as shall be determined by agreement between the Representatives and the Partnership. This date and time are sometimes referred to as the “</w:t>
      </w:r>
      <w:r>
        <w:rPr>
          <w:rFonts w:ascii="Times New Roman" w:cs="Times New Roman" w:eastAsia="Times New Roman" w:hAnsi="Times New Roman"/>
          <w:sz w:val="18"/>
          <w:szCs w:val="18"/>
          <w:b w:val="1"/>
          <w:bCs w:val="1"/>
          <w:i w:val="1"/>
          <w:iCs w:val="1"/>
          <w:color w:val="auto"/>
        </w:rPr>
        <w:t>Delivery Date</w:t>
      </w:r>
      <w:r>
        <w:rPr>
          <w:rFonts w:ascii="Times New Roman" w:cs="Times New Roman" w:eastAsia="Times New Roman" w:hAnsi="Times New Roman"/>
          <w:sz w:val="18"/>
          <w:szCs w:val="18"/>
          <w:color w:val="auto"/>
        </w:rPr>
        <w:t>.” Delivery of the Notes shall be made to the Representatives for the account of each Underwriter against payment by the several Underwriters through the Representatives of the respective aggregate purchase price of the Notes being sold by the Partnership to or upon the order of the Partnership by wire transfer in immediately available funds to the accounts specified by the Partnership. Time shall be of the essence, and delivery at the time and place specified pursuant to this Agreement is a further condition of the obligation of each Underwriter hereunder. The Partnership shall deliver the Notes through the facilities of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unless the Representatives shall otherwise instruct.</w:t>
      </w:r>
    </w:p>
    <w:p>
      <w:pPr>
        <w:spacing w:after="0" w:line="19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Notes of each series shall be evidenced by one or more certificates in global form registered in the name of Cede &amp; Co., as DTC’s nominee, and having an aggregate principal amount corresponding to the aggregate principal amount of the Notes.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2" w:name="page23"/>
    <w:bookmarkEnd w:id="2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Further Agreements of the Partnership and each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4" w:hanging="244"/>
        <w:spacing w:after="0"/>
        <w:tabs>
          <w:tab w:leader="none" w:pos="2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covenants and agrees with each Underwriter:</w:t>
      </w:r>
    </w:p>
    <w:p>
      <w:pPr>
        <w:spacing w:after="0" w:line="115" w:lineRule="exact"/>
        <w:rPr>
          <w:rFonts w:ascii="Times New Roman" w:cs="Times New Roman" w:eastAsia="Times New Roman" w:hAnsi="Times New Roman"/>
          <w:sz w:val="18"/>
          <w:szCs w:val="18"/>
          <w:color w:val="auto"/>
        </w:rPr>
      </w:pPr>
    </w:p>
    <w:p>
      <w:pPr>
        <w:ind w:left="4" w:firstLine="419"/>
        <w:spacing w:after="0" w:line="252" w:lineRule="auto"/>
        <w:tabs>
          <w:tab w:leader="none" w:pos="64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Preparation of Prospectus and Registration Statement</w:t>
      </w:r>
      <w:r>
        <w:rPr>
          <w:rFonts w:ascii="Times New Roman" w:cs="Times New Roman" w:eastAsia="Times New Roman" w:hAnsi="Times New Roman"/>
          <w:sz w:val="18"/>
          <w:szCs w:val="18"/>
          <w:color w:val="auto"/>
        </w:rPr>
        <w:t>. (A) To prepare the Prospectus in a form approved by the Representatives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such Prospectus pursuant to Rule 424(b) under the Securities Act not later than the Commission’s close of business on the second business day following the execution and delivery of this Agreement or, if applicable, such earlier time as may be required by Rule 430B of the Rules and Regulations; (B) to make no further amendment or any supplement to the Registration Statement or the Prospectus prior to the Delivery Date except as permitted herein; (C) to advise the Representatives, promptly after it receives notice thereof, of the time when any amendment to the Registration Statement has been filed or becomes effective or any supplement to the Prospectus or any amended Prospectus has been filed and to furnish the Representatives with copies thereof; (D) to file promptly all reports and other documents required to be filed by the Partnership with the Commission pursuant to Section 13(a), 13(c), 14 or 15(d) of the Exchange Act subsequent to the date of the Prospectus and for so long as the delivery of a prospectus is required in connection with the offering or sale of the Notes; (E) to advise the Representatives, promptly after it receives notice thereof, of the issuance by the Commission of any stop order or of any order preventing or suspending the use of, the Registration Statement, the Preliminary Prospectus, the Prospectus or any Issuer Free Writing Prospectus, of the suspension of the qualification of the Notes for offering or sale in any jurisdiction, of the initiation or threatening of any proceeding for any such purpose or pursuant to Section 8A of the Securities Act, or of any request by the Commission for the amending or supplementing of the Registration Statement, the Prospectus or any Issuer Free Writing Prospectus or for additional information; (F) in the event of the issuance of any stop order or of any order preventing or suspending the use of the Registration Statement, the Preliminary Prospectus, the Prospectus or any Issuer Free Writing Prospectus or suspending any such qualification, to use promptly its reasonable best efforts to obtain its withdrawal; and (G) to pay any fees required by the Commission relating to the Notes within the time required by Rule 456(b)(1) of the Rules and Regulations without regard to the proviso therein and otherwise in accordance with Rules 456(b) and 457(r) of the Rules and Regulations.</w:t>
      </w:r>
    </w:p>
    <w:p>
      <w:pPr>
        <w:spacing w:after="0" w:line="83" w:lineRule="exact"/>
        <w:rPr>
          <w:rFonts w:ascii="Times New Roman" w:cs="Times New Roman" w:eastAsia="Times New Roman" w:hAnsi="Times New Roman"/>
          <w:sz w:val="18"/>
          <w:szCs w:val="18"/>
          <w:color w:val="auto"/>
        </w:rPr>
      </w:pPr>
    </w:p>
    <w:p>
      <w:pPr>
        <w:ind w:left="4" w:right="100" w:firstLine="419"/>
        <w:spacing w:after="0" w:line="267" w:lineRule="auto"/>
        <w:tabs>
          <w:tab w:leader="none" w:pos="69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Conformed Copies of Registration Statement. </w:t>
      </w:r>
      <w:r>
        <w:rPr>
          <w:rFonts w:ascii="Times New Roman" w:cs="Times New Roman" w:eastAsia="Times New Roman" w:hAnsi="Times New Roman"/>
          <w:sz w:val="18"/>
          <w:szCs w:val="18"/>
          <w:color w:val="auto"/>
        </w:rPr>
        <w:t>At the request of the Representatives, to furnish promptly to each of the Underwriters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counsel to the Underwriters a conformed copy of the Registration Statement as originally filed with the Commission, and each amendment thereto filed with the Commission, including all consents and exhibits filed therewith.</w:t>
      </w:r>
    </w:p>
    <w:p>
      <w:pPr>
        <w:spacing w:after="0" w:line="65" w:lineRule="exact"/>
        <w:rPr>
          <w:rFonts w:ascii="Times New Roman" w:cs="Times New Roman" w:eastAsia="Times New Roman" w:hAnsi="Times New Roman"/>
          <w:sz w:val="18"/>
          <w:szCs w:val="18"/>
          <w:color w:val="auto"/>
        </w:rPr>
      </w:pPr>
    </w:p>
    <w:p>
      <w:pPr>
        <w:ind w:left="4" w:firstLine="419"/>
        <w:spacing w:after="0" w:line="255" w:lineRule="auto"/>
        <w:tabs>
          <w:tab w:leader="none" w:pos="74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Copies of Documents to Underwriters</w:t>
      </w:r>
      <w:r>
        <w:rPr>
          <w:rFonts w:ascii="Times New Roman" w:cs="Times New Roman" w:eastAsia="Times New Roman" w:hAnsi="Times New Roman"/>
          <w:sz w:val="18"/>
          <w:szCs w:val="18"/>
          <w:color w:val="auto"/>
        </w:rPr>
        <w:t>. To deliver promptly to the Representatives such number of the following documents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shall reasonably request: (A) conformed copies of the Registration Statement as originally filed with the Commission and each amendment thereto (in each case excluding exhibits other than this Agreement), (B) each Preliminary Prospectus, the Prospectus and any amended or supplemented Prospectus, (C) each Issuer Free Writing Prospectus and (D) other than documents available via the Commission’s Electronic Data Gathering Analysis and Retrieval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any document incorporated by reference in the Preliminary Prospectus or the Prospectus (excluding exhibits thereto); and, if the delivery of a prospectus is required at any time after the date hereof in connection with the offering or sale of the Notes or any other securities relating thereto (or in lieu thereof, the notice referred to in Rule 173(a)) and if at such time any events shall have occurred as a result of which the Pricing Disclosure Package or the Prospectus as then amended or supplemented</w:t>
      </w:r>
    </w:p>
    <w:p>
      <w:pPr>
        <w:spacing w:after="0" w:line="11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4"/>
          </w:cols>
          <w:pgMar w:left="876" w:top="270" w:right="459" w:bottom="1440" w:gutter="0" w:footer="0" w:header="0"/>
        </w:sectPr>
      </w:pPr>
    </w:p>
    <w:bookmarkStart w:id="23" w:name="page24"/>
    <w:bookmarkEnd w:id="2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the Registration Statement or amend or supplement the Pricing Disclosure Package or the Prospectus or to file under the Exchange Act any document incorporated by reference in the Prospectus in order to comply with the Securities Act or the Exchange Act or with a request from the Commission, to notify the Representatives and, upon their request, to file such document required to be filed under the Securities Act or the Exchange Act and to prepare and furnish without charge to each Underwriter and to any dealer in securities as many copies as the Representatives may from time to time reasonably request of an amended Registration Statement or amended or supplemented Pricing Disclosure Package or the Prospectus that will correct such statement or omission or effect such compliance.</w:t>
      </w:r>
    </w:p>
    <w:p>
      <w:pPr>
        <w:spacing w:after="0" w:line="82" w:lineRule="exact"/>
        <w:rPr>
          <w:sz w:val="20"/>
          <w:szCs w:val="20"/>
          <w:color w:val="auto"/>
        </w:rPr>
      </w:pPr>
    </w:p>
    <w:p>
      <w:pPr>
        <w:ind w:right="280" w:firstLine="419"/>
        <w:spacing w:after="0" w:line="267" w:lineRule="auto"/>
        <w:tabs>
          <w:tab w:leader="none" w:pos="7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Amendment or Supplement</w:t>
      </w:r>
      <w:r>
        <w:rPr>
          <w:rFonts w:ascii="Times New Roman" w:cs="Times New Roman" w:eastAsia="Times New Roman" w:hAnsi="Times New Roman"/>
          <w:sz w:val="18"/>
          <w:szCs w:val="18"/>
          <w:color w:val="auto"/>
        </w:rPr>
        <w:t>. To file promptly with the Commission any amendment or supplement to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the Pricing Disclosure Package or the Prospectus that may, in the reasonable judgment of the Partnership or the Representatives, be required by the Securities Act or the Exchange Act or requested by the Commission.</w:t>
      </w:r>
    </w:p>
    <w:p>
      <w:pPr>
        <w:spacing w:after="0" w:line="65"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Copies of Amendments or Supplements. </w:t>
      </w:r>
      <w:r>
        <w:rPr>
          <w:rFonts w:ascii="Times New Roman" w:cs="Times New Roman" w:eastAsia="Times New Roman" w:hAnsi="Times New Roman"/>
          <w:sz w:val="18"/>
          <w:szCs w:val="18"/>
          <w:color w:val="auto"/>
        </w:rPr>
        <w:t>Prior to filing with the Commission any amendment to the Registration Statement or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supplement to the Pricing Disclosure Package or the Prospectus, any document incorporated by reference in the Pricing Disclosure Package or the Prospectus, any amendment to any document incorporated by reference in the Pricing Disclosure Package or the Prospectus or any prospectus pursuant to Rule 424(b) of the Rules and Regulations, to furnish a copy thereof to the Representatives and to counsel to the Underwriters upon the Representatives’ request and not to file any such document to which the Representatives shall reasonably object promptly after having been given reasonable notice of the proposed filing thereof and a reasonable opportunity to comment thereon unless, in the judgment of counsel to the Partnership, such filing is required by law.</w:t>
      </w:r>
    </w:p>
    <w:p>
      <w:pPr>
        <w:spacing w:after="0" w:line="74" w:lineRule="exact"/>
        <w:rPr>
          <w:rFonts w:ascii="Times New Roman" w:cs="Times New Roman" w:eastAsia="Times New Roman" w:hAnsi="Times New Roman"/>
          <w:sz w:val="18"/>
          <w:szCs w:val="18"/>
          <w:color w:val="auto"/>
        </w:rPr>
      </w:pPr>
    </w:p>
    <w:p>
      <w:pPr>
        <w:ind w:right="360" w:firstLine="419"/>
        <w:spacing w:after="0" w:line="284" w:lineRule="auto"/>
        <w:tabs>
          <w:tab w:leader="none" w:pos="7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w:t>
      </w:r>
      <w:r>
        <w:rPr>
          <w:rFonts w:ascii="Times New Roman" w:cs="Times New Roman" w:eastAsia="Times New Roman" w:hAnsi="Times New Roman"/>
          <w:sz w:val="18"/>
          <w:szCs w:val="18"/>
          <w:color w:val="auto"/>
        </w:rPr>
        <w:t>. Not to make any offer relating to the Notes that would constitute an Issuer Free Writing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prior written consent of the Representatives.</w:t>
      </w:r>
    </w:p>
    <w:p>
      <w:pPr>
        <w:spacing w:after="0" w:line="50" w:lineRule="exact"/>
        <w:rPr>
          <w:rFonts w:ascii="Times New Roman" w:cs="Times New Roman" w:eastAsia="Times New Roman" w:hAnsi="Times New Roman"/>
          <w:sz w:val="18"/>
          <w:szCs w:val="18"/>
          <w:color w:val="auto"/>
        </w:rPr>
      </w:pPr>
    </w:p>
    <w:p>
      <w:pPr>
        <w:ind w:right="20" w:firstLine="419"/>
        <w:spacing w:after="0" w:line="254" w:lineRule="auto"/>
        <w:tabs>
          <w:tab w:leader="none" w:pos="7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Retention of Issuer Free Writing Prospectus</w:t>
      </w:r>
      <w:r>
        <w:rPr>
          <w:rFonts w:ascii="Times New Roman" w:cs="Times New Roman" w:eastAsia="Times New Roman" w:hAnsi="Times New Roman"/>
          <w:sz w:val="18"/>
          <w:szCs w:val="18"/>
          <w:color w:val="auto"/>
        </w:rPr>
        <w:t>. To retain in accordance with the Rules and Regulations all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Prospectuses not required to be filed pursuant to the Rules and Regulations; and if at any time after the date hereof any events shall have occurred as a result of which any Issuer Free Writing Prospectus, as then amended or supplemented, would conflict with the information in the Registration Statement, the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Representatives as many copies as the Representatives may from time to time reasonably request of an amended or supplemented Issuer Free Writing Prospectus that will correct such conflict, statement or omission or effect such compliance.</w:t>
      </w:r>
    </w:p>
    <w:p>
      <w:pPr>
        <w:spacing w:after="0" w:line="1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40"/>
          </w:cols>
          <w:pgMar w:left="880" w:top="270" w:right="479" w:bottom="1440" w:gutter="0" w:footer="0" w:header="0"/>
        </w:sectPr>
      </w:pPr>
    </w:p>
    <w:bookmarkStart w:id="24" w:name="page25"/>
    <w:bookmarkEnd w:id="24"/>
    <w:p>
      <w:pPr>
        <w:ind w:right="320" w:firstLine="419"/>
        <w:spacing w:after="0" w:line="290" w:lineRule="auto"/>
        <w:tabs>
          <w:tab w:leader="none" w:pos="82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Reports to Securityholders</w:t>
      </w:r>
      <w:r>
        <w:rPr>
          <w:rFonts w:ascii="Times New Roman" w:cs="Times New Roman" w:eastAsia="Times New Roman" w:hAnsi="Times New Roman"/>
          <w:sz w:val="17"/>
          <w:szCs w:val="17"/>
          <w:color w:val="auto"/>
        </w:rPr>
        <w:t>. As soon as practicable after the Effective Date, to make generally available via EDGAR,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Partnership’s securityholders and the Representatives an earnings statement of the Partnership and its subsidiaries (which need not be audited) complying with Section 11(a) of the Securities Act and the Rules and Regulations (including, at the option of the Partnership, Rule 158).</w:t>
      </w:r>
    </w:p>
    <w:p>
      <w:pPr>
        <w:spacing w:after="0" w:line="47" w:lineRule="exact"/>
        <w:rPr>
          <w:rFonts w:ascii="Times New Roman" w:cs="Times New Roman" w:eastAsia="Times New Roman" w:hAnsi="Times New Roman"/>
          <w:sz w:val="17"/>
          <w:szCs w:val="17"/>
          <w:color w:val="auto"/>
        </w:rPr>
      </w:pPr>
    </w:p>
    <w:p>
      <w:pPr>
        <w:ind w:right="80" w:firstLine="419"/>
        <w:spacing w:after="0" w:line="258" w:lineRule="auto"/>
        <w:tabs>
          <w:tab w:leader="none" w:pos="7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Copies of Reports</w:t>
      </w:r>
      <w:r>
        <w:rPr>
          <w:rFonts w:ascii="Times New Roman" w:cs="Times New Roman" w:eastAsia="Times New Roman" w:hAnsi="Times New Roman"/>
          <w:sz w:val="18"/>
          <w:szCs w:val="18"/>
          <w:color w:val="auto"/>
        </w:rPr>
        <w:t>. For a period of two years following the Effective Date, to furnish, or to make available via EDGAR,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copies of all materials furnished by the Partnership to its securityholders and all reports and financial statements furnished by the Partnership to the principal national securities exchange or automated quotation system upon which the Notes may be listed pursuant to requirements of or agreements with such exchange or system or to the Commission pursuant to the Exchange Act or any rule or regulation of the Commission thereunder.</w:t>
      </w:r>
    </w:p>
    <w:p>
      <w:pPr>
        <w:spacing w:after="0" w:line="75" w:lineRule="exact"/>
        <w:rPr>
          <w:rFonts w:ascii="Times New Roman" w:cs="Times New Roman" w:eastAsia="Times New Roman" w:hAnsi="Times New Roman"/>
          <w:sz w:val="18"/>
          <w:szCs w:val="18"/>
          <w:color w:val="auto"/>
        </w:rPr>
      </w:pPr>
    </w:p>
    <w:p>
      <w:pPr>
        <w:ind w:firstLine="419"/>
        <w:spacing w:after="0" w:line="257" w:lineRule="auto"/>
        <w:tabs>
          <w:tab w:leader="none" w:pos="6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Registration. </w:t>
      </w:r>
      <w:r>
        <w:rPr>
          <w:rFonts w:ascii="Times New Roman" w:cs="Times New Roman" w:eastAsia="Times New Roman" w:hAnsi="Times New Roman"/>
          <w:sz w:val="18"/>
          <w:szCs w:val="18"/>
          <w:color w:val="auto"/>
        </w:rPr>
        <w:t>Promptly from time to time to take such action as the Representatives may reasonably request to qualify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offering and sale under the securities or Blue Sky laws of such jurisdictions as the Representatives may request and to comply with such laws so as to permit the continuance of sales and dealings therein in such jurisdictions for as long as may be necessary to complete the distribution of the Notes;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connection therewith no Partnership Entity shall be required to (A) qualify as a foreign limited partnership or limited liability company in any jurisdiction where it would not otherwise be required to qualify or (B) to file a general consent to service of process in any jurisdiction.</w:t>
      </w:r>
    </w:p>
    <w:p>
      <w:pPr>
        <w:spacing w:after="0" w:line="74" w:lineRule="exact"/>
        <w:rPr>
          <w:rFonts w:ascii="Times New Roman" w:cs="Times New Roman" w:eastAsia="Times New Roman" w:hAnsi="Times New Roman"/>
          <w:sz w:val="18"/>
          <w:szCs w:val="18"/>
          <w:color w:val="auto"/>
        </w:rPr>
      </w:pPr>
    </w:p>
    <w:p>
      <w:pPr>
        <w:ind w:right="100" w:firstLine="419"/>
        <w:spacing w:after="0" w:line="261" w:lineRule="auto"/>
        <w:tabs>
          <w:tab w:leader="none" w:pos="7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Sheet</w:t>
      </w:r>
      <w:r>
        <w:rPr>
          <w:rFonts w:ascii="Times New Roman" w:cs="Times New Roman" w:eastAsia="Times New Roman" w:hAnsi="Times New Roman"/>
          <w:sz w:val="18"/>
          <w:szCs w:val="18"/>
          <w:color w:val="auto"/>
        </w:rPr>
        <w:t>. The Partnership will (A) prepare a final term sheet containing a description of the Notes, substantially in the form attached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Annex 3</w:t>
      </w:r>
      <w:r>
        <w:rPr>
          <w:rFonts w:ascii="Times New Roman" w:cs="Times New Roman" w:eastAsia="Times New Roman" w:hAnsi="Times New Roman"/>
          <w:sz w:val="18"/>
          <w:szCs w:val="18"/>
          <w:color w:val="auto"/>
        </w:rPr>
        <w:t xml:space="preserve"> hereto, and approved by the Representatives (the “</w:t>
      </w:r>
      <w:r>
        <w:rPr>
          <w:rFonts w:ascii="Times New Roman" w:cs="Times New Roman" w:eastAsia="Times New Roman" w:hAnsi="Times New Roman"/>
          <w:sz w:val="18"/>
          <w:szCs w:val="18"/>
          <w:b w:val="1"/>
          <w:bCs w:val="1"/>
          <w:i w:val="1"/>
          <w:iCs w:val="1"/>
          <w:color w:val="auto"/>
        </w:rPr>
        <w:t>Final Term Sheet</w:t>
      </w:r>
      <w:r>
        <w:rPr>
          <w:rFonts w:ascii="Times New Roman" w:cs="Times New Roman" w:eastAsia="Times New Roman" w:hAnsi="Times New Roman"/>
          <w:sz w:val="18"/>
          <w:szCs w:val="18"/>
          <w:color w:val="auto"/>
        </w:rPr>
        <w:t>”), (B) file the Final Term Sheet pursuant to Rule 433(d) of the Rules and Regulations within the time period prescribed by such Rule, and (C) furnish to each Underwriter, without charge, copies of the Final Term Sheet promptly upon its completion.</w:t>
      </w:r>
    </w:p>
    <w:p>
      <w:pPr>
        <w:spacing w:after="0" w:line="71" w:lineRule="exact"/>
        <w:rPr>
          <w:rFonts w:ascii="Times New Roman" w:cs="Times New Roman" w:eastAsia="Times New Roman" w:hAnsi="Times New Roman"/>
          <w:sz w:val="18"/>
          <w:szCs w:val="18"/>
          <w:color w:val="auto"/>
        </w:rPr>
      </w:pPr>
    </w:p>
    <w:p>
      <w:pPr>
        <w:ind w:right="760" w:firstLine="419"/>
        <w:spacing w:after="0" w:line="284" w:lineRule="auto"/>
        <w:tabs>
          <w:tab w:leader="none" w:pos="7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Application of Proceeds. </w:t>
      </w:r>
      <w:r>
        <w:rPr>
          <w:rFonts w:ascii="Times New Roman" w:cs="Times New Roman" w:eastAsia="Times New Roman" w:hAnsi="Times New Roman"/>
          <w:sz w:val="18"/>
          <w:szCs w:val="18"/>
          <w:color w:val="auto"/>
        </w:rPr>
        <w:t>To apply the net proceeds from the sale of the Notes being sold by the Partnership as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w:t>
      </w:r>
    </w:p>
    <w:p>
      <w:pPr>
        <w:spacing w:after="0" w:line="50" w:lineRule="exact"/>
        <w:rPr>
          <w:rFonts w:ascii="Times New Roman" w:cs="Times New Roman" w:eastAsia="Times New Roman" w:hAnsi="Times New Roman"/>
          <w:sz w:val="18"/>
          <w:szCs w:val="18"/>
          <w:color w:val="auto"/>
        </w:rPr>
      </w:pPr>
    </w:p>
    <w:p>
      <w:pPr>
        <w:ind w:right="80" w:firstLine="419"/>
        <w:spacing w:after="0" w:line="284" w:lineRule="auto"/>
        <w:tabs>
          <w:tab w:leader="none" w:pos="8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Partnership agrees to comply with all the terms and conditions of all agreements set forth in the representation letters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to DTC relating to the approval of the Notes by DTC for “book-entry” transfer.</w:t>
      </w:r>
    </w:p>
    <w:p>
      <w:pPr>
        <w:spacing w:after="0" w:line="50" w:lineRule="exact"/>
        <w:rPr>
          <w:rFonts w:ascii="Times New Roman" w:cs="Times New Roman" w:eastAsia="Times New Roman" w:hAnsi="Times New Roman"/>
          <w:sz w:val="18"/>
          <w:szCs w:val="18"/>
          <w:color w:val="auto"/>
        </w:rPr>
      </w:pPr>
    </w:p>
    <w:p>
      <w:pPr>
        <w:ind w:right="140" w:firstLine="419"/>
        <w:spacing w:after="0" w:line="267" w:lineRule="auto"/>
        <w:tabs>
          <w:tab w:leader="none" w:pos="8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Lock-Up. </w:t>
      </w:r>
      <w:r>
        <w:rPr>
          <w:rFonts w:ascii="Times New Roman" w:cs="Times New Roman" w:eastAsia="Times New Roman" w:hAnsi="Times New Roman"/>
          <w:sz w:val="18"/>
          <w:szCs w:val="18"/>
          <w:color w:val="auto"/>
        </w:rPr>
        <w:t>Following the date of the Prospectus and until the Delivery Date, the Partnership will not, without the prior written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Representatives, issue, sell, offer to sell, grant any option for the sale of or otherwise dispose of any debt securities (other than the Notes, bank borrowings and commercial paper) in the same market as the Notes.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40"/>
          </w:cols>
          <w:pgMar w:left="880" w:top="268" w:right="479" w:bottom="1440" w:gutter="0" w:footer="0" w:header="0"/>
        </w:sectPr>
      </w:pPr>
    </w:p>
    <w:bookmarkStart w:id="25" w:name="page26"/>
    <w:bookmarkEnd w:id="25"/>
    <w:p>
      <w:pPr>
        <w:ind w:left="444" w:right="800" w:firstLine="419"/>
        <w:spacing w:after="0" w:line="284" w:lineRule="auto"/>
        <w:tabs>
          <w:tab w:leader="none" w:pos="121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Company</w:t>
      </w:r>
      <w:r>
        <w:rPr>
          <w:rFonts w:ascii="Times New Roman" w:cs="Times New Roman" w:eastAsia="Times New Roman" w:hAnsi="Times New Roman"/>
          <w:sz w:val="18"/>
          <w:szCs w:val="18"/>
          <w:color w:val="auto"/>
        </w:rPr>
        <w:t>. To take such steps as shall be necessary to ensure that none of the Partnership Entities shall become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company” as defined in the Investment Company Act.</w:t>
      </w:r>
    </w:p>
    <w:p>
      <w:pPr>
        <w:spacing w:after="0" w:line="50" w:lineRule="exact"/>
        <w:rPr>
          <w:rFonts w:ascii="Times New Roman" w:cs="Times New Roman" w:eastAsia="Times New Roman" w:hAnsi="Times New Roman"/>
          <w:sz w:val="18"/>
          <w:szCs w:val="18"/>
          <w:color w:val="auto"/>
        </w:rPr>
      </w:pPr>
    </w:p>
    <w:p>
      <w:pPr>
        <w:ind w:left="444" w:right="80" w:firstLine="419"/>
        <w:spacing w:after="0" w:line="267" w:lineRule="auto"/>
        <w:tabs>
          <w:tab w:leader="none" w:pos="126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or Manipulation. </w:t>
      </w:r>
      <w:r>
        <w:rPr>
          <w:rFonts w:ascii="Times New Roman" w:cs="Times New Roman" w:eastAsia="Times New Roman" w:hAnsi="Times New Roman"/>
          <w:sz w:val="18"/>
          <w:szCs w:val="18"/>
          <w:color w:val="auto"/>
        </w:rPr>
        <w:t>To not directly or indirectly take any action designed to or which constitutes or which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under the Exchange Act or otherwise, stabilization or manipulation of the price of any security of the Partnership to facilitate the sale or resale of the Notes.</w:t>
      </w:r>
    </w:p>
    <w:p>
      <w:pPr>
        <w:spacing w:after="0" w:line="175" w:lineRule="exact"/>
        <w:rPr>
          <w:rFonts w:ascii="Times New Roman" w:cs="Times New Roman" w:eastAsia="Times New Roman" w:hAnsi="Times New Roman"/>
          <w:sz w:val="18"/>
          <w:szCs w:val="18"/>
          <w:color w:val="auto"/>
        </w:rPr>
      </w:pPr>
    </w:p>
    <w:p>
      <w:pPr>
        <w:ind w:left="4" w:firstLine="436"/>
        <w:spacing w:after="0" w:line="268" w:lineRule="auto"/>
        <w:tabs>
          <w:tab w:leader="none" w:pos="699"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Underwriter severally and not jointly agrees that such Underwriter shall not include any “issuer information” (as defined in Rule 433 of the Rules and Regulations) in any “free writing prospectus” (as defined in Rule 405 of the Rules and Regulations but excluding any Issuer Free Writing Prospectus, including any road show constituting a free writing prospectus under Rule 433 of the Rules and Regulations in connection with the offer and sale of the Notes) used or referred to by such Underwriter without the prior consent of the Partnership (any such issuer information with respect to whose use the Partnership has given its consent, “</w:t>
      </w:r>
      <w:r>
        <w:rPr>
          <w:rFonts w:ascii="Times New Roman" w:cs="Times New Roman" w:eastAsia="Times New Roman" w:hAnsi="Times New Roman"/>
          <w:sz w:val="17"/>
          <w:szCs w:val="17"/>
          <w:b w:val="1"/>
          <w:bCs w:val="1"/>
          <w:i w:val="1"/>
          <w:iCs w:val="1"/>
          <w:color w:val="auto"/>
        </w:rPr>
        <w:t>Permitted Issuer Information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(i) no such consent shall be required with respect to any such issuer information contained in any document filed by the Partnership with the Commission prior to the use of such free writing prospectus and</w:t>
      </w:r>
    </w:p>
    <w:p>
      <w:pPr>
        <w:spacing w:after="0" w:line="4" w:lineRule="exact"/>
        <w:rPr>
          <w:rFonts w:ascii="Times New Roman" w:cs="Times New Roman" w:eastAsia="Times New Roman" w:hAnsi="Times New Roman"/>
          <w:sz w:val="17"/>
          <w:szCs w:val="17"/>
          <w:color w:val="auto"/>
        </w:rPr>
      </w:pPr>
    </w:p>
    <w:p>
      <w:pPr>
        <w:jc w:val="center"/>
        <w:ind w:left="4" w:hanging="4"/>
        <w:spacing w:after="0" w:line="290" w:lineRule="auto"/>
        <w:tabs>
          <w:tab w:leader="none" w:pos="26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“issuer information,” as used in this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shall not be deemed to include information prepared by or on behalf of such Underwriter on the basis of or derived from issuer information (including the information contained in the Final Term Sheet prepared and filed pursuant to </w:t>
      </w:r>
      <w:r>
        <w:rPr>
          <w:rFonts w:ascii="Times New Roman" w:cs="Times New Roman" w:eastAsia="Times New Roman" w:hAnsi="Times New Roman"/>
          <w:sz w:val="17"/>
          <w:szCs w:val="17"/>
          <w:u w:val="single" w:color="auto"/>
          <w:color w:val="auto"/>
        </w:rPr>
        <w:t>Section 5(a)(xi)</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The Partnership covenants and agrees, whether or not the transactions contemplated by this Agreement are consummated or this Agreement is terminated, to pay all costs, expenses, fees and taxes incident to and in connection with (a) the authorization, issuance, sale and delivery of the Notes and any stamp duties or other taxes payable in that connection; (b) the preparation, printing and filing under the Securities Act of the Registration Statement and any amendments and exhibits thereto, the Preliminary Prospectus, the Prospectus, any Issuer Free Writing Prospectus, the Form T-1 and any amendment or supplement thereto; (c) the distribution of the Registration Statement as originally filed and each amendment thereto and any post-effective amendments thereof (including, in each case, exhibits), the Preliminary Prospectus, the Prospectus, any Issuer Free Writing Prospectus and any amendment or supplement thereto or any document incorporated by reference therein, all as provided in this Agreement; (d) the production and distribution of this Agreement, the Indenture, any supplemental agreement among Underwriters and any other related documents in connection with the offering, purchase, sale and delivery of the Notes; (e) fees and expenses of counsel to the Partnership; (f) the filing fees incident to securing any required review by the Financial Industry Regulatory Authority, Inc. of the terms of sale of the Notes; (g) any costs and expenses incident to any listing of the Notes on the New York Stock Exchange (“</w:t>
      </w:r>
      <w:r>
        <w:rPr>
          <w:rFonts w:ascii="Times New Roman" w:cs="Times New Roman" w:eastAsia="Times New Roman" w:hAnsi="Times New Roman"/>
          <w:sz w:val="18"/>
          <w:szCs w:val="18"/>
          <w:i w:val="1"/>
          <w:iCs w:val="1"/>
          <w:color w:val="auto"/>
        </w:rPr>
        <w:t>NYSE</w:t>
      </w:r>
      <w:r>
        <w:rPr>
          <w:rFonts w:ascii="Times New Roman" w:cs="Times New Roman" w:eastAsia="Times New Roman" w:hAnsi="Times New Roman"/>
          <w:sz w:val="18"/>
          <w:szCs w:val="18"/>
          <w:color w:val="auto"/>
        </w:rPr>
        <w:t xml:space="preserve">”) and/or any other exchange, if applicable; (h) the qualification of the Notes under the securities laws of the several jurisdictions as provided in </w:t>
      </w:r>
      <w:r>
        <w:rPr>
          <w:rFonts w:ascii="Times New Roman" w:cs="Times New Roman" w:eastAsia="Times New Roman" w:hAnsi="Times New Roman"/>
          <w:sz w:val="18"/>
          <w:szCs w:val="18"/>
          <w:u w:val="single" w:color="auto"/>
          <w:color w:val="auto"/>
        </w:rPr>
        <w:t>Section 5(a)(x)</w:t>
      </w:r>
      <w:r>
        <w:rPr>
          <w:rFonts w:ascii="Times New Roman" w:cs="Times New Roman" w:eastAsia="Times New Roman" w:hAnsi="Times New Roman"/>
          <w:sz w:val="18"/>
          <w:szCs w:val="18"/>
          <w:color w:val="auto"/>
        </w:rPr>
        <w:t xml:space="preserve"> and the preparation, printing and distribution of a Blue Sky Memorandum (including related fees and expenses of counsel to the Underwriters); (i) the printing of certificates representing the Notes; (j) the investor presentations on any “road show” undertaken in connection with the marketing of the offering of the Notes, including, without limitation, expenses associated with any electronic roadshow, travel and</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8" w:right="459" w:bottom="1440" w:gutter="0" w:footer="0" w:header="0"/>
        </w:sectPr>
      </w:pPr>
    </w:p>
    <w:bookmarkStart w:id="26" w:name="page27"/>
    <w:bookmarkEnd w:id="2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lodging expenses of the representatives and officers of the Partnership Entities and any such consultants and the cost of any aircraft chartered in connection with the road show; (k) any fees required to be paid to rating agencies in connection with the rating of the Notes; (l) the fees, costs and expenses of the Trustee, any agent of the Trustee and any paying agent (including related fees and expenses of a counsel to such parties), and (m) all other costs and expenses incident to the performance of the obligations of the Partnership under this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except as provided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the Underwriters shall pay their own costs and expenses, including the costs and expenses of their counsel, any transfer taxes on the Notes which they may sell and the expenses of advertising any offering of the Notes made by the Underwriters.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respective obligations of the Underwriters hereunder are subject to the accuracy, when made and on the Delivery Date, of the representations and warranties of the Partnership contained herein, to the performance by the Partnership of its obligations hereunder, and to each of the following additional terms and conditions:</w:t>
      </w:r>
    </w:p>
    <w:p>
      <w:pPr>
        <w:spacing w:after="0" w:line="68" w:lineRule="exact"/>
        <w:rPr>
          <w:sz w:val="20"/>
          <w:szCs w:val="20"/>
          <w:color w:val="auto"/>
        </w:rPr>
      </w:pPr>
    </w:p>
    <w:p>
      <w:pPr>
        <w:ind w:right="100" w:firstLine="436"/>
        <w:spacing w:after="0" w:line="255"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Prospectus shall have been timely filed with the Commission in accordance with </w:t>
      </w:r>
      <w:r>
        <w:rPr>
          <w:rFonts w:ascii="Times New Roman" w:cs="Times New Roman" w:eastAsia="Times New Roman" w:hAnsi="Times New Roman"/>
          <w:sz w:val="18"/>
          <w:szCs w:val="18"/>
          <w:u w:val="single" w:color="auto"/>
          <w:color w:val="auto"/>
        </w:rPr>
        <w:t>Section 5(a)(i)</w:t>
      </w:r>
      <w:r>
        <w:rPr>
          <w:rFonts w:ascii="Times New Roman" w:cs="Times New Roman" w:eastAsia="Times New Roman" w:hAnsi="Times New Roman"/>
          <w:sz w:val="18"/>
          <w:szCs w:val="18"/>
          <w:color w:val="auto"/>
        </w:rPr>
        <w:t>; the Partnership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for such purpose shall have been initiated or threatened by the Commission; and any request of the Commission for inclusion of additional information in the Registration Statement or the Prospectus or otherwise shall have been disclosed to the Representatives and complied with to the Representatives’ reasonable satisfaction; and the Commission shall not have notified the Partnership or the General Partner of any objection to the use of the form of the Registration Statement.</w:t>
      </w:r>
    </w:p>
    <w:p>
      <w:pPr>
        <w:spacing w:after="0" w:line="188"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Underwriter shall have discovered and disclosed to the Partnership on or prior to the Delivery Date that the Registration Statement, the Prospectus or the Pricing Disclosure Package, or any amendment or supplement thereto, contains an untrue statement of a fact which, in the reasonable opinion of counsel to the Underwriters, is material or omits to state a fact which, in the reasonable opinion of such counsel, is material and is required to be stated therein or in the documents incorporated by reference therein or is necessary to make the statements therein (with respect to the Prospectus and the Pricing Disclosure Package,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right="60" w:firstLine="436"/>
        <w:spacing w:after="0" w:line="258"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partnership and limited liability company proceedings and other legal matters incident to the authorization, form and validity of the Debt Documents, the Registration Statement, the Prospectus and any Issuer Free Writing Prospectus, and all other legal matters relating to the Debt Documents and the transactions contemplated hereby and thereby shall be reasonably satisfactory in all material respects to counsel to the Underwriters, and the Partnership Entities shall have furnished to such counsel all documents and information that they may reasonably request to enable them to pass upon such matters.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27" w:name="page28"/>
    <w:bookmarkEnd w:id="27"/>
    <w:p>
      <w:pPr>
        <w:jc w:val="both"/>
        <w:ind w:left="4" w:right="100" w:firstLine="436"/>
        <w:spacing w:after="0" w:line="266" w:lineRule="auto"/>
        <w:tabs>
          <w:tab w:leader="none" w:pos="69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Latham &amp; Watkins LLP shall have furnished to the Representatives their written opinion, negative assurance letter and tax opinion as counsel to the Partnership, addressed to the Underwriters and dated the Delivery Date, in form and substance reasonably satisfactory to the Representatives and to counsel to the Underwriters, substantially in the forms attached hereto as </w:t>
      </w:r>
      <w:r>
        <w:rPr>
          <w:rFonts w:ascii="Times New Roman" w:cs="Times New Roman" w:eastAsia="Times New Roman" w:hAnsi="Times New Roman"/>
          <w:sz w:val="18"/>
          <w:szCs w:val="18"/>
          <w:u w:val="single" w:color="auto"/>
          <w:color w:val="auto"/>
        </w:rPr>
        <w:t>Exhibits A-1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68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Hunton Andrews Kurth LLP, counsel to the Underwriters, such opinion or opinions, dated the Delivery Date, with respect to the issuance and sale of the Notes, the Registration Statement, the Prospectus and the Pricing Disclosure Package and other related matters as the Representatives may reasonably require, and the Partnership shall have furnished to such counsel such documents as they reasonably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6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execution of this Agreement, the Representatives shall have received from Grant Thornton a letter, in form and substance satisfactory to the Representatives, addressed to the Representatives, on behalf of the Underwriters, and dated the date hereof (i) confirming that Grant Thornton is an independent registered public accounting firm with respect to the Partnership within the meaning of the Securities Act and the applicable Rules and Regulations and the PCAOB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Preliminary Prospectus, as of a date not more than three (3) business days prior to the date hereof), the conclusions and findings of Grant Thornton with respect to the financial information and other matters ordinarily covered by accountants’ “comfort letters” to underwriters in connection with registered public offerings.</w:t>
      </w:r>
    </w:p>
    <w:p>
      <w:pPr>
        <w:spacing w:after="0" w:line="191" w:lineRule="exact"/>
        <w:rPr>
          <w:rFonts w:ascii="Times New Roman" w:cs="Times New Roman" w:eastAsia="Times New Roman" w:hAnsi="Times New Roman"/>
          <w:sz w:val="18"/>
          <w:szCs w:val="18"/>
          <w:color w:val="auto"/>
        </w:rPr>
      </w:pPr>
    </w:p>
    <w:p>
      <w:pPr>
        <w:ind w:left="4" w:firstLine="436"/>
        <w:spacing w:after="0" w:line="268" w:lineRule="auto"/>
        <w:tabs>
          <w:tab w:leader="none" w:pos="699"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letter of Grant Thornton referred to in the preceding paragraph and delivered to the Representatives concurrently with the execution of this Agreement (the “</w:t>
      </w:r>
      <w:r>
        <w:rPr>
          <w:rFonts w:ascii="Times New Roman" w:cs="Times New Roman" w:eastAsia="Times New Roman" w:hAnsi="Times New Roman"/>
          <w:sz w:val="17"/>
          <w:szCs w:val="17"/>
          <w:b w:val="1"/>
          <w:bCs w:val="1"/>
          <w:i w:val="1"/>
          <w:iCs w:val="1"/>
          <w:color w:val="auto"/>
        </w:rPr>
        <w:t>initial letter</w:t>
      </w:r>
      <w:r>
        <w:rPr>
          <w:rFonts w:ascii="Times New Roman" w:cs="Times New Roman" w:eastAsia="Times New Roman" w:hAnsi="Times New Roman"/>
          <w:sz w:val="17"/>
          <w:szCs w:val="17"/>
          <w:color w:val="auto"/>
        </w:rPr>
        <w:t>”), the Representatives shall have received from Grant Thornton a letter (the “</w:t>
      </w:r>
      <w:r>
        <w:rPr>
          <w:rFonts w:ascii="Times New Roman" w:cs="Times New Roman" w:eastAsia="Times New Roman" w:hAnsi="Times New Roman"/>
          <w:sz w:val="17"/>
          <w:szCs w:val="17"/>
          <w:b w:val="1"/>
          <w:bCs w:val="1"/>
          <w:i w:val="1"/>
          <w:iCs w:val="1"/>
          <w:color w:val="auto"/>
        </w:rPr>
        <w:t>bring-down letter</w:t>
      </w:r>
      <w:r>
        <w:rPr>
          <w:rFonts w:ascii="Times New Roman" w:cs="Times New Roman" w:eastAsia="Times New Roman" w:hAnsi="Times New Roman"/>
          <w:sz w:val="17"/>
          <w:szCs w:val="17"/>
          <w:color w:val="auto"/>
        </w:rPr>
        <w:t>”) addressed to the Representatives, on behalf of the Underwriters, and dated the Delivery Date (i) confirming that they are an independent registered public accounting firm with respect to the Partnership within the meaning of the Securities Act and the applicable Rules and Regulations and the PCAOB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(3) business days prior to the date of the bring-down letter), the conclusions and findings of Grant Thornton with respect to the financial information and other matters covered by the initial letter and</w:t>
      </w:r>
    </w:p>
    <w:p>
      <w:pPr>
        <w:ind w:left="324" w:hanging="324"/>
        <w:spacing w:after="0"/>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in all material respects the conclusions and findings set forth in the initial letter.</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70" w:right="479" w:bottom="1440" w:gutter="0" w:footer="0" w:header="0"/>
        </w:sectPr>
      </w:pPr>
    </w:p>
    <w:bookmarkStart w:id="28" w:name="page29"/>
    <w:bookmarkEnd w:id="28"/>
    <w:p>
      <w:pPr>
        <w:ind w:left="-20" w:firstLine="436"/>
        <w:spacing w:after="0" w:line="266" w:lineRule="auto"/>
        <w:tabs>
          <w:tab w:leader="none" w:pos="6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Delivery Date, there shall have been furnished to the Representatives a certificate, dated the Delivery Date and addressed to the Underwriters, signed on behalf of the General Partner by the chief executive officer and the chief financial officer of the General Partner, stating, in each case with respect to the entities covered by the certificate, that:</w:t>
      </w:r>
    </w:p>
    <w:p>
      <w:pPr>
        <w:spacing w:after="0" w:line="67" w:lineRule="exact"/>
        <w:rPr>
          <w:rFonts w:ascii="Times New Roman" w:cs="Times New Roman" w:eastAsia="Times New Roman" w:hAnsi="Times New Roman"/>
          <w:sz w:val="18"/>
          <w:szCs w:val="18"/>
          <w:color w:val="auto"/>
        </w:rPr>
      </w:pPr>
    </w:p>
    <w:p>
      <w:pPr>
        <w:ind w:left="420" w:right="40" w:firstLine="419"/>
        <w:spacing w:after="0" w:line="266" w:lineRule="auto"/>
        <w:tabs>
          <w:tab w:leader="none" w:pos="109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warranties and agreements of the Partnership contained in this Agreement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are true and correct on and as of the Delivery Date, and the Partnership has complied with all the agreements contained in this Agreement and satisfied all the conditions on their part to be performed or satisfied hereunder at or prior to the Delivery Date;</w:t>
      </w:r>
    </w:p>
    <w:p>
      <w:pPr>
        <w:spacing w:after="0" w:line="67" w:lineRule="exact"/>
        <w:rPr>
          <w:rFonts w:ascii="Times New Roman" w:cs="Times New Roman" w:eastAsia="Times New Roman" w:hAnsi="Times New Roman"/>
          <w:sz w:val="18"/>
          <w:szCs w:val="18"/>
          <w:color w:val="auto"/>
        </w:rPr>
      </w:pPr>
    </w:p>
    <w:p>
      <w:pPr>
        <w:ind w:left="420" w:right="140" w:firstLine="419"/>
        <w:spacing w:after="0" w:line="258" w:lineRule="auto"/>
        <w:tabs>
          <w:tab w:leader="none" w:pos="109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Prospectus has been timely filed with the Commission in accordance with </w:t>
      </w:r>
      <w:r>
        <w:rPr>
          <w:rFonts w:ascii="Times New Roman" w:cs="Times New Roman" w:eastAsia="Times New Roman" w:hAnsi="Times New Roman"/>
          <w:sz w:val="18"/>
          <w:szCs w:val="18"/>
          <w:u w:val="single" w:color="auto"/>
          <w:color w:val="auto"/>
        </w:rPr>
        <w:t>Section 5(a)(i)</w:t>
      </w:r>
      <w:r>
        <w:rPr>
          <w:rFonts w:ascii="Times New Roman" w:cs="Times New Roman" w:eastAsia="Times New Roman" w:hAnsi="Times New Roman"/>
          <w:sz w:val="18"/>
          <w:szCs w:val="18"/>
          <w:color w:val="auto"/>
        </w:rPr>
        <w:t xml:space="preserve"> of this Agreement; no stop order suspending the effectiveness of the Registration Statement or any part thereof has been issued; and no proceedings for that purpose have been instituted or, to the knowledge of such officers, threatened by the Commission; all requests of the Commission, if any, for inclusion of additional information in the Registration Statement or the Prospectus or otherwise has been complied with; and the Commission has not notified the Partnership of any objection to the use of the form of the Registration Statement or any post-effective amendment thereto; and</w:t>
      </w:r>
    </w:p>
    <w:p>
      <w:pPr>
        <w:spacing w:after="0" w:line="75"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carefully examined the Registration Statement, the Prospectus and the Pricing Disclosure Package, and, in their opinion,</w:t>
      </w:r>
    </w:p>
    <w:p>
      <w:pPr>
        <w:spacing w:after="0" w:line="27" w:lineRule="exact"/>
        <w:rPr>
          <w:sz w:val="20"/>
          <w:szCs w:val="20"/>
          <w:color w:val="auto"/>
        </w:rPr>
      </w:pPr>
    </w:p>
    <w:p>
      <w:pPr>
        <w:ind w:left="420" w:right="180" w:hanging="4"/>
        <w:spacing w:after="0" w:line="252" w:lineRule="auto"/>
        <w:tabs>
          <w:tab w:leader="none" w:pos="7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Registration Statement, including the documents incorporated by reference therein, as of the most recent Effective Date, (ii) the Prospectus, including the documents incorporated by reference therein, as of its date and on the Delivery Date, and (iii) the Pricing Disclosure Package, as of the Applicable Time, did not and do not contain any untrue statement of a material fact and did not and do not omit to state a material fact required to be stated therein or necessary in order to make the statements therein (in the case of the Prospectus,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w:t>
      </w:r>
    </w:p>
    <w:p>
      <w:pPr>
        <w:spacing w:after="0" w:line="188" w:lineRule="exact"/>
        <w:rPr>
          <w:sz w:val="20"/>
          <w:szCs w:val="20"/>
          <w:color w:val="auto"/>
        </w:rPr>
      </w:pPr>
    </w:p>
    <w:p>
      <w:pPr>
        <w:ind w:left="-20" w:firstLine="436"/>
        <w:spacing w:after="0" w:line="253"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Partnership Entities shall have sustained, since the date of the latest audited financial statements included or incorporated by reference in the Pricing Disclosure Package and the Prospectus (i) any material loss or interference with its business from fire, explosion, flood, accident or other calamity, whether or not covered by insurance, or from any labor dispute or court or governmental action, investigation, order or decree, otherwise than as set forth or contemplated in the Pricing Disclosure Package, or shall have become a party to or the subject of any litigation, court or governmental action, investigation, order or decree that is materially adverse to the Partnership Entities, taken as whole, or (ii) any change or decrease specified in the letters referred to in paragraph (f) or (g)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any change, or any development involving a prospective material adverse change, in or affecting the general affairs, operations, properties, business, prospects, capitalization, management, condition (financial or otherwise), securityholders’ equity or results of operations or net worth of the Partnership Entities, taken as a whole, other than as set forth or contemplated in the Pricing Disclosure Package, the effect of which, in any such case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is, in the reasonable judgment of the Representatives, so material and adverse as to make it impracticable or inadvisable to proceed with the public offering or the delivery of the Notes being delivered on the Delivery Date on the terms and in the manner contemplated in the Pricing Disclosure Package.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70" w:right="479" w:bottom="1440" w:gutter="0" w:footer="0" w:header="0"/>
        </w:sectPr>
      </w:pPr>
    </w:p>
    <w:bookmarkStart w:id="29" w:name="page30"/>
    <w:bookmarkEnd w:id="29"/>
    <w:p>
      <w:pPr>
        <w:ind w:left="4" w:right="40" w:firstLine="436"/>
        <w:spacing w:after="0" w:line="261" w:lineRule="auto"/>
        <w:tabs>
          <w:tab w:leader="none" w:pos="6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to the execution and delivery of this Agreement, no downgrading shall have occurred in the rating accorded the debt securities or any preferred equity securities of any of the Partnership Entities that are rated by any “nationally recognized statistical rating organization” (as that term is defined by the Commission for purposes of Section 3(a)(62) of the Exchange Act), and no such organization shall have publicly announced that it has under surveillance or review, with possible negative implications, its ratings of any such debt securities or any preferred equity securities.</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Subsequent to the execution and delivery of this Agreement there shall not have occurred any of the events described in </w:t>
      </w:r>
      <w:r>
        <w:rPr>
          <w:rFonts w:ascii="Times New Roman" w:cs="Times New Roman" w:eastAsia="Times New Roman" w:hAnsi="Times New Roman"/>
          <w:sz w:val="18"/>
          <w:szCs w:val="18"/>
          <w:u w:val="single" w:color="auto"/>
          <w:color w:val="auto"/>
        </w:rPr>
        <w:t>Section 10(i)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color w:val="auto"/>
        </w:rPr>
      </w:pPr>
    </w:p>
    <w:p>
      <w:pPr>
        <w:ind w:left="4" w:right="260" w:firstLine="436"/>
        <w:spacing w:after="0" w:line="282" w:lineRule="auto"/>
        <w:tabs>
          <w:tab w:leader="none" w:pos="6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have furnished the Representatives such additional documents and certificates as the Representatives or counsel to the Underwriters may reasonably request.</w:t>
      </w:r>
    </w:p>
    <w:p>
      <w:pPr>
        <w:spacing w:after="0" w:line="162" w:lineRule="exact"/>
        <w:rPr>
          <w:sz w:val="20"/>
          <w:szCs w:val="20"/>
          <w:color w:val="auto"/>
        </w:rPr>
      </w:pPr>
    </w:p>
    <w:p>
      <w:pPr>
        <w:ind w:left="4" w:right="140" w:firstLine="440"/>
        <w:spacing w:after="0" w:line="312" w:lineRule="auto"/>
        <w:rPr>
          <w:sz w:val="20"/>
          <w:szCs w:val="20"/>
          <w:color w:val="auto"/>
        </w:rPr>
      </w:pPr>
      <w:r>
        <w:rPr>
          <w:rFonts w:ascii="Times New Roman" w:cs="Times New Roman" w:eastAsia="Times New Roman" w:hAnsi="Times New Roman"/>
          <w:sz w:val="17"/>
          <w:szCs w:val="17"/>
          <w:color w:val="auto"/>
        </w:rPr>
        <w:t>All opinions, letters, documents, evidence and certificates mentioned above or elsewhere in this Agreement shall be deemed to be in compliance with the provisions hereof only if they are in form and substance reasonably satisfactory to the Representatives and to counsel to the Underwriters.</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8" w:lineRule="auto"/>
        <w:tabs>
          <w:tab w:leader="none" w:pos="689"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shall indemnify and hold harmless each Underwriter, the directors, officers, employees and agents of each Underwriter, affiliates of any Underwriter who have participated in the distribution of the Notes as underwriters, and each person, if any, who controls any Underwriter within the meaning of Section 15 of the Securities Act, from and against any loss, claim, damage or liability, joint or several, or any action in respect thereof (including, but not limited to, any loss, claim, damage, liability or action relating to purchases and sales of Notes), to which that Underwriter, director, officer, employee, agent, affiliate or controlling person may become subject, under the Securities Act or otherwise, insofar as such loss, claim, damage, liability or action arises out of, or is based upon, (i) any untrue statement or alleged untrue statement of a material fact contained in</w:t>
      </w:r>
    </w:p>
    <w:p>
      <w:pPr>
        <w:spacing w:after="0" w:line="4" w:lineRule="exact"/>
        <w:rPr>
          <w:rFonts w:ascii="Times New Roman" w:cs="Times New Roman" w:eastAsia="Times New Roman" w:hAnsi="Times New Roman"/>
          <w:sz w:val="17"/>
          <w:szCs w:val="17"/>
          <w:color w:val="auto"/>
        </w:rPr>
      </w:pPr>
    </w:p>
    <w:p>
      <w:pPr>
        <w:ind w:left="4" w:right="140" w:hanging="4"/>
        <w:spacing w:after="0" w:line="251" w:lineRule="auto"/>
        <w:tabs>
          <w:tab w:leader="none" w:pos="29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of the Rules and Regulations) used or referred to by any Underwriter, or (D) any “road show” (as defined in Rule 433 of the Rules and Regulations) not constituting an Issuer Free Writing Prospectus (a “</w:t>
      </w:r>
      <w:r>
        <w:rPr>
          <w:rFonts w:ascii="Times New Roman" w:cs="Times New Roman" w:eastAsia="Times New Roman" w:hAnsi="Times New Roman"/>
          <w:sz w:val="18"/>
          <w:szCs w:val="18"/>
          <w:b w:val="1"/>
          <w:bCs w:val="1"/>
          <w:i w:val="1"/>
          <w:iCs w:val="1"/>
          <w:color w:val="auto"/>
        </w:rPr>
        <w:t>Non-Prospectus Road Show</w:t>
      </w:r>
      <w:r>
        <w:rPr>
          <w:rFonts w:ascii="Times New Roman" w:cs="Times New Roman" w:eastAsia="Times New Roman" w:hAnsi="Times New Roman"/>
          <w:sz w:val="18"/>
          <w:szCs w:val="18"/>
          <w:color w:val="auto"/>
        </w:rPr>
        <w:t>”) or (E) any Blue Sky Application or other document prepared or executed by the Partnership (or based upon any written information furnished by the Partnership for use therein) specifically for the purpose of qualifying any or all of the Notes under the securities laws of any state or other jurisdiction (any such application, document or information being hereinafter called a “</w:t>
      </w:r>
      <w:r>
        <w:rPr>
          <w:rFonts w:ascii="Times New Roman" w:cs="Times New Roman" w:eastAsia="Times New Roman" w:hAnsi="Times New Roman"/>
          <w:sz w:val="18"/>
          <w:szCs w:val="18"/>
          <w:b w:val="1"/>
          <w:bCs w:val="1"/>
          <w:i w:val="1"/>
          <w:iCs w:val="1"/>
          <w:color w:val="auto"/>
        </w:rPr>
        <w:t>Blue Sky Application</w:t>
      </w:r>
      <w:r>
        <w:rPr>
          <w:rFonts w:ascii="Times New Roman" w:cs="Times New Roman" w:eastAsia="Times New Roman" w:hAnsi="Times New Roman"/>
          <w:sz w:val="18"/>
          <w:szCs w:val="18"/>
          <w:color w:val="auto"/>
        </w:rPr>
        <w:t>”), or (ii) the omission or alleged omission to state in the Preliminary Prospectus, the Registration Statement, the Prospectus, any Issuer Free Writing Prospectus or in any amendment or supplement thereto or in any Permitted Issuer Information, any Non-Prospectus Road Show or any Blue Sky Application, any material fact required to be stated therein or necessary to make the statements therein (in the case of all of the foregoing, other than the Registration Statement, in the light of the circumstances under which they were made) not misleading, and shall reimburse each</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70" w:right="479" w:bottom="1440" w:gutter="0" w:footer="0" w:header="0"/>
        </w:sectPr>
      </w:pPr>
    </w:p>
    <w:bookmarkStart w:id="30" w:name="page31"/>
    <w:bookmarkEnd w:id="30"/>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Underwriter and each such director, officer, employee, agent, affiliate or controlling person promptly upon demand for any legal or other expenses reasonably incurred by that Underwriter, director, officer, employee, agent, affiliate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Partnership shall not be liable in any such case to the extent that any such loss, claim, damage, liability or action arises out of, or is based upon, any untrue statement or alleged untrue statement or omission or alleged omission made in the Preliminary Prospectus, the Registration Statement, the Prospectus, any Issuer Free Writing Prospectus, or in any such amendment or supplement thereto or in any Permitted Issuer Information, any Non-Prospectus Road Show or any Blue Sky Application, in reliance upon and in conformity with written information concerning any Underwriter furnished to the Partnership through the Representatives by or on behalf of any Underwriter specifically for inclusion therein, which information consists solely of the information specified in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 xml:space="preserve"> hereof. The foregoing indemnity agreement is in addition to any liability which the Partnership may otherwise have to any Underwriter or to any director, officer, employee, agent, affiliate or controlling person of that Underwriter.</w:t>
      </w:r>
    </w:p>
    <w:p>
      <w:pPr>
        <w:spacing w:after="0" w:line="194" w:lineRule="exact"/>
        <w:rPr>
          <w:sz w:val="20"/>
          <w:szCs w:val="20"/>
          <w:color w:val="auto"/>
        </w:rPr>
      </w:pPr>
    </w:p>
    <w:p>
      <w:pPr>
        <w:ind w:firstLine="436"/>
        <w:spacing w:after="0" w:line="252"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Underwriter, severally and not jointly, shall indemnify and hold harmless the Partnership, its employees, the officers and directors of the General Partner, and each person, if any, who controls the Partnership within the meaning of Section 15 of the Securities Act, from and against any loss, claim, damage or liability, joint or several, or any action in respect thereof, to which the Partnership or any such officer, director, employee or controlling person may become subject, under the Securities Act or otherwise, insofar as such loss, claim, damage, liability or action arises out of, or is based upon, (i) any untrue statement or alleged untrue statement of a material fact contained in the Preliminary Prospectus, the Registration Statement, the Prospectus, any Issuer Free Writing Prospectus or in any amendment or supplement thereto or in any Non-Prospectus Road Show or Blue Sky Application, or (ii) the omission or alleged omission to state in the Preliminary Prospectus, the Registration Statement, the Prospectus, any Issuer Free Writing Prospectus or in any amendment or supplement thereto or in any Non-Prospectus Road Show or Blue Sky Application, any material fact required to be stated therein or necessary to make the statements therein (in the case of all of the foregoing, other than the Registration Statement, in light of the circumstances under which they were made) not misleading, but in each case only to the extent that the untrue statement or alleged untrue statement or omission or alleged omission was made in reliance upon and in conformity with written information concerning such Underwriter furnished to the Partnership through the Representatives by or on behalf of that Underwriter specifically for inclusion therein, which information is limited to the information set forth in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 xml:space="preserve"> hereof. The foregoing indemnity agreement is in addition to any liability that any Underwriter may otherwise have to the Partnership, or any such officer, director, employee or controlling person.</w:t>
      </w:r>
    </w:p>
    <w:p>
      <w:pPr>
        <w:spacing w:after="0" w:line="197"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notice of any claim or the commencement of any action, the indemnified party shall, if a claim in respect thereof is to be made against the indemnifying party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notify the indemnifying party in writing of the claim or the commencement of that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notify the indemnifying party shall not relieve it from any liability which it may have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except to the extent it has been materially prejudiced by such failure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failure to notify the indemnifying party shall not relieve it from any liability which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1" w:name="page32"/>
    <w:bookmarkEnd w:id="31"/>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 may have to an indemnified party otherwise than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If any such claim or action shall be brought against an indemnified party, and it shall notify the indemnifying party thereof,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and (ii) the fees and expenses of more than one separate firm (in addition to any local counsel) for the Partnership Entities, the directors and officers of the General Partner who sign the Registration Statement and each person, if any, who controls the Partnership Entities within the meaning of either such Section, and that all such fees and expenses shall be reimbursed as they are incurred. In the case of any such separate firm for the Underwriters and such control persons and affiliates of any Underwriters, such firm shall be designated in writing by the Representatives. In the case of any such separate firm for the Partnership Entities, and such directors, officers and control persons of the General Partner, such firm shall be designated in writing by the Partnership. No indemnifying party shall (A)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(B)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204" w:lineRule="exact"/>
        <w:rPr>
          <w:sz w:val="20"/>
          <w:szCs w:val="20"/>
          <w:color w:val="auto"/>
        </w:rPr>
      </w:pPr>
    </w:p>
    <w:p>
      <w:pPr>
        <w:ind w:left="4" w:right="20" w:firstLine="436"/>
        <w:spacing w:after="0" w:line="254" w:lineRule="auto"/>
        <w:tabs>
          <w:tab w:leader="none" w:pos="69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for any reason be unavailable to or insufficient to hold harmless an indemnified party under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Partnership, on the one hand, and the Underwriters on the other, from the offering of the Notes or (ii) if the allocation provided by </w:t>
      </w:r>
      <w:r>
        <w:rPr>
          <w:rFonts w:ascii="Times New Roman" w:cs="Times New Roman" w:eastAsia="Times New Roman" w:hAnsi="Times New Roman"/>
          <w:sz w:val="18"/>
          <w:szCs w:val="18"/>
          <w:u w:val="single" w:color="auto"/>
          <w:color w:val="auto"/>
        </w:rPr>
        <w:t>clause</w:t>
      </w:r>
    </w:p>
    <w:p>
      <w:pPr>
        <w:spacing w:after="0" w:line="3"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4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is not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32" w:name="page33"/>
    <w:bookmarkEnd w:id="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permitted by applicable law, in such proportion as is appropriate to reflect not only the relative benefits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but also the relative fault of the Partnership, on the one hand, and the Underwriters on the other, with respect to the statements or omissions that resulted in such loss, claim, damage or liability, or action in respect thereof, as well as any other relevant equitable considerations. The relative benefits received by the Partnership, on the one hand, and the Underwriters on the other, with respect to such offering shall be deemed to be in the same proportion as the total net proceeds from the offering of the Notes purchased under this Agreement (before deducting expenses) received by the Partnership, as set forth in the table on the cover page of the Prospectus, on the one hand, and the total underwriting discounts and commissions received by the Underwriters with respect to the Notes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Partnership or the Underwriters, the intent of the parties and their relative knowledge, access to information and opportunity to correct or prevent such statement or omission. The Partnership and the Underwriters agree that it would not be just and equitable if contributions pursuant to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shall be deemed to include, for purposes of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Notwithstanding the provisions of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no Underwriter shall be required to contribute any amount in excess of the amount by which the net proceeds from the sale of the Notes underwritten by it exceeds the amount of any damages that such Underwriter has otherwise paid or become liable to pay by reason of any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respective obligations to contribute as provided in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are several in proportion to their respective underwriting obligations and not joint.</w:t>
      </w:r>
    </w:p>
    <w:p>
      <w:pPr>
        <w:spacing w:after="0" w:line="189" w:lineRule="exact"/>
        <w:rPr>
          <w:sz w:val="20"/>
          <w:szCs w:val="20"/>
          <w:color w:val="auto"/>
        </w:rPr>
      </w:pPr>
    </w:p>
    <w:p>
      <w:pPr>
        <w:ind w:right="40" w:firstLine="436"/>
        <w:spacing w:after="0" w:line="255"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severally confirm and the Partnership acknowledges and agrees that the statements regarding delivery of the Securities by the Underwriters set forth on the cover page of, and (i) the concession and reallowance figures, (ii) the second sentence and fourth sentence of the third paragraph relating to market making by the Underwriters and (iii) the eighth and ninth paragraphs relating to stabilization by the Underwriters appearing under the caption “Underwriting” in, the Preliminary Prospectus and the Prospectus are correct and constitute the only information concerning such Underwriters furnished in writing to the Partnership by or on behalf of the Underwriters specifically for inclusion in the Preliminary Prospectus, the Registration Statement, the Prospectus, any Issuer Free Writing Prospectus or in any amendment or supplement thereto or in any Non-Prospectus Road Show.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33" w:name="page34"/>
    <w:bookmarkEnd w:id="33"/>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Defaulting Underwriters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60" w:firstLine="436"/>
        <w:spacing w:after="0" w:line="252" w:lineRule="auto"/>
        <w:tabs>
          <w:tab w:leader="none" w:pos="6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the Delivery Date, any Underwriter defaults in its obligations to purchase the principal amount of Notes which it has agreed to purchase under this Agreement, the remaining non-defaulting Underwriters may in their discretion arrange for the purchase of such principal amount of Notes by the non-defaulting Underwriters or other persons satisfactory to the Partnership on the terms contained in this Agreement. If, within 36 hours after any such default by any Underwriter, the non-defaulting Underwriters do not arrange for the purchase of such principal amount of Notes, then the Partnership shall be entitled to a further period of 36 hours within which to procure other persons satisfactory to the non-defaulting Underwriters to purchase such principal amount of Notes on such terms. In the event that within the respective prescribed periods, the non-defaulting Underwriters notify the Partnership that they have so arranged for the purchase of such principal amount of Notes, or the Partnership notify the non-defaulting Underwriters that they have so arranged for the purchase of such principal amount of Notes, either the non-defaulting Underwriters or the Partnership may postpone the Delivery Date for up to seven full business days in order to effect any changes that in the opinion of counsel for the Partnership or counsel for the Underwriters may be necessary in the Registration Statement, the Prospectus or in any other document or arrangement, and the Partnership agrees to promptly prepare any amendment or supplement to the Registration Statement, the Prospectus or in any such other document or arrangement that effects any such changes. As used in this Agreement, the term “Underwriter” includes, for all purposes of this Agreement unless the context requires otherwise, any party not listed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that,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purchases Notes that a defaulting Underwriter agreed but failed to purchase.</w:t>
      </w:r>
    </w:p>
    <w:p>
      <w:pPr>
        <w:spacing w:after="0" w:line="197" w:lineRule="exact"/>
        <w:rPr>
          <w:rFonts w:ascii="Times New Roman" w:cs="Times New Roman" w:eastAsia="Times New Roman" w:hAnsi="Times New Roman"/>
          <w:sz w:val="18"/>
          <w:szCs w:val="18"/>
          <w:color w:val="auto"/>
        </w:rPr>
      </w:pPr>
    </w:p>
    <w:p>
      <w:pPr>
        <w:ind w:left="-20" w:firstLine="436"/>
        <w:spacing w:after="0" w:line="255" w:lineRule="auto"/>
        <w:tabs>
          <w:tab w:leader="none" w:pos="6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principal amount of Notes of a defaulting Underwriter or Underwriters by the non-defaulting Underwriters and the Partnership as provided in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the total principal amount of Notes that remains unpurchased does not exceed one-eleventh of the total aggregate principal amount of all of the Notes, then the Partnership shall have the right to require each non-defaulting Underwriter to purchase the principal amount of Notes that such Underwriter agreed to purchase hereunder plus such Underwriter’s pro rata share (based on the total principal amount of Notes that such Underwriter agreed to purchase hereunder) of the principal amount of Notes of such defaulting Underwriter or Underwriters for which such arrangements have not been made; provided that the non-defaulting Underwriters shall not be obligated to purchase more than 110% of the total principal amount of Notes that it agreed to purchase on the Delivery Date pursuant to the terms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20" w:firstLine="436"/>
        <w:spacing w:after="0" w:line="255" w:lineRule="auto"/>
        <w:tabs>
          <w:tab w:leader="none" w:pos="6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principal amount of Notes of a defaulting Underwriter or Underwriters by the non-defaulting Underwriters and the Partnership as provided in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the total principal amount of Notes that remains unpurchased exceeds one-eleventh of the total aggregate principal amount of all of the Notes, or if the Partnership shall not exercise the right described in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then this Agreement shall terminate without liability on the part of the non-defaulting Underwriters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terminate and shall remain in effect. Any termination of this Agreement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without liability on the part of the Partnership, except that the Partnership will continue to be liable for the payment of expenses as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and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terminate and shall remain in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60" w:top="270" w:right="479" w:bottom="1440" w:gutter="0" w:footer="0" w:header="0"/>
        </w:sectPr>
      </w:pPr>
    </w:p>
    <w:bookmarkStart w:id="34" w:name="page35"/>
    <w:bookmarkEnd w:id="34"/>
    <w:p>
      <w:pPr>
        <w:ind w:left="4" w:right="840" w:firstLine="436"/>
        <w:spacing w:after="0" w:line="282" w:lineRule="auto"/>
        <w:tabs>
          <w:tab w:leader="none" w:pos="69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contained herein shall relieve a defaulting Underwriter of any liability it may have to the Partnership or any non-defaulting Underwriter for damages caused by its default.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69" w:lineRule="auto"/>
        <w:rPr>
          <w:sz w:val="20"/>
          <w:szCs w:val="20"/>
          <w:color w:val="auto"/>
        </w:rPr>
      </w:pPr>
      <w:r>
        <w:rPr>
          <w:rFonts w:ascii="Times New Roman" w:cs="Times New Roman" w:eastAsia="Times New Roman" w:hAnsi="Times New Roman"/>
          <w:sz w:val="17"/>
          <w:szCs w:val="17"/>
          <w:color w:val="auto"/>
        </w:rPr>
        <w:t>The obligations of the Underwriters hereunder may be terminated by the Representatives by notice given to and received by the Partnership prior to delivery of and payment for the Notes if, at any time prior to such delivery and payment, (i) trading in any securities of the Partnership shall have been suspended on any exchange or in the over-the-counter market by the Commission or the NYSE, (ii) trading in securities generally on the NYSE, NYSE Alternext US, the NASDAQ Stock Market, or in the over-the-counter market shall have been suspended or limited or minimum prices shall have been established on any such exchange or market by the Commission, by such exchange, or by any other regulatory body or governmental authority,</w:t>
      </w:r>
    </w:p>
    <w:p>
      <w:pPr>
        <w:spacing w:after="0" w:line="3" w:lineRule="exact"/>
        <w:rPr>
          <w:sz w:val="20"/>
          <w:szCs w:val="20"/>
          <w:color w:val="auto"/>
        </w:rPr>
      </w:pPr>
    </w:p>
    <w:p>
      <w:pPr>
        <w:ind w:left="4" w:right="220" w:hanging="4"/>
        <w:spacing w:after="0" w:line="273" w:lineRule="auto"/>
        <w:tabs>
          <w:tab w:leader="none" w:pos="31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banking moratorium shall have been declared either by Federal or New York State authorities, or (iv) there shall have occurred any outbreak or escalation of hostilities, declaration by the United States of a national emergency or war, or other calamity or crisis, the effect of which on financial markets in the United States is such as to make it, in the sole judgment of the Representatives, impractical or inadvisable to proceed with the offering, sale or delivery of the Notes as contemplated in the Preliminary Prospectus or the Prospectus (exclusive of any amendment or supplement thereto).</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Reimbursement of Underwriters’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69" w:lineRule="auto"/>
        <w:rPr>
          <w:sz w:val="20"/>
          <w:szCs w:val="20"/>
          <w:color w:val="auto"/>
        </w:rPr>
      </w:pPr>
      <w:r>
        <w:rPr>
          <w:rFonts w:ascii="Times New Roman" w:cs="Times New Roman" w:eastAsia="Times New Roman" w:hAnsi="Times New Roman"/>
          <w:sz w:val="17"/>
          <w:szCs w:val="17"/>
          <w:color w:val="auto"/>
        </w:rPr>
        <w:t xml:space="preserve">If the Partnership shall fail to tender the Notes for delivery to the Underwriters by reason of any failure, refusal or inability on the part of the Partnership to perform any agreement on its part to be performed, or because any other condition to the Underwriters’ obligations hereunder required to be fulfilled by the Partnership is not fulfilled for any reason, the Partnership will reimburse the Underwriters for all reasonable out-of-pocket expenses (including fees and disbursements of counsel) incurred by the Underwriters in connection with this Agreement and the proposed purchase of the Notes, and upon demand the Partnership shall pay the full amount thereof to the Representatives. If this Agreement is terminated (i) pursuant to </w:t>
      </w:r>
      <w:r>
        <w:rPr>
          <w:rFonts w:ascii="Times New Roman" w:cs="Times New Roman" w:eastAsia="Times New Roman" w:hAnsi="Times New Roman"/>
          <w:sz w:val="17"/>
          <w:szCs w:val="17"/>
          <w:u w:val="single" w:color="auto"/>
          <w:color w:val="auto"/>
        </w:rPr>
        <w:t>Section 10(ii),</w:t>
      </w:r>
    </w:p>
    <w:p>
      <w:pPr>
        <w:spacing w:after="0" w:line="3" w:lineRule="exact"/>
        <w:rPr>
          <w:sz w:val="20"/>
          <w:szCs w:val="20"/>
          <w:color w:val="auto"/>
        </w:rPr>
      </w:pPr>
    </w:p>
    <w:p>
      <w:pPr>
        <w:ind w:left="4" w:right="300" w:hanging="4"/>
        <w:spacing w:after="0" w:line="255" w:lineRule="auto"/>
        <w:tabs>
          <w:tab w:leader="none" w:pos="319" w:val="left"/>
        </w:tabs>
        <w:numPr>
          <w:ilvl w:val="0"/>
          <w:numId w:val="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or (iv)</w:t>
      </w:r>
      <w:r>
        <w:rPr>
          <w:rFonts w:ascii="Times New Roman" w:cs="Times New Roman" w:eastAsia="Times New Roman" w:hAnsi="Times New Roman"/>
          <w:sz w:val="18"/>
          <w:szCs w:val="18"/>
          <w:color w:val="auto"/>
        </w:rPr>
        <w:t xml:space="preserve">, or (ii)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by reason of the default of one or more Underwriters, the Partnership shall not be obligated to reimburse any Underwriter, in the case of clause (i) of this sentence, or any defaulting Underwriter, in the case of clause (ii) of this sentence, on account of the expenses described in the first sentence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Research Independence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Partnership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Partnership, and/or the offering that differ from the views of their respective investment banking divisions. The Partnership hereby waives and releases, to the fullest extent permitted by law, any claims that the Partnership may have against the Underwriters with respect to any conflict of interest that may arise from the fact that the views expressed by their independent research analysts and research departments may be different from or inconsistent with the views or advice communicated to the Partnership by such Underwriters’ investment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35" w:name="page36"/>
    <w:bookmarkEnd w:id="3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banking divisions. The Partnership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Partnership acknowledges and agrees that in connection with this offering,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Partnership Entities and any other person, on the one hand, and the Underwriters, on the other, exists; (ii) none of the Underwriters are acting as advisors, expert or otherwise, to any of the Partnership Entities, including, without limitation, with respect to the determination of the public offering price of the Notes, and such relationship between the Partnership Entities, on the one hand, and the Underwriters, on the other, is entirely and solely commercial, based on arms-length negotiations; (iii) any duties and obligations that the Underwriters may have to the Partnership Entities shall be limited to those duties and obligations specifically stated herein; and (iv) the Underwriters and their respective affiliates may have interests that differ from those of the Partnership Entities. The Partnership hereby waives any claims that they may have against the Underwriters with respect to any breach of fiduciary duty in connection with this offering of the Notes.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statements, requests, notices and agreements hereunder shall be in writing, and: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if to the Underwriters, shall be delivered or sent by mail or facsimile transmission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 West 47th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NY8-114-07-01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High Grade Transaction Management/Legal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(212) 901-7881;</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Columbus Circle, 9th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Debt Capital Markets Syndicate, with a copy to General Counsel,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dbcapmarkets.gcnotices@list.db.com;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Debt Capital Markets Desk</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BA_DCM_Notices@mizuhogroup.com;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Securities Americas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1221 Avenue of the Americas, 6th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Capital Markets Group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(646) 434-3455;</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277 Park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10172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Debt Capital Markets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NikkoGCNotices@smbcnikko-si.com;</w:t>
      </w:r>
    </w:p>
    <w:p>
      <w:pPr>
        <w:spacing w:after="0" w:line="207" w:lineRule="exact"/>
        <w:rPr>
          <w:sz w:val="20"/>
          <w:szCs w:val="20"/>
          <w:color w:val="auto"/>
        </w:rPr>
      </w:pPr>
    </w:p>
    <w:p>
      <w:pPr>
        <w:ind w:right="600" w:firstLine="436"/>
        <w:spacing w:after="0" w:line="28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Partnership, it shall be sufficient in all respects if delivered or sent to the Partnership at the offices of the Partnership at Energy Transfer LP, 8111 Westchester Drive, Suite 600, Dallas, Texas 75225, Attention: Dylan A. Bramhall, Group Chief Financial Officer;</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notice to an Underwriter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delivered or sent by mail or facsimile transmission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at its address set forth in its acceptance telex to the Representatives, which address will be supplied to any other party hereto by the Representatives upon request. Any such statements, requests, notices or agreements shall take effect at the time of receipt thereof. The Partnership shall be entitled to act and rely upon any request, consent, notice or agreement given or made on behalf of the Underwriters by the Representatives.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This Agreement shall inure to the benefit of and be binding upon the Underwriters, the Partnership and their respective successors. This Agreement and the terms and provisions hereof are for the sole benefit of only those persons, except that (A) the representations, warranties, indemnities and agreements of the Partnership contained in this Agreement shall also be deemed to be for the benefit of the directors, officers, employees and agents of each of the Underwriters, affiliates of any Underwriter who have, or are alleged to have, participated in the distribution of the Notes as underwriters, and each person or persons, if any, who control any Underwriter within the meaning of Section 15 of the Securities Act and (B) the indemnity agreement of the Underwriters contained in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of this Agreement shall be deemed to be for the benefit of the directors of the General Partner, the officers of the General Partner who have signed the Registration Statement and any person controlling the Partnership within the meaning of Section 15 of the Securities Act. Nothing in this Agreement is intended or shall be construed to give any person, other than the persons referred to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any legal or equitable right, remedy or claim under or in respect of this Agreement or any provision contained 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respective indemnities, representations, warranties and agreements of the Partnership and the Underwriters contained in this Agreement or made by or on behalf of them, respectively, pursuant to this Agreement, shall survive the delivery of and payment for the Notes and shall remain in full force and effect, regardless of any investigation made by or on behalf of any of them or any person controlling any of them.</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Definition of the Terms “Business Day,” “Subsidiary” and “Affiliate.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each Monday, Tuesday, Wednesday, Thursday or Friday that is not a day on which banking institutions in New York are generally authorized or obligated by law or executive order to close and (b)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have their respective meanings set forth in Rule 405 of the Rules and Regulations.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Agreement and any claim, counterclaim or dispute of any kind or nature whatsoever arising out of or in any way relating to this Agreement, directly or indirectly, shall be governed by, and construed in accordance with, the internal laws of the State of New York.</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This Agreement may be executed in one or more counterparts and, if executed in more than one counterpart, the executed counterparts shall each be deemed to be an original but all such counterparts shall together constitute one and the same instrument. This Agreement may be delivered via facsimile, electronic mail (including pdf or any electronic signature covered by the U.S. federal ESIGN Act of 2000, the Uniform Electronic Transactions Act, the Electronic Signatures and Records Act or other applicable law, e.g., www.docusign.com or www.echosign.com)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headings herein are inserted for convenience of reference only and are not intended to be part of, or to affect the meaning or interpretation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36"/>
        <w:spacing w:after="0" w:line="261"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Underwriter that is a Covered Entity (as defined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becomes subject to a proceeding under a U.S. Special Resolution Regime (as defined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70" w:right="499" w:bottom="1440" w:gutter="0" w:footer="0" w:header="0"/>
        </w:sectPr>
      </w:pPr>
    </w:p>
    <w:bookmarkStart w:id="38" w:name="page39"/>
    <w:bookmarkEnd w:id="38"/>
    <w:p>
      <w:pPr>
        <w:ind w:left="-40" w:firstLine="436"/>
        <w:spacing w:after="0" w:line="26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that any Underwriter that is a Covered Entity or a BHC Act Affiliate (as defined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such Underwriter becomes subject to a proceeding under a U.S. Special Resolution Regime, Default Rights (as defined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5" w:lineRule="exact"/>
        <w:rPr>
          <w:rFonts w:ascii="Times New Roman" w:cs="Times New Roman" w:eastAsia="Times New Roman" w:hAnsi="Times New Roman"/>
          <w:sz w:val="18"/>
          <w:szCs w:val="18"/>
          <w:color w:val="auto"/>
        </w:rPr>
      </w:pPr>
    </w:p>
    <w:p>
      <w:pPr>
        <w:ind w:left="-40" w:right="140" w:firstLine="436"/>
        <w:spacing w:after="0" w:line="256" w:lineRule="auto"/>
        <w:tabs>
          <w:tab w:leader="none" w:pos="6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 a “</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(ii) a “</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means any of the following: (A) a “covered entity” as that term is defined in, and interpreted in accordance with, 12 C.F.R. § 252.82(b); (B) “covered bank” as that term is defined in, and interpreted in accordance with, 12 C.F.R. § 47.3(b); or (C) a “covered FSI” as that term is defined in, and interpreted in accordance with, 12 C.F.R. § 382.2(b); (iii) “</w:t>
      </w:r>
      <w:r>
        <w:rPr>
          <w:rFonts w:ascii="Times New Roman" w:cs="Times New Roman" w:eastAsia="Times New Roman" w:hAnsi="Times New Roman"/>
          <w:sz w:val="18"/>
          <w:szCs w:val="18"/>
          <w:b w:val="1"/>
          <w:bCs w:val="1"/>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(iv) “</w:t>
      </w:r>
      <w:r>
        <w:rPr>
          <w:rFonts w:ascii="Times New Roman" w:cs="Times New Roman" w:eastAsia="Times New Roman" w:hAnsi="Times New Roman"/>
          <w:sz w:val="18"/>
          <w:szCs w:val="18"/>
          <w:b w:val="1"/>
          <w:bCs w:val="1"/>
          <w:i w:val="1"/>
          <w:iCs w:val="1"/>
          <w:color w:val="auto"/>
        </w:rPr>
        <w:t>U.S.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Resolution Regime</w:t>
      </w:r>
      <w:r>
        <w:rPr>
          <w:rFonts w:ascii="Times New Roman" w:cs="Times New Roman" w:eastAsia="Times New Roman" w:hAnsi="Times New Roman"/>
          <w:sz w:val="18"/>
          <w:szCs w:val="18"/>
          <w:color w:val="auto"/>
        </w:rPr>
        <w:t>” means each of (A) the Federal Deposit Insurance Act and the regulations promulgated thereunder and (B) Title II of the Dodd-Frank Wall Street Reform and Consumer Protection Act and the regulations promulgated thereunder.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480" w:top="270" w:right="499" w:bottom="1440" w:gutter="0" w:footer="0" w:header="0"/>
        </w:sectPr>
      </w:pPr>
    </w:p>
    <w:bookmarkStart w:id="39" w:name="page40"/>
    <w:bookmarkEnd w:id="39"/>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agreement among the Partnership and the Underwriters, please indicate your acceptance in the space provided for that purpose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(The Partnership)</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ENERGY TRANSFER LP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 GP, LLC, its general partner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Dylan A. Bramhall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Dylan A. Bramhall</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Group Chief Financial Officer</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1020"/>
          </w:cols>
          <w:pgMar w:left="440" w:top="270"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the Representatives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Wehler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Wehler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Ben Smilchensky</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Ben Smilchensky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Short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Short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Stephen E. Leamer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Stephen E. Leamer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8"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Securities Americas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Richard C Testa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Richard C Testa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Amanda Boggs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Amanda Boggs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8"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42" w:name="page43"/>
    <w:bookmarkEnd w:id="4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940" w:type="dxa"/>
            <w:vAlign w:val="bottom"/>
            <w:vMerge w:val="restart"/>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3"/>
                <w:szCs w:val="13"/>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4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73"/>
        </w:trPr>
        <w:tc>
          <w:tcPr>
            <w:tcW w:w="840" w:type="dxa"/>
            <w:vAlign w:val="bottom"/>
            <w:vMerge w:val="continue"/>
          </w:tcPr>
          <w:p>
            <w:pPr>
              <w:spacing w:after="0"/>
              <w:rPr>
                <w:sz w:val="15"/>
                <w:szCs w:val="15"/>
                <w:color w:val="auto"/>
              </w:rPr>
            </w:pPr>
          </w:p>
        </w:tc>
        <w:tc>
          <w:tcPr>
            <w:tcW w:w="5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of the 2031 Notes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the 2036 Notes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 2056 Notes</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100,000,000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100,000,000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27,777,000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27,777,000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27,777,000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27,777,000</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27,777,000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27,777,000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27,777,000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27,777,000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27,777,000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27,777,000</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27,777,000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27,777,000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27,778,000</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27,778,000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27,778,000</w:t>
            </w:r>
          </w:p>
        </w:tc>
        <w:tc>
          <w:tcPr>
            <w:tcW w:w="0" w:type="dxa"/>
            <w:vAlign w:val="bottom"/>
          </w:tcPr>
          <w:p>
            <w:pPr>
              <w:spacing w:after="0"/>
              <w:rPr>
                <w:sz w:val="1"/>
                <w:szCs w:val="1"/>
                <w:color w:val="auto"/>
              </w:rPr>
            </w:pP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1,000,000,000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1,000,000,000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1,000,000,000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Schedule 1</w:t>
      </w:r>
    </w:p>
    <w:p>
      <w:pPr>
        <w:sectPr>
          <w:pgSz w:w="11900" w:h="16838" w:orient="portrait"/>
          <w:cols w:equalWidth="0" w:num="1">
            <w:col w:w="11020"/>
          </w:cols>
          <w:pgMar w:left="440" w:top="266" w:right="4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Final Term Sheet in the form set forth in Annex 3.</w:t>
      </w:r>
    </w:p>
    <w:p>
      <w:pPr>
        <w:spacing w:after="0" w:line="20" w:lineRule="exact"/>
        <w:rPr>
          <w:sz w:val="20"/>
          <w:szCs w:val="20"/>
          <w:color w:val="auto"/>
        </w:rPr>
      </w:pPr>
      <w:r>
        <w:rPr>
          <w:sz w:val="20"/>
          <w:szCs w:val="20"/>
          <w:color w:val="auto"/>
        </w:rPr>
        <w:br w:type="column"/>
      </w:r>
    </w:p>
    <w:p>
      <w:pPr>
        <w:jc w:val="center"/>
        <w:ind w:right="33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-210820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jc w:val="center"/>
        <w:ind w:right="3319"/>
        <w:spacing w:after="0"/>
        <w:rPr>
          <w:sz w:val="20"/>
          <w:szCs w:val="20"/>
          <w:color w:val="auto"/>
        </w:rPr>
      </w:pPr>
      <w:r>
        <w:rPr>
          <w:rFonts w:ascii="Times New Roman" w:cs="Times New Roman" w:eastAsia="Times New Roman" w:hAnsi="Times New Roman"/>
          <w:sz w:val="17"/>
          <w:szCs w:val="17"/>
          <w:b w:val="1"/>
          <w:bCs w:val="1"/>
          <w:color w:val="auto"/>
        </w:rPr>
        <w:t>Issuer Free Writing Prospectus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Schedule 2</w:t>
      </w:r>
    </w:p>
    <w:p>
      <w:pPr>
        <w:sectPr>
          <w:pgSz w:w="11900" w:h="16838" w:orient="portrait"/>
          <w:cols w:equalWidth="0" w:num="2">
            <w:col w:w="3780" w:space="520"/>
            <w:col w:w="5719"/>
          </w:cols>
          <w:pgMar w:left="440" w:top="266" w:right="1440" w:bottom="1440" w:gutter="0" w:footer="0" w:header="0"/>
        </w:sectPr>
      </w:pPr>
    </w:p>
    <w:bookmarkStart w:id="44" w:name="page45"/>
    <w:bookmarkEnd w:id="44"/>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w:t>
      </w:r>
    </w:p>
    <w:p>
      <w:pPr>
        <w:spacing w:after="0" w:line="11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JURISDICTIONS OF FORMATION AND QUALIFICATION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1760" w:type="dxa"/>
            <w:vAlign w:val="bottom"/>
            <w:vMerge w:val="restart"/>
          </w:tcPr>
          <w:p>
            <w:pPr>
              <w:spacing w:after="0"/>
              <w:rPr>
                <w:sz w:val="13"/>
                <w:szCs w:val="13"/>
                <w:color w:val="auto"/>
              </w:rPr>
            </w:pPr>
          </w:p>
        </w:tc>
        <w:tc>
          <w:tcPr>
            <w:tcW w:w="4900" w:type="dxa"/>
            <w:vAlign w:val="bottom"/>
            <w:gridSpan w:val="3"/>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Jurisdiction of Formation</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Jurisdictions of Registration or</w:t>
            </w:r>
          </w:p>
        </w:tc>
        <w:tc>
          <w:tcPr>
            <w:tcW w:w="0" w:type="dxa"/>
            <w:vAlign w:val="bottom"/>
          </w:tcPr>
          <w:p>
            <w:pPr>
              <w:spacing w:after="0"/>
              <w:rPr>
                <w:sz w:val="1"/>
                <w:szCs w:val="1"/>
                <w:color w:val="auto"/>
              </w:rPr>
            </w:pPr>
          </w:p>
        </w:tc>
      </w:tr>
      <w:tr>
        <w:trPr>
          <w:trHeight w:val="173"/>
        </w:trPr>
        <w:tc>
          <w:tcPr>
            <w:tcW w:w="94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4900" w:type="dxa"/>
            <w:vAlign w:val="bottom"/>
            <w:gridSpan w:val="3"/>
            <w:vMerge w:val="continue"/>
          </w:tcPr>
          <w:p>
            <w:pPr>
              <w:spacing w:after="0"/>
              <w:rPr>
                <w:sz w:val="15"/>
                <w:szCs w:val="15"/>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Qualification</w:t>
            </w: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Energy Transfer LP</w:t>
            </w:r>
          </w:p>
        </w:tc>
        <w:tc>
          <w:tcPr>
            <w:tcW w:w="1280" w:type="dxa"/>
            <w:vAlign w:val="bottom"/>
            <w:vMerge w:val="continue"/>
          </w:tcPr>
          <w:p>
            <w:pPr>
              <w:spacing w:after="0"/>
              <w:rPr>
                <w:sz w:val="16"/>
                <w:szCs w:val="16"/>
                <w:color w:val="auto"/>
              </w:rPr>
            </w:pPr>
          </w:p>
        </w:tc>
        <w:tc>
          <w:tcPr>
            <w:tcW w:w="1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2020" w:type="dxa"/>
            <w:vAlign w:val="bottom"/>
            <w:vMerge w:val="continue"/>
          </w:tcPr>
          <w:p>
            <w:pPr>
              <w:spacing w:after="0"/>
              <w:rPr>
                <w:sz w:val="16"/>
                <w:szCs w:val="16"/>
                <w:color w:val="auto"/>
              </w:rPr>
            </w:pPr>
          </w:p>
        </w:tc>
        <w:tc>
          <w:tcPr>
            <w:tcW w:w="26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w w:val="98"/>
              </w:rPr>
              <w:t>Missouri, Ohio, Texas, North Dakota</w:t>
            </w:r>
          </w:p>
        </w:tc>
        <w:tc>
          <w:tcPr>
            <w:tcW w:w="0" w:type="dxa"/>
            <w:vAlign w:val="bottom"/>
          </w:tcPr>
          <w:p>
            <w:pPr>
              <w:spacing w:after="0"/>
              <w:rPr>
                <w:sz w:val="1"/>
                <w:szCs w:val="1"/>
                <w:color w:val="auto"/>
              </w:rPr>
            </w:pP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 GP, LLC</w:t>
            </w:r>
          </w:p>
        </w:tc>
        <w:tc>
          <w:tcPr>
            <w:tcW w:w="49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Delaware</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 North Dakota</w:t>
            </w:r>
          </w:p>
        </w:tc>
        <w:tc>
          <w:tcPr>
            <w:tcW w:w="0" w:type="dxa"/>
            <w:vAlign w:val="bottom"/>
          </w:tcPr>
          <w:p>
            <w:pPr>
              <w:spacing w:after="0"/>
              <w:rPr>
                <w:sz w:val="1"/>
                <w:szCs w:val="1"/>
                <w:color w:val="auto"/>
              </w:rPr>
            </w:pPr>
          </w:p>
        </w:tc>
      </w:tr>
      <w:tr>
        <w:trPr>
          <w:trHeight w:val="365"/>
        </w:trPr>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Annex 1</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440" w:top="266" w:right="1179" w:bottom="1440" w:gutter="0" w:footer="0" w:header="0"/>
        </w:sectPr>
      </w:pPr>
    </w:p>
    <w:bookmarkStart w:id="45" w:name="page46"/>
    <w:bookmarkEnd w:id="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40" w:type="dxa"/>
            <w:vAlign w:val="bottom"/>
            <w:gridSpan w:val="2"/>
          </w:tcPr>
          <w:p>
            <w:pPr>
              <w:jc w:val="center"/>
              <w:ind w:right="511"/>
              <w:spacing w:after="0"/>
              <w:rPr>
                <w:sz w:val="20"/>
                <w:szCs w:val="20"/>
                <w:color w:val="auto"/>
              </w:rPr>
            </w:pPr>
            <w:r>
              <w:rPr>
                <w:rFonts w:ascii="Times New Roman" w:cs="Times New Roman" w:eastAsia="Times New Roman" w:hAnsi="Times New Roman"/>
                <w:sz w:val="18"/>
                <w:szCs w:val="18"/>
                <w:b w:val="1"/>
                <w:bCs w:val="1"/>
                <w:color w:val="auto"/>
              </w:rPr>
              <w:t>ANNEX 2</w:t>
            </w:r>
          </w:p>
        </w:tc>
      </w:tr>
      <w:tr>
        <w:trPr>
          <w:trHeight w:val="324"/>
        </w:trPr>
        <w:tc>
          <w:tcPr>
            <w:tcW w:w="3940" w:type="dxa"/>
            <w:vAlign w:val="bottom"/>
          </w:tcPr>
          <w:p>
            <w:pPr>
              <w:spacing w:after="0"/>
              <w:rPr>
                <w:sz w:val="24"/>
                <w:szCs w:val="24"/>
                <w:color w:val="auto"/>
              </w:rPr>
            </w:pPr>
          </w:p>
        </w:tc>
        <w:tc>
          <w:tcPr>
            <w:tcW w:w="3740" w:type="dxa"/>
            <w:vAlign w:val="bottom"/>
            <w:gridSpan w:val="2"/>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8"/>
              </w:rPr>
              <w:t>MATERIAL SUBSIDIARIES</w:t>
            </w:r>
          </w:p>
        </w:tc>
      </w:tr>
      <w:tr>
        <w:trPr>
          <w:trHeight w:val="391"/>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800" w:type="dxa"/>
            <w:vAlign w:val="bottom"/>
          </w:tcPr>
          <w:p>
            <w:pPr>
              <w:spacing w:after="0"/>
              <w:rPr>
                <w:sz w:val="24"/>
                <w:szCs w:val="24"/>
                <w:color w:val="auto"/>
              </w:rPr>
            </w:pPr>
          </w:p>
        </w:tc>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Jurisdiction in which registered</w:t>
            </w:r>
          </w:p>
        </w:tc>
      </w:tr>
      <w:tr>
        <w:trPr>
          <w:trHeight w:val="191"/>
        </w:trPr>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Energy Transfer Crude Marketing LLC</w:t>
            </w:r>
          </w:p>
        </w:tc>
        <w:tc>
          <w:tcPr>
            <w:tcW w:w="1800" w:type="dxa"/>
            <w:vAlign w:val="bottom"/>
          </w:tcPr>
          <w:p>
            <w:pPr>
              <w:spacing w:after="0"/>
              <w:rPr>
                <w:sz w:val="16"/>
                <w:szCs w:val="16"/>
                <w:color w:val="auto"/>
              </w:rPr>
            </w:pPr>
          </w:p>
        </w:tc>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Energy Transfer GC NGL Marketing LLC</w:t>
            </w:r>
          </w:p>
        </w:tc>
        <w:tc>
          <w:tcPr>
            <w:tcW w:w="18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Energy Transfer GC NGL Pipelines LP</w:t>
            </w:r>
          </w:p>
        </w:tc>
        <w:tc>
          <w:tcPr>
            <w:tcW w:w="18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Energy Transfer GC NGL Product Services LLC</w:t>
            </w:r>
          </w:p>
        </w:tc>
        <w:tc>
          <w:tcPr>
            <w:tcW w:w="18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Energy Transfer GC NGLs LLC</w:t>
            </w:r>
          </w:p>
        </w:tc>
        <w:tc>
          <w:tcPr>
            <w:tcW w:w="18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Energy Transfer Interstate Holdings, LLC</w:t>
            </w:r>
          </w:p>
        </w:tc>
        <w:tc>
          <w:tcPr>
            <w:tcW w:w="18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ET CC Holdings LLC</w:t>
            </w:r>
          </w:p>
        </w:tc>
        <w:tc>
          <w:tcPr>
            <w:tcW w:w="18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ET COAM Holdings LLC</w:t>
            </w:r>
          </w:p>
        </w:tc>
        <w:tc>
          <w:tcPr>
            <w:tcW w:w="18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ET Intrastate Holdings LLC</w:t>
            </w:r>
          </w:p>
        </w:tc>
        <w:tc>
          <w:tcPr>
            <w:tcW w:w="18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ET Gathering &amp; Processing LLC</w:t>
            </w:r>
          </w:p>
        </w:tc>
        <w:tc>
          <w:tcPr>
            <w:tcW w:w="18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ETP Holdco Corporation</w:t>
            </w:r>
          </w:p>
        </w:tc>
        <w:tc>
          <w:tcPr>
            <w:tcW w:w="18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La Grange Acquisition, L.P.</w:t>
            </w:r>
          </w:p>
        </w:tc>
        <w:tc>
          <w:tcPr>
            <w:tcW w:w="18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ET-S Permian Holdings Company LP</w:t>
            </w:r>
          </w:p>
        </w:tc>
        <w:tc>
          <w:tcPr>
            <w:tcW w:w="180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365"/>
        </w:trPr>
        <w:tc>
          <w:tcPr>
            <w:tcW w:w="3940" w:type="dxa"/>
            <w:vAlign w:val="bottom"/>
          </w:tcPr>
          <w:p>
            <w:pPr>
              <w:spacing w:after="0"/>
              <w:rPr>
                <w:sz w:val="24"/>
                <w:szCs w:val="24"/>
                <w:color w:val="auto"/>
              </w:rPr>
            </w:pPr>
          </w:p>
        </w:tc>
        <w:tc>
          <w:tcPr>
            <w:tcW w:w="3740" w:type="dxa"/>
            <w:vAlign w:val="bottom"/>
            <w:gridSpan w:val="2"/>
          </w:tcPr>
          <w:p>
            <w:pPr>
              <w:jc w:val="center"/>
              <w:ind w:right="511"/>
              <w:spacing w:after="0"/>
              <w:rPr>
                <w:sz w:val="20"/>
                <w:szCs w:val="20"/>
                <w:color w:val="auto"/>
              </w:rPr>
            </w:pPr>
            <w:r>
              <w:rPr>
                <w:rFonts w:ascii="Times New Roman" w:cs="Times New Roman" w:eastAsia="Times New Roman" w:hAnsi="Times New Roman"/>
                <w:sz w:val="18"/>
                <w:szCs w:val="18"/>
                <w:color w:val="auto"/>
              </w:rPr>
              <w:t>Annex 2</w:t>
            </w:r>
          </w:p>
        </w:tc>
      </w:tr>
    </w:tbl>
    <w:p>
      <w:pPr>
        <w:sectPr>
          <w:pgSz w:w="11900" w:h="16838" w:orient="portrait"/>
          <w:cols w:equalWidth="0" w:num="1">
            <w:col w:w="10019"/>
          </w:cols>
          <w:pgMar w:left="440" w:top="266" w:right="1440"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Ratings (Moody’s / S&amp;P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Fitch)*: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Type: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 (T+10):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Proceeds (before offering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 / Yield: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0" w:lineRule="exact"/>
        <w:rPr>
          <w:sz w:val="20"/>
          <w:szCs w:val="20"/>
          <w:color w:val="auto"/>
        </w:rPr>
      </w:pPr>
      <w:r>
        <w:rPr>
          <w:sz w:val="20"/>
          <w:szCs w:val="20"/>
          <w:color w:val="auto"/>
        </w:rPr>
        <w:br w:type="column"/>
      </w:r>
    </w:p>
    <w:p>
      <w:pPr>
        <w:ind w:left="1940"/>
        <w:spacing w:after="0"/>
        <w:rPr>
          <w:sz w:val="20"/>
          <w:szCs w:val="20"/>
          <w:color w:val="auto"/>
        </w:rPr>
      </w:pPr>
      <w:r>
        <w:rPr>
          <w:rFonts w:ascii="Times New Roman" w:cs="Times New Roman" w:eastAsia="Times New Roman" w:hAnsi="Times New Roman"/>
          <w:sz w:val="18"/>
          <w:szCs w:val="18"/>
          <w:b w:val="1"/>
          <w:bCs w:val="1"/>
          <w:color w:val="auto"/>
        </w:rPr>
        <w:t>ANNEX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-210820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 of the Securities Act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333-279982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January 12, 2026</w:t>
      </w:r>
    </w:p>
    <w:p>
      <w:pPr>
        <w:spacing w:after="0" w:line="20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Final Pricing Terms</w:t>
      </w:r>
    </w:p>
    <w:p>
      <w:pPr>
        <w:spacing w:after="0" w:line="1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Energy Transfer LP</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$1,000,000,000 4.550% Senior Notes due 2031</w:t>
      </w:r>
    </w:p>
    <w:p>
      <w:pPr>
        <w:spacing w:after="0" w:line="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$1,000,000,000 5.350% Senior Notes due 2036</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$1,000,000,000 6.300% Senior Notes due 2056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Transfer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2026</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January 27, 2026. We expect that delivery of the notes will be made against payment therefor on or about January 27, 2026, which will be the tenth business day following the date hereof. This settlement cycle is referred to as “T+10.” Under Rule 15c6-1 under the Securities Exchange Act of 1934, as amended (the “Exchange Act”), trades in the secondary market generally are required to settle in one business day, unless the parties to any such trade expressly agree otherwise. Accordingly, purchasers who wish to trade notes prior to the date that is one business day preceding the settlement date, will be required, by virtue of the fact that the notes initially will settle T+10, to specify an alternate settlement cycle at the time of any such trade to prevent a failed settlement. Purchasers of notes who wish to trade notes prior to the date that is one business day preceding the settlement date should consult their own advisors.</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notes will be our general unsecured obligations. The notes will rank equally in right of payment with all our existing and future senior debt, including debt under our revolving credit facility and our existing senior notes, senior in right of payment to our existing and future subordinated debt and junior to the indebtedness and other obligations, including trade payables, of our subsidiaries that do not guarantee the notes. As of September 30, 2025, after giving effect to this offering and the application of the net proceeds as set forth under “Use of Proceeds” in the Notes Preliminary Prospectus Supplement (as defined below), we would have had total senior debt of $51.9 billion, total junior subordinated debt of $3.8 billion, and we would have been able to incur an additional $5.0 billion of debt under our revolving credit facility.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$2,974,800,000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(deliverable through Euroclear and Clearstream)</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$1,000,000,000 4.550% Senior</w:t>
            </w:r>
          </w:p>
        </w:tc>
        <w:tc>
          <w:tcPr>
            <w:tcW w:w="2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$1,000,000,000 5.350% Senior</w:t>
            </w:r>
          </w:p>
        </w:tc>
        <w:tc>
          <w:tcPr>
            <w:tcW w:w="10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$1,000,000,000 6.300% Senior</w:t>
            </w:r>
          </w:p>
        </w:tc>
      </w:tr>
      <w:tr>
        <w:trPr>
          <w:trHeight w:val="187"/>
        </w:trPr>
        <w:tc>
          <w:tcPr>
            <w:tcW w:w="27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Notes due 2031</w:t>
            </w:r>
          </w:p>
        </w:tc>
        <w:tc>
          <w:tcPr>
            <w:tcW w:w="340" w:type="dxa"/>
            <w:vAlign w:val="bottom"/>
          </w:tcPr>
          <w:p>
            <w:pPr>
              <w:spacing w:after="0"/>
              <w:rPr>
                <w:sz w:val="16"/>
                <w:szCs w:val="16"/>
                <w:color w:val="auto"/>
              </w:rPr>
            </w:pPr>
          </w:p>
        </w:tc>
        <w:tc>
          <w:tcPr>
            <w:tcW w:w="23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Notes due 2036</w:t>
            </w:r>
          </w:p>
        </w:tc>
        <w:tc>
          <w:tcPr>
            <w:tcW w:w="10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 due 2056</w:t>
            </w:r>
          </w:p>
        </w:tc>
      </w:tr>
      <w:tr>
        <w:trPr>
          <w:trHeight w:val="30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$1,000,000,000</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$1,000,000,000</w:t>
            </w: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$1,000,000,000</w:t>
            </w:r>
          </w:p>
        </w:tc>
      </w:tr>
      <w:tr>
        <w:trPr>
          <w:trHeight w:val="32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15, 2031</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January 15, 2036</w:t>
            </w: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15, 2056</w:t>
            </w:r>
          </w:p>
        </w:tc>
      </w:tr>
      <w:tr>
        <w:trPr>
          <w:trHeight w:val="30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15 and July 15, beginning</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January 15 and July 15,</w:t>
            </w: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15 and July 15,</w:t>
            </w:r>
          </w:p>
        </w:tc>
      </w:tr>
      <w:tr>
        <w:trPr>
          <w:trHeight w:val="23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15, 2026</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beginning July 15, 2026</w:t>
            </w: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beginning July 15, 2026</w:t>
            </w:r>
          </w:p>
        </w:tc>
      </w:tr>
      <w:tr>
        <w:trPr>
          <w:trHeight w:val="30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3.625% due December 31, 2030</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4.000% due November 15,</w:t>
            </w: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4.750% due August 15, 2055</w:t>
            </w:r>
          </w:p>
        </w:tc>
      </w:tr>
      <w:tr>
        <w:trPr>
          <w:trHeight w:val="234"/>
        </w:trPr>
        <w:tc>
          <w:tcPr>
            <w:tcW w:w="2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99-12 3/4 / 3.759%</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98-18 / 4.179%</w:t>
            </w: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98-23 / 4.832%</w:t>
            </w:r>
          </w:p>
        </w:tc>
      </w:tr>
      <w:tr>
        <w:trPr>
          <w:trHeight w:val="32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 bps</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+118 bps</w:t>
            </w: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+148 bps</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4.589%</w:t>
            </w:r>
          </w:p>
        </w:tc>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5.359%</w:t>
            </w: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6.312%</w:t>
            </w:r>
          </w:p>
        </w:tc>
      </w:tr>
      <w:tr>
        <w:trPr>
          <w:trHeight w:val="365"/>
        </w:trPr>
        <w:tc>
          <w:tcPr>
            <w:tcW w:w="31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Annex 3</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2">
            <w:col w:w="2940" w:space="240"/>
            <w:col w:w="7840"/>
          </w:cols>
          <w:pgMar w:left="440" w:top="266" w:right="439" w:bottom="1440" w:gutter="0" w:footer="0" w:header="0"/>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4.550%</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5.350%</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6.300%</w:t>
            </w:r>
          </w:p>
        </w:tc>
      </w:tr>
      <w:tr>
        <w:trPr>
          <w:trHeight w:val="30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99.830% of the Principal Amount</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99.933% of the Principal</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99.842% of the Principal</w:t>
            </w:r>
          </w:p>
        </w:tc>
      </w:tr>
      <w:tr>
        <w:trPr>
          <w:trHeight w:val="234"/>
        </w:trPr>
        <w:tc>
          <w:tcPr>
            <w:tcW w:w="27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w:t>
            </w:r>
          </w:p>
        </w:tc>
      </w:tr>
      <w:tr>
        <w:trPr>
          <w:trHeight w:val="32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T+15 bps</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T+20 bps</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T+25 bps</w:t>
            </w:r>
          </w:p>
        </w:tc>
      </w:tr>
      <w:tr>
        <w:trPr>
          <w:trHeight w:val="32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Call at Par:</w:t>
            </w: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On or after December 15, 2030</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or after October 15, 2035</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or after July 15, 2055</w:t>
            </w:r>
          </w:p>
        </w:tc>
      </w:tr>
      <w:tr>
        <w:trPr>
          <w:trHeight w:val="30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29273V BJ8 / US29273VBJ89</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29273V BK5 /</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29273V BL3 / US29273VBL36</w:t>
            </w:r>
          </w:p>
        </w:tc>
      </w:tr>
      <w:tr>
        <w:trPr>
          <w:trHeight w:val="234"/>
        </w:trPr>
        <w:tc>
          <w:tcPr>
            <w:tcW w:w="27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US29273VBK52</w:t>
            </w:r>
          </w:p>
        </w:tc>
        <w:tc>
          <w:tcPr>
            <w:tcW w:w="2460" w:type="dxa"/>
            <w:vAlign w:val="bottom"/>
          </w:tcPr>
          <w:p>
            <w:pPr>
              <w:spacing w:after="0"/>
              <w:rPr>
                <w:sz w:val="20"/>
                <w:szCs w:val="20"/>
                <w:color w:val="auto"/>
              </w:rPr>
            </w:pPr>
          </w:p>
        </w:tc>
      </w:tr>
      <w:tr>
        <w:trPr>
          <w:trHeight w:val="30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BofA Securities, Inc.</w:t>
            </w:r>
          </w:p>
        </w:tc>
        <w:tc>
          <w:tcPr>
            <w:tcW w:w="24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Mizuho Securities USA LLC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Barclays Capital Inc.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BBVA Securities Inc.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BMO Capital Markets Corp.</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CIBC World Markets Corp.</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J.P. Morgan Securities LLC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PNC Capital Markets LLC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RBC Capital Markets, LLC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Regions Securities LLC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Scotia Capital (USA) Inc.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TD Securities (USA) LLC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Truist Securities, Inc.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2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3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420" w:type="dxa"/>
            <w:vAlign w:val="bottom"/>
          </w:tcPr>
          <w:p>
            <w:pPr>
              <w:spacing w:after="0"/>
              <w:rPr>
                <w:sz w:val="20"/>
                <w:szCs w:val="20"/>
                <w:color w:val="auto"/>
              </w:rPr>
            </w:pPr>
          </w:p>
        </w:tc>
        <w:tc>
          <w:tcPr>
            <w:tcW w:w="2460" w:type="dxa"/>
            <w:vAlign w:val="bottom"/>
          </w:tcPr>
          <w:p>
            <w:pPr>
              <w:spacing w:after="0"/>
              <w:rPr>
                <w:sz w:val="20"/>
                <w:szCs w:val="20"/>
                <w:color w:val="auto"/>
              </w:rPr>
            </w:pPr>
          </w:p>
        </w:tc>
      </w:tr>
    </w:tbl>
    <w:p>
      <w:pPr>
        <w:spacing w:after="0" w:line="238" w:lineRule="exact"/>
        <w:rPr>
          <w:sz w:val="20"/>
          <w:szCs w:val="20"/>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Issuer has filed a registration statement (including a base prospectus) and a preliminary prospectus supplement with the U.S. Securities and Exchange Commission (“SEC”) for this offering (the “Notes Preliminary Prospectus Supplement”). Before you invest, you should read the Notes Preliminary Prospectus Supplement, the base prospectus in that registration statement and other documents the issuer has filed with the SEC for more complete information about the issuer and this offering. You may obtain these documents for free by visiting EDGAR on the SEC website at http://www.sec.gov. Alternatively, you may obtain a copy of the Notes Preliminary Prospectus Supplement and related base prospectus if you request it by calling BofA Securities, Inc. toll free at 1-800-294-1322, Deutsche Bank Securities Inc. toll free at 1-800-503-4611, Mizuho Securities USA LLC toll free at 1-866-271-7403, MUFG Securities Americas Inc. toll free at 1-877-649-6848 or SMBC Nikko Securities America, Inc. toll free at 1-888-868-6856.</w:t>
      </w:r>
    </w:p>
    <w:p>
      <w:pPr>
        <w:spacing w:after="0" w:line="192"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This pricing term sheet supplements the Notes Preliminary Prospectus Supplement filed by Energy Transfer LP on January 12, 2026 relating to the base prospectus dated June 5, 2024.</w:t>
      </w:r>
    </w:p>
    <w:p>
      <w:pPr>
        <w:spacing w:after="0" w:line="162"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Annex 3</w:t>
      </w:r>
    </w:p>
    <w:p>
      <w:pPr>
        <w:sectPr>
          <w:pgSz w:w="11900" w:h="16838" w:orient="portrait"/>
          <w:cols w:equalWidth="0" w:num="1">
            <w:col w:w="11004"/>
          </w:cols>
          <w:pgMar w:left="436" w:top="270" w:right="4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OPINION OF</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[See Attached.]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[To be provided to the Underwriters]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A-1</w:t>
      </w:r>
    </w:p>
    <w:p>
      <w:pPr>
        <w:sectPr>
          <w:pgSz w:w="11900" w:h="16838" w:orient="portrait"/>
          <w:cols w:equalWidth="0" w:num="1">
            <w:col w:w="9019"/>
          </w:cols>
          <w:pgMar w:left="1440" w:top="266"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NEGATIVE ASSURANCE LETTER OF</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[See Attached.]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[To be provided to the Underwriters]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A-2</w:t>
      </w:r>
    </w:p>
    <w:p>
      <w:pPr>
        <w:sectPr>
          <w:pgSz w:w="11900" w:h="16838" w:orient="portrait"/>
          <w:cols w:equalWidth="0" w:num="1">
            <w:col w:w="9019"/>
          </w:cols>
          <w:pgMar w:left="1440" w:top="266"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A-3</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TAX OPINION OF</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[See Attached.]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[To be provided to the Underwriters]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A-3</w:t>
      </w:r>
    </w:p>
    <w:p>
      <w:pPr>
        <w:sectPr>
          <w:pgSz w:w="11900" w:h="16838" w:orient="portrait"/>
          <w:cols w:equalWidth="0" w:num="1">
            <w:col w:w="9019"/>
          </w:cols>
          <w:pgMar w:left="1440" w:top="266"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173990</wp:posOffset>
            </wp:positionV>
            <wp:extent cx="1663065" cy="488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630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NERGY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18"/>
          <w:szCs w:val="18"/>
          <w:b w:val="1"/>
          <w:bCs w:val="1"/>
          <w:color w:val="auto"/>
        </w:rPr>
        <w:t xml:space="preserve"> LP A</w:t>
      </w:r>
      <w:r>
        <w:rPr>
          <w:rFonts w:ascii="Times New Roman" w:cs="Times New Roman" w:eastAsia="Times New Roman" w:hAnsi="Times New Roman"/>
          <w:sz w:val="14"/>
          <w:szCs w:val="14"/>
          <w:b w:val="1"/>
          <w:bCs w:val="1"/>
          <w:color w:val="auto"/>
        </w:rPr>
        <w:t>NNOUNCES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RICING OF</w:t>
      </w:r>
      <w:r>
        <w:rPr>
          <w:rFonts w:ascii="Times New Roman" w:cs="Times New Roman" w:eastAsia="Times New Roman" w:hAnsi="Times New Roman"/>
          <w:sz w:val="18"/>
          <w:szCs w:val="18"/>
          <w:b w:val="1"/>
          <w:bCs w:val="1"/>
          <w:color w:val="auto"/>
        </w:rPr>
        <w:t xml:space="preserve"> $3.0 B</w:t>
      </w:r>
      <w:r>
        <w:rPr>
          <w:rFonts w:ascii="Times New Roman" w:cs="Times New Roman" w:eastAsia="Times New Roman" w:hAnsi="Times New Roman"/>
          <w:sz w:val="14"/>
          <w:szCs w:val="14"/>
          <w:b w:val="1"/>
          <w:bCs w:val="1"/>
          <w:color w:val="auto"/>
        </w:rPr>
        <w:t>ILLION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ENIOR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DALLAS—January 12, 2026—Energy Transfer LP (NYSE: ET) today announced the pricing of its offering of $1.0 billion aggregate principal amount of 4.550% senior notes due 2031, $1.0 billion aggregate principal amount of 5.350% senior notes due 2036 and $1.0 billion aggregate principal amount of 6.300% senior notes due 2056 (together, the “senior notes”) at prices to the public of 99.830%, 99.933% and 99.842%, respectively, of their face value.</w:t>
      </w:r>
    </w:p>
    <w:p>
      <w:pPr>
        <w:spacing w:after="0" w:line="180"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sale of the senior notes is expected to settle on January 27, 2026, subject to the satisfaction of customary closing conditions. Energy Transfer intends to use the net proceeds of approximately $2.97 billion (before offering expenses) to refinance existing indebtedness, including to repay commercial paper and borrowings under its revolving credit facility, and for general partnership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Deutsche Bank Securities, Mizuho, MUFG and SMBC Nikko are acting as joint book-running managers for the senior notes offering.</w:t>
      </w:r>
    </w:p>
    <w:p>
      <w:pPr>
        <w:spacing w:after="0" w:line="225"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The offering of the senior notes is being made pursuant to an effective shelf registration statement and prospectus filed by Energy Transfer with the Securities and Exchange Commission (“SEC”). The offering of the senior notes may be made only by means of a prospectus and related prospectus supplement meeting the requirements of Section 10 of the Securities Act of 1933, as amended, copies of which may be obtained from the following addresses:</w:t>
      </w: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4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201 North Tryon Street</w:t>
            </w:r>
          </w:p>
        </w:tc>
        <w:tc>
          <w:tcPr>
            <w:tcW w:w="404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8"/>
              </w:rPr>
              <w:t>1221 Avenue of the Americas, 6th Floor</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NC1-022-02-25</w:t>
            </w:r>
          </w:p>
        </w:tc>
        <w:tc>
          <w:tcPr>
            <w:tcW w:w="4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New York, NY 10020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Charlotte, NC 28255-0001</w:t>
            </w:r>
          </w:p>
        </w:tc>
        <w:tc>
          <w:tcPr>
            <w:tcW w:w="4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Attention: Capital Markets Group</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Attention: Prospectus Department</w:t>
            </w:r>
          </w:p>
        </w:tc>
        <w:tc>
          <w:tcPr>
            <w:tcW w:w="4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1-877-649-6848</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Toll-free: 1-800-294-1322</w:t>
            </w:r>
          </w:p>
        </w:tc>
        <w:tc>
          <w:tcPr>
            <w:tcW w:w="40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0" w:type="dxa"/>
            <w:vAlign w:val="bottom"/>
          </w:tcPr>
          <w:p>
            <w:pPr>
              <w:spacing w:after="0"/>
              <w:rPr>
                <w:sz w:val="1"/>
                <w:szCs w:val="1"/>
                <w:color w:val="auto"/>
              </w:rPr>
            </w:pPr>
          </w:p>
        </w:tc>
      </w:tr>
      <w:tr>
        <w:trPr>
          <w:trHeight w:val="122"/>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E-mail: dg.prospectus_requests@bofa.com</w:t>
            </w:r>
          </w:p>
        </w:tc>
        <w:tc>
          <w:tcPr>
            <w:tcW w:w="4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240" w:type="dxa"/>
            <w:vAlign w:val="bottom"/>
            <w:vMerge w:val="continue"/>
          </w:tcPr>
          <w:p>
            <w:pPr>
              <w:spacing w:after="0"/>
              <w:rPr>
                <w:sz w:val="9"/>
                <w:szCs w:val="9"/>
                <w:color w:val="auto"/>
              </w:rPr>
            </w:pPr>
          </w:p>
        </w:tc>
        <w:tc>
          <w:tcPr>
            <w:tcW w:w="40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rPr>
              <w:t>277 Park Avenue</w:t>
            </w:r>
          </w:p>
        </w:tc>
        <w:tc>
          <w:tcPr>
            <w:tcW w:w="0" w:type="dxa"/>
            <w:vAlign w:val="bottom"/>
          </w:tcPr>
          <w:p>
            <w:pPr>
              <w:spacing w:after="0"/>
              <w:rPr>
                <w:sz w:val="1"/>
                <w:szCs w:val="1"/>
                <w:color w:val="auto"/>
              </w:rPr>
            </w:pPr>
          </w:p>
        </w:tc>
      </w:tr>
      <w:tr>
        <w:trPr>
          <w:trHeight w:val="103"/>
        </w:trPr>
        <w:tc>
          <w:tcPr>
            <w:tcW w:w="4240" w:type="dxa"/>
            <w:vAlign w:val="bottom"/>
          </w:tcPr>
          <w:p>
            <w:pPr>
              <w:spacing w:after="0"/>
              <w:rPr>
                <w:sz w:val="8"/>
                <w:szCs w:val="8"/>
                <w:color w:val="auto"/>
              </w:rPr>
            </w:pPr>
          </w:p>
        </w:tc>
        <w:tc>
          <w:tcPr>
            <w:tcW w:w="4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4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New York, NY 10172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Attention: Prospectus Group</w:t>
            </w:r>
          </w:p>
        </w:tc>
        <w:tc>
          <w:tcPr>
            <w:tcW w:w="4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Attention: Debt Capital Markets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1 Columbus Circle</w:t>
            </w:r>
          </w:p>
        </w:tc>
        <w:tc>
          <w:tcPr>
            <w:tcW w:w="4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Toll-free: 1-888-868-6856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10019</w:t>
            </w:r>
          </w:p>
        </w:tc>
        <w:tc>
          <w:tcPr>
            <w:tcW w:w="4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E-mail: prospectus@smbcnikko-si.com</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Toll-free: 1-800-503-4611</w:t>
            </w: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E-mail: Prospectus.Ops@db.com</w:t>
            </w: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1271 Avenue of the Americas</w:t>
            </w: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10020</w:t>
            </w: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Attention: Debt Capital Markets</w:t>
            </w: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Toll-free: 1-866-271-7403</w:t>
            </w: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also obtain these documents for free when they are available by visiting EDGAR on the SEC website at www.sec.gov.</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w:t>
      </w:r>
    </w:p>
    <w:p>
      <w:pPr>
        <w:sectPr>
          <w:pgSz w:w="11900" w:h="16838" w:orient="portrait"/>
          <w:cols w:equalWidth="0" w:num="1">
            <w:col w:w="11020"/>
          </w:cols>
          <w:pgMar w:left="440" w:top="117" w:right="439" w:bottom="1440" w:gutter="0" w:footer="0" w:header="0"/>
        </w:sectPr>
      </w:pPr>
    </w:p>
    <w:bookmarkStart w:id="52" w:name="page53"/>
    <w:bookmarkEnd w:id="52"/>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Energy Transfer LP (NYSE: ET) </w:t>
      </w:r>
      <w:r>
        <w:rPr>
          <w:rFonts w:ascii="Times New Roman" w:cs="Times New Roman" w:eastAsia="Times New Roman" w:hAnsi="Times New Roman"/>
          <w:sz w:val="18"/>
          <w:szCs w:val="18"/>
          <w:color w:val="auto"/>
        </w:rPr>
        <w:t>owns and operates one of the largest and most diversified portfolios of energy assets in the United States,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140,000 miles of pipeline and associated energy infrastructure. Energy Transfer’s strategic network spans 44 states with assets in all of the major U.S. production basins. Energy Transfer is a publicly traded limited partnership with core operations that include complementary natural gas midstream, intrastate and interstate transportation and storage assets; crude oil, natural gas liquids (“NGL”) and refined product transportation and terminalling assets; and NGL fractionation. Energy Transfer also owns the general partner interests, the incentive distribution rights and 28.5 million common units (representing approximately 15% of the aggregate outstanding common and Class D units) of Sunoco LP (NYSE: SUN), and the general partner interests and 46.5 million common units (representing approximately 38% of the outstanding common units) of USA Compression Partners, LP (NYSE: USAC).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Statements about the offering may be forward-looking statements. Forward-looking statements can be identified by words such as “anticipates,” “believes,” “intends,” “projects,” “plans,” “expects,” “continues,” “estimates,” “goals,” “forecasts,” “may,” “will” and other similar expressions. These forward-looking statements rely on a number of assumptions concerning future events and are subject to a number of uncertainties and factors, many of which are outside the control of Energy Transfer, and a variety of risks that could cause results to differ materially from those expected by management of Energy Transfer. Important information about issues that could cause actual results to differ materially from those expected by management of Energy Transfer can be found in Energy Transfer’s public periodic filings with the SEC, including its Annual Report on Form 10-K. Energy Transfer undertakes no obligation to update or revise forward-looking statements to reflect changed assumptions, the occurrence of unanticipated events or changes to future operating results over time.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Transfer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Baerg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 Ratliff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Lyndsay Hannah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214-981-0795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Vicki Granado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214-840-5820</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lowerLetter"/>
      <w:start w:val="1"/>
    </w:lvl>
    <w:lvl w:ilvl="1">
      <w:lvlJc w:val="left"/>
      <w:lvlText w:val="(%2)"/>
      <w:numFmt w:val="lowerRoman"/>
      <w:start w:val="1"/>
    </w:lvl>
  </w:abstractNum>
  <w:abstractNum w:abstractNumId="2">
    <w:nsid w:val="836C40E"/>
    <w:multiLevelType w:val="hybridMultilevel"/>
    <w:lvl w:ilvl="0">
      <w:lvlJc w:val="left"/>
      <w:lvlText w:val="(%1)"/>
      <w:numFmt w:val="lowerRoman"/>
      <w:start w:val="5"/>
    </w:lvl>
  </w:abstractNum>
  <w:abstractNum w:abstractNumId="3">
    <w:nsid w:val="2901D82"/>
    <w:multiLevelType w:val="hybridMultilevel"/>
    <w:lvl w:ilvl="0">
      <w:lvlJc w:val="left"/>
      <w:lvlText w:val="(%1)"/>
      <w:numFmt w:val="lowerLetter"/>
      <w:start w:val="2"/>
    </w:lvl>
  </w:abstractNum>
  <w:abstractNum w:abstractNumId="4">
    <w:nsid w:val="3A95F874"/>
    <w:multiLevelType w:val="hybridMultilevel"/>
    <w:lvl w:ilvl="0">
      <w:lvlJc w:val="left"/>
      <w:lvlText w:val="(%1)"/>
      <w:numFmt w:val="lowerLetter"/>
      <w:start w:val="3"/>
    </w:lvl>
  </w:abstractNum>
  <w:abstractNum w:abstractNumId="5">
    <w:nsid w:val="8138641"/>
    <w:multiLevelType w:val="hybridMultilevel"/>
    <w:lvl w:ilvl="0">
      <w:lvlJc w:val="left"/>
      <w:lvlText w:val="(%1)"/>
      <w:numFmt w:val="lowerLetter"/>
      <w:start w:val="7"/>
    </w:lvl>
  </w:abstractNum>
  <w:abstractNum w:abstractNumId="6">
    <w:nsid w:val="1E7FF521"/>
    <w:multiLevelType w:val="hybridMultilevel"/>
    <w:lvl w:ilvl="0">
      <w:lvlJc w:val="left"/>
      <w:lvlText w:val="(%1)"/>
      <w:numFmt w:val="lowerLetter"/>
      <w:start w:val="12"/>
    </w:lvl>
  </w:abstractNum>
  <w:abstractNum w:abstractNumId="7">
    <w:nsid w:val="7C3DBD3D"/>
    <w:multiLevelType w:val="hybridMultilevel"/>
    <w:lvl w:ilvl="0">
      <w:lvlJc w:val="left"/>
      <w:lvlText w:val="%1"/>
      <w:numFmt w:val="lowerLetter"/>
      <w:start w:val="1"/>
    </w:lvl>
    <w:lvl w:ilvl="1">
      <w:lvlJc w:val="left"/>
      <w:lvlText w:val="(%2)"/>
      <w:numFmt w:val="lowerLetter"/>
      <w:start w:val="15"/>
    </w:lvl>
  </w:abstractNum>
  <w:abstractNum w:abstractNumId="8">
    <w:nsid w:val="737B8DDC"/>
    <w:multiLevelType w:val="hybridMultilevel"/>
    <w:lvl w:ilvl="0">
      <w:lvlJc w:val="left"/>
      <w:lvlText w:val="(%1)"/>
      <w:numFmt w:val="lowerLetter"/>
      <w:start w:val="9"/>
    </w:lvl>
    <w:lvl w:ilvl="1">
      <w:lvlJc w:val="left"/>
      <w:lvlText w:val="(%2)"/>
      <w:numFmt w:val="lowerLetter"/>
      <w:start w:val="16"/>
    </w:lvl>
  </w:abstractNum>
  <w:abstractNum w:abstractNumId="9">
    <w:nsid w:val="6CEAF087"/>
    <w:multiLevelType w:val="hybridMultilevel"/>
    <w:lvl w:ilvl="0">
      <w:lvlJc w:val="left"/>
      <w:lvlText w:val="%1"/>
      <w:numFmt w:val="upperLetter"/>
      <w:start w:val="1"/>
    </w:lvl>
    <w:lvl w:ilvl="1">
      <w:lvlJc w:val="left"/>
      <w:lvlText w:val="(%2)"/>
      <w:numFmt w:val="lowerLetter"/>
      <w:start w:val="20"/>
    </w:lvl>
  </w:abstractNum>
  <w:abstractNum w:abstractNumId="10">
    <w:nsid w:val="22221A70"/>
    <w:multiLevelType w:val="hybridMultilevel"/>
    <w:lvl w:ilvl="0">
      <w:lvlJc w:val="left"/>
      <w:lvlText w:val="(%1)"/>
      <w:numFmt w:val="upperLetter"/>
      <w:start w:val="3"/>
    </w:lvl>
    <w:lvl w:ilvl="1">
      <w:lvlJc w:val="left"/>
      <w:lvlText w:val="(%2)"/>
      <w:numFmt w:val="lowerLetter"/>
      <w:start w:val="22"/>
    </w:lvl>
  </w:abstractNum>
  <w:abstractNum w:abstractNumId="11">
    <w:nsid w:val="4516DDE9"/>
    <w:multiLevelType w:val="hybridMultilevel"/>
    <w:lvl w:ilvl="0">
      <w:lvlJc w:val="left"/>
      <w:lvlText w:val="(%1)"/>
      <w:numFmt w:val="lowerLetter"/>
      <w:start w:val="25"/>
    </w:lvl>
    <w:lvl w:ilvl="1">
      <w:lvlJc w:val="left"/>
      <w:lvlText w:val="(%2)"/>
      <w:numFmt w:val="lowerRoman"/>
      <w:start w:val="1"/>
    </w:lvl>
  </w:abstractNum>
  <w:abstractNum w:abstractNumId="12">
    <w:nsid w:val="3006C83E"/>
    <w:multiLevelType w:val="hybridMultilevel"/>
    <w:lvl w:ilvl="0">
      <w:lvlJc w:val="left"/>
      <w:lvlText w:val="(%1)"/>
      <w:numFmt w:val="lowerLetter"/>
      <w:start w:val="26"/>
    </w:lvl>
  </w:abstractNum>
  <w:abstractNum w:abstractNumId="13">
    <w:nsid w:val="614FD4A1"/>
    <w:multiLevelType w:val="hybridMultilevel"/>
    <w:lvl w:ilvl="0">
      <w:lvlJc w:val="left"/>
      <w:lvlText w:val="(%1)"/>
      <w:numFmt w:val="lowerLetter"/>
      <w:start w:val="27"/>
    </w:lvl>
  </w:abstractNum>
  <w:abstractNum w:abstractNumId="14">
    <w:nsid w:val="419AC241"/>
    <w:multiLevelType w:val="hybridMultilevel"/>
    <w:lvl w:ilvl="0">
      <w:lvlJc w:val="left"/>
      <w:lvlText w:val="(%1)"/>
      <w:numFmt w:val="lowerLetter"/>
      <w:start w:val="28"/>
    </w:lvl>
  </w:abstractNum>
  <w:abstractNum w:abstractNumId="15">
    <w:nsid w:val="5577F8E1"/>
    <w:multiLevelType w:val="hybridMultilevel"/>
    <w:lvl w:ilvl="0">
      <w:lvlJc w:val="left"/>
      <w:lvlText w:val="(%1)"/>
      <w:numFmt w:val="lowerLetter"/>
      <w:start w:val="31"/>
    </w:lvl>
  </w:abstractNum>
  <w:abstractNum w:abstractNumId="16">
    <w:nsid w:val="440BADFC"/>
    <w:multiLevelType w:val="hybridMultilevel"/>
    <w:lvl w:ilvl="0">
      <w:lvlJc w:val="left"/>
      <w:lvlText w:val="(%1)"/>
      <w:numFmt w:val="lowerLetter"/>
      <w:start w:val="34"/>
    </w:lvl>
  </w:abstractNum>
  <w:abstractNum w:abstractNumId="17">
    <w:nsid w:val="5072367"/>
    <w:multiLevelType w:val="hybridMultilevel"/>
    <w:lvl w:ilvl="0">
      <w:lvlJc w:val="left"/>
      <w:lvlText w:val="(%1)"/>
      <w:numFmt w:val="lowerLetter"/>
      <w:start w:val="37"/>
    </w:lvl>
  </w:abstractNum>
  <w:abstractNum w:abstractNumId="18">
    <w:nsid w:val="3804823E"/>
    <w:multiLevelType w:val="hybridMultilevel"/>
    <w:lvl w:ilvl="0">
      <w:lvlJc w:val="left"/>
      <w:lvlText w:val="%1"/>
      <w:numFmt w:val="lowerLetter"/>
      <w:start w:val="1"/>
    </w:lvl>
    <w:lvl w:ilvl="1">
      <w:lvlJc w:val="left"/>
      <w:lvlText w:val="(%2)"/>
      <w:numFmt w:val="lowerLetter"/>
      <w:start w:val="42"/>
    </w:lvl>
  </w:abstractNum>
  <w:abstractNum w:abstractNumId="19">
    <w:nsid w:val="77465F01"/>
    <w:multiLevelType w:val="hybridMultilevel"/>
    <w:lvl w:ilvl="0">
      <w:lvlJc w:val="left"/>
      <w:lvlText w:val="(%1)"/>
      <w:numFmt w:val="lowerLetter"/>
      <w:start w:val="9"/>
    </w:lvl>
    <w:lvl w:ilvl="1">
      <w:lvlJc w:val="left"/>
      <w:lvlText w:val="%2"/>
      <w:numFmt w:val="lowerLetter"/>
      <w:start w:val="1"/>
    </w:lvl>
  </w:abstractNum>
  <w:abstractNum w:abstractNumId="20">
    <w:nsid w:val="7724C67E"/>
    <w:multiLevelType w:val="hybridMultilevel"/>
    <w:lvl w:ilvl="0">
      <w:lvlJc w:val="left"/>
      <w:lvlText w:val="(%1)"/>
      <w:numFmt w:val="upperLetter"/>
      <w:start w:val="3"/>
    </w:lvl>
    <w:lvl w:ilvl="1">
      <w:lvlJc w:val="left"/>
      <w:lvlText w:val="(%2)"/>
      <w:numFmt w:val="lowerLetter"/>
      <w:start w:val="45"/>
    </w:lvl>
  </w:abstractNum>
  <w:abstractNum w:abstractNumId="21">
    <w:nsid w:val="5C482A97"/>
    <w:multiLevelType w:val="hybridMultilevel"/>
    <w:lvl w:ilvl="0">
      <w:lvlJc w:val="left"/>
      <w:lvlText w:val="%1"/>
      <w:numFmt w:val="lowerLetter"/>
      <w:start w:val="1"/>
    </w:lvl>
    <w:lvl w:ilvl="1">
      <w:lvlJc w:val="left"/>
      <w:lvlText w:val="(%2)"/>
      <w:numFmt w:val="lowerLetter"/>
      <w:start w:val="48"/>
    </w:lvl>
  </w:abstractNum>
  <w:abstractNum w:abstractNumId="22">
    <w:nsid w:val="2463B9EA"/>
    <w:multiLevelType w:val="hybridMultilevel"/>
    <w:lvl w:ilvl="0">
      <w:lvlJc w:val="left"/>
      <w:lvlText w:val="(%1)"/>
      <w:numFmt w:val="lowerLetter"/>
      <w:start w:val="9"/>
    </w:lvl>
    <w:lvl w:ilvl="1">
      <w:lvlJc w:val="left"/>
      <w:lvlText w:val="(%2)"/>
      <w:numFmt w:val="lowerLetter"/>
      <w:start w:val="50"/>
    </w:lvl>
  </w:abstractNum>
  <w:abstractNum w:abstractNumId="23">
    <w:nsid w:val="5E884ADC"/>
    <w:multiLevelType w:val="hybridMultilevel"/>
    <w:lvl w:ilvl="0">
      <w:lvlJc w:val="left"/>
      <w:lvlText w:val="%1"/>
      <w:numFmt w:val="lowerLetter"/>
      <w:start w:val="1"/>
    </w:lvl>
    <w:lvl w:ilvl="1">
      <w:lvlJc w:val="left"/>
      <w:lvlText w:val="(%2)"/>
      <w:numFmt w:val="lowerLetter"/>
      <w:start w:val="53"/>
    </w:lvl>
  </w:abstractNum>
  <w:abstractNum w:abstractNumId="24">
    <w:nsid w:val="51EAD36B"/>
    <w:multiLevelType w:val="hybridMultilevel"/>
    <w:lvl w:ilvl="0">
      <w:lvlJc w:val="left"/>
      <w:lvlText w:val="(%1)"/>
      <w:numFmt w:val="lowerLetter"/>
      <w:start w:val="61"/>
    </w:lvl>
    <w:lvl w:ilvl="1">
      <w:lvlJc w:val="left"/>
      <w:lvlText w:val="(%2)"/>
      <w:numFmt w:val="lowerLetter"/>
      <w:start w:val="54"/>
    </w:lvl>
  </w:abstractNum>
  <w:abstractNum w:abstractNumId="25">
    <w:nsid w:val="2D517796"/>
    <w:multiLevelType w:val="hybridMultilevel"/>
    <w:lvl w:ilvl="0">
      <w:lvlJc w:val="left"/>
      <w:lvlText w:val="%1"/>
      <w:numFmt w:val="lowerLetter"/>
      <w:start w:val="1"/>
    </w:lvl>
    <w:lvl w:ilvl="1">
      <w:lvlJc w:val="left"/>
      <w:lvlText w:val="(%2)"/>
      <w:numFmt w:val="lowerLetter"/>
      <w:start w:val="56"/>
    </w:lvl>
  </w:abstractNum>
  <w:abstractNum w:abstractNumId="26">
    <w:nsid w:val="580BD78F"/>
    <w:multiLevelType w:val="hybridMultilevel"/>
    <w:lvl w:ilvl="0">
      <w:lvlJc w:val="left"/>
      <w:lvlText w:val="(%1)"/>
      <w:numFmt w:val="lowerLetter"/>
      <w:start w:val="35"/>
    </w:lvl>
    <w:lvl w:ilvl="1">
      <w:lvlJc w:val="left"/>
      <w:lvlText w:val="%2"/>
      <w:numFmt w:val="lowerLetter"/>
      <w:start w:val="1"/>
    </w:lvl>
  </w:abstractNum>
  <w:abstractNum w:abstractNumId="27">
    <w:nsid w:val="153EA438"/>
    <w:multiLevelType w:val="hybridMultilevel"/>
    <w:lvl w:ilvl="0">
      <w:lvlJc w:val="left"/>
      <w:lvlText w:val="(%1)"/>
      <w:numFmt w:val="lowerLetter"/>
      <w:start w:val="1"/>
    </w:lvl>
    <w:lvl w:ilvl="1">
      <w:lvlJc w:val="left"/>
      <w:lvlText w:val="(%2)"/>
      <w:numFmt w:val="lowerRoman"/>
      <w:start w:val="1"/>
    </w:lvl>
  </w:abstractNum>
  <w:abstractNum w:abstractNumId="28">
    <w:nsid w:val="3855585C"/>
    <w:multiLevelType w:val="hybridMultilevel"/>
    <w:lvl w:ilvl="0">
      <w:lvlJc w:val="left"/>
      <w:lvlText w:val="(%1)"/>
      <w:numFmt w:val="lowerRoman"/>
      <w:start w:val="4"/>
    </w:lvl>
  </w:abstractNum>
  <w:abstractNum w:abstractNumId="29">
    <w:nsid w:val="70A64E2A"/>
    <w:multiLevelType w:val="hybridMultilevel"/>
    <w:lvl w:ilvl="0">
      <w:lvlJc w:val="left"/>
      <w:lvlText w:val="(%1)"/>
      <w:numFmt w:val="lowerRoman"/>
      <w:start w:val="8"/>
    </w:lvl>
  </w:abstractNum>
  <w:abstractNum w:abstractNumId="30">
    <w:nsid w:val="6A2342E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5"/>
    </w:lvl>
  </w:abstractNum>
  <w:abstractNum w:abstractNumId="31">
    <w:nsid w:val="2A487CB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2">
    <w:nsid w:val="1D4ED43B"/>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lowerLetter"/>
      <w:start w:val="1"/>
    </w:lvl>
    <w:lvl w:ilvl="1">
      <w:lvlJc w:val="left"/>
      <w:lvlText w:val="(%2)"/>
      <w:numFmt w:val="lowerLetter"/>
      <w:start w:val="4"/>
    </w:lvl>
  </w:abstractNum>
  <w:abstractNum w:abstractNumId="35">
    <w:nsid w:val="57E4CCAF"/>
    <w:multiLevelType w:val="hybridMultilevel"/>
    <w:lvl w:ilvl="0">
      <w:lvlJc w:val="left"/>
      <w:lvlText w:val="(%1)"/>
      <w:numFmt w:val="lowerLetter"/>
      <w:start w:val="61"/>
    </w:lvl>
    <w:lvl w:ilvl="1">
      <w:lvlJc w:val="left"/>
      <w:lvlText w:val="%2"/>
      <w:numFmt w:val="lowerLetter"/>
      <w:start w:val="1"/>
    </w:lvl>
  </w:abstractNum>
  <w:abstractNum w:abstractNumId="36">
    <w:nsid w:val="7A6D8D3C"/>
    <w:multiLevelType w:val="hybridMultilevel"/>
    <w:lvl w:ilvl="0">
      <w:lvlJc w:val="left"/>
      <w:lvlText w:val="(%1)"/>
      <w:numFmt w:val="lowerLetter"/>
      <w:start w:val="8"/>
    </w:lvl>
    <w:lvl w:ilvl="1">
      <w:lvlJc w:val="left"/>
      <w:lvlText w:val="(%2)"/>
      <w:numFmt w:val="decimal"/>
      <w:start w:val="1"/>
    </w:lvl>
  </w:abstractNum>
  <w:abstractNum w:abstractNumId="37">
    <w:nsid w:val="4B588F54"/>
    <w:multiLevelType w:val="hybridMultilevel"/>
    <w:lvl w:ilvl="0">
      <w:lvlJc w:val="left"/>
      <w:lvlText w:val="(%1)"/>
      <w:numFmt w:val="upperLetter"/>
      <w:start w:val="1"/>
    </w:lvl>
  </w:abstractNum>
  <w:abstractNum w:abstractNumId="38">
    <w:nsid w:val="542289EC"/>
    <w:multiLevelType w:val="hybridMultilevel"/>
    <w:lvl w:ilvl="0">
      <w:lvlJc w:val="left"/>
      <w:lvlText w:val="(%1)"/>
      <w:numFmt w:val="lowerRoman"/>
      <w:start w:val="1"/>
    </w:lvl>
  </w:abstractNum>
  <w:abstractNum w:abstractNumId="39">
    <w:nsid w:val="6DE91B18"/>
    <w:multiLevelType w:val="hybridMultilevel"/>
    <w:lvl w:ilvl="0">
      <w:lvlJc w:val="left"/>
      <w:lvlText w:val="(%1)"/>
      <w:numFmt w:val="lowerLetter"/>
      <w:start w:val="10"/>
    </w:lvl>
  </w:abstractNum>
  <w:abstractNum w:abstractNumId="40">
    <w:nsid w:val="38437FDB"/>
    <w:multiLevelType w:val="hybridMultilevel"/>
    <w:lvl w:ilvl="0">
      <w:lvlJc w:val="left"/>
      <w:lvlText w:val="%1"/>
      <w:numFmt w:val="upperLetter"/>
      <w:start w:val="1"/>
    </w:lvl>
    <w:lvl w:ilvl="1">
      <w:lvlJc w:val="left"/>
      <w:lvlText w:val="(%2)"/>
      <w:numFmt w:val="lowerLetter"/>
      <w:start w:val="1"/>
    </w:lvl>
  </w:abstractNum>
  <w:abstractNum w:abstractNumId="41">
    <w:nsid w:val="7644A45C"/>
    <w:multiLevelType w:val="hybridMultilevel"/>
    <w:lvl w:ilvl="0">
      <w:lvlJc w:val="left"/>
      <w:lvlText w:val="(%1)"/>
      <w:numFmt w:val="upperLetter"/>
      <w:start w:val="1"/>
    </w:lvl>
    <w:lvl w:ilvl="1">
      <w:lvlJc w:val="left"/>
      <w:lvlText w:val="%2"/>
      <w:numFmt w:val="lowerLetter"/>
      <w:start w:val="1"/>
    </w:lvl>
  </w:abstractNum>
  <w:abstractNum w:abstractNumId="42">
    <w:nsid w:val="32FFF902"/>
    <w:multiLevelType w:val="hybridMultilevel"/>
    <w:lvl w:ilvl="0">
      <w:lvlJc w:val="left"/>
      <w:lvlText w:val="(%1)"/>
      <w:numFmt w:val="lowerLetter"/>
      <w:start w:val="2"/>
    </w:lvl>
  </w:abstractNum>
  <w:abstractNum w:abstractNumId="43">
    <w:nsid w:val="684A481A"/>
    <w:multiLevelType w:val="hybridMultilevel"/>
    <w:lvl w:ilvl="0">
      <w:lvlJc w:val="left"/>
      <w:lvlText w:val="%1"/>
      <w:numFmt w:val="lowerLetter"/>
      <w:start w:val="1"/>
    </w:lvl>
    <w:lvl w:ilvl="1">
      <w:lvlJc w:val="left"/>
      <w:lvlText w:val="(%2)"/>
      <w:numFmt w:val="lowerLetter"/>
      <w:start w:val="4"/>
    </w:lvl>
  </w:abstractNum>
  <w:abstractNum w:abstractNumId="44">
    <w:nsid w:val="579478FE"/>
    <w:multiLevelType w:val="hybridMultilevel"/>
    <w:lvl w:ilvl="0">
      <w:lvlJc w:val="left"/>
      <w:lvlText w:val="(%1)"/>
      <w:numFmt w:val="lowerLetter"/>
      <w:start w:val="9"/>
    </w:lvl>
    <w:lvl w:ilvl="1">
      <w:lvlJc w:val="left"/>
      <w:lvlText w:val="%2"/>
      <w:numFmt w:val="lowerLetter"/>
      <w:start w:val="1"/>
    </w:lvl>
  </w:abstractNum>
  <w:abstractNum w:abstractNumId="45">
    <w:nsid w:val="749ABB43"/>
    <w:multiLevelType w:val="hybridMultilevel"/>
    <w:lvl w:ilvl="0">
      <w:lvlJc w:val="left"/>
      <w:lvlText w:val="(%1)"/>
      <w:numFmt w:val="lowerLetter"/>
      <w:start w:val="5"/>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4"/>
    </w:lvl>
  </w:abstractNum>
  <w:abstractNum w:abstractNumId="48">
    <w:nsid w:val="79A1DEAA"/>
    <w:multiLevelType w:val="hybridMultilevel"/>
    <w:lvl w:ilvl="0">
      <w:lvlJc w:val="left"/>
      <w:lvlText w:val="(%1)"/>
      <w:numFmt w:val="lowerRoman"/>
      <w:start w:val="3"/>
    </w:lvl>
  </w:abstractNum>
  <w:abstractNum w:abstractNumId="49">
    <w:nsid w:val="75C6C33A"/>
    <w:multiLevelType w:val="hybridMultilevel"/>
    <w:lvl w:ilvl="0">
      <w:lvlJc w:val="left"/>
      <w:lvlText w:val="(%1)"/>
      <w:numFmt w:val="lowerRoman"/>
      <w:start w:val="3"/>
    </w:lvl>
  </w:abstractNum>
  <w:abstractNum w:abstractNumId="50">
    <w:nsid w:val="12E685FB"/>
    <w:multiLevelType w:val="hybridMultilevel"/>
    <w:lvl w:ilvl="0">
      <w:lvlJc w:val="left"/>
      <w:lvlText w:val="(%1)"/>
      <w:numFmt w:val="lowerLetter"/>
      <w:start w:val="2"/>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lowerLetter"/>
      <w:start w:val="2"/>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2026-01-13T16:18:58Z</dcterms:created>
  <dcterms:modified xsi:type="dcterms:W3CDTF">2026-01-13T16:18:58Z</dcterms:modified>
</cp:coreProperties>
</file>