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4050d8k.htm"/>
      <w:bookmarkStart w:id="1" w:name="ksd640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January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1-32740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30-0108820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8111 Westchester Drive, Suite 600</w:t>
      </w:r>
    </w:p>
    <w:p>
      <w:pPr>
        <w:pStyle w:val="TextBody"/>
        <w:bidi w:val="0"/>
        <w:spacing w:before="0" w:after="0"/>
        <w:jc w:val="center"/>
        <w:rPr>
          <w:rFonts w:ascii="Times New Roman" w:hAnsi="Times New Roman"/>
          <w:b/>
          <w:sz w:val="20"/>
        </w:rPr>
      </w:pPr>
      <w:r>
        <w:rPr>
          <w:rFonts w:ascii="Times New Roman" w:hAnsi="Times New Roman"/>
          <w:b/>
          <w:sz w:val="20"/>
        </w:rPr>
        <w:t>Dallas, Texas 75225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(214) 981-0700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95" w:type="dxa"/>
        <w:jc w:val="left"/>
        <w:tblInd w:w="0" w:type="dxa"/>
        <w:tblLayout w:type="fixed"/>
        <w:tblCellMar>
          <w:top w:w="0" w:type="dxa"/>
          <w:left w:w="0" w:type="dxa"/>
          <w:bottom w:w="0" w:type="dxa"/>
          <w:right w:w="0" w:type="dxa"/>
        </w:tblCellMar>
      </w:tblPr>
      <w:tblGrid>
        <w:gridCol w:w="5075"/>
        <w:gridCol w:w="60"/>
        <w:gridCol w:w="740"/>
        <w:gridCol w:w="60"/>
        <w:gridCol w:w="2660"/>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075" w:type="dxa"/>
            <w:tcBorders/>
            <w:vAlign w:val="center"/>
          </w:tcPr>
          <w:p>
            <w:pPr>
              <w:pStyle w:val="TableContents"/>
              <w:bidi w:val="0"/>
              <w:spacing w:before="0" w:after="283"/>
              <w:jc w:val="center"/>
              <w:rPr/>
            </w:pPr>
            <w:r>
              <w:rPr/>
              <w:t>Common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075" w:type="dxa"/>
            <w:tcBorders/>
            <w:vAlign w:val="center"/>
          </w:tcPr>
          <w:p>
            <w:pPr>
              <w:pStyle w:val="TableContents"/>
              <w:bidi w:val="0"/>
              <w:spacing w:before="0" w:after="283"/>
              <w:jc w:val="center"/>
              <w:rPr/>
            </w:pPr>
            <w:r>
              <w:rPr/>
              <w:t>9.250% Series I Fixed Rate Perpetual Preferred Units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ETprI</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27, 2026, Energy Transfer LP (the “Partnership”) completed its previously reported underwritten public offering (the “Offering”) of $1,000,000,000 aggregate principal amount of its 4.550% Senior Notes due 2031 (the “2031 Notes”), $1,000,000,000 aggregate principal amount of its 5.350% Senior Notes due 2036 (the “2036 Notes”) and $1,000,000,000 aggregate principal amount of its 6.300% Senior Notes due 2056 (the “2056 Notes” and, together with the 2031 Notes and the 2036 Notes, the “Notes”). The Notes were issued under the Indenture, dated as of December 14, 2022 (the “Indenture”), between the Partnership and U.S. Bank Trust Company, National Association, as trustee, as supplemented by the Tenth Supplemental Indenture, dated as of January 27, 2026 (the “Tenth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registered under the Securities Act of 1933, as amended (the “Securities Act”), pursuant to a Registration Statement on Form S-3ASR (File No. 333-279982) of the Partnership, which became effective on June 6, 2024, as supplemented by the Prospectus Supplement, dated January 12, 2026 (together with the accompanying prospectus, dated June 5, 2024, the “Prospectus Supplement”), filed with the Securities and Exchange Commission pursuant to Rule 424(b) of the Securities Act on January 14, 2026. The legal opinion related to the Notes is included as Exhibit 5.1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Notes and the Tenth Supplemental Indenture are further described in the Prospectus Supplement under the captions “Description of the Notes” and “Description of Debt Securities.” Such descriptions do not purport to be complete and are qualified by reference to the Indenture and the Tenth Supplemental Indenture, copies of which are filed as Exhibit 4.1 and Exhibit 4.2, respectively, to this Current Report on Form 8-K and incorporated by reference into this Item 1.01.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1025"/>
        <w:gridCol w:w="8615"/>
      </w:tblGrid>
      <w:tr>
        <w:trPr/>
        <w:tc>
          <w:tcPr>
            <w:tcW w:w="1025" w:type="dxa"/>
            <w:tcBorders/>
            <w:vAlign w:val="center"/>
          </w:tcPr>
          <w:p>
            <w:pPr>
              <w:pStyle w:val="TableContents"/>
              <w:bidi w:val="0"/>
              <w:spacing w:before="0" w:after="283"/>
              <w:jc w:val="left"/>
              <w:rPr>
                <w:b/>
              </w:rPr>
            </w:pPr>
            <w:r>
              <w:rPr>
                <w:b/>
              </w:rPr>
              <w:t>Item 2.03.</w:t>
            </w:r>
          </w:p>
        </w:tc>
        <w:tc>
          <w:tcPr>
            <w:tcW w:w="8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Entry into a Material Definitive Agreement”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the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Indenture, dated as of December 14, 2022, between Energy Transfer LP, as issuer, and U.S. Bank Trust Company, National Association, as trustee (incorporated by reference to Exhibit 4.1 to Form 8-K (File No. 1-32740) filed December 14, 2022).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4050dex42.htm">
              <w:r>
                <w:rPr>
                  <w:rStyle w:val="InternetLink"/>
                </w:rPr>
                <w:t xml:space="preserve">Tenth Supplemental Indenture, dated as of January 27, 2026, between Energy Transfer LP, as issuer, and U.S. Bank Trust Company,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4050dex42.htm">
              <w:r>
                <w:rPr>
                  <w:rStyle w:val="InternetLink"/>
                </w:rPr>
                <w:t xml:space="preserve">Forms of Senior Notes (included in Exhibit 4.2 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4050dex51.htm">
              <w:r>
                <w:rPr>
                  <w:rStyle w:val="InternetLink"/>
                </w:rPr>
                <w:t xml:space="preserve">Opinion of Latham &amp; Watkins LLP related to the Notes.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64050dex51.htm">
              <w:r>
                <w:rPr>
                  <w:rStyle w:val="InternetLink"/>
                </w:rPr>
                <w:t xml:space="preserve">Consent of Latham &amp; Watkins LLP (included in Exhibit 5.1 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2240"/>
        <w:gridCol w:w="60"/>
        <w:gridCol w:w="5750"/>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b/>
              </w:rPr>
            </w:pPr>
            <w:r>
              <w:rPr>
                <w:b/>
              </w:rPr>
              <w:t>ENERGY TRANSFER LP</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By: LE GP, LLC, its general partner</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pPr>
            <w:r>
              <w:rPr/>
              <w:t>Date: January 27, 2026</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Dylan A. Bramhall</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Executive Vice President and Group Chief Financial Officer</w:t>
            </w:r>
          </w:p>
        </w:tc>
      </w:tr>
    </w:tbl>
    <w:p>
      <w:pPr>
        <w:pStyle w:val="TextBody"/>
        <w:bidi w:val="0"/>
        <w:spacing w:before="0" w:after="0"/>
        <w:jc w:val="right"/>
        <w:rPr>
          <w:rFonts w:ascii="Times New Roman" w:hAnsi="Times New Roman"/>
          <w:b/>
          <w:sz w:val="20"/>
        </w:rPr>
      </w:pPr>
      <w:bookmarkStart w:id="2" w:name="d64050dex42.htm"/>
      <w:bookmarkStart w:id="3" w:name="ksd64050dex42"/>
      <w:bookmarkEnd w:id="2"/>
      <w:bookmarkEnd w:id="3"/>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TENTH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27, 2026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December 14, 2022 </w:t>
      </w:r>
    </w:p>
    <w:p>
      <w:pPr>
        <w:pStyle w:val="TextBody"/>
        <w:bidi w:val="0"/>
        <w:spacing w:before="240" w:after="0"/>
        <w:jc w:val="center"/>
        <w:rPr>
          <w:rFonts w:ascii="Times New Roman" w:hAnsi="Times New Roman"/>
          <w:sz w:val="20"/>
        </w:rPr>
      </w:pPr>
      <w:r>
        <w:rPr>
          <w:rFonts w:ascii="Times New Roman" w:hAnsi="Times New Roman"/>
          <w:sz w:val="20"/>
        </w:rPr>
        <w:t xml:space="preserve">4.550% Senior Notes due 2031 </w:t>
      </w:r>
    </w:p>
    <w:p>
      <w:pPr>
        <w:pStyle w:val="TextBody"/>
        <w:bidi w:val="0"/>
        <w:spacing w:before="0" w:after="0"/>
        <w:jc w:val="center"/>
        <w:rPr>
          <w:rFonts w:ascii="Times New Roman" w:hAnsi="Times New Roman"/>
          <w:sz w:val="20"/>
        </w:rPr>
      </w:pPr>
      <w:r>
        <w:rPr>
          <w:rFonts w:ascii="Times New Roman" w:hAnsi="Times New Roman"/>
          <w:sz w:val="20"/>
        </w:rPr>
        <w:t xml:space="preserve">5.350% Senior Notes due 2036 </w:t>
      </w:r>
    </w:p>
    <w:p>
      <w:pPr>
        <w:pStyle w:val="TextBody"/>
        <w:bidi w:val="0"/>
        <w:spacing w:before="0" w:after="0"/>
        <w:jc w:val="center"/>
        <w:rPr>
          <w:rFonts w:ascii="Times New Roman" w:hAnsi="Times New Roman"/>
          <w:sz w:val="20"/>
        </w:rPr>
      </w:pPr>
      <w:r>
        <w:rPr>
          <w:rFonts w:ascii="Times New Roman" w:hAnsi="Times New Roman"/>
          <w:sz w:val="20"/>
        </w:rPr>
        <w:t xml:space="preserve">6.300% Senior Notes due 2056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8"/>
        <w:gridCol w:w="94"/>
        <w:gridCol w:w="60"/>
        <w:gridCol w:w="321"/>
        <w:gridCol w:w="60"/>
        <w:gridCol w:w="146"/>
        <w:gridCol w:w="7927"/>
        <w:gridCol w:w="146"/>
        <w:gridCol w:w="60"/>
        <w:gridCol w:w="268"/>
        <w:gridCol w:w="65"/>
      </w:tblGrid>
      <w:tr>
        <w:trPr/>
        <w:tc>
          <w:tcPr>
            <w:tcW w:w="105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Generally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Definition of Certain Terms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II GENERAL TERMS OF THE NOTES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Form</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Title, Amount and Payment of Principal and Interest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Transfer and Exchange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III GUARANTY; FUTURE SUBSIDIARY GUARANTEES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Guarantee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Future Subsidiary Guarantors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Release of Guarantees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IV 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Optional Redemption of 2031 Notes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Optional Redemption of 2036 Notes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Optional Redemption of 2056 Notes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Optional Redemption Generally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No Sinking Fund; Mandatory 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V ADDITIONAL COVENANTS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Limitations on Liens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Restriction on Sale-Leasebacks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VI AMENDMENTS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Amendments without Consent of Holders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Notice of 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Notices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SEC Reports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9666" w:type="dxa"/>
            <w:gridSpan w:val="7"/>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ARTICLE VII MISCELLANEOUS PROVISIONS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Ratification of Base Indenture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Trustee Not Responsible for Recitals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Table of Contents, Headings, etc.</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Counterpart Originals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058" w:type="dxa"/>
            <w:tcBorders/>
          </w:tcPr>
          <w:p>
            <w:pPr>
              <w:pStyle w:val="TableContents"/>
              <w:bidi w:val="0"/>
              <w:spacing w:before="0" w:after="0"/>
              <w:jc w:val="left"/>
              <w:rPr>
                <w:rFonts w:ascii="Times New Roman" w:hAnsi="Times New Roman"/>
                <w:sz w:val="20"/>
              </w:rPr>
            </w:pPr>
            <w:r>
              <w:rPr>
                <w:rFonts w:ascii="Times New Roman" w:hAnsi="Times New Roman"/>
                <w:sz w:val="20"/>
              </w:rPr>
              <w:t>SECTION</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27" w:type="dxa"/>
            <w:tcBorders/>
            <w:vAlign w:val="bottom"/>
          </w:tcPr>
          <w:p>
            <w:pPr>
              <w:pStyle w:val="TableContents"/>
              <w:bidi w:val="0"/>
              <w:spacing w:before="0" w:after="283"/>
              <w:jc w:val="left"/>
              <w:rPr>
                <w:i/>
              </w:rPr>
            </w:pPr>
            <w:r>
              <w:rPr>
                <w:i/>
              </w:rPr>
              <w:t>Governing Law</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5"/>
        <w:gridCol w:w="221"/>
        <w:gridCol w:w="8839"/>
      </w:tblGrid>
      <w:tr>
        <w:trPr/>
        <w:tc>
          <w:tcPr>
            <w:tcW w:w="114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8839"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283"/>
              <w:jc w:val="left"/>
              <w:rPr>
                <w:u w:val="single"/>
              </w:rPr>
            </w:pPr>
            <w:r>
              <w:rPr>
                <w:u w:val="single"/>
              </w:rPr>
              <w:t>EXHIBITS</w:t>
            </w:r>
          </w:p>
        </w:tc>
        <w:tc>
          <w:tcPr>
            <w:tcW w:w="221" w:type="dxa"/>
            <w:tcBorders/>
            <w:vAlign w:val="bottom"/>
          </w:tcPr>
          <w:p>
            <w:pPr>
              <w:pStyle w:val="TableContents"/>
              <w:bidi w:val="0"/>
              <w:spacing w:before="0" w:after="283"/>
              <w:jc w:val="left"/>
              <w:rPr/>
            </w:pPr>
            <w:r>
              <w:rPr/>
              <w:t>  </w:t>
            </w:r>
          </w:p>
        </w:tc>
        <w:tc>
          <w:tcPr>
            <w:tcW w:w="8839" w:type="dxa"/>
            <w:tcBorders/>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283"/>
              <w:jc w:val="left"/>
              <w:rPr/>
            </w:pPr>
            <w:r>
              <w:rPr/>
              <w:t>Exhibit A-1:</w:t>
            </w:r>
          </w:p>
        </w:tc>
        <w:tc>
          <w:tcPr>
            <w:tcW w:w="221" w:type="dxa"/>
            <w:tcBorders/>
            <w:vAlign w:val="bottom"/>
          </w:tcPr>
          <w:p>
            <w:pPr>
              <w:pStyle w:val="TableContents"/>
              <w:bidi w:val="0"/>
              <w:spacing w:before="0" w:after="283"/>
              <w:jc w:val="left"/>
              <w:rPr/>
            </w:pPr>
            <w:r>
              <w:rPr/>
              <w:t>  </w:t>
            </w:r>
          </w:p>
        </w:tc>
        <w:tc>
          <w:tcPr>
            <w:tcW w:w="8839" w:type="dxa"/>
            <w:tcBorders/>
          </w:tcPr>
          <w:p>
            <w:pPr>
              <w:pStyle w:val="TableContents"/>
              <w:bidi w:val="0"/>
              <w:spacing w:before="0" w:after="283"/>
              <w:jc w:val="left"/>
              <w:rPr/>
            </w:pPr>
            <w:r>
              <w:rPr/>
              <w:t>Form of 4.550% Senior Note due 2031</w:t>
            </w:r>
          </w:p>
        </w:tc>
      </w:tr>
      <w:tr>
        <w:trPr/>
        <w:tc>
          <w:tcPr>
            <w:tcW w:w="1145" w:type="dxa"/>
            <w:tcBorders/>
          </w:tcPr>
          <w:p>
            <w:pPr>
              <w:pStyle w:val="TableContents"/>
              <w:bidi w:val="0"/>
              <w:spacing w:before="0" w:after="283"/>
              <w:jc w:val="left"/>
              <w:rPr/>
            </w:pPr>
            <w:r>
              <w:rPr/>
              <w:t>Exhibit A-2:</w:t>
            </w:r>
          </w:p>
        </w:tc>
        <w:tc>
          <w:tcPr>
            <w:tcW w:w="221" w:type="dxa"/>
            <w:tcBorders/>
            <w:vAlign w:val="bottom"/>
          </w:tcPr>
          <w:p>
            <w:pPr>
              <w:pStyle w:val="TableContents"/>
              <w:bidi w:val="0"/>
              <w:spacing w:before="0" w:after="283"/>
              <w:jc w:val="left"/>
              <w:rPr/>
            </w:pPr>
            <w:r>
              <w:rPr/>
              <w:t>  </w:t>
            </w:r>
          </w:p>
        </w:tc>
        <w:tc>
          <w:tcPr>
            <w:tcW w:w="8839" w:type="dxa"/>
            <w:tcBorders/>
          </w:tcPr>
          <w:p>
            <w:pPr>
              <w:pStyle w:val="TableContents"/>
              <w:bidi w:val="0"/>
              <w:spacing w:before="0" w:after="283"/>
              <w:jc w:val="left"/>
              <w:rPr/>
            </w:pPr>
            <w:r>
              <w:rPr/>
              <w:t>Form of 5.350% Senior Note due 2036</w:t>
            </w:r>
          </w:p>
        </w:tc>
      </w:tr>
      <w:tr>
        <w:trPr/>
        <w:tc>
          <w:tcPr>
            <w:tcW w:w="1145" w:type="dxa"/>
            <w:tcBorders/>
          </w:tcPr>
          <w:p>
            <w:pPr>
              <w:pStyle w:val="TableContents"/>
              <w:bidi w:val="0"/>
              <w:spacing w:before="0" w:after="283"/>
              <w:jc w:val="left"/>
              <w:rPr/>
            </w:pPr>
            <w:r>
              <w:rPr/>
              <w:t>Exhibit A-3:</w:t>
            </w:r>
          </w:p>
        </w:tc>
        <w:tc>
          <w:tcPr>
            <w:tcW w:w="221" w:type="dxa"/>
            <w:tcBorders/>
            <w:vAlign w:val="bottom"/>
          </w:tcPr>
          <w:p>
            <w:pPr>
              <w:pStyle w:val="TableContents"/>
              <w:bidi w:val="0"/>
              <w:spacing w:before="0" w:after="283"/>
              <w:jc w:val="left"/>
              <w:rPr/>
            </w:pPr>
            <w:r>
              <w:rPr/>
              <w:t>  </w:t>
            </w:r>
          </w:p>
        </w:tc>
        <w:tc>
          <w:tcPr>
            <w:tcW w:w="8839" w:type="dxa"/>
            <w:tcBorders/>
          </w:tcPr>
          <w:p>
            <w:pPr>
              <w:pStyle w:val="TableContents"/>
              <w:bidi w:val="0"/>
              <w:spacing w:before="0" w:after="283"/>
              <w:jc w:val="left"/>
              <w:rPr/>
            </w:pPr>
            <w:r>
              <w:rPr/>
              <w:t>Form of 6.300% Senior Note due 2056</w:t>
            </w:r>
          </w:p>
        </w:tc>
      </w:tr>
      <w:tr>
        <w:trPr/>
        <w:tc>
          <w:tcPr>
            <w:tcW w:w="1145" w:type="dxa"/>
            <w:tcBorders/>
          </w:tcPr>
          <w:p>
            <w:pPr>
              <w:pStyle w:val="TableContents"/>
              <w:bidi w:val="0"/>
              <w:spacing w:before="0" w:after="283"/>
              <w:jc w:val="left"/>
              <w:rPr/>
            </w:pPr>
            <w:r>
              <w:rPr/>
              <w:t>Exhibit B:</w:t>
            </w:r>
          </w:p>
        </w:tc>
        <w:tc>
          <w:tcPr>
            <w:tcW w:w="221" w:type="dxa"/>
            <w:tcBorders/>
            <w:vAlign w:val="bottom"/>
          </w:tcPr>
          <w:p>
            <w:pPr>
              <w:pStyle w:val="TableContents"/>
              <w:bidi w:val="0"/>
              <w:spacing w:before="0" w:after="283"/>
              <w:jc w:val="left"/>
              <w:rPr/>
            </w:pPr>
            <w:r>
              <w:rPr/>
              <w:t>  </w:t>
            </w:r>
          </w:p>
        </w:tc>
        <w:tc>
          <w:tcPr>
            <w:tcW w:w="8839" w:type="dxa"/>
            <w:tcBorders/>
          </w:tcPr>
          <w:p>
            <w:pPr>
              <w:pStyle w:val="TableContents"/>
              <w:bidi w:val="0"/>
              <w:spacing w:before="0" w:after="283"/>
              <w:jc w:val="left"/>
              <w:rPr/>
            </w:pPr>
            <w:r>
              <w:rPr/>
              <w:t>Form of Supplemental Indenture to be entered into by Subsidiary Guarantors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TENTH SUPPLEMENTAL INDENTURE, dated as of January 27, 2026 (the “</w:t>
      </w:r>
      <w:r>
        <w:rPr>
          <w:rFonts w:ascii="Times New Roman" w:hAnsi="Times New Roman"/>
          <w:sz w:val="20"/>
          <w:u w:val="single"/>
        </w:rPr>
        <w:t>Tenth Supplemental Indenture</w:t>
      </w:r>
      <w:r>
        <w:rPr>
          <w:rFonts w:ascii="Times New Roman" w:hAnsi="Times New Roman"/>
          <w:sz w:val="20"/>
        </w:rPr>
        <w:t>”), is between Energy Transfer LP, a Delaware limited partnership (the “</w:t>
      </w:r>
      <w:r>
        <w:rPr>
          <w:rFonts w:ascii="Times New Roman" w:hAnsi="Times New Roman"/>
          <w:sz w:val="20"/>
          <w:u w:val="single"/>
        </w:rPr>
        <w:t>Partnership</w:t>
      </w:r>
      <w:r>
        <w:rPr>
          <w:rFonts w:ascii="Times New Roman" w:hAnsi="Times New Roman"/>
          <w:sz w:val="20"/>
        </w:rPr>
        <w:t>”), and U.S. Bank Trust Company, National Association, a national banking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Partnership and the Trustee have executed and delivered an Indenture, dated as of December 14, 2022 (the “</w:t>
      </w:r>
      <w:r>
        <w:rPr>
          <w:rFonts w:ascii="Times New Roman" w:hAnsi="Times New Roman"/>
          <w:sz w:val="20"/>
          <w:u w:val="single"/>
        </w:rPr>
        <w:t>Base Indenture</w:t>
      </w:r>
      <w:r>
        <w:rPr>
          <w:rFonts w:ascii="Times New Roman" w:hAnsi="Times New Roman"/>
          <w:sz w:val="20"/>
        </w:rPr>
        <w:t>” and, as supplemented by this Tenth Supplemental Indenture, the “</w:t>
      </w:r>
      <w:r>
        <w:rPr>
          <w:rFonts w:ascii="Times New Roman" w:hAnsi="Times New Roman"/>
          <w:sz w:val="20"/>
          <w:u w:val="single"/>
        </w:rPr>
        <w:t>Indenture</w:t>
      </w:r>
      <w:r>
        <w:rPr>
          <w:rFonts w:ascii="Times New Roman" w:hAnsi="Times New Roman"/>
          <w:sz w:val="20"/>
        </w:rPr>
        <w:t>”), providing for the issuance by the Partnership from time to time of its debentures, notes, bonds or other evidences of indebtedness to be issued in one or more series unlimited as to principal amount (the “</w:t>
      </w:r>
      <w:r>
        <w:rPr>
          <w:rFonts w:ascii="Times New Roman" w:hAnsi="Times New Roman"/>
          <w:sz w:val="20"/>
          <w:u w:val="single"/>
        </w:rPr>
        <w:t>Debt Securities</w:t>
      </w:r>
      <w:r>
        <w:rPr>
          <w:rFonts w:ascii="Times New Roman" w:hAnsi="Times New Roman"/>
          <w:sz w:val="20"/>
        </w:rPr>
        <w:t>”), and the guarantee of the Debt Securities (a “</w:t>
      </w:r>
      <w:r>
        <w:rPr>
          <w:rFonts w:ascii="Times New Roman" w:hAnsi="Times New Roman"/>
          <w:sz w:val="20"/>
          <w:u w:val="single"/>
        </w:rPr>
        <w:t>Guarantee</w:t>
      </w:r>
      <w:r>
        <w:rPr>
          <w:rFonts w:ascii="Times New Roman" w:hAnsi="Times New Roman"/>
          <w:sz w:val="20"/>
        </w:rPr>
        <w:t xml:space="preserve">”) by one or more Subsidiary Guarantors; </w:t>
      </w:r>
    </w:p>
    <w:p>
      <w:pPr>
        <w:pStyle w:val="TextBody"/>
        <w:bidi w:val="0"/>
        <w:spacing w:before="240" w:after="0"/>
        <w:jc w:val="left"/>
        <w:rPr>
          <w:rFonts w:ascii="Times New Roman" w:hAnsi="Times New Roman"/>
          <w:sz w:val="20"/>
        </w:rPr>
      </w:pPr>
      <w:r>
        <w:rPr>
          <w:rFonts w:ascii="Times New Roman" w:hAnsi="Times New Roman"/>
          <w:sz w:val="20"/>
        </w:rPr>
        <w:t>WHEREAS, the Partnership has duly authorized and desires to cause to be established pursuant to the Base Indenture and this Tenth Supplemental Indenture three new series of Debt Securities designated as follows: the “4.550% Senior Notes due 2031” (the “</w:t>
      </w:r>
      <w:r>
        <w:rPr>
          <w:rFonts w:ascii="Times New Roman" w:hAnsi="Times New Roman"/>
          <w:sz w:val="20"/>
          <w:u w:val="single"/>
        </w:rPr>
        <w:t>2031 Notes</w:t>
      </w:r>
      <w:r>
        <w:rPr>
          <w:rFonts w:ascii="Times New Roman" w:hAnsi="Times New Roman"/>
          <w:sz w:val="20"/>
        </w:rPr>
        <w:t>”), the “5.350% Senior Notes due 2036” (the “</w:t>
      </w:r>
      <w:r>
        <w:rPr>
          <w:rFonts w:ascii="Times New Roman" w:hAnsi="Times New Roman"/>
          <w:sz w:val="20"/>
          <w:u w:val="single"/>
        </w:rPr>
        <w:t>2036 Notes</w:t>
      </w:r>
      <w:r>
        <w:rPr>
          <w:rFonts w:ascii="Times New Roman" w:hAnsi="Times New Roman"/>
          <w:sz w:val="20"/>
        </w:rPr>
        <w:t>”) and the “6.300% Senior Notes due 2056” (the “</w:t>
      </w:r>
      <w:r>
        <w:rPr>
          <w:rFonts w:ascii="Times New Roman" w:hAnsi="Times New Roman"/>
          <w:sz w:val="20"/>
          <w:u w:val="single"/>
        </w:rPr>
        <w:t>2056 Notes</w:t>
      </w:r>
      <w:r>
        <w:rPr>
          <w:rFonts w:ascii="Times New Roman" w:hAnsi="Times New Roman"/>
          <w:sz w:val="20"/>
        </w:rPr>
        <w:t>” and, together with the 2031 Notes and the 2036 Notes,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Sections 2.01 and 2.03 of the Base Indenture permit the execution of indentures supplemental thereto to establish the form and terms of Debt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Base Indenture, the Partnership has requested that the Trustee join in the execution of this Tenth Supplemental Indenture to establish the form and terms of the Notes;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have been done to make the Notes, when executed and delivered by the Partnership and authenticated and delivered by the Trustee hereunder and under the Base Indenture and duly issued by the Partnership, and when the Notes are duly issued by the Partnership, the valid obligations of the Partnership, and to make this Tenth Supplemental Indenture a valid agreement of the Partnership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Partnership and the Trustee hereby agree that the following provisions shall supplement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Capitalized terms used herein and not otherwise defined herein shall have the respective meanings ascribed thereto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rules of interpretation set forth in the Base Indenture shall be applied hereto as if set forth in full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Definition of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Tenth Supplemental Indenture, except as otherwise expressly provided or unless the context otherwise requires, the following terms shall have the following respective meanings: </w:t>
      </w:r>
    </w:p>
    <w:p>
      <w:pPr>
        <w:pStyle w:val="TextBody"/>
        <w:bidi w:val="0"/>
        <w:spacing w:before="240" w:after="0"/>
        <w:jc w:val="left"/>
        <w:rPr/>
      </w:pPr>
      <w:r>
        <w:rPr/>
        <w:t>“</w:t>
      </w:r>
      <w:r>
        <w:rPr>
          <w:rFonts w:ascii="Times New Roman" w:hAnsi="Times New Roman"/>
          <w:sz w:val="20"/>
          <w:u w:val="single"/>
        </w:rPr>
        <w:t>2031 Notes Par Call Date</w:t>
      </w:r>
      <w:r>
        <w:rPr>
          <w:rFonts w:ascii="Times New Roman" w:hAnsi="Times New Roman"/>
          <w:sz w:val="20"/>
        </w:rPr>
        <w:t xml:space="preserve">” means December 15, 2030. </w:t>
      </w:r>
    </w:p>
    <w:p>
      <w:pPr>
        <w:pStyle w:val="TextBody"/>
        <w:bidi w:val="0"/>
        <w:spacing w:before="240" w:after="0"/>
        <w:jc w:val="left"/>
        <w:rPr/>
      </w:pPr>
      <w:r>
        <w:rPr/>
        <w:t>“</w:t>
      </w:r>
      <w:r>
        <w:rPr>
          <w:rFonts w:ascii="Times New Roman" w:hAnsi="Times New Roman"/>
          <w:sz w:val="20"/>
          <w:u w:val="single"/>
        </w:rPr>
        <w:t>2036 Notes Par Call Date</w:t>
      </w:r>
      <w:r>
        <w:rPr>
          <w:rFonts w:ascii="Times New Roman" w:hAnsi="Times New Roman"/>
          <w:sz w:val="20"/>
        </w:rPr>
        <w:t xml:space="preserve">” means October 15, 2035. </w:t>
      </w:r>
    </w:p>
    <w:p>
      <w:pPr>
        <w:pStyle w:val="TextBody"/>
        <w:bidi w:val="0"/>
        <w:spacing w:before="240" w:after="0"/>
        <w:jc w:val="left"/>
        <w:rPr/>
      </w:pPr>
      <w:r>
        <w:rPr/>
        <w:t>“</w:t>
      </w:r>
      <w:r>
        <w:rPr>
          <w:rFonts w:ascii="Times New Roman" w:hAnsi="Times New Roman"/>
          <w:sz w:val="20"/>
          <w:u w:val="single"/>
        </w:rPr>
        <w:t>2056 Notes Par Call Date</w:t>
      </w:r>
      <w:r>
        <w:rPr>
          <w:rFonts w:ascii="Times New Roman" w:hAnsi="Times New Roman"/>
          <w:sz w:val="20"/>
        </w:rPr>
        <w:t xml:space="preserve">” means July 15, 2055.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when used with respect to any Sale-Leaseback Transaction (as defined in Section 5.2 hereof),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bidi w:val="0"/>
        <w:spacing w:before="240" w:after="0"/>
        <w:jc w:val="left"/>
        <w:rPr/>
      </w:pPr>
      <w:r>
        <w:rPr/>
        <w:t>“</w:t>
      </w:r>
      <w:r>
        <w:rPr>
          <w:rFonts w:ascii="Times New Roman" w:hAnsi="Times New Roman"/>
          <w:sz w:val="20"/>
          <w:u w:val="single"/>
        </w:rPr>
        <w:t>Consolidated Net Tangible Assets</w:t>
      </w:r>
      <w:r>
        <w:rPr>
          <w:rFonts w:ascii="Times New Roman" w:hAnsi="Times New Roman"/>
          <w:sz w:val="20"/>
        </w:rPr>
        <w:t xml:space="preserve">” means, at any date of determination, the total amount of assets of the Partnership and its consolidated Subsidiaries after deducting therefrom: </w:t>
      </w:r>
    </w:p>
    <w:p>
      <w:pPr>
        <w:pStyle w:val="TextBody"/>
        <w:bidi w:val="0"/>
        <w:spacing w:before="240" w:after="0"/>
        <w:jc w:val="left"/>
        <w:rPr>
          <w:rFonts w:ascii="Times New Roman" w:hAnsi="Times New Roman"/>
          <w:sz w:val="20"/>
        </w:rPr>
      </w:pPr>
      <w:r>
        <w:rPr>
          <w:rFonts w:ascii="Times New Roman" w:hAnsi="Times New Roman"/>
          <w:sz w:val="20"/>
        </w:rPr>
        <w:t xml:space="preserve">(1) 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 </w:t>
      </w:r>
    </w:p>
    <w:p>
      <w:pPr>
        <w:pStyle w:val="TextBody"/>
        <w:bidi w:val="0"/>
        <w:spacing w:before="240" w:after="0"/>
        <w:jc w:val="left"/>
        <w:rPr>
          <w:rFonts w:ascii="Times New Roman" w:hAnsi="Times New Roman"/>
          <w:sz w:val="20"/>
        </w:rPr>
      </w:pPr>
      <w:r>
        <w:rPr>
          <w:rFonts w:ascii="Times New Roman" w:hAnsi="Times New Roman"/>
          <w:sz w:val="20"/>
        </w:rPr>
        <w:t xml:space="preserve">(2) the value (net of any applicable reserves) of all goodwill, trade names, trademarks, patents and other like intangible assets, all as set forth, or on a pro forma basis would be set forth, on the consolidated balance sheet of the Partnership and its consolidated Subsidiaries for the Partnership’s most recently completed fiscal quarter for which financial statements have been filed with the SEC, prepared in accordance with generally accepted accounting principles.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means the Amended and Restated Credit Agreement, dated as of April 11, 2022, among the Partnership, Wells Fargo Bank, National Association, as Administrative Agent, and the other agents and lenders party thereto, and as further amended, extended, restated, refinanced, replaced or refunded from time to time. </w:t>
      </w:r>
    </w:p>
    <w:p>
      <w:pPr>
        <w:pStyle w:val="TextBody"/>
        <w:bidi w:val="0"/>
        <w:spacing w:before="240" w:after="0"/>
        <w:jc w:val="left"/>
        <w:rPr/>
      </w:pPr>
      <w:r>
        <w:rPr/>
        <w:t>“</w:t>
      </w:r>
      <w:r>
        <w:rPr>
          <w:rFonts w:ascii="Times New Roman" w:hAnsi="Times New Roman"/>
          <w:sz w:val="20"/>
          <w:u w:val="single"/>
        </w:rPr>
        <w:t>General Partner</w:t>
      </w:r>
      <w:r>
        <w:rPr>
          <w:rFonts w:ascii="Times New Roman" w:hAnsi="Times New Roman"/>
          <w:sz w:val="20"/>
        </w:rPr>
        <w:t xml:space="preserve">” means LE GP, LLC, a Delaware limited liability company, and its successors as general partner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xml:space="preserve">” of any Person at any date means any obligation created or assumed by such Person for the repayment of borrowed money or any guaranty thereof.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upon rights-of-way for pipeline purposes; </w:t>
      </w:r>
    </w:p>
    <w:p>
      <w:pPr>
        <w:pStyle w:val="TextBody"/>
        <w:bidi w:val="0"/>
        <w:spacing w:before="240" w:after="0"/>
        <w:jc w:val="left"/>
        <w:rPr>
          <w:rFonts w:ascii="Times New Roman" w:hAnsi="Times New Roman"/>
          <w:sz w:val="20"/>
        </w:rPr>
      </w:pPr>
      <w:r>
        <w:rPr>
          <w:rFonts w:ascii="Times New Roman" w:hAnsi="Times New Roman"/>
          <w:sz w:val="20"/>
        </w:rPr>
        <w:t xml:space="preserve">(2) easements, rights-of-way, restrictions and other similar encumbrances incurred in the ordinary course of business and encumbrances consisting of zoning restrictions, easements, licenses, restrictions on the use of real property or minor imperfections in title thereto and which do not in the aggregate materially adversely affect the value of the properties encumbered thereby or materially impair their use in the operation of the business of the Partnership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 rights reserved to or vested by any provision of law in any municipality or public authority to control or regulate any of the properties of the Partnership or any Subsidiary or the use thereof or the rights and interests of the Partnership or any Subsidiary therein, in any manner under any and all laws; </w:t>
      </w:r>
    </w:p>
    <w:p>
      <w:pPr>
        <w:pStyle w:val="TextBody"/>
        <w:bidi w:val="0"/>
        <w:spacing w:before="240" w:after="0"/>
        <w:jc w:val="left"/>
        <w:rPr>
          <w:rFonts w:ascii="Times New Roman" w:hAnsi="Times New Roman"/>
          <w:sz w:val="20"/>
        </w:rPr>
      </w:pPr>
      <w:r>
        <w:rPr>
          <w:rFonts w:ascii="Times New Roman" w:hAnsi="Times New Roman"/>
          <w:sz w:val="20"/>
        </w:rPr>
        <w:t xml:space="preserve">(4) rights reserved to the grantors of any properties of the Partnership or any Subsidiary, and the restrictions, conditions, restrictive covenants and limitations, in respect thereto, pursuant to the terms, conditions and provisions of any rights-of-way agreements, contracts or other agreements therewith; </w:t>
      </w:r>
    </w:p>
    <w:p>
      <w:pPr>
        <w:pStyle w:val="TextBody"/>
        <w:bidi w:val="0"/>
        <w:spacing w:before="240" w:after="0"/>
        <w:jc w:val="left"/>
        <w:rPr>
          <w:rFonts w:ascii="Times New Roman" w:hAnsi="Times New Roman"/>
          <w:sz w:val="20"/>
        </w:rPr>
      </w:pPr>
      <w:r>
        <w:rPr>
          <w:rFonts w:ascii="Times New Roman" w:hAnsi="Times New Roman"/>
          <w:sz w:val="20"/>
        </w:rPr>
        <w:t xml:space="preserve">(5) 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proceedings and any undetermined lien which is incidental to construction, development, improvement or repair; </w:t>
      </w:r>
    </w:p>
    <w:p>
      <w:pPr>
        <w:pStyle w:val="TextBody"/>
        <w:bidi w:val="0"/>
        <w:spacing w:before="240" w:after="0"/>
        <w:jc w:val="left"/>
        <w:rPr>
          <w:rFonts w:ascii="Times New Roman" w:hAnsi="Times New Roman"/>
          <w:sz w:val="20"/>
        </w:rPr>
      </w:pPr>
      <w:r>
        <w:rPr>
          <w:rFonts w:ascii="Times New Roman" w:hAnsi="Times New Roman"/>
          <w:sz w:val="20"/>
        </w:rPr>
        <w:t xml:space="preserve">(6) any right reserved to, or vested in, any municipality or public authority by the terms of any right, power, franchise, grant, license, permit or by any provision of law, to purchase or recapture or to designate a purchaser of, any property; </w:t>
      </w:r>
    </w:p>
    <w:p>
      <w:pPr>
        <w:pStyle w:val="TextBody"/>
        <w:bidi w:val="0"/>
        <w:spacing w:before="240" w:after="0"/>
        <w:jc w:val="left"/>
        <w:rPr>
          <w:rFonts w:ascii="Times New Roman" w:hAnsi="Times New Roman"/>
          <w:sz w:val="20"/>
        </w:rPr>
      </w:pPr>
      <w:r>
        <w:rPr>
          <w:rFonts w:ascii="Times New Roman" w:hAnsi="Times New Roman"/>
          <w:sz w:val="20"/>
        </w:rPr>
        <w:t xml:space="preserve">(7) liens for taxes and assessments which are (a) for the then current year, (b) not at the time delinquent, or (c) delinquent but the validity or amount of which is being contested at the time by the Partnership or any of its Subsidiaries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(8) liens of, or to secure performance of, leases, other than capital leases; </w:t>
      </w:r>
    </w:p>
    <w:p>
      <w:pPr>
        <w:pStyle w:val="TextBody"/>
        <w:bidi w:val="0"/>
        <w:spacing w:before="240" w:after="0"/>
        <w:jc w:val="left"/>
        <w:rPr>
          <w:rFonts w:ascii="Times New Roman" w:hAnsi="Times New Roman"/>
          <w:sz w:val="20"/>
        </w:rPr>
      </w:pPr>
      <w:r>
        <w:rPr>
          <w:rFonts w:ascii="Times New Roman" w:hAnsi="Times New Roman"/>
          <w:sz w:val="20"/>
        </w:rPr>
        <w:t xml:space="preserve">(9) any lien in favor of the Partnership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(10) any lien upon any property or assets of the Partnership or any Subsidiary in existence on the date of the initial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(11) any lien incurred in the ordinary course of business in connection with workmen’s compensation, unemployment insurance, temporary disability, social security, retiree health or similar laws or regulations or to secure obligations imposed by statute or governmental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(13) any lien upon any property or assets created at the time of acquisition of such property or assets by the Partnership or any of its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(14) 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 </w:t>
      </w:r>
    </w:p>
    <w:p>
      <w:pPr>
        <w:pStyle w:val="TextBody"/>
        <w:bidi w:val="0"/>
        <w:spacing w:before="240" w:after="0"/>
        <w:jc w:val="left"/>
        <w:rPr>
          <w:rFonts w:ascii="Times New Roman" w:hAnsi="Times New Roman"/>
          <w:sz w:val="20"/>
        </w:rPr>
      </w:pPr>
      <w:r>
        <w:rPr>
          <w:rFonts w:ascii="Times New Roman" w:hAnsi="Times New Roman"/>
          <w:sz w:val="20"/>
        </w:rPr>
        <w:t xml:space="preserve">(15) any lien upon any property or assets existing thereon at the time of the acquisition thereof by the Partnership or any of its Subsidiaries and any lien upon any property or assets of a Person existing thereon at the time such Person becomes a Subsidiary of the Partnership by acquisition, merger or otherwise; </w:t>
      </w:r>
      <w:r>
        <w:rPr>
          <w:rFonts w:ascii="Times New Roman" w:hAnsi="Times New Roman"/>
          <w:i/>
          <w:sz w:val="20"/>
        </w:rPr>
        <w:t>provided</w:t>
      </w:r>
      <w:r>
        <w:rPr>
          <w:rFonts w:ascii="Times New Roman" w:hAnsi="Times New Roman"/>
          <w:sz w:val="20"/>
        </w:rPr>
        <w:t xml:space="preserve"> that, in each case, such lien only encumbers the property or assets so acquired or owned by such Person at the time such Person becomes a Subsidiary; </w:t>
      </w:r>
    </w:p>
    <w:p>
      <w:pPr>
        <w:pStyle w:val="TextBody"/>
        <w:bidi w:val="0"/>
        <w:spacing w:before="240" w:after="0"/>
        <w:jc w:val="left"/>
        <w:rPr>
          <w:rFonts w:ascii="Times New Roman" w:hAnsi="Times New Roman"/>
          <w:sz w:val="20"/>
        </w:rPr>
      </w:pPr>
      <w:r>
        <w:rPr>
          <w:rFonts w:ascii="Times New Roman" w:hAnsi="Times New Roman"/>
          <w:sz w:val="20"/>
        </w:rPr>
        <w:t xml:space="preserve">(16) liens imposed by law or order as a result of any proceeding before any court or regulatory body that is being contested in good faith, and liens which secure a judgment or other court-ordered award or settlement as to which the Partnership or the applicable Subsidiary has not exhausted its appellate rights; </w:t>
      </w:r>
    </w:p>
    <w:p>
      <w:pPr>
        <w:pStyle w:val="TextBody"/>
        <w:bidi w:val="0"/>
        <w:spacing w:before="240" w:after="0"/>
        <w:jc w:val="left"/>
        <w:rPr>
          <w:rFonts w:ascii="Times New Roman" w:hAnsi="Times New Roman"/>
          <w:sz w:val="20"/>
        </w:rPr>
      </w:pPr>
      <w:r>
        <w:rPr>
          <w:rFonts w:ascii="Times New Roman" w:hAnsi="Times New Roman"/>
          <w:sz w:val="20"/>
        </w:rPr>
        <w:t xml:space="preserve">(17) any extension, renewal, refinancing, refunding or replacement (or successive extensions, renewals, refinancing, refunding or replacements) of liens, in whole or in part, referred to in clauses (1) through (16) above; </w:t>
      </w:r>
      <w:r>
        <w:rPr>
          <w:rFonts w:ascii="Times New Roman" w:hAnsi="Times New Roman"/>
          <w:i/>
          <w:sz w:val="20"/>
        </w:rPr>
        <w:t>provided, however</w:t>
      </w:r>
      <w:r>
        <w:rPr>
          <w:rFonts w:ascii="Times New Roman" w:hAnsi="Times New Roman"/>
          <w:sz w:val="20"/>
        </w:rPr>
        <w:t xml:space="preserve">,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Partnership or its Subsidiaries (including any premium) incurred in connection with such extension, renewal, refinancing, refunding or replacement; or </w:t>
      </w:r>
    </w:p>
    <w:p>
      <w:pPr>
        <w:pStyle w:val="TextBody"/>
        <w:bidi w:val="0"/>
        <w:spacing w:before="240" w:after="0"/>
        <w:jc w:val="left"/>
        <w:rPr>
          <w:rFonts w:ascii="Times New Roman" w:hAnsi="Times New Roman"/>
          <w:sz w:val="20"/>
        </w:rPr>
      </w:pPr>
      <w:r>
        <w:rPr>
          <w:rFonts w:ascii="Times New Roman" w:hAnsi="Times New Roman"/>
          <w:sz w:val="20"/>
        </w:rPr>
        <w:t xml:space="preserve">(18) any lien resulting from the deposit of moneys or evidence of indebtedness in trust for the purpose of defeasing Indebtedness of the Partnership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u w:val="single"/>
        </w:rPr>
        <w:t>Principal Property</w:t>
      </w:r>
      <w:r>
        <w:rPr>
          <w:rFonts w:ascii="Times New Roman" w:hAnsi="Times New Roman"/>
          <w:sz w:val="20"/>
        </w:rPr>
        <w:t xml:space="preserve">” means, whether owned or leased on the date hereof or thereafter acquired: </w:t>
      </w:r>
    </w:p>
    <w:p>
      <w:pPr>
        <w:pStyle w:val="TextBody"/>
        <w:bidi w:val="0"/>
        <w:spacing w:before="120" w:after="0"/>
        <w:jc w:val="left"/>
        <w:rPr>
          <w:rFonts w:ascii="Times New Roman" w:hAnsi="Times New Roman"/>
          <w:sz w:val="20"/>
        </w:rPr>
      </w:pPr>
      <w:r>
        <w:rPr>
          <w:rFonts w:ascii="Times New Roman" w:hAnsi="Times New Roman"/>
          <w:sz w:val="20"/>
        </w:rPr>
        <w:t xml:space="preserve">(1) any pipeline assets of the Partnership or any of its Subsidiaries, including any related facilities employed in the gathering, transportation, distribution, storage or marketing of natural gas, refined petroleum products, natural gas liquids and petrochemicals, that are located in the United States of America or any territory or political subdivision thereof; and </w:t>
      </w:r>
    </w:p>
    <w:p>
      <w:pPr>
        <w:pStyle w:val="TextBody"/>
        <w:bidi w:val="0"/>
        <w:spacing w:before="240" w:after="0"/>
        <w:jc w:val="left"/>
        <w:rPr>
          <w:rFonts w:ascii="Times New Roman" w:hAnsi="Times New Roman"/>
          <w:sz w:val="20"/>
        </w:rPr>
      </w:pPr>
      <w:r>
        <w:rPr>
          <w:rFonts w:ascii="Times New Roman" w:hAnsi="Times New Roman"/>
          <w:sz w:val="20"/>
        </w:rPr>
        <w:t xml:space="preserve">(2) any processing, compression, treating, blending or manufacturing plant or terminal owned or leased by the Partnership or any of its Subsidiaries that is located in the United States or any territory or political subdivision thereof, except in the case of either of the preceding clause (1) or this clause (2): </w:t>
      </w:r>
    </w:p>
    <w:p>
      <w:pPr>
        <w:pStyle w:val="TextBody"/>
        <w:bidi w:val="0"/>
        <w:spacing w:before="120" w:after="0"/>
        <w:jc w:val="left"/>
        <w:rPr>
          <w:rFonts w:ascii="Times New Roman" w:hAnsi="Times New Roman"/>
          <w:sz w:val="20"/>
        </w:rPr>
      </w:pPr>
      <w:r>
        <w:rPr>
          <w:rFonts w:ascii="Times New Roman" w:hAnsi="Times New Roman"/>
          <w:sz w:val="20"/>
        </w:rPr>
        <w:t xml:space="preserve">(a) any such assets consisting of inventories, furniture, office fixtures and equipment (including data processing equipment), vehicles and equipment used on, or useful with, vehicles; and </w:t>
      </w:r>
    </w:p>
    <w:p>
      <w:pPr>
        <w:pStyle w:val="TextBody"/>
        <w:bidi w:val="0"/>
        <w:spacing w:before="120" w:after="0"/>
        <w:jc w:val="left"/>
        <w:rPr>
          <w:rFonts w:ascii="Times New Roman" w:hAnsi="Times New Roman"/>
          <w:sz w:val="20"/>
        </w:rPr>
      </w:pPr>
      <w:r>
        <w:rPr>
          <w:rFonts w:ascii="Times New Roman" w:hAnsi="Times New Roman"/>
          <w:sz w:val="20"/>
        </w:rPr>
        <w:t xml:space="preserve">(b) any such assets which, in the opinion of the board of directors of the General Partner are not material in relation to the activities of the Partnership and its Subsidiaries taken as a whole.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owning or leasing, directly or indirectly through ownership in another Subsidiary, any Principal Property. </w:t>
      </w:r>
    </w:p>
    <w:p>
      <w:pPr>
        <w:pStyle w:val="TextBody"/>
        <w:bidi w:val="0"/>
        <w:spacing w:before="240" w:after="0"/>
        <w:jc w:val="left"/>
        <w:rPr/>
      </w:pPr>
      <w:r>
        <w:rPr/>
        <w:t>“</w:t>
      </w:r>
      <w:r>
        <w:rPr>
          <w:rFonts w:ascii="Times New Roman" w:hAnsi="Times New Roman"/>
          <w:sz w:val="20"/>
          <w:u w:val="single"/>
        </w:rPr>
        <w:t>Subsidiary Guarantor</w:t>
      </w:r>
      <w:r>
        <w:rPr>
          <w:rFonts w:ascii="Times New Roman" w:hAnsi="Times New Roman"/>
          <w:sz w:val="20"/>
        </w:rPr>
        <w:t xml:space="preserve">” means each Subsidiary of the Partnership that guarantees the Notes pursuant to the terms of the Indenture but only so long as such Subsidiary is a guarantor with respect to the Notes on the terms provided for in the Indenture.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with respect to each series of the Notes, the yield determined by the Partnership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Partnership after 4:15 p.m., New York City time (or after such time as yields on U.S. government securities are posted daily by the Board of Governors of the Federal Reserve System), on the third Business Day preceding the notice of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Partnership shall select, as applicable: (1) the yield for the Treasury constant maturity on H.15 exactly equal to the period (the “</w:t>
      </w:r>
      <w:r>
        <w:rPr>
          <w:rFonts w:ascii="Times New Roman" w:hAnsi="Times New Roman"/>
          <w:sz w:val="20"/>
          <w:u w:val="single"/>
        </w:rPr>
        <w:t>Remaining Life</w:t>
      </w:r>
      <w:r>
        <w:rPr>
          <w:rFonts w:ascii="Times New Roman" w:hAnsi="Times New Roman"/>
          <w:sz w:val="20"/>
        </w:rPr>
        <w:t xml:space="preserve">”) from the Redemption Date to the 2031 Notes Par Call Date (in the case of the 2031 Notes), the 2036 Notes Par Call Date (in the case of the 2036 Notes) or the 2056 Notes Par Call Date (in the case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2056 Notes);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2031 Notes Par Call Date (in the case of the 2031 Notes), the 2036 Notes Par Call Date (in the case of the 2036 Notes) or the 2056 Notes Par Call Date (in the case of the 2056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notice of the Redemption Date, H.15 TCM or any successor designation or publication is no longer published, the Partnership shall calculate the Treasury Rate based on the rate per annum equal to the semi-annual equivalent yield to maturity at 11:00 a.m., New York City time, on the second Business Day preceding the notice of such Redemption Date of the United States Treasury security maturing on, or with a maturity that is closest to, the 2031 Notes Par Call Date (in the case of the 2031 Notes), the 2036 Notes Par Call Date (in the case of the 2036 Notes) or the 2056 Notes Par Call Date (in the case of the 2056 Notes), as applicable. If there is no United States Treasury security maturing on the 2031 Notes Par Call Date (in the case of the 2031 Notes), the 2036 Notes Par Call Date (in the case of the 2036 Notes) or the 2056 Notes Par Call Date (in the case of the 2056 Notes), but there are two or more United States Treasury securities with a maturity date equally distant from the 2031 Notes Par Call Date (in the case of the 2031 Notes), the 2036 Notes Par Call Date (in the case of the 2036 Notes) or the 2056 Notes Par Call Date (in the case of the 2056 Notes), one with a maturity date preceding the 2031 Notes Par Call Date (in the case of the 2031 Notes), the 2036 Notes Par Call Date (in the case of the 2036 Notes) or the 2056 Notes Par Call Date (in the case of the 2056 Notes), and one with a maturity date following the 2031 Notes Par Call Date (in the case of the 2031 Notes), the 2036 Notes Par Call Date (in the case of the 2036 Notes) or the 2056 Notes Par Call Date (in the case of the 2056 Notes), the Partnership shall select the United States Treasury security with a maturity date preceding the 2031 Notes Par Call Date (in the case of the 2031 Notes), the 2036 Notes Par Call Date (in the case of the 2036 Notes) or the 2056 Notes Par Call Date (in the case of the 2056 Notes). If there are two or more United States Treasury securities maturing on the 2031 Notes Par Call Date (in the case of the 2031 Notes), the 2036 Notes Par Call Date (in the case of the 2036 Notes) or the 2056 Notes Par Call Date (in the case of the 2056 Notes) or two or more United States Treasury securities meeting the criteria of the preceding sentence, the Partnership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i/>
          <w:sz w:val="20"/>
        </w:rPr>
        <w: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the 2036 Notes and the 2056 Notes and the Trustee’s certificates of authentication shall be substantially in the form of Exhibit A-1, Exhibit A-2 and Exhibit A-3, respectively, to this Tenth Supplemental Indenture, which are hereby incorporated into this Tenth Supplemental Indenture. The terms and provisions contained in the Notes shall constitute, and are hereby expressly made, a part of this Tenth Supplemental Indenture and, to the extent applicable, the Partnership and the Trustee, by their execution and delivery of this Tenth Supplemental Indenture, expressly agree to such terms and provisions and to be bound thereby. </w:t>
      </w:r>
    </w:p>
    <w:p>
      <w:pPr>
        <w:pStyle w:val="TextBody"/>
        <w:bidi w:val="0"/>
        <w:spacing w:before="240" w:after="0"/>
        <w:jc w:val="left"/>
        <w:rPr>
          <w:rFonts w:ascii="Times New Roman" w:hAnsi="Times New Roman"/>
          <w:sz w:val="20"/>
        </w:rPr>
      </w:pPr>
      <w:r>
        <w:rPr>
          <w:rFonts w:ascii="Times New Roman" w:hAnsi="Times New Roman"/>
          <w:sz w:val="20"/>
        </w:rPr>
        <w:t>Each series of the Notes shall be issued upon original issuance in whole in the form of one or more Global Securities (the “</w:t>
      </w:r>
      <w:r>
        <w:rPr>
          <w:rFonts w:ascii="Times New Roman" w:hAnsi="Times New Roman"/>
          <w:sz w:val="20"/>
          <w:u w:val="single"/>
        </w:rPr>
        <w:t>Book-Entry Notes</w:t>
      </w:r>
      <w:r>
        <w:rPr>
          <w:rFonts w:ascii="Times New Roman" w:hAnsi="Times New Roman"/>
          <w:sz w:val="20"/>
        </w:rPr>
        <w:t xml:space="preserve">”). Each Book-Entry Note shall represent such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initially appoints The Depository Trust Company to act as Depositary with respect to the Book-Entry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i/>
          <w:sz w:val="20"/>
        </w:rPr>
        <w:t>Title, Amount and Payment of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2031 Notes shall be entitled the “4.550% Senior Notes due 2031”. The Trustee shall authenticate and deliver (i) the 2031 Notes for original issue on the date hereof (the “</w:t>
      </w:r>
      <w:r>
        <w:rPr>
          <w:rFonts w:ascii="Times New Roman" w:hAnsi="Times New Roman"/>
          <w:sz w:val="20"/>
          <w:u w:val="single"/>
        </w:rPr>
        <w:t>Original 2031 Notes</w:t>
      </w:r>
      <w:r>
        <w:rPr>
          <w:rFonts w:ascii="Times New Roman" w:hAnsi="Times New Roman"/>
          <w:sz w:val="20"/>
        </w:rPr>
        <w:t xml:space="preserve">”) in the aggregate principal amount of $1,000,000,000, and (ii) additional 2031 Notes for original issue from time to time after the date hereof in such principal amounts as may be specified in a Partnership Order described in this sentence, in each case upon a Partnership Order for the authentication and delivery thereof and satisfaction of the other provisions of Section 2.04 of the Base Indenture. Such Partnership Order shall specify the amount of the 2031 Notes to be authenticated, the date on which the original issue of 2031 Notes is to be authenticated, and the name or names of the initial Holder or Holders. The aggregate principal amount of 2031 Notes that may be outstanding at any time may not exceed $1,000,000,000 plus such additional principal amounts as may be issued and authenticated pursuant to clause (ii) of this paragraph (except as provided in Section 2.09 of the Base Indenture). The Original 2031 Notes and any additional 2031 Notes issued and authenticated pursuant to clause (ii) of this paragraph shall constitute a single series of Debt Securities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The principal amount of each 2031 Note shall be payable on January 15, 2031. Each 2031 Note shall bear interest from the date of original issuance, or the most recent date to which interest has been paid, at the fixed rate of 4.550% per annum. The dates on which interest on the 2031 Notes shall be payable shall be January 15 and July 15 of each year (the “</w:t>
      </w:r>
      <w:r>
        <w:rPr>
          <w:rFonts w:ascii="Times New Roman" w:hAnsi="Times New Roman"/>
          <w:sz w:val="20"/>
          <w:u w:val="single"/>
        </w:rPr>
        <w:t>2031 Notes Interest Payment Dates</w:t>
      </w:r>
      <w:r>
        <w:rPr>
          <w:rFonts w:ascii="Times New Roman" w:hAnsi="Times New Roman"/>
          <w:sz w:val="20"/>
        </w:rPr>
        <w:t xml:space="preserve">”). The regular record date for interest payable on the 2031 Notes on any 2031 Notes Interest Payment Date shall be January 1 and July 1, as the case may be, next preceding such 2031 Notes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of principal of, premium, if any, on, and interest due on the 2031 Notes representing Book-Entry Notes on any 2031 Notes Interest Payment Date or at maturity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2031 Notes Interest Payment Date for the period from and after such 2031 Notes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sz w:val="20"/>
        </w:rPr>
        <w:t>(b) The 2036 Notes shall be entitled the “5.350% Senior Notes due 2036”. The Trustee shall authenticate and deliver (i) the 2036 Notes for original issue on the date hereof (the “</w:t>
      </w:r>
      <w:r>
        <w:rPr>
          <w:rFonts w:ascii="Times New Roman" w:hAnsi="Times New Roman"/>
          <w:sz w:val="20"/>
          <w:u w:val="single"/>
        </w:rPr>
        <w:t>Original 2036 Notes</w:t>
      </w:r>
      <w:r>
        <w:rPr>
          <w:rFonts w:ascii="Times New Roman" w:hAnsi="Times New Roman"/>
          <w:sz w:val="20"/>
        </w:rPr>
        <w:t xml:space="preserve">”) in the aggregate principal amount of $1,000,000,000, and (ii) additional 2036 Notes for original issue from time to time after the date hereof in such principal amounts as may be specified in a Partnership Order described in this sentence, in each case upon a Partnership Order for the authentication and delivery thereof and satisfaction of the other provisions of Section 2.04 of the Base Indenture. Such Partnership Order shall specify the amount of the 2036 Notes to be authenticated, the date on which the original issue of 2036 Notes is to be authenticated, and the name or names of the initial Holder or Holders. The aggregate principal amount of 2036 Notes that may be outstanding at any time may not exceed $1,000,000,000 plus such additional principal amounts as may be issued and authenticated pursuant to clause (ii) of this paragraph (except as provided in Section 2.09 of the Base Indenture). The Original 2036 Notes and any additional 2036 Notes issued and authenticated pursuant to clause (ii) of this paragraph shall constitute a single series of Debt Securities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The principal amount of each 2036 Note shall be payable on January 15, 2036. Each 2036 Note shall bear interest from the date of original issuance, or the most recent date to which interest has been paid, at the fixed rate of 5.350% per annum. The dates on which interest on the 2036 Notes shall be payable shall be January 15 and July 15 of each year (the “</w:t>
      </w:r>
      <w:r>
        <w:rPr>
          <w:rFonts w:ascii="Times New Roman" w:hAnsi="Times New Roman"/>
          <w:sz w:val="20"/>
          <w:u w:val="single"/>
        </w:rPr>
        <w:t>2036 Notes Interest Payment Dates</w:t>
      </w:r>
      <w:r>
        <w:rPr>
          <w:rFonts w:ascii="Times New Roman" w:hAnsi="Times New Roman"/>
          <w:sz w:val="20"/>
        </w:rPr>
        <w:t xml:space="preserve">”). The regular record date for interest payable on the 2036 Notes on any 2036 Notes Interest Payment Date shall be January 1 and July 1, as the case may be, next preceding such 2036 Notes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premium, if any, on, and interest due on the 2036 Notes representing Book-Entry Notes on any 2036 Notes Interest Payment Date or at maturity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2036 Notes Interest Payment Date for the period from and after such 2036 Notes Interest Payment Date and the date of payment. As soon as possible thereafter, the Trustee will make such payments to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2056 Notes shall be entitled the “6.300% Senior Notes due 2056”. The Trustee shall authenticate and deliver (i) the 2056 Notes for original issue on the date hereof (the “</w:t>
      </w:r>
      <w:r>
        <w:rPr>
          <w:rFonts w:ascii="Times New Roman" w:hAnsi="Times New Roman"/>
          <w:sz w:val="20"/>
          <w:u w:val="single"/>
        </w:rPr>
        <w:t>Original 2056 Notes</w:t>
      </w:r>
      <w:r>
        <w:rPr>
          <w:rFonts w:ascii="Times New Roman" w:hAnsi="Times New Roman"/>
          <w:sz w:val="20"/>
        </w:rPr>
        <w:t xml:space="preserve">”) in the aggregate principal amount of $1,000,000,000, and (ii) additional 2056 Notes for original issue from time to time after the date hereof in such principal amounts as may be specified in a Partnership Order described in this sentence, in each case upon a Partnership Order for the authentication and delivery thereof and satisfaction of the other provisions of Section 2.04 of the Base Indenture. Such Partnership Order shall specify the amount of the 2056 Notes to be authenticated, the date on which the original issue of 2056 Notes is to be authenticated, and the name or names of the initial Holder or Holders. The aggregate principal amount of 2056 Notes that may be outstanding at any time may not exceed $1,000,000,000 plus such additional principal amounts as may be issued and authenticated pursuant to clause (ii) of this paragraph (except as provided in Section 2.09 of the Base Indenture). The Original 2056 Notes and any additional 2056 Notes issued and authenticated pursuant to clause (ii) of this paragraph shall constitute a single series of Debt Securities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The principal amount of each 2056 Note shall be payable on January 15, 2056. Each 2056 Note shall bear interest from the date of original issuance, or the most recent date to which interest has been paid, at the fixed rate of 6.300% per annum. The dates on which interest on the 2056 Notes shall be payable shall be January 15 and July 15 of each year (the “</w:t>
      </w:r>
      <w:r>
        <w:rPr>
          <w:rFonts w:ascii="Times New Roman" w:hAnsi="Times New Roman"/>
          <w:sz w:val="20"/>
          <w:u w:val="single"/>
        </w:rPr>
        <w:t>2056 Notes Interest Payment Dates</w:t>
      </w:r>
      <w:r>
        <w:rPr>
          <w:rFonts w:ascii="Times New Roman" w:hAnsi="Times New Roman"/>
          <w:sz w:val="20"/>
        </w:rPr>
        <w:t xml:space="preserve">”). The regular record date for interest payable on the 2056 Notes on any 2056 Notes Interest Payment Date shall be January 1 and July 1, as the case may be, next preceding such 2056 Notes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premium, if any, on, and interest due on the 2056 Notes representing Book-Entry Notes on any 2056 Notes Interest Payment Date or at maturity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2056 Notes Interest Payment Date for the period from and after such 2056 Notes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i/>
          <w:sz w:val="20"/>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transfer and exchange of Book-Entry Notes or beneficial interests therein shall be effected through the Depositary, in accordance with Section 2.17 of the Base Indenture and Article II of this Tenth Supplemental Indenture (including the restrictions on transfer set forth therein and herein) and the rules and procedures of the Depositary therefor, which shall include restrictions on transfer comparable to those set forth therein and herein to the extent required by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GUARANTY; FUTURE SUBSIDIARY 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Article X of the Base Indenture, the Notes may be fully, unconditionally and absolutely guaranteed on an unsecured, unsubordinated basis by one or more Subsidiary Guarantors;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initially (on the date of this Tenth Supplemental Indenture), there will not be any Subsidiary Guarantors and the Notes will not be guaranteed by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i/>
          <w:sz w:val="20"/>
        </w:rPr>
        <w:t>Future Subsidiary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Subsidiary of the Partnership that is not then a Subsidiary Guarantor, guarantees, becomes a co-obligor with respect to or otherwise provides direct credit support for any obligations of the Partnership or any of its other Subsidiaries under the Credit Agreement, then the Partnership shall cause such Subsidiary to promptly execute and deliver to the Trustee a supplemental indenture in substantially the form attached hereto as Exhibit B, pursuant to which such Subsidiary guarantees the Partnership’s obligations with respect to the Notes on the terms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i/>
          <w:sz w:val="20"/>
        </w:rPr>
        <w:t>Release of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provisions of Section 10.04(a) of the Base Indenture, if no Default shall have occurred and shall be continuing under the Indenture, and to the extent not otherwise prohibited by the Indenture, any Guarantee incurred by a Subsidiary Guarantor shall be unconditionally released and discharged following delivery of a written notice by the Partnership to the Trustee, upon the release of all guarantees or other obligations of such Subsidiary Guarantor with respect to the obligations of the Partnership or any of its Subsidiaries under the Credit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i/>
          <w:sz w:val="20"/>
        </w:rPr>
        <w:t>Optional Redemption of 2031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2031 Notes Par Call Date, the Partnership may redeem the 2031 Notes, in each case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2031 Notes matured on the 2031 Notes Par Call Date) on a semi-annual basis (assuming a 360-day year consisting of twelve 30-day months) at the Treasury Rate plus 15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2031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the case of each of clause (i) or (ii) of this Section 4.1(a), as applicable,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2031 Notes Par Call Date, the Partnership may redeem the 2031 Notes, in whole or in part, at any time and from time to time, at a Redemption Price equal to 100% of the principal amount of the 2031 Notes being redeemed, plus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i/>
          <w:sz w:val="20"/>
        </w:rPr>
        <w:t>Optional Redemption of 2036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2036 Notes Par Call Date, the Partnership may redeem the 2036 Notes, in each case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2036 Notes matured on the 2036 Notes Par Call Date) on a semi-annual basis (assuming a 360-day year consisting of twelve 30-day months) at the Treasury Rate plus 20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the case of each of clause (i) or (ii) of this Section 4.2(a), as applicable,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2036 Notes Par Call Date, the Partnership may redeem the 2036 Notes, in whole or in part, at any time and from time to time, at a Redemption Price equal to 100% of the principal amount of the 2036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i/>
          <w:sz w:val="20"/>
        </w:rPr>
        <w:t>Optional Redemption of 2056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2056 Notes Par Call Date, the Partnership may redeem the 2056 Notes, in each case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2056 Notes matured on the 2056 Notes Par Call Date) on a semi-annual basis (assuming a 360-day year consisting of twelve 30-day months) at the Treasury Rate plus 25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2056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the case of each of clause (i) or (ii) of this Section 4.3(a), as applicable,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2056 Notes Par Call Date, the Partnership may redeem the 2056 Notes, in whole or in part, at any time and from time to time, at a Redemption Price equal to 100% of the principal amount of the 2056 Notes being redeemed, plus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i/>
          <w:sz w:val="20"/>
        </w:rPr>
        <w:t>Optional Redemption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actual Redemption Price determined as provided in Sections 4.1 and 4.2 shall be calculated and certified to the Trustee by the Partnership. The Partnership’s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i/>
          <w:sz w:val="20"/>
        </w:rPr>
        <w:t>No Sinking Fund; 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Notes or to repurchase the Notes at the option of 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covenants set forth in the Base Indenture, the Notes shall be entitled to the benefit of the following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i/>
          <w:sz w:val="20"/>
        </w:rPr>
        <w:t>Limitations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Partnership shall not, nor shall it permit any of its Subsidiaries to, create, assume, incur or suffer to exist any mortgage, lien, security interest, pledge, charge or other encumbrance (“</w:t>
      </w:r>
      <w:r>
        <w:rPr>
          <w:rFonts w:ascii="Times New Roman" w:hAnsi="Times New Roman"/>
          <w:sz w:val="20"/>
          <w:u w:val="single"/>
        </w:rPr>
        <w:t>liens</w:t>
      </w:r>
      <w:r>
        <w:rPr>
          <w:rFonts w:ascii="Times New Roman" w:hAnsi="Times New Roman"/>
          <w:sz w:val="20"/>
        </w:rPr>
        <w:t xml:space="preserve">”) upon any Principal Property or upon any capital stock of any Restricted Subsidiary, whether owned on the date hereof or thereafter acquired, to secure any Indebtedness of the Partnership or any other Person (other than the Notes), without in any such case making effective provisions whereby all of the outstanding Notes are secured equally and ratably with, or prior to, such Indebtedness so long as such Indebtedness is so secured.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Partnership may, and may permit any of its Subsidiaries to, create, assume, incur, or suffer to exist without securing the Notes (a) any Permitted Lien, (b) any lien upon any Principal Property or capital stock of a Restricted Subsidiary to secure Indebtedness of the Partnership or any other Person, provided that the aggregate principal amount of all Indebtedness then outstanding secured by such lien and all similar liens under this clause (b), together with all Attributable Indebtedness from Sale-Leaseback Transactions (excluding Sale-Leaseback Transactions permitted by clauses (1) through (4), inclusive, of Section 5.2(a) hereof), does not exceed 10% of Consolidated Net Tangible Assets or (c) any lien upon (i) any Principal Property that was not owned by the Partnership or any of its Subsidiaries on the date hereof or (ii) the capital stock of any Restricted Subsidiary that owns no Principal Property that was owned by the Partnership or any of its Subsidiaries on the date hereof, in each case owned by a Subsidiary of the Partnership (an “</w:t>
      </w:r>
      <w:r>
        <w:rPr>
          <w:rFonts w:ascii="Times New Roman" w:hAnsi="Times New Roman"/>
          <w:sz w:val="20"/>
          <w:u w:val="single"/>
        </w:rPr>
        <w:t>Excluded Subsidiary</w:t>
      </w:r>
      <w:r>
        <w:rPr>
          <w:rFonts w:ascii="Times New Roman" w:hAnsi="Times New Roman"/>
          <w:sz w:val="20"/>
        </w:rPr>
        <w:t xml:space="preserve">”) that (A) is not, and is not required to be, a Subsidiary Guarantor and (B) has not granted any liens on any of its property securing Indebtedness with recourse to the Partnership or any Subsidiary of the Partnership other than such Excluded Subsidiary or any other Excluded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i/>
          <w:sz w:val="20"/>
        </w:rPr>
        <w:t>Restriction on Sale-Leasebacks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Partnership shall not, and shall not permit any Subsidiary to, engage in the sale or transfer by the Partnership or any of its Subsidiaries of any Principal Property to a Person (other than the Partnership or a Subsidiary) and the taking back by the Partnership or its Subsidiary, as the case may be, of a lease of such Principal Property (a “</w:t>
      </w:r>
      <w:r>
        <w:rPr>
          <w:rFonts w:ascii="Times New Roman" w:hAnsi="Times New Roman"/>
          <w:sz w:val="20"/>
          <w:u w:val="single"/>
        </w:rPr>
        <w:t>Sale-Leaseback Transaction</w:t>
      </w:r>
      <w:r>
        <w:rPr>
          <w:rFonts w:ascii="Times New Roman" w:hAnsi="Times New Roman"/>
          <w:sz w:val="20"/>
        </w:rPr>
        <w:t xml:space="preserve">”), unless: </w:t>
      </w:r>
    </w:p>
    <w:p>
      <w:pPr>
        <w:pStyle w:val="TextBody"/>
        <w:bidi w:val="0"/>
        <w:spacing w:before="240" w:after="0"/>
        <w:jc w:val="left"/>
        <w:rPr>
          <w:rFonts w:ascii="Times New Roman" w:hAnsi="Times New Roman"/>
          <w:sz w:val="20"/>
        </w:rPr>
      </w:pPr>
      <w:r>
        <w:rPr>
          <w:rFonts w:ascii="Times New Roman" w:hAnsi="Times New Roman"/>
          <w:sz w:val="20"/>
        </w:rPr>
        <w:t xml:space="preserve">(1)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(2) the Sale-Leaseback Transaction involves a lease for a period, including renewals, of not more than three years; </w:t>
      </w:r>
    </w:p>
    <w:p>
      <w:pPr>
        <w:pStyle w:val="TextBody"/>
        <w:bidi w:val="0"/>
        <w:spacing w:before="240" w:after="0"/>
        <w:jc w:val="left"/>
        <w:rPr>
          <w:rFonts w:ascii="Times New Roman" w:hAnsi="Times New Roman"/>
          <w:sz w:val="20"/>
        </w:rPr>
      </w:pPr>
      <w:r>
        <w:rPr>
          <w:rFonts w:ascii="Times New Roman" w:hAnsi="Times New Roman"/>
          <w:sz w:val="20"/>
        </w:rPr>
        <w:t xml:space="preserve">(3) the Partnership or such Subsidiary would be entitled to incur Indebtedness secured by a lien on the Principal Property subject thereto in a principal amount equal to or exceeding the Attributable Indebtedness from such Sale-Leaseback Transaction without equally and ratably securing the Notes; or </w:t>
      </w:r>
    </w:p>
    <w:p>
      <w:pPr>
        <w:pStyle w:val="TextBody"/>
        <w:bidi w:val="0"/>
        <w:spacing w:before="240" w:after="0"/>
        <w:jc w:val="left"/>
        <w:rPr>
          <w:rFonts w:ascii="Times New Roman" w:hAnsi="Times New Roman"/>
          <w:sz w:val="20"/>
        </w:rPr>
      </w:pPr>
      <w:r>
        <w:rPr>
          <w:rFonts w:ascii="Times New Roman" w:hAnsi="Times New Roman"/>
          <w:sz w:val="20"/>
        </w:rPr>
        <w:t xml:space="preserve">(4) the Partnership or such Subsidiary, within a one-year period after such Sale-Leaseback Transaction, applies or causes to be applied an amount not less than the Attributable Indebtedness from such Sale-Leaseback Transaction to (a) the prepayment, repayment, redemption, reduction or retirement of any Indebtedness of the Partnership or any of its Subsidiaries that is not expressly subordinated to the Notes or any Guarantee, or (b) the expenditure or expenditures for Principal Property used or to be used in the ordinary course of business of Partnership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Section 5.2(a) hereof, the Partnership may, and may permit any Subsidiary to, effect any Sale-Leaseback Transaction that is not excepted by clauses (1) through (4), inclusive, of Section 5.2(a) hereof provided that the Attributable Indebtedness from such Sale-Leaseback Transaction, together with the aggregate principal amount of outstanding Indebtedness (other than the Notes) secured by liens other than Permitted Liens upon Principal Properties, does not exceed 10% of Consolidated Net Tangible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Notes, the Base Indenture is hereby amended as set forth below in this Article VI;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such amendment shall apply only to the Notes and not to any other series of Debt Securities issued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i/>
          <w:sz w:val="20"/>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VI of this Tenth Supplemental Indenture, Clause (12) of Section 9.01 of the Base Indenture is hereby amended so as to be renumbered as new clause (13), the “or” at the end of Clause (11) of Section 9.01 of the Base Indenture is hereby deleted, and new clause (12) is hereby added sequentially as follows: </w:t>
      </w:r>
    </w:p>
    <w:p>
      <w:pPr>
        <w:pStyle w:val="TextBody"/>
        <w:bidi w:val="0"/>
        <w:spacing w:before="120" w:after="0"/>
        <w:jc w:val="left"/>
        <w:rPr/>
      </w:pPr>
      <w:r>
        <w:rPr/>
        <w:t>“</w:t>
      </w:r>
      <w:r>
        <w:rPr>
          <w:rFonts w:ascii="Times New Roman" w:hAnsi="Times New Roman"/>
          <w:sz w:val="20"/>
        </w:rPr>
        <w:t xml:space="preserve">(12) conform the text of the Indenture to any provision set forth under the section entitled “Description of the Notes” in the Prospectus Supplement dated January 12, 2026 to the extent that such text of the Indenture was intended to reflect such provision as set forth under the section entitled “Description of the Notes” in the Prospectus Supplement dated January 12, 2026;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 </w:t>
      </w:r>
      <w:r>
        <w:rPr>
          <w:rFonts w:ascii="Times New Roman" w:hAnsi="Times New Roman"/>
          <w:i/>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set forth in the preamble to Article VI of this Tenth Supplemental Indenture, Section 3.02 of the Base Indenture shall be amended and restated in its entirety to read as follows: </w:t>
      </w:r>
    </w:p>
    <w:p>
      <w:pPr>
        <w:pStyle w:val="TextBody"/>
        <w:bidi w:val="0"/>
        <w:spacing w:before="120" w:after="0"/>
        <w:jc w:val="left"/>
        <w:rPr/>
      </w:pPr>
      <w:r>
        <w:rPr/>
        <w:t>“</w:t>
      </w:r>
      <w:r>
        <w:rPr>
          <w:rFonts w:ascii="Times New Roman" w:hAnsi="Times New Roman"/>
          <w:sz w:val="20"/>
        </w:rPr>
        <w:t xml:space="preserve">If the Partnership elects to redeem Debt Securities of any series pursuant to this Indenture, it shall notify the Trustee of the Redemption Date and the principal amount of Debt Securities of such series to be redeemed. The Partnership shall so notify the Trustee at least 10 days before the Redemption Date (unless a shorter notice shall be satisfactory to the Trustee) by delivering to the Trustee an Officers’ Certificate stating that such redemption will comply with the provisions of this Indenture and of the Debt Securities of such series. Any such notice may be canceled at any time prior to the sending of such notice of such redemption to any Holder and shall thereupon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limitations set forth in the preamble to Article VI of this Tenth Supplemental Indenture, the first paragraph of Section 3.04 of the Base Indenture shall be amended and restated in its entirety to read as follows: </w:t>
      </w:r>
    </w:p>
    <w:p>
      <w:pPr>
        <w:pStyle w:val="TextBody"/>
        <w:bidi w:val="0"/>
        <w:spacing w:before="120" w:after="0"/>
        <w:jc w:val="left"/>
        <w:rPr/>
      </w:pPr>
      <w:r>
        <w:rPr/>
        <w:t>“</w:t>
      </w:r>
      <w:r>
        <w:rPr>
          <w:rFonts w:ascii="Times New Roman" w:hAnsi="Times New Roman"/>
          <w:sz w:val="20"/>
        </w:rPr>
        <w:t xml:space="preserve">Notice of redemption shall be given by first-class mail, postage prepaid, or otherwise sent (or when the Debt Securities are in the form of Global Securities, sent pursuant to the applicable procedures of the Depositary) not less than 10 nor more than 60 days prior to the Redemption Date, to each Holder of Debt Securities to be redeemed, at the address of such Holder appearing in the register of Debt Securities maintained by the Registrar or otherwise in accordance with the applicable procedures of the Depositary, except that redemption notices may be sent more than 60 days prior to a Redemption Date if the notice is issued in connection with a defeasance of a series of Debt Securities or a satisfaction or discharge of the Indenture with respect to a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i/>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VI of this Tenth Supplemental Indenture, Section 11.02 of the Base Indenture is hereby amended to add the following sentence as the last paragraph of Section 11.02 of the Base Indenture: </w:t>
      </w:r>
    </w:p>
    <w:p>
      <w:pPr>
        <w:pStyle w:val="TextBody"/>
        <w:bidi w:val="0"/>
        <w:spacing w:before="120" w:after="0"/>
        <w:jc w:val="left"/>
        <w:rPr/>
      </w:pPr>
      <w:r>
        <w:rPr/>
        <w:t>“</w:t>
      </w:r>
      <w:r>
        <w:rPr>
          <w:rFonts w:ascii="Times New Roman" w:hAnsi="Times New Roman"/>
          <w:sz w:val="20"/>
        </w:rPr>
        <w:t xml:space="preserve">Where this Indenture provides for notice or other communication with respect to any event to a Holder of a Global Security, such notice or other communication shall be sufficiently given if given to the Depositary for such Global Security (or its designee), pursuant to its applicable procedures of the Depositary, not later than the latest day (if any), and not earlier than the earliest date (if any), prescribed for the giving of such notice or other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i/>
          <w:sz w:val="20"/>
        </w:rPr>
        <w:t>SEC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preamble to Article VI of this Tenth Supplemental Indenture, Section 4.03(a) of the Base Indenture is hereby amended to add the following sentence as the last sentence of Section 4.03(a) of the Base Indenture: </w:t>
      </w:r>
    </w:p>
    <w:p>
      <w:pPr>
        <w:pStyle w:val="TextBody"/>
        <w:bidi w:val="0"/>
        <w:spacing w:before="120" w:after="0"/>
        <w:jc w:val="left"/>
        <w:rPr/>
      </w:pPr>
      <w:r>
        <w:rPr/>
        <w:t>“</w:t>
      </w:r>
      <w:r>
        <w:rPr>
          <w:rFonts w:ascii="Times New Roman" w:hAnsi="Times New Roman"/>
          <w:sz w:val="20"/>
        </w:rPr>
        <w:t xml:space="preserve">The Partnership will be deemed to have furnished such reports to the Trustee if the Partnership has filed such reports with the SEC using the EDGAR filing system and such reports are publicly available.”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i/>
          <w:sz w:val="20"/>
        </w:rPr>
        <w:t>Ratification of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as supplemented by this Tenth Supplemental Indenture, is in all respects ratified and confirmed, and this Tenth Supplemental Indenture shall be deemed part of the Base Indenture in the manner and to the extent herein and therein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i/>
          <w:sz w:val="20"/>
        </w:rPr>
        <w:t>Trustee Not Responsible for 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Notes, except with respect to the Trustee’s certificates of authentication, shall be taken as the statements of the Partnership, and the Trustee assumes no responsibility for the correctness of the same. The Trustee makes no representations as to the validity or sufficiency of this Tenth Supplemental Indenture or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i/>
          <w:sz w:val="20"/>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Tenth Supplemental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i/>
          <w:sz w:val="20"/>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Tenth Supplemental Indenture. Each signed copy shall be an original, but all of them together represent the same agreement. Delivery of an executed counterpart of this Tenth Supplemental Indenture by facsimile or electronic transmission shall be equally as effective as delivery of an original executed counterpart of this Tenth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TENTH SUPPLEMENTAL INDENTURE AND THE NOTES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Tenth Supplemental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u w:val="single"/>
              </w:rPr>
            </w:pPr>
            <w:r>
              <w:rPr>
                <w:u w:val="single"/>
              </w:rPr>
              <w:t>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LE GP, LLC,</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its general partner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Dylan A. Bramhall</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Executive Vice President and Group Chief</w:t>
              <w:br/>
              <w:t>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of Tenth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u w:val="single"/>
              </w:rPr>
            </w:pPr>
            <w:r>
              <w:rPr>
                <w:u w:val="single"/>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Michael K. Herberger</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Michael K. Herberger</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of Tenth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w:t>
      </w:r>
      <w:r>
        <w:rPr>
          <w:rFonts w:ascii="Times New Roman" w:hAnsi="Times New Roman"/>
          <w:sz w:val="20"/>
          <w:u w:val="single"/>
        </w:rPr>
        <w:t>DTC</w:t>
      </w:r>
      <w:r>
        <w:rPr>
          <w:rFonts w:ascii="Times New Roman" w:hAnsi="Times New Roman"/>
          <w:sz w:val="20"/>
        </w:rPr>
        <w:t xml:space="preserve">”)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7"/>
        <w:gridCol w:w="121"/>
        <w:gridCol w:w="4837"/>
      </w:tblGrid>
      <w:tr>
        <w:trPr/>
        <w:tc>
          <w:tcPr>
            <w:tcW w:w="52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pPr>
            <w:r>
              <w:rPr/>
              <w:t xml:space="preserve">No. </w:t>
            </w:r>
            <w:r>
              <w:rPr>
                <w:u w:val="single"/>
              </w:rPr>
              <w:t>     </w:t>
            </w:r>
          </w:p>
        </w:tc>
        <w:tc>
          <w:tcPr>
            <w:tcW w:w="121"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p>
          <w:p>
            <w:pPr>
              <w:pStyle w:val="TableContents"/>
              <w:bidi w:val="0"/>
              <w:spacing w:before="0" w:after="0"/>
              <w:jc w:val="right"/>
              <w:rPr>
                <w:rFonts w:ascii="Times New Roman" w:hAnsi="Times New Roman"/>
                <w:sz w:val="20"/>
              </w:rPr>
            </w:pPr>
            <w:r>
              <w:rPr>
                <w:rFonts w:ascii="Times New Roman" w:hAnsi="Times New Roman"/>
                <w:sz w:val="20"/>
              </w:rPr>
              <w:t>CUSIP: 29273V BJ8</w:t>
            </w:r>
          </w:p>
          <w:p>
            <w:pPr>
              <w:pStyle w:val="TableContents"/>
              <w:bidi w:val="0"/>
              <w:spacing w:before="0" w:after="20"/>
              <w:jc w:val="right"/>
              <w:rPr>
                <w:rFonts w:ascii="Times New Roman" w:hAnsi="Times New Roman"/>
                <w:sz w:val="20"/>
              </w:rPr>
            </w:pPr>
            <w:r>
              <w:rPr>
                <w:rFonts w:ascii="Times New Roman" w:hAnsi="Times New Roman"/>
                <w:sz w:val="20"/>
              </w:rPr>
              <w:t>ISIN: US29273VBJ89</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rPr>
      </w:pPr>
      <w:r>
        <w:rPr>
          <w:rFonts w:ascii="Times New Roman" w:hAnsi="Times New Roman"/>
          <w:b/>
          <w:sz w:val="20"/>
        </w:rPr>
        <w:t xml:space="preserve">4.550% Senior Notes due 2031 </w:t>
      </w:r>
    </w:p>
    <w:p>
      <w:pPr>
        <w:pStyle w:val="TextBody"/>
        <w:bidi w:val="0"/>
        <w:spacing w:before="240" w:after="0"/>
        <w:jc w:val="left"/>
        <w:rPr>
          <w:rFonts w:ascii="Times New Roman" w:hAnsi="Times New Roman"/>
          <w:sz w:val="20"/>
        </w:rPr>
      </w:pPr>
      <w:r>
        <w:rPr>
          <w:rFonts w:ascii="Times New Roman" w:hAnsi="Times New Roman"/>
          <w:sz w:val="20"/>
        </w:rPr>
        <w:t>ENERGY TRANSFER LP, a Delaware limited partnership (the “</w:t>
      </w:r>
      <w:r>
        <w:rPr>
          <w:rFonts w:ascii="Times New Roman" w:hAnsi="Times New Roman"/>
          <w:sz w:val="20"/>
          <w:u w:val="single"/>
        </w:rPr>
        <w:t>Partnership</w:t>
      </w:r>
      <w:r>
        <w:rPr>
          <w:rFonts w:ascii="Times New Roman" w:hAnsi="Times New Roman"/>
          <w:sz w:val="20"/>
        </w:rPr>
        <w:t>,” which term includes any successor under the Indenture hereinafter referred to), for value received, hereby promises to pay to ____________ or its registered assigns, the principal sum of ________ U.S. dollars ($___________), [or such greater or lesser principal sum as is shown on the attached Schedule of Increases and Decreases in Global Security]*, on January 15, 2031 in such coin and currency of the United States of America as at the time of payment shall be legal tender for the payment of public and private debts, and to pay interest thereon at an annual rate of 4.550% payable on January 15 and July 15 of each year, to the person in whose name the Security is registered at the close of business on the record date for such interest, which shall be the preceding January 1 and July 1 (each, a “</w:t>
      </w:r>
      <w:r>
        <w:rPr>
          <w:rFonts w:ascii="Times New Roman" w:hAnsi="Times New Roman"/>
          <w:sz w:val="20"/>
          <w:u w:val="single"/>
        </w:rPr>
        <w:t>Regular Record Date</w:t>
      </w:r>
      <w:r>
        <w:rPr>
          <w:rFonts w:ascii="Times New Roman" w:hAnsi="Times New Roman"/>
          <w:sz w:val="20"/>
        </w:rPr>
        <w:t xml:space="preserve">”), respectively, payable commencing on __________, ____.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set forth on the reverse hereof. Such further provisions shall for all purposes have the same effect as though fully set forth at this place.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in the legends set forth in this Security are an integral part of the terms of this Security and by acceptance hereof the Holder of this Security agrees to be subject to, and bound by, the terms and provisions set forth in each such legend. </w:t>
      </w:r>
    </w:p>
    <w:p>
      <w:pPr>
        <w:pStyle w:val="TextBody"/>
        <w:bidi w:val="0"/>
        <w:spacing w:before="240" w:after="0"/>
        <w:jc w:val="left"/>
        <w:rPr>
          <w:rFonts w:ascii="Times New Roman" w:hAnsi="Times New Roman"/>
          <w:sz w:val="20"/>
        </w:rPr>
      </w:pPr>
      <w:r>
        <w:rPr>
          <w:rFonts w:ascii="Times New Roman" w:hAnsi="Times New Roman"/>
          <w:sz w:val="20"/>
        </w:rPr>
        <w:t>This Security is issued in respect of a series of Debt Securities of an initial aggregate principal amount of $1,000,000,000 designated as the 4.550% Senior Notes due 2031 of the Partnership and is governed by the Indenture dated as of December 14, 2022 (the “</w:t>
      </w:r>
      <w:r>
        <w:rPr>
          <w:rFonts w:ascii="Times New Roman" w:hAnsi="Times New Roman"/>
          <w:sz w:val="20"/>
          <w:u w:val="single"/>
        </w:rPr>
        <w:t>Base Indenture</w:t>
      </w:r>
      <w:r>
        <w:rPr>
          <w:rFonts w:ascii="Times New Roman" w:hAnsi="Times New Roman"/>
          <w:sz w:val="20"/>
        </w:rPr>
        <w:t>”), duly executed and delivered by the Partnership, as issuer, and U.S. Bank Trust Company, National Association, as trustee (the “</w:t>
      </w:r>
      <w:r>
        <w:rPr>
          <w:rFonts w:ascii="Times New Roman" w:hAnsi="Times New Roman"/>
          <w:sz w:val="20"/>
          <w:u w:val="single"/>
        </w:rPr>
        <w:t>Trustee</w:t>
      </w:r>
      <w:r>
        <w:rPr>
          <w:rFonts w:ascii="Times New Roman" w:hAnsi="Times New Roman"/>
          <w:sz w:val="20"/>
        </w:rPr>
        <w:t>”), as supplemented by the Tenth Supplemental Indenture dated as of January 27, 2026 (the “</w:t>
      </w:r>
      <w:r>
        <w:rPr>
          <w:rFonts w:ascii="Times New Roman" w:hAnsi="Times New Roman"/>
          <w:sz w:val="20"/>
          <w:u w:val="single"/>
        </w:rPr>
        <w:t>Tenth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each duly executed by the Partnership and the Trustee. The terms of the Indenture are incorporated herein by reference. This Security shall in all respects be entitled to the same benefits as definitive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(the “</w:t>
      </w:r>
      <w:r>
        <w:rPr>
          <w:rFonts w:ascii="Times New Roman" w:hAnsi="Times New Roman"/>
          <w:sz w:val="20"/>
          <w:u w:val="single"/>
        </w:rPr>
        <w:t>TIA</w:t>
      </w:r>
      <w:r>
        <w:rPr>
          <w:rFonts w:ascii="Times New Roman" w:hAnsi="Times New Roman"/>
          <w:sz w:val="20"/>
        </w:rPr>
        <w:t xml:space="preserve">”),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or become obligatory for any purpose until the Trustee’s Certificate of Authentication hereon shall have been manually signed by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Partnership has caused this Security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ENERGY TRANSFER LP</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LE GP, LLC,</w:t>
            </w:r>
          </w:p>
        </w:tc>
      </w:tr>
      <w:tr>
        <w:trPr/>
        <w:tc>
          <w:tcPr>
            <w:tcW w:w="6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its general partner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Dylan A. Bramhall</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Executive Vice President and Group Chief Financial Officer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 </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Thomas E. Long</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Co-Chief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4.550% Senior Notes due 2031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evidences of indebtedness of the Partnership (the “</w:t>
      </w:r>
      <w:r>
        <w:rPr>
          <w:rFonts w:ascii="Times New Roman" w:hAnsi="Times New Roman"/>
          <w:sz w:val="20"/>
          <w:u w:val="single"/>
        </w:rPr>
        <w:t>Debt Securities</w:t>
      </w:r>
      <w:r>
        <w:rPr>
          <w:rFonts w:ascii="Times New Roman" w:hAnsi="Times New Roman"/>
          <w:sz w:val="20"/>
        </w:rPr>
        <w:t>”) of the series hereinafter specified, all issued or to be issued under and pursuant to the Indenture, to which Indenture reference is hereby made for a description of the rights, limitations of rights, obligations, duties and immunities thereunder of the Trustee, the Partnership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4.550% Senior Notes due 2031 of the Partnership, in an initial aggregate principal amount of $1,000,000,000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promises to pay interest on the principal amount of this Security at the rate of 4.550% per annum. </w:t>
      </w:r>
    </w:p>
    <w:p>
      <w:pPr>
        <w:pStyle w:val="TextBody"/>
        <w:bidi w:val="0"/>
        <w:spacing w:before="240" w:after="0"/>
        <w:jc w:val="left"/>
        <w:rPr>
          <w:rFonts w:ascii="Times New Roman" w:hAnsi="Times New Roman"/>
          <w:sz w:val="20"/>
        </w:rPr>
      </w:pPr>
      <w:r>
        <w:rPr>
          <w:rFonts w:ascii="Times New Roman" w:hAnsi="Times New Roman"/>
          <w:sz w:val="20"/>
        </w:rPr>
        <w:t>The Partnership will pay interest semi-annually on January 15 and July 15 of each year (each such date, an “</w:t>
      </w:r>
      <w:r>
        <w:rPr>
          <w:rFonts w:ascii="Times New Roman" w:hAnsi="Times New Roman"/>
          <w:sz w:val="20"/>
          <w:u w:val="single"/>
        </w:rPr>
        <w:t>Interest Payment Date</w:t>
      </w:r>
      <w:r>
        <w:rPr>
          <w:rFonts w:ascii="Times New Roman" w:hAnsi="Times New Roman"/>
          <w:sz w:val="20"/>
        </w:rPr>
        <w:t xml:space="preserve">”), commencing __________, ____. Interest on the Securities will accrue from the most recent date to which interest has been paid, or, if no interest has been paid on the Securities, from January 27, 2026. Interest will be computed on the basis of a 360-day year consisting of twelve 30-day months. The Partnership shall pay interest (including post-petition interest in any proceeding under any applicable bankruptcy laws) on overdue installments of interest (without regard to any applicable grace period) and on overdue principal and premium, if any, from time to time on demand at the same rate per annum, in each case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Partnership shall pay interest on the Securities (except Defaulted Interest) to the persons who are the registered Holders at the close of business on the Regular Record Date immediately preceding the Interest Payment Date. Any such interest not so punctually paid or duly provided for (“</w:t>
      </w:r>
      <w:r>
        <w:rPr>
          <w:rFonts w:ascii="Times New Roman" w:hAnsi="Times New Roman"/>
          <w:sz w:val="20"/>
          <w:u w:val="single"/>
        </w:rPr>
        <w:t>Defaulted Interest</w:t>
      </w:r>
      <w:r>
        <w:rPr>
          <w:rFonts w:ascii="Times New Roman" w:hAnsi="Times New Roman"/>
          <w:sz w:val="20"/>
        </w:rPr>
        <w:t xml:space="preserve">”)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The Partnership shall pay principal, premium, if any, and interest in such coin or currency of the United States of America as at the time of payment shall be legal tender for payment of public and private debts. Payments in respect of a Global Security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Partnership maintained for such purpose within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initially will be at the corporate trust office of the Trustee located at 100 Wall Street, Suite 1600, New York, New York 10005, Mail Station: EX-NY-WALL, or, at the option of the Partnership, payment of interest may be made by check mailed to the Holders on the relevant record date at their addresses set forth in the register of Holders maintained by the Registrar or at the option of the Holder, payment of interest on Securities in definitive form will be made by wire transfer of immediately available funds to any account maintained in the United States, provided such Holder has requested such method of payment and provided timely wire transfer instructions to the Paying Agent. The Holder must surrender this Security to a Paying Agent to collect payment of principal.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Initially, U.S. Bank Trust Company, National Association will act as Paying Agent and Registrar. The Partnership may change any Paying Agent or Registrar at any time upon notice to the Trustee and the Holders. The Partnership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Debt Securities of the Partnership issued and to be issued in one or more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herein are used as defined in the Indenture unless otherwise defined herein. The terms of the Securities include those stated in the Base Indenture, those made part of the Indenture by reference to the TIA, as in effect on the date of the Base Indenture, and those terms stated in the Tenth Supplemental Indenture. The Securities are subject to all such terms, and Holders of Securities are referred to the Base Indenture, the Tenth Supplemental Indenture and the TIA for a statement of them. The Securities of this series are general unsecured obligations of the Partnership limited to an initial aggregate principal amount of $1,000,000,000; </w:t>
      </w:r>
      <w:r>
        <w:rPr>
          <w:rFonts w:ascii="Times New Roman" w:hAnsi="Times New Roman"/>
          <w:i/>
          <w:sz w:val="20"/>
        </w:rPr>
        <w:t>provided, however</w:t>
      </w:r>
      <w:r>
        <w:rPr>
          <w:rFonts w:ascii="Times New Roman" w:hAnsi="Times New Roman"/>
          <w:sz w:val="20"/>
        </w:rPr>
        <w:t xml:space="preserve">, that the authorized aggregate principal amount of such series may be increased from time to time as provided in the Tenth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2031 Notes Par Call Date, the Partnership may redeem the 2031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2031 Notes matured on the 2031 Notes Par Call Date) on a semi-annual basis (assuming a 360-day year consisting of twelve 30-day months) at the Treasury Rate plus 15 basis points less (b) interest accrued to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(ii) 100% of the principal amount of the 2031 Notes to be redeemed, plus, in either case,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or after the 2031 Notes Par Call Date, the Partnership may redeem the 2031 Notes, in whole or in part, at any time and from time to time, at a Redemption Price equal to 100% of the principal amount of the 2031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The actual Redemption Price, calculated as provided above, shall be calculated and certified to the Trustee by the Partnership. The Partnership’s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i/>
          <w:sz w:val="20"/>
        </w:rPr>
        <w:t>6.</w:t>
      </w:r>
      <w:r>
        <w:rPr>
          <w:rFonts w:ascii="Times New Roman" w:hAnsi="Times New Roman"/>
          <w:sz w:val="20"/>
        </w:rPr>
        <w:t xml:space="preserve"> </w:t>
      </w:r>
      <w:r>
        <w:rPr>
          <w:rFonts w:ascii="Times New Roman" w:hAnsi="Times New Roman"/>
          <w:i/>
          <w:sz w:val="20"/>
        </w:rPr>
        <w:t>No Sinking Fund; 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Securities or to repurchase the Securities at the option of Holders. </w:t>
      </w:r>
    </w:p>
    <w:p>
      <w:pPr>
        <w:pStyle w:val="TextBody"/>
        <w:bidi w:val="0"/>
        <w:spacing w:before="240" w:after="0"/>
        <w:jc w:val="left"/>
        <w:rPr>
          <w:rFonts w:ascii="Times New Roman" w:hAnsi="Times New Roman"/>
          <w:sz w:val="20"/>
        </w:rPr>
      </w:pPr>
      <w:r>
        <w:rPr>
          <w:rFonts w:ascii="Times New Roman" w:hAnsi="Times New Roman"/>
          <w:i/>
          <w:sz w:val="20"/>
        </w:rPr>
        <w:t>7.</w:t>
      </w:r>
      <w:r>
        <w:rPr>
          <w:rFonts w:ascii="Times New Roman" w:hAnsi="Times New Roman"/>
          <w:sz w:val="20"/>
        </w:rPr>
        <w:t xml:space="preserve"> </w:t>
      </w:r>
      <w:r>
        <w:rPr>
          <w:rFonts w:ascii="Times New Roman" w:hAnsi="Times New Roman"/>
          <w:i/>
          <w:sz w:val="20"/>
        </w:rPr>
        <w:t>Denominations; Transfer;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to be issued in registered form, without coupons, in denominations of $2,000 and integral multiples of $1,000 in excess thereof. A Holder may register the transfer of, or exchange, Securities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Person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may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Amendment; Supplement;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may be amended or supplemented, and any existing Event of Default or compliance with any provision may be waived, with the consent of the Holders of a majority in principal amount of the then outstanding notes of the affected series. Without consent of any Holder of a Security, the parties thereto may amend or supplement the Indenture to, among other things, cure any ambiguity or omission, to correct any defect or inconsistency, or to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regardless of whether any notation thereof is made upon this Security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Defaults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of bankruptcy or insolvency are Events of Default that will result in the principal amount of the Securities, together with premium, if any, and accrued and unpaid interest thereon, becoming due and payable immediately upon the occurrence of such Events of Default. If any other Event of Default with respect to the Securities occurs and is continuing, then in every such case the Trustee or the Holders of not less than 25% in aggregate principal amount of the Securities then outstanding may declare the principal amount of all the Securities, together with premium, if any, and accrued and unpaid interest thereon, to be due and payable immediately in the manner and with the effect provided in the Indenture. Notwithstanding the preceding sentence, however, if at any time after such a declaration of acceleration has been made, the Holders of a majority in principal amount of the outstanding Securities, by written notice to the Trustee, may rescind such declaration and annul its consequences if the rescission would not conflict with any judgment or decree of a court of competent jurisdiction and if all existing Events of Default with respect to the Securities, other than the nonpayment of the principal, premium, if any, or interest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or security satisfactory to it before it enforces the Indenture or the Securities. Subject to certain limitations, Holders of a majority in aggregate principal amount of the Securities then outstanding may direct the Trustee in its exercise of any trust or power.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Trustee Dealings with Partnership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make loans to, accept deposits from, and perform services for the Partnership or its Affiliates, and may otherwise deal with the Partnership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signs the certificate of authentication hereon.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Abbreviations and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Partnership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Absolute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the Indenture shall alter or impair the obligation of the Partnership, which is absolute and unconditional, to pay the principal of, premium, if any, and interest on this Security in the manner, at the respective times, at the rate and in the coin or currency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limited partner or member, as such, of the Partnership or the General Partner shall have any personal liability in respect of the obligations of the Partnership under the Securities or the Indenture by reason of his, her or its status. Each Holder, by accepting the Securities, waives and releases all such liability. The waiver and release are part of the consideration for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set forth in the Tenth Supplemental Indenture one or more Subsidiaries of the Partnership may be required to Guarantee the Securities as set forth in Article X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 by accepting this Security, acknowledges and affirms that (i) it has purchased the Security in reliance upon the separateness of each of the General Partner and the Partnership from each other and from any other Person, and (ii) the General Partner has assets and liabilities that are separate from those of each other and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3"/>
        <w:gridCol w:w="121"/>
        <w:gridCol w:w="5111"/>
      </w:tblGrid>
      <w:tr>
        <w:trPr/>
        <w:tc>
          <w:tcPr>
            <w:tcW w:w="49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111" w:type="dxa"/>
            <w:tcBorders/>
            <w:vAlign w:val="center"/>
          </w:tcPr>
          <w:p>
            <w:pPr>
              <w:pStyle w:val="TableContents"/>
              <w:bidi w:val="0"/>
              <w:spacing w:before="0" w:after="283"/>
              <w:jc w:val="left"/>
              <w:rPr>
                <w:sz w:val="4"/>
                <w:szCs w:val="4"/>
              </w:rPr>
            </w:pPr>
            <w:r>
              <w:rPr>
                <w:sz w:val="4"/>
                <w:szCs w:val="4"/>
              </w:rPr>
            </w:r>
          </w:p>
        </w:tc>
      </w:tr>
      <w:tr>
        <w:trPr/>
        <w:tc>
          <w:tcPr>
            <w:tcW w:w="4973" w:type="dxa"/>
            <w:tcBorders/>
          </w:tcPr>
          <w:p>
            <w:pPr>
              <w:pStyle w:val="TableContents"/>
              <w:bidi w:val="0"/>
              <w:spacing w:before="0" w:after="283"/>
              <w:jc w:val="left"/>
              <w:rPr/>
            </w:pPr>
            <w:r>
              <w:rPr/>
              <w:t>TEN COM - as tenants in common</w:t>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UNIF GIFT MIN ACT -</w:t>
            </w:r>
          </w:p>
        </w:tc>
      </w:tr>
      <w:tr>
        <w:trPr/>
        <w:tc>
          <w:tcPr>
            <w:tcW w:w="49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         </w:t>
            </w:r>
            <w:r>
              <w:rPr/>
              <w:t>(Cust.)</w:t>
            </w:r>
          </w:p>
        </w:tc>
      </w:tr>
      <w:tr>
        <w:trPr/>
        <w:tc>
          <w:tcPr>
            <w:tcW w:w="4973" w:type="dxa"/>
            <w:tcBorders/>
          </w:tcPr>
          <w:p>
            <w:pPr>
              <w:pStyle w:val="TableContents"/>
              <w:bidi w:val="0"/>
              <w:spacing w:before="0" w:after="283"/>
              <w:jc w:val="left"/>
              <w:rPr/>
            </w:pPr>
            <w:r>
              <w:rPr/>
              <w:t>TEN ENT - as tenants by entireties</w:t>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Custodian for:</w:t>
            </w:r>
          </w:p>
        </w:tc>
      </w:tr>
      <w:tr>
        <w:trPr/>
        <w:tc>
          <w:tcPr>
            <w:tcW w:w="49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         </w:t>
            </w:r>
            <w:r>
              <w:rPr/>
              <w:t>(Minor)</w:t>
            </w:r>
          </w:p>
        </w:tc>
      </w:tr>
      <w:tr>
        <w:trPr/>
        <w:tc>
          <w:tcPr>
            <w:tcW w:w="4973" w:type="dxa"/>
            <w:tcBorders/>
          </w:tcPr>
          <w:p>
            <w:pPr>
              <w:pStyle w:val="TableContents"/>
              <w:bidi w:val="0"/>
              <w:spacing w:before="0" w:after="283"/>
              <w:jc w:val="left"/>
              <w:rPr/>
            </w:pPr>
            <w:r>
              <w:rPr/>
              <w:t>JT TEN - as joint tenants with right of survivorship and not as tenants in common</w:t>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Under Uniform Gifts to Minors Act of</w:t>
            </w:r>
          </w:p>
        </w:tc>
      </w:tr>
      <w:tr>
        <w:trPr/>
        <w:tc>
          <w:tcPr>
            <w:tcW w:w="497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111" w:type="dxa"/>
            <w:tcBorders/>
          </w:tcPr>
          <w:p>
            <w:pPr>
              <w:pStyle w:val="TableContents"/>
              <w:bidi w:val="0"/>
              <w:spacing w:before="0" w:after="283"/>
              <w:jc w:val="left"/>
              <w:rPr/>
            </w:pPr>
            <w:r>
              <w:rPr/>
              <w:t>         </w:t>
            </w:r>
            <w:r>
              <w:rPr/>
              <w:t>(State)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24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and address including postal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to transfer said Security on the books of the Partnership,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Registered Holder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OR DECREASES </w:t>
      </w:r>
    </w:p>
    <w:p>
      <w:pPr>
        <w:pStyle w:val="TextBody"/>
        <w:bidi w:val="0"/>
        <w:spacing w:before="0" w:after="0"/>
        <w:jc w:val="center"/>
        <w:rPr>
          <w:rFonts w:ascii="Times New Roman" w:hAnsi="Times New Roman"/>
          <w:b/>
          <w:sz w:val="20"/>
        </w:rPr>
      </w:pPr>
      <w:r>
        <w:rPr>
          <w:rFonts w:ascii="Times New Roman" w:hAnsi="Times New Roman"/>
          <w:b/>
          <w:sz w:val="20"/>
        </w:rPr>
        <w:t xml:space="preserve">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8"/>
        <w:gridCol w:w="106"/>
        <w:gridCol w:w="1910"/>
        <w:gridCol w:w="106"/>
        <w:gridCol w:w="2001"/>
        <w:gridCol w:w="212"/>
        <w:gridCol w:w="1648"/>
        <w:gridCol w:w="120"/>
        <w:gridCol w:w="1674"/>
      </w:tblGrid>
      <w:tr>
        <w:trPr/>
        <w:tc>
          <w:tcPr>
            <w:tcW w:w="242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4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Decrease</w:t>
              <w:br/>
              <w:t>in Principal Amount</w:t>
              <w:br/>
              <w:t>of this Global</w:t>
              <w:br/>
              <w:t>Security</w:t>
            </w:r>
          </w:p>
        </w:tc>
        <w:tc>
          <w:tcPr>
            <w:tcW w:w="106"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Increase</w:t>
              <w:br/>
              <w:t>in Principal Amount</w:t>
              <w:br/>
              <w:t>of this Global</w:t>
              <w:br/>
              <w:t>Security</w:t>
            </w:r>
          </w:p>
        </w:tc>
        <w:tc>
          <w:tcPr>
            <w:tcW w:w="212"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w:t>
              <w:br/>
              <w:t>this Global Security</w:t>
              <w:br/>
              <w:t>Following Such</w:t>
              <w:br/>
              <w:t>Decrease (or Increase)</w:t>
            </w:r>
          </w:p>
        </w:tc>
        <w:tc>
          <w:tcPr>
            <w:tcW w:w="120" w:type="dxa"/>
            <w:tcBorders/>
            <w:vAlign w:val="bottom"/>
          </w:tcPr>
          <w:p>
            <w:pPr>
              <w:pStyle w:val="TableContents"/>
              <w:bidi w:val="0"/>
              <w:spacing w:before="0" w:after="283"/>
              <w:jc w:val="left"/>
              <w:rPr/>
            </w:pPr>
            <w:r>
              <w:rPr/>
              <w:t>  </w:t>
            </w:r>
          </w:p>
        </w:tc>
        <w:tc>
          <w:tcPr>
            <w:tcW w:w="16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 of</w:t>
              <w:br/>
              <w:t>Authorized Officer of</w:t>
              <w:br/>
              <w:t>Trustee or Depositary</w:t>
            </w:r>
          </w:p>
        </w:tc>
      </w:tr>
    </w:tbl>
    <w:p>
      <w:pPr>
        <w:pStyle w:val="TextBody"/>
        <w:bidi w:val="0"/>
        <w:spacing w:before="360" w:after="0"/>
        <w:jc w:val="left"/>
        <w:rPr>
          <w:rFonts w:ascii="Times New Roman" w:hAnsi="Times New Roman"/>
          <w:sz w:val="20"/>
        </w:rPr>
      </w:pPr>
      <w:r>
        <w:rPr>
          <w:rFonts w:ascii="Times New Roman" w:hAnsi="Times New Roman"/>
          <w:sz w:val="20"/>
        </w:rPr>
        <w:t xml:space="preserve">* To be included in a Book-Entry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w:t>
      </w:r>
      <w:r>
        <w:rPr>
          <w:rFonts w:ascii="Times New Roman" w:hAnsi="Times New Roman"/>
          <w:sz w:val="20"/>
          <w:u w:val="single"/>
        </w:rPr>
        <w:t>DTC</w:t>
      </w:r>
      <w:r>
        <w:rPr>
          <w:rFonts w:ascii="Times New Roman" w:hAnsi="Times New Roman"/>
          <w:sz w:val="20"/>
        </w:rPr>
        <w:t xml:space="preserve">”)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7"/>
        <w:gridCol w:w="121"/>
        <w:gridCol w:w="4837"/>
      </w:tblGrid>
      <w:tr>
        <w:trPr/>
        <w:tc>
          <w:tcPr>
            <w:tcW w:w="52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pPr>
            <w:r>
              <w:rPr/>
              <w:t xml:space="preserve">No. </w:t>
            </w:r>
            <w:r>
              <w:rPr>
                <w:u w:val="single"/>
              </w:rPr>
              <w:t>     </w:t>
            </w:r>
          </w:p>
        </w:tc>
        <w:tc>
          <w:tcPr>
            <w:tcW w:w="121"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p>
          <w:p>
            <w:pPr>
              <w:pStyle w:val="TableContents"/>
              <w:bidi w:val="0"/>
              <w:spacing w:before="0" w:after="0"/>
              <w:jc w:val="right"/>
              <w:rPr>
                <w:rFonts w:ascii="Times New Roman" w:hAnsi="Times New Roman"/>
                <w:sz w:val="20"/>
              </w:rPr>
            </w:pPr>
            <w:r>
              <w:rPr>
                <w:rFonts w:ascii="Times New Roman" w:hAnsi="Times New Roman"/>
                <w:sz w:val="20"/>
              </w:rPr>
              <w:t>CUSIP: 29273V BK5</w:t>
            </w:r>
          </w:p>
          <w:p>
            <w:pPr>
              <w:pStyle w:val="TableContents"/>
              <w:bidi w:val="0"/>
              <w:spacing w:before="0" w:after="20"/>
              <w:jc w:val="right"/>
              <w:rPr>
                <w:rFonts w:ascii="Times New Roman" w:hAnsi="Times New Roman"/>
                <w:sz w:val="20"/>
              </w:rPr>
            </w:pPr>
            <w:r>
              <w:rPr>
                <w:rFonts w:ascii="Times New Roman" w:hAnsi="Times New Roman"/>
                <w:sz w:val="20"/>
              </w:rPr>
              <w:t>ISIN: US29273VBK52</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rPr>
      </w:pPr>
      <w:r>
        <w:rPr>
          <w:rFonts w:ascii="Times New Roman" w:hAnsi="Times New Roman"/>
          <w:b/>
          <w:sz w:val="20"/>
        </w:rPr>
        <w:t xml:space="preserve">5.350% Senior Notes due 2036 </w:t>
      </w:r>
    </w:p>
    <w:p>
      <w:pPr>
        <w:pStyle w:val="TextBody"/>
        <w:bidi w:val="0"/>
        <w:spacing w:before="240" w:after="0"/>
        <w:jc w:val="left"/>
        <w:rPr>
          <w:rFonts w:ascii="Times New Roman" w:hAnsi="Times New Roman"/>
          <w:sz w:val="20"/>
        </w:rPr>
      </w:pPr>
      <w:r>
        <w:rPr>
          <w:rFonts w:ascii="Times New Roman" w:hAnsi="Times New Roman"/>
          <w:sz w:val="20"/>
        </w:rPr>
        <w:t>ENERGY TRANSFER LP, a Delaware limited partnership (the “</w:t>
      </w:r>
      <w:r>
        <w:rPr>
          <w:rFonts w:ascii="Times New Roman" w:hAnsi="Times New Roman"/>
          <w:sz w:val="20"/>
          <w:u w:val="single"/>
        </w:rPr>
        <w:t>Partnership</w:t>
      </w:r>
      <w:r>
        <w:rPr>
          <w:rFonts w:ascii="Times New Roman" w:hAnsi="Times New Roman"/>
          <w:sz w:val="20"/>
        </w:rPr>
        <w:t>,” which term includes any successor under the Indenture hereinafter referred to), for value received, hereby promises to pay to ____________ or its registered assigns, the principal sum of ________ U.S. dollars ($___________), [or such greater or lesser principal sum as is shown on the attached Schedule of Increases and Decreases in Global Security]*, on January 15, 2036 in such coin and currency of the United States of America as at the time of payment shall be legal tender for the payment of public and private debts, and to pay interest thereon at an annual rate of 5.350% payable on January 15 and July 15 of each year, to the person in whose name the Security is registered at the close of business on the record date for such interest, which shall be the preceding January 1 and July 1 (each, a “</w:t>
      </w:r>
      <w:r>
        <w:rPr>
          <w:rFonts w:ascii="Times New Roman" w:hAnsi="Times New Roman"/>
          <w:sz w:val="20"/>
          <w:u w:val="single"/>
        </w:rPr>
        <w:t>Regular Record Date</w:t>
      </w:r>
      <w:r>
        <w:rPr>
          <w:rFonts w:ascii="Times New Roman" w:hAnsi="Times New Roman"/>
          <w:sz w:val="20"/>
        </w:rPr>
        <w:t xml:space="preserve">”), respectively, payable commencing on __________, ____.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set forth on the reverse hereof. Such further provisions shall for all purposes have the same effect as though fully set forth at this place.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in the legends set forth in this Security are an integral part of the terms of this Security and by acceptance hereof the Holder of this Security agrees to be subject to, and bound by, the terms and provisions set forth in each such legend. </w:t>
      </w:r>
    </w:p>
    <w:p>
      <w:pPr>
        <w:pStyle w:val="TextBody"/>
        <w:bidi w:val="0"/>
        <w:spacing w:before="240" w:after="0"/>
        <w:jc w:val="left"/>
        <w:rPr>
          <w:rFonts w:ascii="Times New Roman" w:hAnsi="Times New Roman"/>
          <w:sz w:val="20"/>
        </w:rPr>
      </w:pPr>
      <w:r>
        <w:rPr>
          <w:rFonts w:ascii="Times New Roman" w:hAnsi="Times New Roman"/>
          <w:sz w:val="20"/>
        </w:rPr>
        <w:t>This Security is issued in respect of a series of Debt Securities of an initial aggregate principal amount of $1,000,000,000 designated as the 5.350% Senior Notes due 2036 of the Partnership and is governed by the Indenture dated as of December 14, 2022 (the “</w:t>
      </w:r>
      <w:r>
        <w:rPr>
          <w:rFonts w:ascii="Times New Roman" w:hAnsi="Times New Roman"/>
          <w:sz w:val="20"/>
          <w:u w:val="single"/>
        </w:rPr>
        <w:t>Base Indenture</w:t>
      </w:r>
      <w:r>
        <w:rPr>
          <w:rFonts w:ascii="Times New Roman" w:hAnsi="Times New Roman"/>
          <w:sz w:val="20"/>
        </w:rPr>
        <w:t>”), duly executed and delivered by the Partnership, as issuer, and U.S. Bank Trust Company, National Association, as trustee (the “</w:t>
      </w:r>
      <w:r>
        <w:rPr>
          <w:rFonts w:ascii="Times New Roman" w:hAnsi="Times New Roman"/>
          <w:sz w:val="20"/>
          <w:u w:val="single"/>
        </w:rPr>
        <w:t>Trustee</w:t>
      </w:r>
      <w:r>
        <w:rPr>
          <w:rFonts w:ascii="Times New Roman" w:hAnsi="Times New Roman"/>
          <w:sz w:val="20"/>
        </w:rPr>
        <w:t>”), as supplemented by the Tenth Supplemental Indenture dated as of January 27, 2026 (the “</w:t>
      </w:r>
      <w:r>
        <w:rPr>
          <w:rFonts w:ascii="Times New Roman" w:hAnsi="Times New Roman"/>
          <w:sz w:val="20"/>
          <w:u w:val="single"/>
        </w:rPr>
        <w:t>Tenth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each duly executed by the Partnership and the Trustee. The terms of the Indenture are incorporated herein by reference. This Security shall in all respects be entitled to the same benefits as definitive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(the “</w:t>
      </w:r>
      <w:r>
        <w:rPr>
          <w:rFonts w:ascii="Times New Roman" w:hAnsi="Times New Roman"/>
          <w:sz w:val="20"/>
          <w:u w:val="single"/>
        </w:rPr>
        <w:t>TIA</w:t>
      </w:r>
      <w:r>
        <w:rPr>
          <w:rFonts w:ascii="Times New Roman" w:hAnsi="Times New Roman"/>
          <w:sz w:val="20"/>
        </w:rPr>
        <w:t xml:space="preserve">”),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or become obligatory for any purpose until the Trustee’s Certificate of Authentication hereon shall have been manually signed by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Partnership has caused this Security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ENERGY TRANSFER LP</w:t>
            </w:r>
          </w:p>
          <w:p>
            <w:pPr>
              <w:pStyle w:val="TableContents"/>
              <w:bidi w:val="0"/>
              <w:spacing w:before="0" w:after="20"/>
              <w:jc w:val="left"/>
              <w:rPr/>
            </w:pPr>
            <w:r>
              <w:rPr/>
              <w:t> </w:t>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LE GP, LLC,</w:t>
            </w:r>
          </w:p>
        </w:tc>
      </w:tr>
      <w:tr>
        <w:trPr/>
        <w:tc>
          <w:tcPr>
            <w:tcW w:w="67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and Group Chief</w:t>
            </w:r>
          </w:p>
        </w:tc>
      </w:tr>
      <w:tr>
        <w:trPr/>
        <w:tc>
          <w:tcPr>
            <w:tcW w:w="67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Financial Officer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Thomas E. Long</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U.S. BANK TRUST COMPANY, NATIONAL ASSOCIATION,</w:t>
            </w:r>
            <w:r>
              <w:rPr/>
              <w:t xml:space="preserve">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pBdr>
                <w:bottom w:val="single" w:sz="2" w:space="1" w:color="000000"/>
              </w:pBdr>
              <w:bidi w:val="0"/>
              <w:spacing w:before="0" w:after="20"/>
              <w:jc w:val="left"/>
              <w:rPr/>
            </w:pPr>
            <w:r>
              <w:rPr/>
              <w:t> </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5.350% Senior Notes due 2036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evidences of indebtedness of the Partnership (the “</w:t>
      </w:r>
      <w:r>
        <w:rPr>
          <w:rFonts w:ascii="Times New Roman" w:hAnsi="Times New Roman"/>
          <w:sz w:val="20"/>
          <w:u w:val="single"/>
        </w:rPr>
        <w:t>Debt Securities</w:t>
      </w:r>
      <w:r>
        <w:rPr>
          <w:rFonts w:ascii="Times New Roman" w:hAnsi="Times New Roman"/>
          <w:sz w:val="20"/>
        </w:rPr>
        <w:t>”) of the series hereinafter specified, all issued or to be issued under and pursuant to the Indenture, to which Indenture reference is hereby made for a description of the rights, limitations of rights, obligations, duties and immunities thereunder of the Trustee, the Partnership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5.350% Senior Notes due 2036 of the Partnership, in an initial aggregate principal amount of $1,000,000,000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promises to pay interest on the principal amount of this Security at the rate of 5.350% per annum. </w:t>
      </w:r>
    </w:p>
    <w:p>
      <w:pPr>
        <w:pStyle w:val="TextBody"/>
        <w:bidi w:val="0"/>
        <w:spacing w:before="240" w:after="0"/>
        <w:jc w:val="left"/>
        <w:rPr>
          <w:rFonts w:ascii="Times New Roman" w:hAnsi="Times New Roman"/>
          <w:sz w:val="20"/>
        </w:rPr>
      </w:pPr>
      <w:r>
        <w:rPr>
          <w:rFonts w:ascii="Times New Roman" w:hAnsi="Times New Roman"/>
          <w:sz w:val="20"/>
        </w:rPr>
        <w:t>The Partnership will pay interest semi-annually on January 15 and July 15 of each year (each such date, an “</w:t>
      </w:r>
      <w:r>
        <w:rPr>
          <w:rFonts w:ascii="Times New Roman" w:hAnsi="Times New Roman"/>
          <w:sz w:val="20"/>
          <w:u w:val="single"/>
        </w:rPr>
        <w:t>Interest Payment Date</w:t>
      </w:r>
      <w:r>
        <w:rPr>
          <w:rFonts w:ascii="Times New Roman" w:hAnsi="Times New Roman"/>
          <w:sz w:val="20"/>
        </w:rPr>
        <w:t xml:space="preserve">”), commencing __________, ____. Interest on the Securities will accrue from the most recent date to which interest has been paid, or, if no interest has been paid on the Securities, from January 27, 2026. Interest will be computed on the basis of a 360-day year consisting of twelve 30-day months. The Partnership shall pay interest (including post-petition interest in any proceeding under any applicable bankruptcy laws) on overdue installments of interest (without regard to any applicable grace period) and on overdue principal and premium, if any, from time to time on demand at the same rate per annum, in each case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Partnership shall pay interest on the Securities (except Defaulted Interest) to the persons who are the registered Holders at the close of business on the Regular Record Date immediately preceding the Interest Payment Date. Any such interest not so punctually paid or duly provided for (“</w:t>
      </w:r>
      <w:r>
        <w:rPr>
          <w:rFonts w:ascii="Times New Roman" w:hAnsi="Times New Roman"/>
          <w:sz w:val="20"/>
          <w:u w:val="single"/>
        </w:rPr>
        <w:t>Defaulted Interest</w:t>
      </w:r>
      <w:r>
        <w:rPr>
          <w:rFonts w:ascii="Times New Roman" w:hAnsi="Times New Roman"/>
          <w:sz w:val="20"/>
        </w:rPr>
        <w:t xml:space="preserve">”)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The Partnership shall pay principal, premium, if any, and interest in such coin or currency of the United States of America as at the time of payment shall be legal tender for payment of public and private debts. Payments in respect of a Global Security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Partnership maintained for such purpose within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initially will be at the corporate trust office of the Trustee located at 100 Wall Street, Suite 1600, New York, New York 10005, Mail Station: EX-NY-WALL, or, at the option of the Partnership, payment of interest may be made by check mailed to the Holders on the relevant record date at their addresses set forth in the register of Holders maintained by the Registrar or at the option of the Holder, payment of interest on Securities in definitive form will be made by wire transfer of immediately available funds to any account maintained in the United States, provided such Holder has requested such method of payment and provided timely wire transfer instructions to the Paying Agent. The Holder must surrender this Security to a Paying Agent to collect payment of principal.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Initially, U.S. Bank Trust Company, National Association will act as Paying Agent and Registrar. The Partnership may change any Paying Agent or Registrar at any time upon notice to the Trustee and the Holders. The Partnership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Debt Securities of the Partnership issued and to be issued in one or more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herein are used as defined in the Indenture unless otherwise defined herein. The terms of the Securities include those stated in the Base Indenture, those made part of the Indenture by reference to the TIA, as in effect on the date of the Base Indenture, and those terms stated in the Tenth Supplemental Indenture. The Securities are subject to all such terms, and Holders of Securities are referred to the Base Indenture, the Tenth Supplemental Indenture and the TIA for a statement of them. The Securities of this series are general unsecured obligations of the Partnership limited to an initial aggregate principal amount of $1,000,000,000; </w:t>
      </w:r>
      <w:r>
        <w:rPr>
          <w:rFonts w:ascii="Times New Roman" w:hAnsi="Times New Roman"/>
          <w:i/>
          <w:sz w:val="20"/>
        </w:rPr>
        <w:t>provided, however</w:t>
      </w:r>
      <w:r>
        <w:rPr>
          <w:rFonts w:ascii="Times New Roman" w:hAnsi="Times New Roman"/>
          <w:sz w:val="20"/>
        </w:rPr>
        <w:t xml:space="preserve">, that the authorized aggregate principal amount of such series may be increased from time to time as provided in the Tenth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2036 Notes Par Call Date, the Partnership may redeem the 2036 Notes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2036 Notes matured on the 2036 Notes Par Call Date) on a semi-annual basis (assuming a 360-day year consisting of twelve 30-day months) at the Treasury Rate plus 20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2036 Notes to be redeemed, plus, in either case,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or after the 2036 Notes Par Call Date, the Partnership may redeem the 2036 Notes, in whole or in part, at any time and from time to time, at a Redemption Price equal to 100% of the principal amount of the 2036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The actual Redemption Price, calculated as provided above, shall be calculated and certified to the Trustee by the Partnership. The Partnership’s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i/>
          <w:sz w:val="20"/>
        </w:rPr>
        <w:t>6.</w:t>
      </w:r>
      <w:r>
        <w:rPr>
          <w:rFonts w:ascii="Times New Roman" w:hAnsi="Times New Roman"/>
          <w:sz w:val="20"/>
        </w:rPr>
        <w:t xml:space="preserve"> </w:t>
      </w:r>
      <w:r>
        <w:rPr>
          <w:rFonts w:ascii="Times New Roman" w:hAnsi="Times New Roman"/>
          <w:i/>
          <w:sz w:val="20"/>
        </w:rPr>
        <w:t>No Sinking Fund; 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Securities or to repurchase the Securities at the option of Holders. </w:t>
      </w:r>
    </w:p>
    <w:p>
      <w:pPr>
        <w:pStyle w:val="TextBody"/>
        <w:bidi w:val="0"/>
        <w:spacing w:before="240" w:after="0"/>
        <w:jc w:val="left"/>
        <w:rPr>
          <w:rFonts w:ascii="Times New Roman" w:hAnsi="Times New Roman"/>
          <w:sz w:val="20"/>
        </w:rPr>
      </w:pPr>
      <w:r>
        <w:rPr>
          <w:rFonts w:ascii="Times New Roman" w:hAnsi="Times New Roman"/>
          <w:i/>
          <w:sz w:val="20"/>
        </w:rPr>
        <w:t>7.</w:t>
      </w:r>
      <w:r>
        <w:rPr>
          <w:rFonts w:ascii="Times New Roman" w:hAnsi="Times New Roman"/>
          <w:sz w:val="20"/>
        </w:rPr>
        <w:t xml:space="preserve"> </w:t>
      </w:r>
      <w:r>
        <w:rPr>
          <w:rFonts w:ascii="Times New Roman" w:hAnsi="Times New Roman"/>
          <w:i/>
          <w:sz w:val="20"/>
        </w:rPr>
        <w:t>Denominations; Transfer;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to be issued in registered form, without coupons, in denominations of $2,000 and integral multiples of $1,000 in excess thereof. A Holder may register the transfer of, or exchange, Securities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Person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may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Amendment; Supplement;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may be amended or supplemented, and any existing Event of Default or compliance with any provision may be waived, with the consent of the Holders of a majority in principal amount of the then outstanding notes of the affected series. Without consent of any Holder of a Security, the parties thereto may amend or supplement the Indenture to, among other things, cure any ambiguity or omission, to correct any defect or inconsistency, or to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regardless of whether any notation thereof is made upon this Security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Defaults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of bankruptcy or insolvency are Events of Default that will result in the principal amount of the Securities, together with premium, if any, and accrued and unpaid interest thereon, becoming due and payable immediately upon the occurrence of such Events of Default. If any other Event of Default with respect to the Securities occurs and is continuing, then in every such case the Trustee or the Holders of not less than 25% in aggregate principal amount of the Securities then outstanding may declare the principal amount of all the Securities, together with premium, if any, and accrued and unpaid interest thereon, to be due and payable immediately in the manner and with the effect provided in the Indenture. Notwithstanding the preceding sentence, however, if at any time after such a declaration of acceleration has been made, the Holders of a majority in principal amount of the outstanding Securities, by written notice to the Trustee, may rescind such declaration and annul its consequences if the rescission would not conflict with any judgment or decree of a court of competent jurisdiction and if all existing Events of Default with respect to the Securities, other than the nonpayment of the principal, premium, if any, or interest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or security satisfactory to it before it enforces the Indenture or the Securities. Subject to certain limitations, Holders of a majority in aggregate principal amount of the Securities then outstanding may direct the Trustee in its exercise of any trust or power.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Trustee Dealings with Partnership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make loans to, accept deposits from, and perform services for the Partnership or its Affiliates, and may otherwise deal with the Partnership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signs the certificate of authentication hereon.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Abbreviations and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Partnership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Absolute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the Indenture shall alter or impair the obligation of the Partnership, which is absolute and unconditional, to pay the principal of, premium, if any, and interest on this Security in the manner, at the respective times, at the rate and in the coin or currency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limited partner or member, as such, of the Partnership or the General Partner shall have any personal liability in respect of the obligations of the Partnership under the Securities or the Indenture by reason of his, her or its status. Each Holder, by accepting the Securities, waives and releases all such liability. The waiver and release are part of the consideration for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set forth in the Tenth Supplemental Indenture one or more Subsidiaries of the Partnership may be required to Guarantee the Securities as set forth in Article X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 by accepting this Security, acknowledges and affirms that (i) it has purchased the Security in reliance upon the separateness of each of the General Partner and the Partnership from each other and from any other Person, and (ii) the General Partner has assets and liabilities that are separate from those of each other and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1"/>
        <w:gridCol w:w="121"/>
        <w:gridCol w:w="5093"/>
      </w:tblGrid>
      <w:tr>
        <w:trPr/>
        <w:tc>
          <w:tcPr>
            <w:tcW w:w="49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3" w:type="dxa"/>
            <w:tcBorders/>
            <w:vAlign w:val="center"/>
          </w:tcPr>
          <w:p>
            <w:pPr>
              <w:pStyle w:val="TableContents"/>
              <w:bidi w:val="0"/>
              <w:spacing w:before="0" w:after="283"/>
              <w:jc w:val="left"/>
              <w:rPr>
                <w:sz w:val="4"/>
                <w:szCs w:val="4"/>
              </w:rPr>
            </w:pPr>
            <w:r>
              <w:rPr>
                <w:sz w:val="4"/>
                <w:szCs w:val="4"/>
              </w:rPr>
            </w:r>
          </w:p>
        </w:tc>
      </w:tr>
      <w:tr>
        <w:trPr/>
        <w:tc>
          <w:tcPr>
            <w:tcW w:w="4991" w:type="dxa"/>
            <w:tcBorders/>
          </w:tcPr>
          <w:p>
            <w:pPr>
              <w:pStyle w:val="TableContents"/>
              <w:bidi w:val="0"/>
              <w:spacing w:before="0" w:after="283"/>
              <w:jc w:val="left"/>
              <w:rPr/>
            </w:pPr>
            <w:r>
              <w:rPr/>
              <w:t>TEN COM - as tenants in common</w:t>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UNIF GIFT MIN ACT -</w:t>
            </w:r>
          </w:p>
        </w:tc>
      </w:tr>
      <w:tr>
        <w:trPr/>
        <w:tc>
          <w:tcPr>
            <w:tcW w:w="49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         </w:t>
            </w:r>
            <w:r>
              <w:rPr/>
              <w:t>(Cust.)</w:t>
            </w:r>
          </w:p>
        </w:tc>
      </w:tr>
      <w:tr>
        <w:trPr/>
        <w:tc>
          <w:tcPr>
            <w:tcW w:w="4991" w:type="dxa"/>
            <w:tcBorders/>
          </w:tcPr>
          <w:p>
            <w:pPr>
              <w:pStyle w:val="TableContents"/>
              <w:bidi w:val="0"/>
              <w:spacing w:before="0" w:after="283"/>
              <w:jc w:val="left"/>
              <w:rPr/>
            </w:pPr>
            <w:r>
              <w:rPr/>
              <w:t>TEN ENT - as tenants by entireties</w:t>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Custodian for:</w:t>
            </w:r>
          </w:p>
        </w:tc>
      </w:tr>
      <w:tr>
        <w:trPr/>
        <w:tc>
          <w:tcPr>
            <w:tcW w:w="49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         </w:t>
            </w:r>
            <w:r>
              <w:rPr/>
              <w:t>(Minor)</w:t>
            </w:r>
          </w:p>
        </w:tc>
      </w:tr>
      <w:tr>
        <w:trPr/>
        <w:tc>
          <w:tcPr>
            <w:tcW w:w="4991" w:type="dxa"/>
            <w:tcBorders/>
          </w:tcPr>
          <w:p>
            <w:pPr>
              <w:pStyle w:val="TableContents"/>
              <w:bidi w:val="0"/>
              <w:spacing w:before="0" w:after="283"/>
              <w:jc w:val="left"/>
              <w:rPr/>
            </w:pPr>
            <w:r>
              <w:rPr/>
              <w:t>JT TEN - as joint tenants with right of survivorship and not as tenants in common</w:t>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Under Uniform Gifts to Minors Act of</w:t>
            </w:r>
          </w:p>
        </w:tc>
      </w:tr>
      <w:tr>
        <w:trPr/>
        <w:tc>
          <w:tcPr>
            <w:tcW w:w="499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3" w:type="dxa"/>
            <w:tcBorders/>
          </w:tcPr>
          <w:p>
            <w:pPr>
              <w:pStyle w:val="TableContents"/>
              <w:bidi w:val="0"/>
              <w:spacing w:before="0" w:after="283"/>
              <w:jc w:val="left"/>
              <w:rPr/>
            </w:pPr>
            <w:r>
              <w:rPr/>
              <w:t>         </w:t>
            </w:r>
            <w:r>
              <w:rPr/>
              <w:t>(State)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24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and address including postal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to transfer said Security on the books of the Partnership,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    Registered Holder  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OR DECREASES </w:t>
      </w:r>
    </w:p>
    <w:p>
      <w:pPr>
        <w:pStyle w:val="TextBody"/>
        <w:bidi w:val="0"/>
        <w:spacing w:before="120" w:after="0"/>
        <w:jc w:val="center"/>
        <w:rPr>
          <w:rFonts w:ascii="Times New Roman" w:hAnsi="Times New Roman"/>
          <w:b/>
          <w:sz w:val="20"/>
        </w:rPr>
      </w:pPr>
      <w:r>
        <w:rPr>
          <w:rFonts w:ascii="Times New Roman" w:hAnsi="Times New Roman"/>
          <w:b/>
          <w:sz w:val="20"/>
        </w:rPr>
        <w:t xml:space="preserve">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8"/>
        <w:gridCol w:w="106"/>
        <w:gridCol w:w="1910"/>
        <w:gridCol w:w="106"/>
        <w:gridCol w:w="2001"/>
        <w:gridCol w:w="212"/>
        <w:gridCol w:w="1648"/>
        <w:gridCol w:w="120"/>
        <w:gridCol w:w="1674"/>
      </w:tblGrid>
      <w:tr>
        <w:trPr/>
        <w:tc>
          <w:tcPr>
            <w:tcW w:w="242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4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Decrease</w:t>
              <w:br/>
              <w:t>in Principal Amount</w:t>
              <w:br/>
              <w:t>of this Global</w:t>
              <w:br/>
              <w:t>Security</w:t>
            </w:r>
          </w:p>
        </w:tc>
        <w:tc>
          <w:tcPr>
            <w:tcW w:w="106"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Increase</w:t>
              <w:br/>
              <w:t>in Principal Amount</w:t>
              <w:br/>
              <w:t>of this Global</w:t>
              <w:br/>
              <w:t>Security</w:t>
            </w:r>
          </w:p>
        </w:tc>
        <w:tc>
          <w:tcPr>
            <w:tcW w:w="212"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 of</w:t>
              <w:br/>
              <w:t>this Global Security</w:t>
              <w:br/>
              <w:t>Following Such</w:t>
              <w:br/>
              <w:t>Decrease (or Increase)</w:t>
            </w:r>
          </w:p>
        </w:tc>
        <w:tc>
          <w:tcPr>
            <w:tcW w:w="120" w:type="dxa"/>
            <w:tcBorders/>
            <w:vAlign w:val="bottom"/>
          </w:tcPr>
          <w:p>
            <w:pPr>
              <w:pStyle w:val="TableContents"/>
              <w:bidi w:val="0"/>
              <w:spacing w:before="0" w:after="283"/>
              <w:jc w:val="left"/>
              <w:rPr/>
            </w:pPr>
            <w:r>
              <w:rPr/>
              <w:t>  </w:t>
            </w:r>
          </w:p>
        </w:tc>
        <w:tc>
          <w:tcPr>
            <w:tcW w:w="16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 of</w:t>
              <w:br/>
              <w:t>Authorized Officer of</w:t>
              <w:br/>
              <w:t>Trustee or Depositary</w:t>
            </w:r>
          </w:p>
        </w:tc>
      </w:tr>
    </w:tbl>
    <w:p>
      <w:pPr>
        <w:pStyle w:val="TextBody"/>
        <w:bidi w:val="0"/>
        <w:spacing w:before="360" w:after="0"/>
        <w:jc w:val="left"/>
        <w:rPr>
          <w:rFonts w:ascii="Times New Roman" w:hAnsi="Times New Roman"/>
          <w:sz w:val="20"/>
        </w:rPr>
      </w:pPr>
      <w:r>
        <w:rPr>
          <w:rFonts w:ascii="Times New Roman" w:hAnsi="Times New Roman"/>
          <w:sz w:val="20"/>
        </w:rPr>
        <w:t xml:space="preserve">* To be included in a Book-Entry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w:t>
      </w:r>
      <w:r>
        <w:rPr>
          <w:rFonts w:ascii="Times New Roman" w:hAnsi="Times New Roman"/>
          <w:sz w:val="20"/>
          <w:u w:val="single"/>
        </w:rPr>
        <w:t>DTC</w:t>
      </w:r>
      <w:r>
        <w:rPr>
          <w:rFonts w:ascii="Times New Roman" w:hAnsi="Times New Roman"/>
          <w:sz w:val="20"/>
        </w:rPr>
        <w:t xml:space="preserve">”)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7"/>
        <w:gridCol w:w="121"/>
        <w:gridCol w:w="4837"/>
      </w:tblGrid>
      <w:tr>
        <w:trPr/>
        <w:tc>
          <w:tcPr>
            <w:tcW w:w="52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pPr>
            <w:r>
              <w:rPr/>
              <w:t xml:space="preserve">No. </w:t>
            </w:r>
            <w:r>
              <w:rPr>
                <w:u w:val="single"/>
              </w:rPr>
              <w:t>     </w:t>
            </w:r>
          </w:p>
        </w:tc>
        <w:tc>
          <w:tcPr>
            <w:tcW w:w="121"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p>
          <w:p>
            <w:pPr>
              <w:pStyle w:val="TableContents"/>
              <w:bidi w:val="0"/>
              <w:spacing w:before="0" w:after="0"/>
              <w:jc w:val="right"/>
              <w:rPr>
                <w:rFonts w:ascii="Times New Roman" w:hAnsi="Times New Roman"/>
                <w:sz w:val="20"/>
              </w:rPr>
            </w:pPr>
            <w:r>
              <w:rPr>
                <w:rFonts w:ascii="Times New Roman" w:hAnsi="Times New Roman"/>
                <w:sz w:val="20"/>
              </w:rPr>
              <w:t>CUSIP: 29273V BL3</w:t>
            </w:r>
          </w:p>
          <w:p>
            <w:pPr>
              <w:pStyle w:val="TableContents"/>
              <w:bidi w:val="0"/>
              <w:spacing w:before="0" w:after="20"/>
              <w:jc w:val="right"/>
              <w:rPr>
                <w:rFonts w:ascii="Times New Roman" w:hAnsi="Times New Roman"/>
                <w:sz w:val="20"/>
              </w:rPr>
            </w:pPr>
            <w:r>
              <w:rPr>
                <w:rFonts w:ascii="Times New Roman" w:hAnsi="Times New Roman"/>
                <w:sz w:val="20"/>
              </w:rPr>
              <w:t>ISIN: US29273VBL36</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rPr>
      </w:pPr>
      <w:r>
        <w:rPr>
          <w:rFonts w:ascii="Times New Roman" w:hAnsi="Times New Roman"/>
          <w:b/>
          <w:sz w:val="20"/>
        </w:rPr>
        <w:t xml:space="preserve">6.300% Senior Notes due 2056 </w:t>
      </w:r>
    </w:p>
    <w:p>
      <w:pPr>
        <w:pStyle w:val="TextBody"/>
        <w:bidi w:val="0"/>
        <w:spacing w:before="240" w:after="0"/>
        <w:jc w:val="left"/>
        <w:rPr>
          <w:rFonts w:ascii="Times New Roman" w:hAnsi="Times New Roman"/>
          <w:sz w:val="20"/>
        </w:rPr>
      </w:pPr>
      <w:r>
        <w:rPr>
          <w:rFonts w:ascii="Times New Roman" w:hAnsi="Times New Roman"/>
          <w:sz w:val="20"/>
        </w:rPr>
        <w:t>ENERGY TRANSFER LP, a Delaware limited partnership (the “</w:t>
      </w:r>
      <w:r>
        <w:rPr>
          <w:rFonts w:ascii="Times New Roman" w:hAnsi="Times New Roman"/>
          <w:sz w:val="20"/>
          <w:u w:val="single"/>
        </w:rPr>
        <w:t>Partnership</w:t>
      </w:r>
      <w:r>
        <w:rPr>
          <w:rFonts w:ascii="Times New Roman" w:hAnsi="Times New Roman"/>
          <w:sz w:val="20"/>
        </w:rPr>
        <w:t>,” which term includes any successor under the Indenture hereinafter referred to), for value received, hereby promises to pay to ____________ or its registered assigns, the principal sum of ________ U.S. dollars ($___________), [or such greater or lesser principal sum as is shown on the attached Schedule of Increases and Decreases in Global Security]*, on January 15, 2056 in such coin and currency of the United States of America as at the time of payment shall be legal tender for the payment of public and private debts, and to pay interest thereon at an annual rate of 6.300% payable on January 15 and July 15 of each year, to the person in whose name the Security is registered at the close of business on the record date for such interest, which shall be the preceding January 1 and July 1 (each, a “</w:t>
      </w:r>
      <w:r>
        <w:rPr>
          <w:rFonts w:ascii="Times New Roman" w:hAnsi="Times New Roman"/>
          <w:sz w:val="20"/>
          <w:u w:val="single"/>
        </w:rPr>
        <w:t>Regular Record Date</w:t>
      </w:r>
      <w:r>
        <w:rPr>
          <w:rFonts w:ascii="Times New Roman" w:hAnsi="Times New Roman"/>
          <w:sz w:val="20"/>
        </w:rPr>
        <w:t xml:space="preserve">”), respectively, payable commencing on __________, ____.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set forth on the reverse hereof. Such further provisions shall for all purposes have the same effect as though fully set forth at this place.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a Book-Entry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in the legends set forth in this Security are an integral part of the terms of this Security and by acceptance hereof the Holder of this Security agrees to be subject to, and bound by, the terms and provisions set forth in each such legend. </w:t>
      </w:r>
    </w:p>
    <w:p>
      <w:pPr>
        <w:pStyle w:val="TextBody"/>
        <w:bidi w:val="0"/>
        <w:spacing w:before="240" w:after="0"/>
        <w:jc w:val="left"/>
        <w:rPr>
          <w:rFonts w:ascii="Times New Roman" w:hAnsi="Times New Roman"/>
          <w:sz w:val="20"/>
        </w:rPr>
      </w:pPr>
      <w:r>
        <w:rPr>
          <w:rFonts w:ascii="Times New Roman" w:hAnsi="Times New Roman"/>
          <w:sz w:val="20"/>
        </w:rPr>
        <w:t>This Security is issued in respect of a series of Debt Securities of an initial aggregate principal amount of $1,000,000,000 designated as the 6.300% Senior Notes due 2056 of the Partnership and is governed by the Indenture dated as of December 14, 2022 (the “</w:t>
      </w:r>
      <w:r>
        <w:rPr>
          <w:rFonts w:ascii="Times New Roman" w:hAnsi="Times New Roman"/>
          <w:sz w:val="20"/>
          <w:u w:val="single"/>
        </w:rPr>
        <w:t>Base Indenture</w:t>
      </w:r>
      <w:r>
        <w:rPr>
          <w:rFonts w:ascii="Times New Roman" w:hAnsi="Times New Roman"/>
          <w:sz w:val="20"/>
        </w:rPr>
        <w:t>”), duly executed and delivered by the Partnership, as issuer, and U.S. Bank Trust Company, National Association, as trustee (the “</w:t>
      </w:r>
      <w:r>
        <w:rPr>
          <w:rFonts w:ascii="Times New Roman" w:hAnsi="Times New Roman"/>
          <w:sz w:val="20"/>
          <w:u w:val="single"/>
        </w:rPr>
        <w:t>Trustee</w:t>
      </w:r>
      <w:r>
        <w:rPr>
          <w:rFonts w:ascii="Times New Roman" w:hAnsi="Times New Roman"/>
          <w:sz w:val="20"/>
        </w:rPr>
        <w:t>”), as supplemented by the Tenth Supplemental Indenture dated as of January 27, 2026 (the “</w:t>
      </w:r>
      <w:r>
        <w:rPr>
          <w:rFonts w:ascii="Times New Roman" w:hAnsi="Times New Roman"/>
          <w:sz w:val="20"/>
          <w:u w:val="single"/>
        </w:rPr>
        <w:t>Tenth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each duly executed by the Partnership and the Trustee. The terms of the Indenture are incorporated herein by reference. This Security shall in all respects be entitled to the same benefits as definitive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(the “</w:t>
      </w:r>
      <w:r>
        <w:rPr>
          <w:rFonts w:ascii="Times New Roman" w:hAnsi="Times New Roman"/>
          <w:sz w:val="20"/>
          <w:u w:val="single"/>
        </w:rPr>
        <w:t>TIA</w:t>
      </w:r>
      <w:r>
        <w:rPr>
          <w:rFonts w:ascii="Times New Roman" w:hAnsi="Times New Roman"/>
          <w:sz w:val="20"/>
        </w:rPr>
        <w:t xml:space="preserve">”),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or become obligatory for any purpose until the Trustee’s Certificate of Authentication hereon shall have been manually signed by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Partnership has caused this Security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ENERGY TRANSFER LP</w:t>
            </w:r>
          </w:p>
          <w:p>
            <w:pPr>
              <w:pStyle w:val="TableContents"/>
              <w:bidi w:val="0"/>
              <w:spacing w:before="0" w:after="20"/>
              <w:jc w:val="left"/>
              <w:rPr/>
            </w:pPr>
            <w:r>
              <w:rPr/>
              <w:t> </w:t>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LE GP, LLC,</w:t>
            </w:r>
          </w:p>
        </w:tc>
      </w:tr>
      <w:tr>
        <w:trPr/>
        <w:tc>
          <w:tcPr>
            <w:tcW w:w="67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Dylan A. Bramhall</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and Group Chief</w:t>
            </w:r>
          </w:p>
        </w:tc>
      </w:tr>
      <w:tr>
        <w:trPr/>
        <w:tc>
          <w:tcPr>
            <w:tcW w:w="67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Financial Officer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pBdr>
                <w:bottom w:val="single" w:sz="2" w:space="1" w:color="000000"/>
              </w:pBdr>
              <w:bidi w:val="0"/>
              <w:spacing w:before="0" w:after="20"/>
              <w:jc w:val="left"/>
              <w:rPr/>
            </w:pPr>
            <w:r>
              <w:rPr/>
              <w:t> </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Thomas E. Long</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Co-Chief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U.S. BANK TRUST COMPANY, NATIONAL ASSOCIATION,</w:t>
            </w:r>
            <w:r>
              <w:rPr/>
              <w:t xml:space="preserve">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6.300% Senior Notes due 2056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evidences of indebtedness of the Partnership (the “</w:t>
      </w:r>
      <w:r>
        <w:rPr>
          <w:rFonts w:ascii="Times New Roman" w:hAnsi="Times New Roman"/>
          <w:sz w:val="20"/>
          <w:u w:val="single"/>
        </w:rPr>
        <w:t>Debt Securities</w:t>
      </w:r>
      <w:r>
        <w:rPr>
          <w:rFonts w:ascii="Times New Roman" w:hAnsi="Times New Roman"/>
          <w:sz w:val="20"/>
        </w:rPr>
        <w:t>”) of the series hereinafter specified, all issued or to be issued under and pursuant to the Indenture, to which Indenture reference is hereby made for a description of the rights, limitations of rights, obligations, duties and immunities thereunder of the Trustee, the Partnership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6.300% Senior Notes due 2056 of the Partnership, in an initial aggregate principal amount of $1,000,000,000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promises to pay interest on the principal amount of this Security at the rate of 6.300% per annum. </w:t>
      </w:r>
    </w:p>
    <w:p>
      <w:pPr>
        <w:pStyle w:val="TextBody"/>
        <w:bidi w:val="0"/>
        <w:spacing w:before="240" w:after="0"/>
        <w:jc w:val="left"/>
        <w:rPr>
          <w:rFonts w:ascii="Times New Roman" w:hAnsi="Times New Roman"/>
          <w:sz w:val="20"/>
        </w:rPr>
      </w:pPr>
      <w:r>
        <w:rPr>
          <w:rFonts w:ascii="Times New Roman" w:hAnsi="Times New Roman"/>
          <w:sz w:val="20"/>
        </w:rPr>
        <w:t>The Partnership will pay interest semi-annually on January 15 and July 15 of each year (each such date, an “</w:t>
      </w:r>
      <w:r>
        <w:rPr>
          <w:rFonts w:ascii="Times New Roman" w:hAnsi="Times New Roman"/>
          <w:sz w:val="20"/>
          <w:u w:val="single"/>
        </w:rPr>
        <w:t>Interest Payment Date</w:t>
      </w:r>
      <w:r>
        <w:rPr>
          <w:rFonts w:ascii="Times New Roman" w:hAnsi="Times New Roman"/>
          <w:sz w:val="20"/>
        </w:rPr>
        <w:t xml:space="preserve">”), commencing __________, ____. Interest on the Securities will accrue from the most recent date to which interest has been paid, or, if no interest has been paid on the Securities, from January 27, 2026. Interest will be computed on the basis of a 360-day year consisting of twelve 30-day months. The Partnership shall pay interest (including post-petition interest in any proceeding under any applicable bankruptcy laws) on overdue installments of interest (without regard to any applicable grace period) and on overdue principal and premium, if any, from time to time on demand at the same rate per annum, in each case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Partnership shall pay interest on the Securities (except Defaulted Interest) to the persons who are the registered Holders at the close of business on the Regular Record Date immediately preceding the Interest Payment Date. Any such interest not so punctually paid or duly provided for (“</w:t>
      </w:r>
      <w:r>
        <w:rPr>
          <w:rFonts w:ascii="Times New Roman" w:hAnsi="Times New Roman"/>
          <w:sz w:val="20"/>
          <w:u w:val="single"/>
        </w:rPr>
        <w:t>Defaulted Interest</w:t>
      </w:r>
      <w:r>
        <w:rPr>
          <w:rFonts w:ascii="Times New Roman" w:hAnsi="Times New Roman"/>
          <w:sz w:val="20"/>
        </w:rPr>
        <w:t xml:space="preserve">”)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The Partnership shall pay principal, premium, if any, and interest in such coin or currency of the United States of America as at the time of payment shall be legal tender for payment of public and private debts. Payments in respect of a Global Security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Partnership maintained for such purpose within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initially will be at the corporate trust office of the Trustee located at 100 Wall Street, Suite 1600, New York, New York 10005, Mail Station: EX-NY-WALL, or, at the option of the Partnership, payment of interest may be made by check mailed to the Holders on the relevant record date at their addresses set forth in the register of Holders maintained by the Registrar or at the option of the Holder, payment of interest on Securities in definitive form will be made by wire transfer of immediately available funds to any account maintained in the United States, provided such Holder has requested such method of payment and provided timely wire transfer instructions to the Paying Agent. The Holder must surrender this Security to a Paying Agent to collect payment of principal.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Initially, U.S. Bank Trust Company, National Association will act as Paying Agent and Registrar. The Partnership may change any Paying Agent or Registrar at any time upon notice to the Trustee and the Holders. The Partnership may act as Paying Agent.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Debt Securities of the Partnership issued and to be issued in one or more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herein are used as defined in the Indenture unless otherwise defined herein. The terms of the Securities include those stated in the Base Indenture, those made part of the Indenture by reference to the TIA, as in effect on the date of the Base Indenture, and those terms stated in the Tenth Supplemental Indenture. The Securities are subject to all such terms, and Holders of Securities are referred to the Base Indenture, the Tenth Supplemental Indenture and the TIA for a statement of them. The Securities of this series are general unsecured obligations of the Partnership limited to an initial aggregate principal amount of $1,000,000,000; </w:t>
      </w:r>
      <w:r>
        <w:rPr>
          <w:rFonts w:ascii="Times New Roman" w:hAnsi="Times New Roman"/>
          <w:i/>
          <w:sz w:val="20"/>
        </w:rPr>
        <w:t>provided, however</w:t>
      </w:r>
      <w:r>
        <w:rPr>
          <w:rFonts w:ascii="Times New Roman" w:hAnsi="Times New Roman"/>
          <w:sz w:val="20"/>
        </w:rPr>
        <w:t xml:space="preserve">, that the authorized aggregate principal amount of such series may be increased from time to time as provided in the Tenth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2056 Notes Par Call Date, the Partnership may redeem the 2056 Notes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(a) the sum of the present values of the remaining scheduled payments of principal and interest thereon discounted to the Redemption Date (assuming the 2056 Notes matured on the 2056 Notes Par Call Date) on a semi-annual basis (assuming a 360-day year consisting of twelve 30-day months) at the Treasury Rate plus 25 basis points less (b) interest accrued to the Redemption Date,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2056 Notes to be redeemed, plus, in either case,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or after the 2056 Notes Par Call Date, the Partnership may redeem the 2056 Notes, in whole or in part, at any time and from time to time, at a Redemption Price equal to 100% of the principal amount of the 2056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The actual Redemption Price, calculated as provided above, shall be calculated and certified to the Trustee by the Partnership. The Partnership’s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i/>
          <w:sz w:val="20"/>
        </w:rPr>
        <w:t>6.</w:t>
      </w:r>
      <w:r>
        <w:rPr>
          <w:rFonts w:ascii="Times New Roman" w:hAnsi="Times New Roman"/>
          <w:sz w:val="20"/>
        </w:rPr>
        <w:t xml:space="preserve"> </w:t>
      </w:r>
      <w:r>
        <w:rPr>
          <w:rFonts w:ascii="Times New Roman" w:hAnsi="Times New Roman"/>
          <w:i/>
          <w:sz w:val="20"/>
        </w:rPr>
        <w:t>No Sinking Fund; 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is not required to make any mandatory redemption, mandatory repurchase or sinking fund payments with respect to the Securities or to repurchase the Securities at the option of Holders. </w:t>
      </w:r>
    </w:p>
    <w:p>
      <w:pPr>
        <w:pStyle w:val="TextBody"/>
        <w:bidi w:val="0"/>
        <w:spacing w:before="240" w:after="0"/>
        <w:jc w:val="left"/>
        <w:rPr>
          <w:rFonts w:ascii="Times New Roman" w:hAnsi="Times New Roman"/>
          <w:sz w:val="20"/>
        </w:rPr>
      </w:pPr>
      <w:r>
        <w:rPr>
          <w:rFonts w:ascii="Times New Roman" w:hAnsi="Times New Roman"/>
          <w:i/>
          <w:sz w:val="20"/>
        </w:rPr>
        <w:t>7.</w:t>
      </w:r>
      <w:r>
        <w:rPr>
          <w:rFonts w:ascii="Times New Roman" w:hAnsi="Times New Roman"/>
          <w:sz w:val="20"/>
        </w:rPr>
        <w:t xml:space="preserve"> </w:t>
      </w:r>
      <w:r>
        <w:rPr>
          <w:rFonts w:ascii="Times New Roman" w:hAnsi="Times New Roman"/>
          <w:i/>
          <w:sz w:val="20"/>
        </w:rPr>
        <w:t>Denominations; Transfer;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to be issued in registered form, without coupons, in denominations of $2,000 and integral multiples of $1,000 in excess thereof. A Holder may register the transfer of, or exchange, Securities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Person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may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Amendment; Supplement;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may be amended or supplemented, and any existing Event of Default or compliance with any provision may be waived, with the consent of the Holders of a majority in principal amount of the then outstanding notes of the affected series. Without consent of any Holder of a Security, the parties thereto may amend or supplement the Indenture to, among other things, cure any ambiguity or omission, to correct any defect or inconsistency, or to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regardless of whether any notation thereof is made upon this Security or such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Defaults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of bankruptcy or insolvency are Events of Default that will result in the principal amount of the Securities, together with premium, if any, and accrued and unpaid interest thereon, becoming due and payable immediately upon the occurrence of such Events of Default. If any other Event of Default with respect to the Securities occurs and is continuing, then in every such case the Trustee or the Holders of not less than 25% in aggregate principal amount of the Securities then outstanding may declare the principal amount of all the Securities, together with premium, if any, and accrued and unpaid interest thereon, to be due and payable immediately in the manner and with the effect provided in the Indenture. Notwithstanding the preceding sentence, however, if at any time after such a declaration of acceleration has been made, the Holders of a majority in principal amount of the outstanding Securities, by written notice to the Trustee, may rescind such declaration and annul its consequences if the rescission would not conflict with any judgment or decree of a court of competent jurisdiction and if all existing Events of Default with respect to the Securities, other than the nonpayment of the principal, premium, if any, or interest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or security satisfactory to it before it enforces the Indenture or the Securities. Subject to certain limitations, Holders of a majority in aggregate principal amount of the Securities then outstanding may direct the Trustee in its exercise of any trust or power.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Trustee Dealings with Partnership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make loans to, accept deposits from, and perform services for the Partnership or its Affiliates, and may otherwise deal with the Partnership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signs the certificate of authentication hereon.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Abbreviations and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Partnership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Absolute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the Indenture shall alter or impair the obligation of the Partnership, which is absolute and unconditional, to pay the principal of, premium, if any, and interest on this Security in the manner, at the respective times, at the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limited partner or member, as such, of the Partnership or the General Partner shall have any personal liability in respect of the obligations of the Partnership under the Securities or the Indenture by reason of his, her or its status. Each Holder, by accepting the Securities, waives and releases all such liability. The waiver and release are part of the consideration for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set forth in the Tenth Supplemental Indenture one or more Subsidiaries of the Partnership may be required to Guarantee the Securities as set forth in Article X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 by accepting this Security, acknowledges and affirms that (i) it has purchased the Security in reliance upon the separateness of each of the General Partner and the Partnership from each other and from any other Person, and (ii) the General Partner has assets and liabilities that are separate from those of each other and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abbreviations, when used in the inscription on the face of this instrument, shall be construed as though they were written out in full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8"/>
        <w:gridCol w:w="121"/>
        <w:gridCol w:w="5076"/>
      </w:tblGrid>
      <w:tr>
        <w:trPr/>
        <w:tc>
          <w:tcPr>
            <w:tcW w:w="50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76" w:type="dxa"/>
            <w:tcBorders/>
            <w:vAlign w:val="center"/>
          </w:tcPr>
          <w:p>
            <w:pPr>
              <w:pStyle w:val="TableContents"/>
              <w:bidi w:val="0"/>
              <w:spacing w:before="0" w:after="283"/>
              <w:jc w:val="left"/>
              <w:rPr>
                <w:sz w:val="4"/>
                <w:szCs w:val="4"/>
              </w:rPr>
            </w:pPr>
            <w:r>
              <w:rPr>
                <w:sz w:val="4"/>
                <w:szCs w:val="4"/>
              </w:rPr>
            </w:r>
          </w:p>
        </w:tc>
      </w:tr>
      <w:tr>
        <w:trPr/>
        <w:tc>
          <w:tcPr>
            <w:tcW w:w="5008" w:type="dxa"/>
            <w:tcBorders/>
          </w:tcPr>
          <w:p>
            <w:pPr>
              <w:pStyle w:val="TableContents"/>
              <w:bidi w:val="0"/>
              <w:spacing w:before="0" w:after="283"/>
              <w:jc w:val="left"/>
              <w:rPr/>
            </w:pPr>
            <w:r>
              <w:rPr/>
              <w:t>TEN COM - as tenants in common</w:t>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UNIF GIFT MIN ACT -</w:t>
            </w:r>
          </w:p>
        </w:tc>
      </w:tr>
      <w:tr>
        <w:trPr/>
        <w:tc>
          <w:tcPr>
            <w:tcW w:w="50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        </w:t>
            </w:r>
            <w:r>
              <w:rPr/>
              <w:t>(Cust.)</w:t>
            </w:r>
          </w:p>
        </w:tc>
      </w:tr>
      <w:tr>
        <w:trPr/>
        <w:tc>
          <w:tcPr>
            <w:tcW w:w="5008" w:type="dxa"/>
            <w:tcBorders/>
          </w:tcPr>
          <w:p>
            <w:pPr>
              <w:pStyle w:val="TableContents"/>
              <w:bidi w:val="0"/>
              <w:spacing w:before="0" w:after="283"/>
              <w:jc w:val="left"/>
              <w:rPr/>
            </w:pPr>
            <w:r>
              <w:rPr/>
              <w:t>TEN ENT - as tenants by entireties</w:t>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Custodian for:</w:t>
            </w:r>
          </w:p>
        </w:tc>
      </w:tr>
      <w:tr>
        <w:trPr/>
        <w:tc>
          <w:tcPr>
            <w:tcW w:w="50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        </w:t>
            </w:r>
            <w:r>
              <w:rPr/>
              <w:t>(Minor)</w:t>
            </w:r>
          </w:p>
        </w:tc>
      </w:tr>
      <w:tr>
        <w:trPr/>
        <w:tc>
          <w:tcPr>
            <w:tcW w:w="5008" w:type="dxa"/>
            <w:tcBorders/>
          </w:tcPr>
          <w:p>
            <w:pPr>
              <w:pStyle w:val="TableContents"/>
              <w:bidi w:val="0"/>
              <w:spacing w:before="0" w:after="283"/>
              <w:jc w:val="left"/>
              <w:rPr/>
            </w:pPr>
            <w:r>
              <w:rPr/>
              <w:t>JT TEN - as joint tenants with right of survivorship and not as tenants in common</w:t>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Under Uniform Gifts to Minors Act of</w:t>
            </w:r>
          </w:p>
        </w:tc>
      </w:tr>
      <w:tr>
        <w:trPr/>
        <w:tc>
          <w:tcPr>
            <w:tcW w:w="500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76" w:type="dxa"/>
            <w:tcBorders/>
          </w:tcPr>
          <w:p>
            <w:pPr>
              <w:pStyle w:val="TableContents"/>
              <w:bidi w:val="0"/>
              <w:spacing w:before="0" w:after="283"/>
              <w:jc w:val="left"/>
              <w:rPr/>
            </w:pPr>
            <w:r>
              <w:rPr/>
              <w:t>        </w:t>
            </w:r>
            <w:r>
              <w:rPr/>
              <w:t>(State)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hereby sell(s), assign(s) and transfer(s) unto </w:t>
      </w:r>
    </w:p>
    <w:p>
      <w:pPr>
        <w:pStyle w:val="TextBody"/>
        <w:bidi w:val="0"/>
        <w:spacing w:before="240" w:after="0"/>
        <w:jc w:val="left"/>
        <w:rPr>
          <w:rFonts w:ascii="Times New Roman" w:hAnsi="Times New Roman"/>
          <w:sz w:val="20"/>
        </w:rPr>
      </w:pPr>
      <w:r>
        <w:rPr>
          <w:rFonts w:ascii="Times New Roman" w:hAnsi="Times New Roman"/>
          <w:sz w:val="20"/>
        </w:rPr>
        <w:t xml:space="preserve">PLEASE INSERT SOCIAL SECURITY OR OTHER </w:t>
      </w:r>
    </w:p>
    <w:p>
      <w:pPr>
        <w:pStyle w:val="TextBody"/>
        <w:bidi w:val="0"/>
        <w:spacing w:before="240" w:after="0"/>
        <w:jc w:val="left"/>
        <w:rPr>
          <w:rFonts w:ascii="Times New Roman" w:hAnsi="Times New Roman"/>
          <w:sz w:val="20"/>
        </w:rPr>
      </w:pPr>
      <w:r>
        <w:rPr>
          <w:rFonts w:ascii="Times New Roman" w:hAnsi="Times New Roman"/>
          <w:sz w:val="20"/>
        </w:rPr>
        <w:t xml:space="preserve">IDENTIFYING NUMBER OF ASSIGNEE </w:t>
      </w:r>
    </w:p>
    <w:p>
      <w:pPr>
        <w:pStyle w:val="TextBody"/>
        <w:bidi w:val="0"/>
        <w:spacing w:before="240" w:after="0"/>
        <w:jc w:val="left"/>
        <w:rPr>
          <w:rFonts w:ascii="Times New Roman" w:hAnsi="Times New Roman"/>
          <w:sz w:val="20"/>
        </w:rPr>
      </w:pPr>
      <w:r>
        <w:rPr>
          <w:rFonts w:ascii="Times New Roman" w:hAnsi="Times New Roman"/>
          <w:sz w:val="20"/>
        </w:rPr>
        <w:t xml:space="preserve">Please print or type name and address including postal zip code of assignee: </w:t>
      </w:r>
    </w:p>
    <w:p>
      <w:pPr>
        <w:pStyle w:val="TextBody"/>
        <w:bidi w:val="0"/>
        <w:spacing w:before="240" w:after="0"/>
        <w:jc w:val="left"/>
        <w:rPr>
          <w:rFonts w:ascii="Times New Roman" w:hAnsi="Times New Roman"/>
          <w:sz w:val="20"/>
        </w:rPr>
      </w:pPr>
      <w:r>
        <w:rPr>
          <w:rFonts w:ascii="Times New Roman" w:hAnsi="Times New Roman"/>
          <w:sz w:val="20"/>
        </w:rPr>
        <w:t xml:space="preserve">the within Security and all rights thereunder, hereby irrevocably constituting and appointing to transfer said Security on the books of the Partnership,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   Registered Holder  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INCREASES OR DECREASES </w:t>
      </w:r>
    </w:p>
    <w:p>
      <w:pPr>
        <w:pStyle w:val="TextBody"/>
        <w:bidi w:val="0"/>
        <w:spacing w:before="0" w:after="0"/>
        <w:jc w:val="center"/>
        <w:rPr>
          <w:rFonts w:ascii="Times New Roman" w:hAnsi="Times New Roman"/>
          <w:b/>
          <w:sz w:val="20"/>
        </w:rPr>
      </w:pPr>
      <w:r>
        <w:rPr>
          <w:rFonts w:ascii="Times New Roman" w:hAnsi="Times New Roman"/>
          <w:b/>
          <w:sz w:val="20"/>
        </w:rPr>
        <w:t xml:space="preserve">IN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increases or decreases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8"/>
        <w:gridCol w:w="106"/>
        <w:gridCol w:w="1910"/>
        <w:gridCol w:w="106"/>
        <w:gridCol w:w="2001"/>
        <w:gridCol w:w="212"/>
        <w:gridCol w:w="1648"/>
        <w:gridCol w:w="120"/>
        <w:gridCol w:w="1674"/>
      </w:tblGrid>
      <w:tr>
        <w:trPr/>
        <w:tc>
          <w:tcPr>
            <w:tcW w:w="242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r>
      <w:tr>
        <w:trPr/>
        <w:tc>
          <w:tcPr>
            <w:tcW w:w="24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06"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0"/>
              <w:jc w:val="center"/>
              <w:rPr>
                <w:rFonts w:ascii="Times New Roman" w:hAnsi="Times New Roman"/>
                <w:b/>
                <w:sz w:val="16"/>
              </w:rPr>
            </w:pPr>
            <w:r>
              <w:rPr>
                <w:rFonts w:ascii="Times New Roman" w:hAnsi="Times New Roman"/>
                <w:b/>
                <w:sz w:val="16"/>
              </w:rPr>
              <w:t>of this 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106"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0"/>
              <w:jc w:val="center"/>
              <w:rPr>
                <w:rFonts w:ascii="Times New Roman" w:hAnsi="Times New Roman"/>
                <w:b/>
                <w:sz w:val="16"/>
              </w:rPr>
            </w:pPr>
            <w:r>
              <w:rPr>
                <w:rFonts w:ascii="Times New Roman" w:hAnsi="Times New Roman"/>
                <w:b/>
                <w:sz w:val="16"/>
              </w:rPr>
              <w:t>of this Global</w:t>
            </w:r>
          </w:p>
          <w:p>
            <w:pPr>
              <w:pStyle w:val="TableContents"/>
              <w:bidi w:val="0"/>
              <w:spacing w:before="0" w:after="20"/>
              <w:jc w:val="center"/>
              <w:rPr>
                <w:rFonts w:ascii="Times New Roman" w:hAnsi="Times New Roman"/>
                <w:b/>
                <w:sz w:val="16"/>
              </w:rPr>
            </w:pPr>
            <w:r>
              <w:rPr>
                <w:rFonts w:ascii="Times New Roman" w:hAnsi="Times New Roman"/>
                <w:b/>
                <w:sz w:val="16"/>
              </w:rPr>
              <w:t>Security</w:t>
            </w:r>
          </w:p>
        </w:tc>
        <w:tc>
          <w:tcPr>
            <w:tcW w:w="212"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Security</w:t>
            </w:r>
          </w:p>
          <w:p>
            <w:pPr>
              <w:pStyle w:val="TableContents"/>
              <w:bidi w:val="0"/>
              <w:spacing w:before="0" w:after="0"/>
              <w:jc w:val="center"/>
              <w:rPr>
                <w:rFonts w:ascii="Times New Roman" w:hAnsi="Times New Roman"/>
                <w:b/>
                <w:sz w:val="16"/>
              </w:rPr>
            </w:pPr>
            <w:r>
              <w:rPr>
                <w:rFonts w:ascii="Times New Roman" w:hAnsi="Times New Roman"/>
                <w:b/>
                <w:sz w:val="16"/>
              </w:rPr>
              <w:t>Following Such</w:t>
            </w:r>
          </w:p>
          <w:p>
            <w:pPr>
              <w:pStyle w:val="TableContents"/>
              <w:bidi w:val="0"/>
              <w:spacing w:before="0" w:after="20"/>
              <w:jc w:val="center"/>
              <w:rPr>
                <w:rFonts w:ascii="Times New Roman" w:hAnsi="Times New Roman"/>
                <w:b/>
                <w:sz w:val="16"/>
              </w:rPr>
            </w:pPr>
            <w:r>
              <w:rPr>
                <w:rFonts w:ascii="Times New Roman" w:hAnsi="Times New Roman"/>
                <w:b/>
                <w:sz w:val="16"/>
              </w:rPr>
              <w:t>Decrease (or Increase)</w:t>
            </w:r>
          </w:p>
        </w:tc>
        <w:tc>
          <w:tcPr>
            <w:tcW w:w="120" w:type="dxa"/>
            <w:tcBorders/>
            <w:vAlign w:val="bottom"/>
          </w:tcPr>
          <w:p>
            <w:pPr>
              <w:pStyle w:val="TableContents"/>
              <w:bidi w:val="0"/>
              <w:spacing w:before="0" w:after="283"/>
              <w:jc w:val="left"/>
              <w:rPr/>
            </w:pPr>
            <w:r>
              <w:rPr/>
              <w:t>  </w:t>
            </w:r>
          </w:p>
        </w:tc>
        <w:tc>
          <w:tcPr>
            <w:tcW w:w="167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Officer of</w:t>
            </w:r>
          </w:p>
          <w:p>
            <w:pPr>
              <w:pStyle w:val="TableContents"/>
              <w:bidi w:val="0"/>
              <w:spacing w:before="0" w:after="20"/>
              <w:jc w:val="center"/>
              <w:rPr>
                <w:rFonts w:ascii="Times New Roman" w:hAnsi="Times New Roman"/>
                <w:b/>
                <w:sz w:val="16"/>
              </w:rPr>
            </w:pPr>
            <w:r>
              <w:rPr>
                <w:rFonts w:ascii="Times New Roman" w:hAnsi="Times New Roman"/>
                <w:b/>
                <w:sz w:val="16"/>
              </w:rPr>
              <w:t>Trustee or Depositary</w:t>
            </w:r>
          </w:p>
        </w:tc>
      </w:tr>
    </w:tbl>
    <w:p>
      <w:pPr>
        <w:pStyle w:val="TextBody"/>
        <w:bidi w:val="0"/>
        <w:spacing w:before="360" w:after="0"/>
        <w:jc w:val="left"/>
        <w:rPr>
          <w:rFonts w:ascii="Times New Roman" w:hAnsi="Times New Roman"/>
          <w:sz w:val="20"/>
        </w:rPr>
      </w:pPr>
      <w:r>
        <w:rPr>
          <w:rFonts w:ascii="Times New Roman" w:hAnsi="Times New Roman"/>
          <w:sz w:val="20"/>
        </w:rPr>
        <w:t xml:space="preserve">* To be included in a Book-Entry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u w:val="single"/>
        </w:rPr>
        <w:t>[</w:t>
      </w:r>
      <w:r>
        <w:rPr>
          <w:rFonts w:ascii="Times New Roman" w:hAnsi="Times New Roman"/>
          <w:b/>
          <w:sz w:val="20"/>
        </w:rPr>
        <w:t>Form of Supplemental Indenture to be Entered into by Subsidiary Guarantors</w:t>
      </w:r>
      <w:r>
        <w:rPr>
          <w:rFonts w:ascii="Times New Roman" w:hAnsi="Times New Roman"/>
          <w:b/>
          <w:sz w:val="20"/>
          <w:u w:val="single"/>
        </w:rPr>
        <w:t>]</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u w:val="single"/>
        </w:rPr>
        <w:t>[________]* Supplemental Indenture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SUPPLEMENTAL INDENTURE (this “</w:t>
      </w:r>
      <w:r>
        <w:rPr>
          <w:rFonts w:ascii="Times New Roman" w:hAnsi="Times New Roman"/>
          <w:sz w:val="20"/>
          <w:u w:val="single"/>
        </w:rPr>
        <w:t>Supplemental Indenture</w:t>
      </w:r>
      <w:r>
        <w:rPr>
          <w:rFonts w:ascii="Times New Roman" w:hAnsi="Times New Roman"/>
          <w:sz w:val="20"/>
        </w:rPr>
        <w:t>”), dated as of _______________, 20__, among (i) Energy Transfer LP, a Delaware limited partnership (the “</w:t>
      </w:r>
      <w:r>
        <w:rPr>
          <w:rFonts w:ascii="Times New Roman" w:hAnsi="Times New Roman"/>
          <w:sz w:val="20"/>
          <w:u w:val="single"/>
        </w:rPr>
        <w:t>Partnership</w:t>
      </w:r>
      <w:r>
        <w:rPr>
          <w:rFonts w:ascii="Times New Roman" w:hAnsi="Times New Roman"/>
          <w:sz w:val="20"/>
        </w:rPr>
        <w:t>”), (ii) [the Subsidiary Guarantor[s] (as defined in the Indenture referred to herein and referred to herein as the “</w:t>
      </w:r>
      <w:r>
        <w:rPr>
          <w:rFonts w:ascii="Times New Roman" w:hAnsi="Times New Roman"/>
          <w:sz w:val="20"/>
          <w:u w:val="single"/>
        </w:rPr>
        <w:t>Existing Subsidiary Guarantors</w:t>
      </w:r>
      <w:r>
        <w:rPr>
          <w:rFonts w:ascii="Times New Roman" w:hAnsi="Times New Roman"/>
          <w:sz w:val="20"/>
        </w:rPr>
        <w:t>”), (iii)] _______________, a _______________ and a subsidiary of the Partnership [and _______________, a _______________ and a subsidiary of the Partnership] (the “</w:t>
      </w:r>
      <w:r>
        <w:rPr>
          <w:rFonts w:ascii="Times New Roman" w:hAnsi="Times New Roman"/>
          <w:sz w:val="20"/>
          <w:u w:val="single"/>
        </w:rPr>
        <w:t>New Subsidiary Guarantor[s]</w:t>
      </w:r>
      <w:r>
        <w:rPr>
          <w:rFonts w:ascii="Times New Roman" w:hAnsi="Times New Roman"/>
          <w:sz w:val="20"/>
        </w:rPr>
        <w:t>”), and ([iii / iv]) U.S. Bank Trust Company, National Association, as trustee under the Indenture referred to herein (the “</w:t>
      </w:r>
      <w:r>
        <w:rPr>
          <w:rFonts w:ascii="Times New Roman" w:hAnsi="Times New Roman"/>
          <w:sz w:val="20"/>
          <w:u w:val="single"/>
        </w:rPr>
        <w:t>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Partnership has heretofore executed and delivered to the Trustee an indenture dated as of December 14, 2022, as amended and supplemented by the Tenth Supplemental Indenture thereto dated as of January 27, 2026 (such indenture, as so amended and supplemented being referred to herein as the “</w:t>
      </w:r>
      <w:r>
        <w:rPr>
          <w:rFonts w:ascii="Times New Roman" w:hAnsi="Times New Roman"/>
          <w:sz w:val="20"/>
          <w:u w:val="single"/>
        </w:rPr>
        <w:t>Indenture</w:t>
      </w:r>
      <w:r>
        <w:rPr>
          <w:rFonts w:ascii="Times New Roman" w:hAnsi="Times New Roman"/>
          <w:sz w:val="20"/>
        </w:rPr>
        <w:t>”), providing for the issuance by the Partnership of 4.550% Senior Notes due 2031, 5.350% Senior Notes due 2036 and 6.300% Senior Notes due 2056 (collectively,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New Subsidiary Guarantor[s] is required pursuant to the Indenture to provide a Guarantee of the Notes and thus become a Subsidiary Guarantor;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Indenture, the Trustee is authorized to execute and deliver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New Subsidiary Guarantor[s], the Partnership[, the Existing Subsidiary Guarantor[s]] and the Trustee agree as follows for the equal and ratable benefit of the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Capitalized Terms</w:t>
      </w:r>
      <w:r>
        <w:rPr>
          <w:rFonts w:ascii="Times New Roman" w:hAnsi="Times New Roman"/>
          <w:sz w:val="20"/>
        </w:rPr>
        <w:t xml:space="preserve">. Capitalized terms used herein without definition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[Each of] [T / t]he New Subsidiary Guarantor[s] hereby provides a full and unconditional Guarantee on the terms and subject to the conditions set forth in the Indenture, including without limitation Article X thereof.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No Recourse Against Others</w:t>
      </w:r>
      <w:r>
        <w:rPr>
          <w:rFonts w:ascii="Times New Roman" w:hAnsi="Times New Roman"/>
          <w:sz w:val="20"/>
        </w:rPr>
        <w:t xml:space="preserve">. Pursuant to Section 1.05 of the Indenture, no director, officer, employee, incorporator or stockholder of the New Subsidiary Guarantor[s] shall have any liability for any obligations of the Partnership under the Notes, the Indenture, this Supplemental Indenture or the Guarantee by the New Subsidiary Guarantor[s], or for any claim based on, in respect of, or by reason of such obligations. This waiver and release are part of the consideration for the Guarantee by the New Subsidiary Guarantor.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sz w:val="13"/>
              </w:rPr>
              <w:t>*</w:t>
            </w: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number of this supplemental indenture (i.e. “Third, Fourth, Fifth, etc.”)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Ratification</w:t>
      </w:r>
      <w:r>
        <w:rPr>
          <w:rFonts w:ascii="Times New Roman" w:hAnsi="Times New Roman"/>
          <w:sz w:val="20"/>
        </w:rPr>
        <w:t xml:space="preserve">. The Indenture, as supplemented by this Supplemental Indenture, is in all respects ratified and confirmed, and the Tenth Supplemental Indenture shall be deemed part of the Base Indenture in the manner and to the extent herein and therein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Trustee Not Responsible for Recitals</w:t>
      </w:r>
      <w:r>
        <w:rPr>
          <w:rFonts w:ascii="Times New Roman" w:hAnsi="Times New Roman"/>
          <w:sz w:val="20"/>
        </w:rPr>
        <w:t xml:space="preserve">. The recitals contained herein and in the Notes, except with respect to the Trustee’s certificates of authentication, shall be taken as the statements of the Partnership, and the Trustee assumes no responsibility for the correctness of the same. The Trustee makes no representations as to the validity or sufficiency of the Tenth Supplemental Indenture or of the Notes.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Headings, etc</w:t>
      </w:r>
      <w:r>
        <w:rPr>
          <w:rFonts w:ascii="Times New Roman" w:hAnsi="Times New Roman"/>
          <w:sz w:val="20"/>
        </w:rPr>
        <w:t xml:space="preserve">. The headings of Sections of this Supplemental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 Originals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GOVERNING LAW</w:t>
      </w:r>
      <w:r>
        <w:rPr>
          <w:rFonts w:ascii="Times New Roman" w:hAnsi="Times New Roman"/>
          <w:sz w:val="20"/>
        </w:rPr>
        <w:t xml:space="preserve">. This Supplemental Indenture and the Guarantee created pursuant to this Supplemental Indenture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9"/>
        <w:gridCol w:w="64"/>
        <w:gridCol w:w="3519"/>
      </w:tblGrid>
      <w:tr>
        <w:trPr/>
        <w:tc>
          <w:tcPr>
            <w:tcW w:w="499"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New Subsidiary Guarantor:</w:t>
            </w:r>
          </w:p>
          <w:p>
            <w:pPr>
              <w:pStyle w:val="TableContents"/>
              <w:bidi w:val="0"/>
              <w:spacing w:before="0" w:after="20"/>
              <w:jc w:val="left"/>
              <w:rPr/>
            </w:pPr>
            <w:r>
              <w:rPr/>
              <w:t> </w:t>
            </w:r>
          </w:p>
        </w:tc>
      </w:tr>
      <w:tr>
        <w:trPr/>
        <w:tc>
          <w:tcPr>
            <w:tcW w:w="4082" w:type="dxa"/>
            <w:gridSpan w:val="3"/>
            <w:tcBorders/>
            <w:vAlign w:val="bottom"/>
          </w:tcPr>
          <w:p>
            <w:pPr>
              <w:pStyle w:val="TableContents"/>
              <w:bidi w:val="0"/>
              <w:spacing w:before="0" w:after="283"/>
              <w:jc w:val="left"/>
              <w:rPr/>
            </w:pPr>
            <w:r>
              <w:rPr/>
              <w:t>[NEW SUBSIDIARY GUARANTOR]</w:t>
            </w:r>
          </w:p>
        </w:tc>
      </w:tr>
      <w:tr>
        <w:trPr>
          <w:trHeight w:val="240" w:hRule="atLeast"/>
        </w:trPr>
        <w:tc>
          <w:tcPr>
            <w:tcW w:w="499"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vAlign w:val="bottom"/>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pBdr>
                <w:bottom w:val="single" w:sz="2" w:space="1" w:color="000000"/>
              </w:pBdr>
              <w:bidi w:val="0"/>
              <w:spacing w:before="0" w:after="20"/>
              <w:jc w:val="left"/>
              <w:rPr/>
            </w:pPr>
            <w:r>
              <w:rPr/>
              <w:t> </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Name:</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u w:val="single"/>
              </w:rPr>
            </w:pPr>
            <w:r>
              <w:rPr>
                <w:u w:val="single"/>
              </w:rPr>
              <w:t>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ENERGY TRANSFER LP</w:t>
            </w:r>
          </w:p>
        </w:tc>
      </w:tr>
      <w:tr>
        <w:trPr/>
        <w:tc>
          <w:tcPr>
            <w:tcW w:w="499" w:type="dxa"/>
            <w:tcBorders/>
            <w:vAlign w:val="bottom"/>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LE GP, LLC, its general partner</w:t>
            </w:r>
          </w:p>
        </w:tc>
      </w:tr>
      <w:tr>
        <w:trPr>
          <w:trHeight w:val="240" w:hRule="atLeast"/>
        </w:trPr>
        <w:tc>
          <w:tcPr>
            <w:tcW w:w="499"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vAlign w:val="bottom"/>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pBdr>
                <w:bottom w:val="single" w:sz="2" w:space="1" w:color="000000"/>
              </w:pBdr>
              <w:bidi w:val="0"/>
              <w:spacing w:before="0" w:after="20"/>
              <w:jc w:val="left"/>
              <w:rPr/>
            </w:pPr>
            <w:r>
              <w:rPr/>
              <w:t> </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Name:</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Subsidiary Guarantors</w:t>
            </w:r>
            <w:r>
              <w:rPr>
                <w:rFonts w:ascii="Times New Roman" w:hAnsi="Times New Roman"/>
                <w:sz w:val="20"/>
              </w:rPr>
              <w:t>:]</w:t>
            </w:r>
          </w:p>
          <w:p>
            <w:pPr>
              <w:pStyle w:val="TableContents"/>
              <w:bidi w:val="0"/>
              <w:spacing w:before="0" w:after="20"/>
              <w:jc w:val="left"/>
              <w:rPr/>
            </w:pPr>
            <w:r>
              <w:rPr/>
              <w:t> </w:t>
            </w:r>
          </w:p>
        </w:tc>
      </w:tr>
      <w:tr>
        <w:trPr/>
        <w:tc>
          <w:tcPr>
            <w:tcW w:w="4082" w:type="dxa"/>
            <w:gridSpan w:val="3"/>
            <w:tcBorders/>
            <w:vAlign w:val="bottom"/>
          </w:tcPr>
          <w:p>
            <w:pPr>
              <w:pStyle w:val="TableContents"/>
              <w:bidi w:val="0"/>
              <w:spacing w:before="0" w:after="283"/>
              <w:jc w:val="left"/>
              <w:rPr/>
            </w:pPr>
            <w:r>
              <w:rPr/>
              <w:t>[NAME]</w:t>
            </w:r>
          </w:p>
        </w:tc>
      </w:tr>
      <w:tr>
        <w:trPr>
          <w:trHeight w:val="240" w:hRule="atLeast"/>
        </w:trPr>
        <w:tc>
          <w:tcPr>
            <w:tcW w:w="499"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vAlign w:val="bottom"/>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pBdr>
                <w:bottom w:val="single" w:sz="2" w:space="1" w:color="000000"/>
              </w:pBdr>
              <w:bidi w:val="0"/>
              <w:spacing w:before="0" w:after="20"/>
              <w:jc w:val="left"/>
              <w:rPr/>
            </w:pPr>
            <w:r>
              <w:rPr/>
              <w:t> </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Name:</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Title:]</w:t>
            </w:r>
          </w:p>
        </w:tc>
      </w:tr>
      <w:tr>
        <w:trPr>
          <w:trHeight w:val="240" w:hRule="atLeast"/>
        </w:trPr>
        <w:tc>
          <w:tcPr>
            <w:tcW w:w="499"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Name:</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u w:val="single"/>
              </w:rPr>
            </w:pPr>
            <w:r>
              <w:rPr>
                <w:u w:val="single"/>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U.S. BANK TRUST COMPANY, NATIONAL ASSOCIATION, as Trustee</w:t>
            </w:r>
          </w:p>
        </w:tc>
      </w:tr>
      <w:tr>
        <w:trPr>
          <w:trHeight w:val="240" w:hRule="atLeast"/>
        </w:trPr>
        <w:tc>
          <w:tcPr>
            <w:tcW w:w="499" w:type="dxa"/>
            <w:tcBorders/>
            <w:vAlign w:val="center"/>
          </w:tcPr>
          <w:p>
            <w:pPr>
              <w:pStyle w:val="TableContents"/>
              <w:bidi w:val="0"/>
              <w:spacing w:before="0" w:after="283"/>
              <w:jc w:val="left"/>
              <w:rPr>
                <w:sz w:val="4"/>
                <w:szCs w:val="4"/>
              </w:rPr>
            </w:pPr>
            <w:r>
              <w:rPr>
                <w:sz w:val="4"/>
                <w:szCs w:val="4"/>
              </w:rPr>
            </w:r>
          </w:p>
        </w:tc>
        <w:tc>
          <w:tcPr>
            <w:tcW w:w="358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vAlign w:val="bottom"/>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pBdr>
                <w:bottom w:val="single" w:sz="2" w:space="1" w:color="000000"/>
              </w:pBdr>
              <w:bidi w:val="0"/>
              <w:spacing w:before="0" w:after="20"/>
              <w:jc w:val="left"/>
              <w:rPr/>
            </w:pPr>
            <w:r>
              <w:rPr/>
              <w:t> </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Name:</w:t>
            </w:r>
          </w:p>
        </w:tc>
      </w:tr>
      <w:tr>
        <w:trPr/>
        <w:tc>
          <w:tcPr>
            <w:tcW w:w="49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p>
    <w:p>
      <w:pPr>
        <w:pStyle w:val="TextBody"/>
        <w:bidi w:val="0"/>
        <w:spacing w:before="0" w:after="0"/>
        <w:jc w:val="right"/>
        <w:rPr>
          <w:rFonts w:ascii="Times New Roman" w:hAnsi="Times New Roman"/>
          <w:b/>
          <w:sz w:val="20"/>
        </w:rPr>
      </w:pPr>
      <w:bookmarkStart w:id="4" w:name="d64050dex51.htm"/>
      <w:bookmarkStart w:id="5" w:name="ksd64050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0"/>
        <w:gridCol w:w="85"/>
        <w:gridCol w:w="1627"/>
        <w:gridCol w:w="175"/>
        <w:gridCol w:w="2768"/>
      </w:tblGrid>
      <w:tr>
        <w:trPr/>
        <w:tc>
          <w:tcPr>
            <w:tcW w:w="55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570" w:type="dxa"/>
            <w:gridSpan w:val="3"/>
            <w:tcBorders/>
          </w:tcPr>
          <w:p>
            <w:pPr>
              <w:pStyle w:val="TableContents"/>
              <w:bidi w:val="0"/>
              <w:spacing w:before="0" w:after="283"/>
              <w:jc w:val="left"/>
              <w:rPr/>
            </w:pPr>
            <w:r>
              <w:rPr/>
              <w:t>811 Main Street, Suite 3700</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570" w:type="dxa"/>
            <w:gridSpan w:val="3"/>
            <w:tcBorders/>
          </w:tcPr>
          <w:p>
            <w:pPr>
              <w:pStyle w:val="TableContents"/>
              <w:bidi w:val="0"/>
              <w:spacing w:before="0" w:after="283"/>
              <w:jc w:val="left"/>
              <w:rPr/>
            </w:pPr>
            <w:r>
              <w:rPr/>
              <w:t>Houston, TX 77002</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570" w:type="dxa"/>
            <w:gridSpan w:val="3"/>
            <w:tcBorders/>
          </w:tcPr>
          <w:p>
            <w:pPr>
              <w:pStyle w:val="TableContents"/>
              <w:bidi w:val="0"/>
              <w:spacing w:before="0" w:after="283"/>
              <w:jc w:val="left"/>
              <w:rPr/>
            </w:pPr>
            <w:r>
              <w:rPr/>
              <w:t>Tel: +1.713.546.5400 Fax: +1.713.546.5401</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4570" w:type="dxa"/>
            <w:gridSpan w:val="3"/>
            <w:tcBorders/>
          </w:tcPr>
          <w:p>
            <w:pPr>
              <w:pStyle w:val="TableContents"/>
              <w:bidi w:val="0"/>
              <w:spacing w:before="0" w:after="283"/>
              <w:jc w:val="left"/>
              <w:rPr/>
            </w:pPr>
            <w:r>
              <w:rPr/>
              <w:t>www.lw.com</w:t>
            </w:r>
          </w:p>
        </w:tc>
      </w:tr>
      <w:tr>
        <w:trPr>
          <w:trHeight w:val="120" w:hRule="atLeast"/>
        </w:trPr>
        <w:tc>
          <w:tcPr>
            <w:tcW w:w="5550" w:type="dxa"/>
            <w:tcBorders/>
            <w:vAlign w:val="center"/>
          </w:tcPr>
          <w:p>
            <w:pPr>
              <w:pStyle w:val="TableContents"/>
              <w:bidi w:val="0"/>
              <w:spacing w:before="0" w:after="283"/>
              <w:jc w:val="left"/>
              <w:rPr>
                <w:sz w:val="4"/>
                <w:szCs w:val="4"/>
              </w:rPr>
            </w:pPr>
            <w:r>
              <w:rPr>
                <w:sz w:val="4"/>
                <w:szCs w:val="4"/>
              </w:rPr>
            </w:r>
          </w:p>
        </w:tc>
        <w:tc>
          <w:tcPr>
            <w:tcW w:w="4655" w:type="dxa"/>
            <w:gridSpan w:val="4"/>
            <w:tcBorders/>
            <w:vAlign w:val="center"/>
          </w:tcPr>
          <w:p>
            <w:pPr>
              <w:pStyle w:val="TableContents"/>
              <w:bidi w:val="0"/>
              <w:spacing w:before="0" w:after="283"/>
              <w:jc w:val="left"/>
              <w:rPr>
                <w:sz w:val="4"/>
                <w:szCs w:val="4"/>
              </w:rPr>
            </w:pPr>
            <w:r>
              <w:rPr>
                <w:sz w:val="4"/>
                <w:szCs w:val="4"/>
              </w:rPr>
            </w:r>
          </w:p>
        </w:tc>
      </w:tr>
      <w:tr>
        <w:trPr/>
        <w:tc>
          <w:tcPr>
            <w:tcW w:w="5550" w:type="dxa"/>
            <w:vMerge w:val="restart"/>
            <w:tcBorders/>
          </w:tcPr>
          <w:p>
            <w:pPr>
              <w:pStyle w:val="TableContents"/>
              <w:bidi w:val="0"/>
              <w:spacing w:before="0" w:after="283"/>
              <w:jc w:val="left"/>
              <w:rPr/>
            </w:pPr>
            <w:r>
              <w:rPr/>
              <w:drawing>
                <wp:inline distT="0" distB="0" distL="0" distR="0">
                  <wp:extent cx="23907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390775" cy="228600"/>
                          </a:xfrm>
                          <a:prstGeom prst="rect">
                            <a:avLst/>
                          </a:prstGeom>
                        </pic:spPr>
                      </pic:pic>
                    </a:graphicData>
                  </a:graphic>
                </wp:inline>
              </w:drawing>
            </w:r>
            <w:r>
              <w:rPr/>
              <w:t xml:space="preserve"> </w:t>
            </w:r>
          </w:p>
        </w:tc>
        <w:tc>
          <w:tcPr>
            <w:tcW w:w="85" w:type="dxa"/>
            <w:tcBorders/>
            <w:vAlign w:val="bottom"/>
          </w:tcPr>
          <w:p>
            <w:pPr>
              <w:pStyle w:val="TableContents"/>
              <w:bidi w:val="0"/>
              <w:spacing w:before="0" w:after="283"/>
              <w:jc w:val="left"/>
              <w:rPr/>
            </w:pPr>
            <w:r>
              <w:rPr/>
              <w:t> </w:t>
            </w:r>
          </w:p>
        </w:tc>
        <w:tc>
          <w:tcPr>
            <w:tcW w:w="4570" w:type="dxa"/>
            <w:gridSpan w:val="3"/>
            <w:tcBorders/>
          </w:tcPr>
          <w:p>
            <w:pPr>
              <w:pStyle w:val="TableContents"/>
              <w:bidi w:val="0"/>
              <w:spacing w:before="0" w:after="283"/>
              <w:jc w:val="left"/>
              <w:rPr/>
            </w:pPr>
            <w:r>
              <w:rPr/>
              <w:t>FIRM / AFFILIATE OFFICES</w:t>
            </w:r>
          </w:p>
        </w:tc>
      </w:tr>
      <w:tr>
        <w:trPr/>
        <w:tc>
          <w:tcPr>
            <w:tcW w:w="5550" w:type="dxa"/>
            <w:vMerge w:val="continue"/>
            <w:tcBorders/>
          </w:tcPr>
          <w:p>
            <w:pPr>
              <w:pStyle w:val="Normal"/>
              <w:bidi w:val="0"/>
              <w:jc w:val="left"/>
              <w:rPr/>
            </w:pPr>
            <w:r>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Austin</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Milan</w:t>
            </w:r>
          </w:p>
        </w:tc>
      </w:tr>
      <w:tr>
        <w:trPr/>
        <w:tc>
          <w:tcPr>
            <w:tcW w:w="5550" w:type="dxa"/>
            <w:vMerge w:val="continue"/>
            <w:tcBorders/>
          </w:tcPr>
          <w:p>
            <w:pPr>
              <w:pStyle w:val="Normal"/>
              <w:bidi w:val="0"/>
              <w:jc w:val="left"/>
              <w:rPr/>
            </w:pPr>
            <w:r>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Beijing</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Munich</w:t>
            </w:r>
          </w:p>
        </w:tc>
      </w:tr>
      <w:tr>
        <w:trPr/>
        <w:tc>
          <w:tcPr>
            <w:tcW w:w="5550" w:type="dxa"/>
            <w:vMerge w:val="continue"/>
            <w:tcBorders/>
          </w:tcPr>
          <w:p>
            <w:pPr>
              <w:pStyle w:val="Normal"/>
              <w:bidi w:val="0"/>
              <w:jc w:val="left"/>
              <w:rPr/>
            </w:pPr>
            <w:r>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Boston</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New York</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Brussels</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Orange County</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Chicago</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Paris</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Dubai</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Riyadh</w:t>
            </w:r>
          </w:p>
        </w:tc>
      </w:tr>
      <w:tr>
        <w:trPr/>
        <w:tc>
          <w:tcPr>
            <w:tcW w:w="5550" w:type="dxa"/>
            <w:tcBorders/>
          </w:tcPr>
          <w:p>
            <w:pPr>
              <w:pStyle w:val="TableContents"/>
              <w:bidi w:val="0"/>
              <w:spacing w:before="0" w:after="283"/>
              <w:jc w:val="left"/>
              <w:rPr/>
            </w:pPr>
            <w:r>
              <w:rPr/>
              <w:t>January 27, 2026</w:t>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Düsseldorf</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San Diego</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Frankfurt</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San Francisco</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Hamburg</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Seoul</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Hong Kong</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Silicon Valley</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Houston</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Singapore</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London</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Tel Aviv</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Los Angeles</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Tokyo</w:t>
            </w:r>
          </w:p>
        </w:tc>
      </w:tr>
      <w:tr>
        <w:trPr/>
        <w:tc>
          <w:tcPr>
            <w:tcW w:w="5550"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627" w:type="dxa"/>
            <w:tcBorders/>
          </w:tcPr>
          <w:p>
            <w:pPr>
              <w:pStyle w:val="TableContents"/>
              <w:bidi w:val="0"/>
              <w:spacing w:before="0" w:after="283"/>
              <w:jc w:val="left"/>
              <w:rPr/>
            </w:pPr>
            <w:r>
              <w:rPr/>
              <w:t>Madrid</w:t>
            </w:r>
          </w:p>
        </w:tc>
        <w:tc>
          <w:tcPr>
            <w:tcW w:w="175"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left"/>
              <w:rPr/>
            </w:pPr>
            <w:r>
              <w:rPr/>
              <w:t>Washington, D.C.  </w:t>
            </w:r>
          </w:p>
        </w:tc>
      </w:tr>
    </w:tbl>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No. 333-279982</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Energy Transfer LP, a Delaware limited partnership (the “</w:t>
      </w:r>
      <w:r>
        <w:rPr>
          <w:rFonts w:ascii="Times New Roman" w:hAnsi="Times New Roman"/>
          <w:b/>
          <w:i/>
          <w:sz w:val="20"/>
        </w:rPr>
        <w:t>Partnership</w:t>
      </w:r>
      <w:r>
        <w:rPr>
          <w:rFonts w:ascii="Times New Roman" w:hAnsi="Times New Roman"/>
          <w:sz w:val="20"/>
        </w:rPr>
        <w:t>”), in connection with the issuance by the Partnership of $1,000,000,000 aggregate principal amount of its 4.550% Senior Notes due 2031 (the “</w:t>
      </w:r>
      <w:r>
        <w:rPr>
          <w:rFonts w:ascii="Times New Roman" w:hAnsi="Times New Roman"/>
          <w:b/>
          <w:i/>
          <w:sz w:val="20"/>
        </w:rPr>
        <w:t>2031 Notes</w:t>
      </w:r>
      <w:r>
        <w:rPr>
          <w:rFonts w:ascii="Times New Roman" w:hAnsi="Times New Roman"/>
          <w:sz w:val="20"/>
        </w:rPr>
        <w:t>”), $1,000,000,000 aggregate principal amount of its 5.350% Senior Notes due 2036 (the “</w:t>
      </w:r>
      <w:r>
        <w:rPr>
          <w:rFonts w:ascii="Times New Roman" w:hAnsi="Times New Roman"/>
          <w:b/>
          <w:i/>
          <w:sz w:val="20"/>
        </w:rPr>
        <w:t>2036 Notes</w:t>
      </w:r>
      <w:r>
        <w:rPr>
          <w:rFonts w:ascii="Times New Roman" w:hAnsi="Times New Roman"/>
          <w:sz w:val="20"/>
        </w:rPr>
        <w:t>”) and $1,000,000,000 aggregate principal amount of its 6.300% Senior Notes due 2056 (the “</w:t>
      </w:r>
      <w:r>
        <w:rPr>
          <w:rFonts w:ascii="Times New Roman" w:hAnsi="Times New Roman"/>
          <w:b/>
          <w:i/>
          <w:sz w:val="20"/>
        </w:rPr>
        <w:t>2056 Notes</w:t>
      </w:r>
      <w:r>
        <w:rPr>
          <w:rFonts w:ascii="Times New Roman" w:hAnsi="Times New Roman"/>
          <w:sz w:val="20"/>
        </w:rPr>
        <w:t>” and, together with the 2031 Notes and the 2036 Notes, the “</w:t>
      </w:r>
      <w:r>
        <w:rPr>
          <w:rFonts w:ascii="Times New Roman" w:hAnsi="Times New Roman"/>
          <w:b/>
          <w:i/>
          <w:sz w:val="20"/>
        </w:rPr>
        <w:t>Notes</w:t>
      </w:r>
      <w:r>
        <w:rPr>
          <w:rFonts w:ascii="Times New Roman" w:hAnsi="Times New Roman"/>
          <w:sz w:val="20"/>
        </w:rPr>
        <w:t>”), under the Base Indenture dated as of December 14, 2022 (the “</w:t>
      </w:r>
      <w:r>
        <w:rPr>
          <w:rFonts w:ascii="Times New Roman" w:hAnsi="Times New Roman"/>
          <w:b/>
          <w:i/>
          <w:sz w:val="20"/>
        </w:rPr>
        <w:t>Base Indenture</w:t>
      </w:r>
      <w:r>
        <w:rPr>
          <w:rFonts w:ascii="Times New Roman" w:hAnsi="Times New Roman"/>
          <w:sz w:val="20"/>
        </w:rPr>
        <w:t>”), by and between the Partnership and U.S. Bank Trust Company, National Association (successor to U.S. Bank National Association), as trustee (the “</w:t>
      </w:r>
      <w:r>
        <w:rPr>
          <w:rFonts w:ascii="Times New Roman" w:hAnsi="Times New Roman"/>
          <w:b/>
          <w:i/>
          <w:sz w:val="20"/>
        </w:rPr>
        <w:t>Trustee</w:t>
      </w:r>
      <w:r>
        <w:rPr>
          <w:rFonts w:ascii="Times New Roman" w:hAnsi="Times New Roman"/>
          <w:sz w:val="20"/>
        </w:rPr>
        <w:t>”), as supplemented by the Tenth Supplemental Indenture, dated as of January 27, 2026, setting forth the terms of the Notes (the “</w:t>
      </w:r>
      <w:r>
        <w:rPr>
          <w:rFonts w:ascii="Times New Roman" w:hAnsi="Times New Roman"/>
          <w:b/>
          <w:i/>
          <w:sz w:val="20"/>
        </w:rPr>
        <w:t>Tenth Supplemental Indenture</w:t>
      </w:r>
      <w:r>
        <w:rPr>
          <w:rFonts w:ascii="Times New Roman" w:hAnsi="Times New Roman"/>
          <w:sz w:val="20"/>
        </w:rPr>
        <w:t>” and, the Base Indenture as so supplemented, the “</w:t>
      </w:r>
      <w:r>
        <w:rPr>
          <w:rFonts w:ascii="Times New Roman" w:hAnsi="Times New Roman"/>
          <w:b/>
          <w:i/>
          <w:sz w:val="20"/>
        </w:rPr>
        <w:t>Indenture</w:t>
      </w:r>
      <w:r>
        <w:rPr>
          <w:rFonts w:ascii="Times New Roman" w:hAnsi="Times New Roman"/>
          <w:sz w:val="20"/>
        </w:rPr>
        <w:t>”), and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June 5, 2024 (Registration No. 333-279982)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January 27,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543050" cy="1047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general partner of the Partnership and others as to factual matters without having independently verified such factual matters. We are opining herein as to the internal laws of the State of New York and the Delaware Revised Uniform Limited Partnership Act,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dated January 12, 2026, among the Partnership and BofA Securities, Inc., Deutsche Bank Securities Inc., Mizuho Securities USA LLC, MUFG Securities Americas Inc. and SMBC Nikko Securities America, Inc. as representatives of the several underwriters named therein, the Notes will have been duly authorized by all necessary limited partnership action of the Partnership, and will be legally valid and binding obligations of the Partnership, enforceable against the Partnership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bankruptcy, insolvency, reorganization, preference, fraudulent transfer, moratorium or other similar laws relating to or affecting the rights and remedies of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invalidity under certain circumstances under law or court decisions of provisions providing for the indemnification of or contribution to a party with respect to a liability where such indemnification or contribution is contrary to public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service of process, arbitration, remedies or judicial relief, (c) waivers of rights or defenses contained in Section 4.06 of the Base Indenture and waivers of broadly or vaguely stated rights, (d) any provision requiring the payment of attorneys’ fees, where such payment is contrary to law or public policy, (e) advance waivers of claims, defenses, rights granted by law, or notice, opportunity for hearing, evidentiary requirements, statutes of limitation, trial by jury or at law, or other procedural rights, (f) covenants not to compete, (g) provisions for exclusivity, election or cumulation of rights or remedies, (h) provisions authorizing or validating conclusive or discretionary determinations, (i) grants of setoff rights, (j) provisions to the effect that a guarantor is liable as a primary obligor, and not as a surety and provisions purporting to waive modifications of any guaranteed obligation to the extent such modification constitutes a novation, (k) proxies, powers and trusts, (l) provisions prohibiting, restricting, or requiring consent to assignment or transfer of any right or property, (m) provisions permitting, upon acceleration of any indebtedness (including the Notes), collection of that portion of the stated principal amount thereof which might be determined to constitute unearned interest thereon and (n) the severability, if invalid, of provisions to the foregoing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January 27,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43050" cy="104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With your consent, we have assumed (a) that the Indenture and the Notes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other than the Partnership, (b) that the Documents constitute legally valid and binding obligations of the parties thereto other than the Partnership,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Partnership’s Form 8-K dated January 27, 2026, and to the reference to our firm contained in the Prospectus under the heading “Legal.”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119312522304790/d433404d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20095</Words>
  <Characters>103515</Characters>
  <CharactersWithSpaces>124007</CharactersWithSpaces>
  <Paragraphs>1390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