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10-Q/A</w:t>
      </w:r>
    </w:p>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199390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14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17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1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1957070</wp:posOffset>
            </wp:positionH>
            <wp:positionV relativeFrom="paragraph">
              <wp:posOffset>-10160</wp:posOffset>
            </wp:positionV>
            <wp:extent cx="3346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1-31219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SUNOCO LOGISTICS PARTNERS L.P.</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5300" w:type="dxa"/>
            <w:vAlign w:val="bottom"/>
          </w:tcPr>
          <w:p>
            <w:pPr>
              <w:jc w:val="center"/>
              <w:ind w:right="1680"/>
              <w:spacing w:after="0"/>
              <w:rPr>
                <w:sz w:val="20"/>
                <w:szCs w:val="20"/>
                <w:color w:val="auto"/>
              </w:rPr>
            </w:pPr>
            <w:r>
              <w:rPr>
                <w:rFonts w:ascii="Arial" w:cs="Arial" w:eastAsia="Arial" w:hAnsi="Arial"/>
                <w:sz w:val="18"/>
                <w:szCs w:val="18"/>
                <w:b w:val="1"/>
                <w:bCs w:val="1"/>
                <w:color w:val="auto"/>
                <w:w w:val="88"/>
              </w:rPr>
              <w:t>Delaware</w:t>
            </w:r>
          </w:p>
        </w:tc>
        <w:tc>
          <w:tcPr>
            <w:tcW w:w="2940" w:type="dxa"/>
            <w:vAlign w:val="bottom"/>
          </w:tcPr>
          <w:p>
            <w:pPr>
              <w:jc w:val="center"/>
              <w:ind w:left="1544"/>
              <w:spacing w:after="0"/>
              <w:rPr>
                <w:sz w:val="20"/>
                <w:szCs w:val="20"/>
                <w:color w:val="auto"/>
              </w:rPr>
            </w:pPr>
            <w:r>
              <w:rPr>
                <w:rFonts w:ascii="Arial" w:cs="Arial" w:eastAsia="Arial" w:hAnsi="Arial"/>
                <w:sz w:val="18"/>
                <w:szCs w:val="18"/>
                <w:b w:val="1"/>
                <w:bCs w:val="1"/>
                <w:color w:val="auto"/>
                <w:w w:val="87"/>
              </w:rPr>
              <w:t>23-3096839</w:t>
            </w:r>
          </w:p>
        </w:tc>
      </w:tr>
      <w:tr>
        <w:trPr>
          <w:trHeight w:val="149"/>
        </w:trPr>
        <w:tc>
          <w:tcPr>
            <w:tcW w:w="5300" w:type="dxa"/>
            <w:vAlign w:val="bottom"/>
          </w:tcPr>
          <w:p>
            <w:pPr>
              <w:jc w:val="center"/>
              <w:ind w:right="17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40" w:type="dxa"/>
            <w:vAlign w:val="bottom"/>
          </w:tcPr>
          <w:p>
            <w:pPr>
              <w:jc w:val="center"/>
              <w:ind w:left="15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300" w:type="dxa"/>
            <w:vAlign w:val="bottom"/>
          </w:tcPr>
          <w:p>
            <w:pPr>
              <w:jc w:val="center"/>
              <w:ind w:right="1700"/>
              <w:spacing w:after="0"/>
              <w:rPr>
                <w:sz w:val="20"/>
                <w:szCs w:val="20"/>
                <w:color w:val="auto"/>
              </w:rPr>
            </w:pPr>
            <w:r>
              <w:rPr>
                <w:rFonts w:ascii="Arial" w:cs="Arial" w:eastAsia="Arial" w:hAnsi="Arial"/>
                <w:sz w:val="14"/>
                <w:szCs w:val="14"/>
                <w:b w:val="1"/>
                <w:bCs w:val="1"/>
                <w:color w:val="auto"/>
                <w:w w:val="88"/>
              </w:rPr>
              <w:t>incorporation or organization)</w:t>
            </w:r>
          </w:p>
        </w:tc>
        <w:tc>
          <w:tcPr>
            <w:tcW w:w="2940" w:type="dxa"/>
            <w:vAlign w:val="bottom"/>
          </w:tcPr>
          <w:p>
            <w:pPr>
              <w:jc w:val="center"/>
              <w:ind w:left="156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5300" w:type="dxa"/>
            <w:vAlign w:val="bottom"/>
          </w:tcPr>
          <w:p>
            <w:pPr>
              <w:jc w:val="center"/>
              <w:ind w:right="1680"/>
              <w:spacing w:after="0"/>
              <w:rPr>
                <w:sz w:val="20"/>
                <w:szCs w:val="20"/>
                <w:color w:val="auto"/>
              </w:rPr>
            </w:pPr>
            <w:r>
              <w:rPr>
                <w:rFonts w:ascii="Arial" w:cs="Arial" w:eastAsia="Arial" w:hAnsi="Arial"/>
                <w:sz w:val="18"/>
                <w:szCs w:val="18"/>
                <w:b w:val="1"/>
                <w:bCs w:val="1"/>
                <w:color w:val="auto"/>
                <w:w w:val="91"/>
              </w:rPr>
              <w:t>Mellon Bank Center</w:t>
            </w:r>
          </w:p>
        </w:tc>
        <w:tc>
          <w:tcPr>
            <w:tcW w:w="2940" w:type="dxa"/>
            <w:vAlign w:val="bottom"/>
          </w:tcPr>
          <w:p>
            <w:pPr>
              <w:spacing w:after="0"/>
              <w:rPr>
                <w:sz w:val="24"/>
                <w:szCs w:val="24"/>
                <w:color w:val="auto"/>
              </w:rPr>
            </w:pPr>
          </w:p>
        </w:tc>
      </w:tr>
      <w:tr>
        <w:trPr>
          <w:trHeight w:val="231"/>
        </w:trPr>
        <w:tc>
          <w:tcPr>
            <w:tcW w:w="5300" w:type="dxa"/>
            <w:vAlign w:val="bottom"/>
          </w:tcPr>
          <w:p>
            <w:pPr>
              <w:jc w:val="center"/>
              <w:ind w:right="1680"/>
              <w:spacing w:after="0"/>
              <w:rPr>
                <w:sz w:val="20"/>
                <w:szCs w:val="20"/>
                <w:color w:val="auto"/>
              </w:rPr>
            </w:pPr>
            <w:r>
              <w:rPr>
                <w:rFonts w:ascii="Arial" w:cs="Arial" w:eastAsia="Arial" w:hAnsi="Arial"/>
                <w:sz w:val="18"/>
                <w:szCs w:val="18"/>
                <w:b w:val="1"/>
                <w:bCs w:val="1"/>
                <w:color w:val="auto"/>
                <w:w w:val="90"/>
              </w:rPr>
              <w:t>1735 Market Street, Suite LL, Philadelphia, PA</w:t>
            </w:r>
          </w:p>
        </w:tc>
        <w:tc>
          <w:tcPr>
            <w:tcW w:w="2940" w:type="dxa"/>
            <w:vAlign w:val="bottom"/>
          </w:tcPr>
          <w:p>
            <w:pPr>
              <w:jc w:val="center"/>
              <w:ind w:left="1544"/>
              <w:spacing w:after="0"/>
              <w:rPr>
                <w:sz w:val="20"/>
                <w:szCs w:val="20"/>
                <w:color w:val="auto"/>
              </w:rPr>
            </w:pPr>
            <w:r>
              <w:rPr>
                <w:rFonts w:ascii="Arial" w:cs="Arial" w:eastAsia="Arial" w:hAnsi="Arial"/>
                <w:sz w:val="18"/>
                <w:szCs w:val="18"/>
                <w:b w:val="1"/>
                <w:bCs w:val="1"/>
                <w:color w:val="auto"/>
                <w:w w:val="87"/>
              </w:rPr>
              <w:t>19103-7583</w:t>
            </w:r>
          </w:p>
        </w:tc>
      </w:tr>
      <w:tr>
        <w:trPr>
          <w:trHeight w:val="174"/>
        </w:trPr>
        <w:tc>
          <w:tcPr>
            <w:tcW w:w="5300" w:type="dxa"/>
            <w:vAlign w:val="bottom"/>
          </w:tcPr>
          <w:p>
            <w:pPr>
              <w:jc w:val="center"/>
              <w:ind w:right="17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40" w:type="dxa"/>
            <w:vAlign w:val="bottom"/>
          </w:tcPr>
          <w:p>
            <w:pPr>
              <w:jc w:val="center"/>
              <w:ind w:left="1564"/>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8240" w:type="dxa"/>
            <w:vAlign w:val="bottom"/>
            <w:gridSpan w:val="2"/>
          </w:tcPr>
          <w:p>
            <w:pPr>
              <w:jc w:val="center"/>
              <w:ind w:left="920"/>
              <w:spacing w:after="0"/>
              <w:rPr>
                <w:sz w:val="20"/>
                <w:szCs w:val="20"/>
                <w:color w:val="auto"/>
              </w:rPr>
            </w:pPr>
            <w:r>
              <w:rPr>
                <w:rFonts w:ascii="Arial" w:cs="Arial" w:eastAsia="Arial" w:hAnsi="Arial"/>
                <w:sz w:val="18"/>
                <w:szCs w:val="18"/>
                <w:b w:val="1"/>
                <w:bCs w:val="1"/>
                <w:color w:val="auto"/>
                <w:w w:val="87"/>
              </w:rPr>
              <w:t>Registrant’s telephone number, including area code: (866) 248-4344</w:t>
            </w:r>
          </w:p>
        </w:tc>
      </w:tr>
      <w:tr>
        <w:trPr>
          <w:trHeight w:val="378"/>
        </w:trPr>
        <w:tc>
          <w:tcPr>
            <w:tcW w:w="8240" w:type="dxa"/>
            <w:vAlign w:val="bottom"/>
            <w:gridSpan w:val="2"/>
          </w:tcPr>
          <w:p>
            <w:pPr>
              <w:jc w:val="center"/>
              <w:ind w:left="900"/>
              <w:spacing w:after="0"/>
              <w:rPr>
                <w:sz w:val="20"/>
                <w:szCs w:val="20"/>
                <w:color w:val="auto"/>
              </w:rPr>
            </w:pPr>
            <w:r>
              <w:rPr>
                <w:rFonts w:ascii="Arial" w:cs="Arial" w:eastAsia="Arial" w:hAnsi="Arial"/>
                <w:sz w:val="18"/>
                <w:szCs w:val="18"/>
                <w:b w:val="1"/>
                <w:bCs w:val="1"/>
                <w:color w:val="auto"/>
                <w:w w:val="87"/>
              </w:rPr>
              <w:t>Former name, former address and formal fiscal year, if changed since last report: Not Applicable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198755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20"/>
          </w:cols>
          <w:pgMar w:left="240" w:top="355" w:right="439" w:bottom="1440" w:gutter="0" w:footer="0" w:header="0"/>
        </w:sectPr>
      </w:pPr>
    </w:p>
    <w:p>
      <w:pPr>
        <w:spacing w:after="0" w:line="132" w:lineRule="exact"/>
        <w:rPr>
          <w:sz w:val="24"/>
          <w:szCs w:val="24"/>
          <w:color w:val="auto"/>
        </w:rPr>
      </w:pPr>
    </w:p>
    <w:p>
      <w:pPr>
        <w:ind w:left="30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4620" w:space="100"/>
            <w:col w:w="160" w:space="160"/>
            <w:col w:w="1180" w:space="80"/>
            <w:col w:w="160" w:space="180"/>
            <w:col w:w="1480" w:space="100"/>
            <w:col w:w="3000"/>
          </w:cols>
          <w:pgMar w:left="240" w:top="355" w:right="4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7980" w:space="180"/>
            <w:col w:w="240" w:space="100"/>
            <w:col w:w="160" w:space="180"/>
            <w:col w:w="2380"/>
          </w:cols>
          <w:pgMar w:left="240" w:top="355" w:right="439" w:bottom="1440" w:gutter="0" w:footer="0" w:header="0"/>
          <w:type w:val="continuous"/>
        </w:sectPr>
      </w:pPr>
    </w:p>
    <w:p>
      <w:pPr>
        <w:jc w:val="center"/>
        <w:ind w:right="-219"/>
        <w:spacing w:after="0"/>
        <w:rPr>
          <w:sz w:val="20"/>
          <w:szCs w:val="20"/>
          <w:color w:val="auto"/>
        </w:rPr>
      </w:pPr>
      <w:r>
        <w:rPr>
          <w:rFonts w:ascii="Arial" w:cs="Arial" w:eastAsia="Arial" w:hAnsi="Arial"/>
          <w:sz w:val="15"/>
          <w:szCs w:val="15"/>
          <w:b w:val="1"/>
          <w:bCs w:val="1"/>
          <w:color w:val="auto"/>
        </w:rPr>
        <w:t>At October 31, 2007, the number of the registrant’s Common Units outstanding was:</w:t>
      </w:r>
    </w:p>
    <w:p>
      <w:pPr>
        <w:spacing w:after="0" w:line="5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28,586,280.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355" w:right="4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EXPLANATORY NOTE</w:t>
      </w:r>
    </w:p>
    <w:p>
      <w:pPr>
        <w:spacing w:after="0" w:line="171" w:lineRule="exact"/>
        <w:rPr>
          <w:sz w:val="20"/>
          <w:szCs w:val="20"/>
          <w:color w:val="auto"/>
        </w:rPr>
      </w:pPr>
    </w:p>
    <w:p>
      <w:pPr>
        <w:ind w:right="160"/>
        <w:spacing w:after="0" w:line="378" w:lineRule="auto"/>
        <w:rPr>
          <w:sz w:val="20"/>
          <w:szCs w:val="20"/>
          <w:color w:val="auto"/>
        </w:rPr>
      </w:pPr>
      <w:r>
        <w:rPr>
          <w:rFonts w:ascii="Arial" w:cs="Arial" w:eastAsia="Arial" w:hAnsi="Arial"/>
          <w:sz w:val="15"/>
          <w:szCs w:val="15"/>
          <w:b w:val="1"/>
          <w:bCs w:val="1"/>
          <w:color w:val="auto"/>
        </w:rPr>
        <w:t>This Form 10-Q/A of Sunoco Logistics Partners L.P. (the “Partnership”) constitutes Amendment No. 1 to the Partnership’s Quarterly Report on Form 10-Q for the quarter ended September 30, 2007, originally filed with the Securities and Exchange Commission on October 31, 2007 (the “Report”).</w:t>
      </w:r>
    </w:p>
    <w:p>
      <w:pPr>
        <w:spacing w:after="0" w:line="5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The purpose of this amendment is to revise Part II, Item 6 (“Other Information - Exhibits”) of the Report by adding, as Exhibit 10.1 thereto, that certain Five-Year $400 Million Credit Agreement, entered into as of August 8, 2007, among Sunoco Logistics Partners Operations L.P., a wholly owned subsidiary of the Partnership, as Borrower; the Partnership, as Guarantor; each lender from time to time party thereto; and Citibank, N.A., as Administrative Agent, Swing Line Lender and L/C Issuer (the “Credit Agreement”). The Credit Agreement was described in the Report, and also in an earlier Current Report on Form 8-K, filed by the Partnership on August 13, 2007.</w:t>
      </w:r>
    </w:p>
    <w:p>
      <w:pPr>
        <w:spacing w:after="0" w:line="108"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This amendment continues to speak as of the date of the Report. The disclosures contained in this amendment have not been updated to reflect any events that may have occurred subsequent to the filing of the Report. The filing of this amendment is not a representation that any statements contained in the Report or this amendment are true or complete as of any date subsequent to the date of the Report. This amendment does not alter any part of the content of the Report, except for the changes and additional information provided herein. Except as described above, this amendment does not affect the information originally set forth in the Report, the remaining portions of which have not been amended.</w:t>
      </w:r>
    </w:p>
    <w:p>
      <w:pPr>
        <w:sectPr>
          <w:pgSz w:w="11900" w:h="16838" w:orient="portrait"/>
          <w:cols w:equalWidth="0" w:num="1">
            <w:col w:w="11420"/>
          </w:cols>
          <w:pgMar w:left="240" w:top="27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60" w:type="dxa"/>
            <w:vAlign w:val="bottom"/>
          </w:tcPr>
          <w:p>
            <w:pPr>
              <w:jc w:val="center"/>
              <w:ind w:right="912"/>
              <w:spacing w:after="0"/>
              <w:rPr>
                <w:sz w:val="20"/>
                <w:szCs w:val="20"/>
                <w:color w:val="auto"/>
              </w:rPr>
            </w:pPr>
            <w:r>
              <w:rPr>
                <w:rFonts w:ascii="Arial" w:cs="Arial" w:eastAsia="Arial" w:hAnsi="Arial"/>
                <w:sz w:val="18"/>
                <w:szCs w:val="18"/>
                <w:b w:val="1"/>
                <w:bCs w:val="1"/>
                <w:color w:val="auto"/>
                <w:w w:val="99"/>
              </w:rPr>
              <w:t>PART II</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360" w:type="dxa"/>
            <w:vAlign w:val="bottom"/>
          </w:tcPr>
          <w:p>
            <w:pPr>
              <w:jc w:val="center"/>
              <w:ind w:right="932"/>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78"/>
        </w:trPr>
        <w:tc>
          <w:tcPr>
            <w:tcW w:w="10400" w:type="dxa"/>
            <w:vAlign w:val="bottom"/>
            <w:gridSpan w:val="6"/>
          </w:tcPr>
          <w:p>
            <w:pPr>
              <w:spacing w:after="0"/>
              <w:rPr>
                <w:sz w:val="20"/>
                <w:szCs w:val="20"/>
                <w:color w:val="auto"/>
              </w:rPr>
            </w:pPr>
            <w:r>
              <w:rPr>
                <w:rFonts w:ascii="Arial" w:cs="Arial" w:eastAsia="Arial" w:hAnsi="Arial"/>
                <w:sz w:val="18"/>
                <w:szCs w:val="18"/>
                <w:b w:val="1"/>
                <w:bCs w:val="1"/>
                <w:color w:val="auto"/>
              </w:rPr>
              <w:t>The Report is hereby amended to add the Credit Agreement as Exhibit 10.1.</w:t>
            </w:r>
          </w:p>
        </w:tc>
        <w:tc>
          <w:tcPr>
            <w:tcW w:w="0" w:type="dxa"/>
            <w:vAlign w:val="bottom"/>
          </w:tcPr>
          <w:p>
            <w:pPr>
              <w:spacing w:after="0"/>
              <w:rPr>
                <w:sz w:val="1"/>
                <w:szCs w:val="1"/>
                <w:color w:val="auto"/>
              </w:rPr>
            </w:pPr>
          </w:p>
        </w:tc>
      </w:tr>
      <w:tr>
        <w:trPr>
          <w:trHeight w:val="461"/>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20" w:type="dxa"/>
            <w:vAlign w:val="bottom"/>
            <w:gridSpan w:val="3"/>
          </w:tcPr>
          <w:p>
            <w:pPr>
              <w:ind w:left="260"/>
              <w:spacing w:after="0"/>
              <w:rPr>
                <w:sz w:val="20"/>
                <w:szCs w:val="20"/>
                <w:color w:val="auto"/>
              </w:rPr>
            </w:pPr>
            <w:r>
              <w:rPr>
                <w:rFonts w:ascii="Arial" w:cs="Arial" w:eastAsia="Arial" w:hAnsi="Arial"/>
                <w:sz w:val="18"/>
                <w:szCs w:val="18"/>
                <w:b w:val="1"/>
                <w:bCs w:val="1"/>
                <w:color w:val="auto"/>
                <w:w w:val="91"/>
              </w:rPr>
              <w:t>Exhibits</w:t>
            </w:r>
          </w:p>
        </w:tc>
        <w:tc>
          <w:tcPr>
            <w:tcW w:w="34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7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line="20" w:lineRule="exact"/>
              <w:rPr>
                <w:sz w:val="1"/>
                <w:szCs w:val="1"/>
                <w:color w:val="auto"/>
              </w:rPr>
            </w:pPr>
          </w:p>
        </w:tc>
      </w:tr>
      <w:tr>
        <w:trPr>
          <w:trHeight w:val="385"/>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4"/>
              </w:rPr>
              <w:t>Exhibit No.</w:t>
            </w:r>
          </w:p>
        </w:tc>
        <w:tc>
          <w:tcPr>
            <w:tcW w:w="87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10.1</w:t>
            </w:r>
          </w:p>
        </w:tc>
        <w:tc>
          <w:tcPr>
            <w:tcW w:w="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88"/>
              </w:rPr>
              <w:t>Five-Year $400 Million Credit Agreement, entered into as of August 8, 2007, among Sunoco Logistics Partners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70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Operations L.P., a wholly owned subsidiary of the Partnership, as Borrower; the Partnership, as Guarantor;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70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each lender from time to time party thereto, and Citibank, N.A., as Administrative Agent, Swing Line Lender</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700" w:type="dxa"/>
            <w:vAlign w:val="bottom"/>
            <w:gridSpan w:val="2"/>
          </w:tcPr>
          <w:p>
            <w:pPr>
              <w:ind w:left="340"/>
              <w:spacing w:after="0"/>
              <w:rPr>
                <w:sz w:val="20"/>
                <w:szCs w:val="20"/>
                <w:color w:val="auto"/>
              </w:rPr>
            </w:pPr>
            <w:r>
              <w:rPr>
                <w:rFonts w:ascii="Arial" w:cs="Arial" w:eastAsia="Arial" w:hAnsi="Arial"/>
                <w:sz w:val="18"/>
                <w:szCs w:val="18"/>
                <w:b w:val="1"/>
                <w:bCs w:val="1"/>
                <w:color w:val="auto"/>
              </w:rPr>
              <w:t>and L/C Issuer.</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b w:val="1"/>
                <w:bCs w:val="1"/>
                <w:color w:val="auto"/>
              </w:rPr>
              <w:t>31.1</w:t>
            </w:r>
          </w:p>
        </w:tc>
        <w:tc>
          <w:tcPr>
            <w:tcW w:w="40" w:type="dxa"/>
            <w:vAlign w:val="bottom"/>
          </w:tcPr>
          <w:p>
            <w:pPr>
              <w:spacing w:after="0"/>
              <w:rPr>
                <w:sz w:val="24"/>
                <w:szCs w:val="24"/>
                <w:color w:val="auto"/>
              </w:rPr>
            </w:pPr>
          </w:p>
        </w:tc>
        <w:tc>
          <w:tcPr>
            <w:tcW w:w="8700" w:type="dxa"/>
            <w:vAlign w:val="bottom"/>
            <w:gridSpan w:val="2"/>
          </w:tcPr>
          <w:p>
            <w:pPr>
              <w:ind w:left="340"/>
              <w:spacing w:after="0"/>
              <w:rPr>
                <w:sz w:val="20"/>
                <w:szCs w:val="20"/>
                <w:color w:val="auto"/>
              </w:rPr>
            </w:pPr>
            <w:r>
              <w:rPr>
                <w:rFonts w:ascii="Arial" w:cs="Arial" w:eastAsia="Arial" w:hAnsi="Arial"/>
                <w:sz w:val="18"/>
                <w:szCs w:val="18"/>
                <w:b w:val="1"/>
                <w:bCs w:val="1"/>
                <w:color w:val="auto"/>
              </w:rPr>
              <w:t>Chief Executive Officer Certification of Periodic Report Pursuant to Exchange Act Rule 13a-14(a)</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b w:val="1"/>
                <w:bCs w:val="1"/>
                <w:color w:val="auto"/>
              </w:rPr>
              <w:t>31.2</w:t>
            </w:r>
          </w:p>
        </w:tc>
        <w:tc>
          <w:tcPr>
            <w:tcW w:w="40" w:type="dxa"/>
            <w:vAlign w:val="bottom"/>
          </w:tcPr>
          <w:p>
            <w:pPr>
              <w:spacing w:after="0"/>
              <w:rPr>
                <w:sz w:val="24"/>
                <w:szCs w:val="24"/>
                <w:color w:val="auto"/>
              </w:rPr>
            </w:pPr>
          </w:p>
        </w:tc>
        <w:tc>
          <w:tcPr>
            <w:tcW w:w="8700" w:type="dxa"/>
            <w:vAlign w:val="bottom"/>
            <w:gridSpan w:val="2"/>
          </w:tcPr>
          <w:p>
            <w:pPr>
              <w:ind w:left="340"/>
              <w:spacing w:after="0"/>
              <w:rPr>
                <w:sz w:val="20"/>
                <w:szCs w:val="20"/>
                <w:color w:val="auto"/>
              </w:rPr>
            </w:pPr>
            <w:r>
              <w:rPr>
                <w:rFonts w:ascii="Arial" w:cs="Arial" w:eastAsia="Arial" w:hAnsi="Arial"/>
                <w:sz w:val="18"/>
                <w:szCs w:val="18"/>
                <w:b w:val="1"/>
                <w:bCs w:val="1"/>
                <w:color w:val="auto"/>
              </w:rPr>
              <w:t>Chief Financial Officer Certification of Periodic Report Pursuant to Exchange Act Rule 13a-14(a)</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00"/>
          </w:cols>
          <w:pgMar w:left="240" w:top="274" w:right="1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 w:name="page4"/>
    <w:bookmarkEnd w:id="3"/>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SUNOCO LOGISTICS PARTNERS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 Sunoco Partners LLC,</w:t>
      </w:r>
    </w:p>
    <w:p>
      <w:pPr>
        <w:spacing w:after="0" w:line="21"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its General Partner</w:t>
      </w:r>
    </w:p>
    <w:p>
      <w:pPr>
        <w:spacing w:after="0" w:line="213"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/s/ NEAL 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Neal E. Murphy</w:t>
      </w:r>
    </w:p>
    <w:p>
      <w:pPr>
        <w:spacing w:after="0" w:line="21"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Vice President and</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Chief Financial Officer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November 19, 2007</w:t>
      </w:r>
    </w:p>
    <w:p>
      <w:pPr>
        <w:sectPr>
          <w:pgSz w:w="11900" w:h="16838" w:orient="portrait"/>
          <w:cols w:equalWidth="0" w:num="1">
            <w:col w:w="10680"/>
          </w:cols>
          <w:pgMar w:left="240" w:top="274" w:right="9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CREDIT AGREEMENT</w:t>
      </w:r>
    </w:p>
    <w:p>
      <w:pPr>
        <w:spacing w:after="0" w:line="17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6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SUNOCO LOGISTICS PARTNERS OPERATIONS L.P.</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as the Borrower,</w:t>
      </w:r>
    </w:p>
    <w:p>
      <w:pPr>
        <w:spacing w:after="0" w:line="15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SUNOCO LOGISTICS PARTNERS L.P.</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as the Guarantor</w:t>
      </w:r>
    </w:p>
    <w:p>
      <w:pPr>
        <w:spacing w:after="0" w:line="15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CITIBANK, N.A.,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Swing Line Lender, 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 Lender and L/C Issuer,</w:t>
      </w:r>
    </w:p>
    <w:p>
      <w:pPr>
        <w:spacing w:after="0" w:line="15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BARCLAYS BANK PLC,</w:t>
      </w:r>
    </w:p>
    <w:p>
      <w:pPr>
        <w:spacing w:after="0" w:line="2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as a Lender and L/C Issuer,</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Other Lenders Party Hereto</w:t>
      </w:r>
    </w:p>
    <w:p>
      <w:pPr>
        <w:spacing w:after="0" w:line="16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$400,000,000</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SENIOR CREDIT FACILITY</w:t>
      </w:r>
    </w:p>
    <w:p>
      <w:pPr>
        <w:spacing w:after="0" w:line="17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BARCLAYS BANK PLC,</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Syndication Agent,</w:t>
      </w:r>
    </w:p>
    <w:p>
      <w:pPr>
        <w:spacing w:after="0" w:line="15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KEYBANK NATIONAL ASSOCIATION,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SUNTRUST BANK,</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WACHOVIA BANK, NATIONAL ASSOCIATION,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Co-Documentation Agents,</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CITIGROUP GLOBAL MARKETS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BARCLAYS CAPITAL,</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Joint Lead Arrangers and Bookrunners</w:t>
      </w:r>
    </w:p>
    <w:p>
      <w:pPr>
        <w:spacing w:after="0" w:line="15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Dated as of August 8, 2007</w:t>
      </w:r>
    </w:p>
    <w:p>
      <w:pPr>
        <w:sectPr>
          <w:pgSz w:w="11900" w:h="16838" w:orient="portrait"/>
          <w:cols w:equalWidth="0" w:num="1">
            <w:col w:w="10220"/>
          </w:cols>
          <w:pgMar w:left="14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19"/>
                <w:szCs w:val="19"/>
                <w:color w:val="auto"/>
              </w:rPr>
            </w:pPr>
          </w:p>
        </w:tc>
        <w:tc>
          <w:tcPr>
            <w:tcW w:w="10080" w:type="dxa"/>
            <w:vAlign w:val="bottom"/>
          </w:tcPr>
          <w:p>
            <w:pPr>
              <w:ind w:left="376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DEFINITIONS AND ACCOUNTING TERMS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5"/>
        </w:trPr>
        <w:tc>
          <w:tcPr>
            <w:tcW w:w="11140" w:type="dxa"/>
            <w:vAlign w:val="bottom"/>
            <w:gridSpan w:val="2"/>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1.01</w:t>
            </w:r>
          </w:p>
        </w:tc>
        <w:tc>
          <w:tcPr>
            <w:tcW w:w="10080" w:type="dxa"/>
            <w:vAlign w:val="bottom"/>
          </w:tcPr>
          <w:p>
            <w:pPr>
              <w:ind w:left="24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1.02</w:t>
            </w:r>
          </w:p>
        </w:tc>
        <w:tc>
          <w:tcPr>
            <w:tcW w:w="10080" w:type="dxa"/>
            <w:vAlign w:val="bottom"/>
          </w:tcPr>
          <w:p>
            <w:pPr>
              <w:ind w:left="240"/>
              <w:spacing w:after="0"/>
              <w:rPr>
                <w:sz w:val="20"/>
                <w:szCs w:val="20"/>
                <w:color w:val="auto"/>
              </w:rPr>
            </w:pPr>
            <w:r>
              <w:rPr>
                <w:rFonts w:ascii="Arial" w:cs="Arial" w:eastAsia="Arial" w:hAnsi="Arial"/>
                <w:sz w:val="18"/>
                <w:szCs w:val="18"/>
                <w:color w:val="auto"/>
              </w:rPr>
              <w:t>Other Interpretive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1.03</w:t>
            </w:r>
          </w:p>
        </w:tc>
        <w:tc>
          <w:tcPr>
            <w:tcW w:w="10080" w:type="dxa"/>
            <w:vAlign w:val="bottom"/>
          </w:tcPr>
          <w:p>
            <w:pPr>
              <w:ind w:left="240"/>
              <w:spacing w:after="0"/>
              <w:rPr>
                <w:sz w:val="20"/>
                <w:szCs w:val="20"/>
                <w:color w:val="auto"/>
              </w:rPr>
            </w:pPr>
            <w:r>
              <w:rPr>
                <w:rFonts w:ascii="Arial" w:cs="Arial" w:eastAsia="Arial" w:hAnsi="Arial"/>
                <w:sz w:val="18"/>
                <w:szCs w:val="18"/>
                <w:color w:val="auto"/>
              </w:rPr>
              <w:t>Accounting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1.04</w:t>
            </w:r>
          </w:p>
        </w:tc>
        <w:tc>
          <w:tcPr>
            <w:tcW w:w="10080" w:type="dxa"/>
            <w:vAlign w:val="bottom"/>
          </w:tcPr>
          <w:p>
            <w:pPr>
              <w:ind w:left="240"/>
              <w:spacing w:after="0"/>
              <w:rPr>
                <w:sz w:val="20"/>
                <w:szCs w:val="20"/>
                <w:color w:val="auto"/>
              </w:rPr>
            </w:pPr>
            <w:r>
              <w:rPr>
                <w:rFonts w:ascii="Arial" w:cs="Arial" w:eastAsia="Arial" w:hAnsi="Arial"/>
                <w:sz w:val="18"/>
                <w:szCs w:val="18"/>
                <w:color w:val="auto"/>
              </w:rPr>
              <w:t>Rounding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8"/>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1.05</w:t>
            </w:r>
          </w:p>
        </w:tc>
        <w:tc>
          <w:tcPr>
            <w:tcW w:w="10080" w:type="dxa"/>
            <w:vAlign w:val="bottom"/>
          </w:tcPr>
          <w:p>
            <w:pPr>
              <w:ind w:left="240"/>
              <w:spacing w:after="0"/>
              <w:rPr>
                <w:sz w:val="20"/>
                <w:szCs w:val="20"/>
                <w:color w:val="auto"/>
              </w:rPr>
            </w:pPr>
            <w:r>
              <w:rPr>
                <w:rFonts w:ascii="Arial" w:cs="Arial" w:eastAsia="Arial" w:hAnsi="Arial"/>
                <w:sz w:val="18"/>
                <w:szCs w:val="18"/>
                <w:color w:val="auto"/>
              </w:rPr>
              <w:t>References to Agreements and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2"/>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THE COMMITMENTS AND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2.01</w:t>
            </w:r>
          </w:p>
        </w:tc>
        <w:tc>
          <w:tcPr>
            <w:tcW w:w="10080" w:type="dxa"/>
            <w:vAlign w:val="bottom"/>
          </w:tcPr>
          <w:p>
            <w:pPr>
              <w:ind w:left="240"/>
              <w:spacing w:after="0"/>
              <w:rPr>
                <w:sz w:val="20"/>
                <w:szCs w:val="20"/>
                <w:color w:val="auto"/>
              </w:rPr>
            </w:pPr>
            <w:r>
              <w:rPr>
                <w:rFonts w:ascii="Arial" w:cs="Arial" w:eastAsia="Arial" w:hAnsi="Arial"/>
                <w:sz w:val="18"/>
                <w:szCs w:val="18"/>
                <w:color w:val="auto"/>
              </w:rPr>
              <w:t>Committed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2.02</w:t>
            </w:r>
          </w:p>
        </w:tc>
        <w:tc>
          <w:tcPr>
            <w:tcW w:w="10080" w:type="dxa"/>
            <w:vAlign w:val="bottom"/>
          </w:tcPr>
          <w:p>
            <w:pPr>
              <w:ind w:left="240"/>
              <w:spacing w:after="0"/>
              <w:rPr>
                <w:sz w:val="20"/>
                <w:szCs w:val="20"/>
                <w:color w:val="auto"/>
              </w:rPr>
            </w:pPr>
            <w:r>
              <w:rPr>
                <w:rFonts w:ascii="Arial" w:cs="Arial" w:eastAsia="Arial" w:hAnsi="Arial"/>
                <w:sz w:val="18"/>
                <w:szCs w:val="18"/>
                <w:color w:val="auto"/>
              </w:rPr>
              <w:t>Letters of Credit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2.03</w:t>
            </w:r>
          </w:p>
        </w:tc>
        <w:tc>
          <w:tcPr>
            <w:tcW w:w="10080" w:type="dxa"/>
            <w:vAlign w:val="bottom"/>
          </w:tcPr>
          <w:p>
            <w:pPr>
              <w:ind w:left="240"/>
              <w:spacing w:after="0"/>
              <w:rPr>
                <w:sz w:val="20"/>
                <w:szCs w:val="20"/>
                <w:color w:val="auto"/>
              </w:rPr>
            </w:pPr>
            <w:r>
              <w:rPr>
                <w:rFonts w:ascii="Arial" w:cs="Arial" w:eastAsia="Arial" w:hAnsi="Arial"/>
                <w:sz w:val="18"/>
                <w:szCs w:val="18"/>
                <w:color w:val="auto"/>
              </w:rPr>
              <w:t>Borrowings, Conversions and Continuations of Committed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2.04</w:t>
            </w:r>
          </w:p>
        </w:tc>
        <w:tc>
          <w:tcPr>
            <w:tcW w:w="10080" w:type="dxa"/>
            <w:vAlign w:val="bottom"/>
          </w:tcPr>
          <w:p>
            <w:pPr>
              <w:ind w:left="240"/>
              <w:spacing w:after="0"/>
              <w:rPr>
                <w:sz w:val="20"/>
                <w:szCs w:val="20"/>
                <w:color w:val="auto"/>
              </w:rPr>
            </w:pPr>
            <w:r>
              <w:rPr>
                <w:rFonts w:ascii="Arial" w:cs="Arial" w:eastAsia="Arial" w:hAnsi="Arial"/>
                <w:sz w:val="18"/>
                <w:szCs w:val="18"/>
                <w:color w:val="auto"/>
              </w:rPr>
              <w:t>Prepayments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2.05</w:t>
            </w:r>
          </w:p>
        </w:tc>
        <w:tc>
          <w:tcPr>
            <w:tcW w:w="10080" w:type="dxa"/>
            <w:vAlign w:val="bottom"/>
          </w:tcPr>
          <w:p>
            <w:pPr>
              <w:ind w:left="240"/>
              <w:spacing w:after="0"/>
              <w:rPr>
                <w:sz w:val="20"/>
                <w:szCs w:val="20"/>
                <w:color w:val="auto"/>
              </w:rPr>
            </w:pPr>
            <w:r>
              <w:rPr>
                <w:rFonts w:ascii="Arial" w:cs="Arial" w:eastAsia="Arial" w:hAnsi="Arial"/>
                <w:sz w:val="18"/>
                <w:szCs w:val="18"/>
                <w:color w:val="auto"/>
              </w:rPr>
              <w:t>Reduction or Termination of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2.06</w:t>
            </w:r>
          </w:p>
        </w:tc>
        <w:tc>
          <w:tcPr>
            <w:tcW w:w="10080" w:type="dxa"/>
            <w:vAlign w:val="bottom"/>
          </w:tcPr>
          <w:p>
            <w:pPr>
              <w:ind w:left="240"/>
              <w:spacing w:after="0"/>
              <w:rPr>
                <w:sz w:val="20"/>
                <w:szCs w:val="20"/>
                <w:color w:val="auto"/>
              </w:rPr>
            </w:pPr>
            <w:r>
              <w:rPr>
                <w:rFonts w:ascii="Arial" w:cs="Arial" w:eastAsia="Arial" w:hAnsi="Arial"/>
                <w:sz w:val="18"/>
                <w:szCs w:val="18"/>
                <w:color w:val="auto"/>
              </w:rPr>
              <w:t>Repayment of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2.07</w:t>
            </w:r>
          </w:p>
        </w:tc>
        <w:tc>
          <w:tcPr>
            <w:tcW w:w="10080" w:type="dxa"/>
            <w:vAlign w:val="bottom"/>
          </w:tcPr>
          <w:p>
            <w:pPr>
              <w:ind w:left="240"/>
              <w:spacing w:after="0"/>
              <w:rPr>
                <w:sz w:val="20"/>
                <w:szCs w:val="20"/>
                <w:color w:val="auto"/>
              </w:rPr>
            </w:pPr>
            <w:r>
              <w:rPr>
                <w:rFonts w:ascii="Arial" w:cs="Arial" w:eastAsia="Arial" w:hAnsi="Arial"/>
                <w:sz w:val="18"/>
                <w:szCs w:val="18"/>
                <w:color w:val="auto"/>
              </w:rPr>
              <w:t>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2.08</w:t>
            </w:r>
          </w:p>
        </w:tc>
        <w:tc>
          <w:tcPr>
            <w:tcW w:w="10080" w:type="dxa"/>
            <w:vAlign w:val="bottom"/>
          </w:tcPr>
          <w:p>
            <w:pPr>
              <w:ind w:left="240"/>
              <w:spacing w:after="0"/>
              <w:rPr>
                <w:sz w:val="20"/>
                <w:szCs w:val="20"/>
                <w:color w:val="auto"/>
              </w:rPr>
            </w:pPr>
            <w:r>
              <w:rPr>
                <w:rFonts w:ascii="Arial" w:cs="Arial" w:eastAsia="Arial" w:hAnsi="Arial"/>
                <w:sz w:val="18"/>
                <w:szCs w:val="18"/>
                <w:color w:val="auto"/>
              </w:rPr>
              <w:t>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2.09</w:t>
            </w:r>
          </w:p>
        </w:tc>
        <w:tc>
          <w:tcPr>
            <w:tcW w:w="10080" w:type="dxa"/>
            <w:vAlign w:val="bottom"/>
          </w:tcPr>
          <w:p>
            <w:pPr>
              <w:ind w:left="240"/>
              <w:spacing w:after="0"/>
              <w:rPr>
                <w:sz w:val="20"/>
                <w:szCs w:val="20"/>
                <w:color w:val="auto"/>
              </w:rPr>
            </w:pPr>
            <w:r>
              <w:rPr>
                <w:rFonts w:ascii="Arial" w:cs="Arial" w:eastAsia="Arial" w:hAnsi="Arial"/>
                <w:sz w:val="18"/>
                <w:szCs w:val="18"/>
                <w:color w:val="auto"/>
              </w:rPr>
              <w:t>Computation of Interest and 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2.10</w:t>
            </w:r>
          </w:p>
        </w:tc>
        <w:tc>
          <w:tcPr>
            <w:tcW w:w="10080" w:type="dxa"/>
            <w:vAlign w:val="bottom"/>
          </w:tcPr>
          <w:p>
            <w:pPr>
              <w:ind w:left="240"/>
              <w:spacing w:after="0"/>
              <w:rPr>
                <w:sz w:val="20"/>
                <w:szCs w:val="20"/>
                <w:color w:val="auto"/>
              </w:rPr>
            </w:pPr>
            <w:r>
              <w:rPr>
                <w:rFonts w:ascii="Arial" w:cs="Arial" w:eastAsia="Arial" w:hAnsi="Arial"/>
                <w:sz w:val="18"/>
                <w:szCs w:val="18"/>
                <w:color w:val="auto"/>
              </w:rPr>
              <w:t>Evidence of Debt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2.11</w:t>
            </w:r>
          </w:p>
        </w:tc>
        <w:tc>
          <w:tcPr>
            <w:tcW w:w="10080" w:type="dxa"/>
            <w:vAlign w:val="bottom"/>
          </w:tcPr>
          <w:p>
            <w:pPr>
              <w:ind w:left="240"/>
              <w:spacing w:after="0"/>
              <w:rPr>
                <w:sz w:val="20"/>
                <w:szCs w:val="20"/>
                <w:color w:val="auto"/>
              </w:rPr>
            </w:pPr>
            <w:r>
              <w:rPr>
                <w:rFonts w:ascii="Arial" w:cs="Arial" w:eastAsia="Arial" w:hAnsi="Arial"/>
                <w:sz w:val="18"/>
                <w:szCs w:val="18"/>
                <w:color w:val="auto"/>
              </w:rPr>
              <w:t>Payments Generally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2.12</w:t>
            </w:r>
          </w:p>
        </w:tc>
        <w:tc>
          <w:tcPr>
            <w:tcW w:w="10080" w:type="dxa"/>
            <w:vAlign w:val="bottom"/>
          </w:tcPr>
          <w:p>
            <w:pPr>
              <w:ind w:left="240"/>
              <w:spacing w:after="0"/>
              <w:rPr>
                <w:sz w:val="20"/>
                <w:szCs w:val="20"/>
                <w:color w:val="auto"/>
              </w:rPr>
            </w:pPr>
            <w:r>
              <w:rPr>
                <w:rFonts w:ascii="Arial" w:cs="Arial" w:eastAsia="Arial" w:hAnsi="Arial"/>
                <w:sz w:val="18"/>
                <w:szCs w:val="18"/>
                <w:color w:val="auto"/>
              </w:rPr>
              <w:t>Sharing of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2.13</w:t>
            </w:r>
          </w:p>
        </w:tc>
        <w:tc>
          <w:tcPr>
            <w:tcW w:w="10080" w:type="dxa"/>
            <w:vAlign w:val="bottom"/>
          </w:tcPr>
          <w:p>
            <w:pPr>
              <w:ind w:left="240"/>
              <w:spacing w:after="0"/>
              <w:rPr>
                <w:sz w:val="20"/>
                <w:szCs w:val="20"/>
                <w:color w:val="auto"/>
              </w:rPr>
            </w:pPr>
            <w:r>
              <w:rPr>
                <w:rFonts w:ascii="Arial" w:cs="Arial" w:eastAsia="Arial" w:hAnsi="Arial"/>
                <w:sz w:val="18"/>
                <w:szCs w:val="18"/>
                <w:color w:val="auto"/>
              </w:rPr>
              <w:t>Increase in Aggregate Committed Sum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2.14</w:t>
            </w:r>
          </w:p>
        </w:tc>
        <w:tc>
          <w:tcPr>
            <w:tcW w:w="10080" w:type="dxa"/>
            <w:vAlign w:val="bottom"/>
          </w:tcPr>
          <w:p>
            <w:pPr>
              <w:ind w:left="240"/>
              <w:spacing w:after="0"/>
              <w:rPr>
                <w:sz w:val="20"/>
                <w:szCs w:val="20"/>
                <w:color w:val="auto"/>
              </w:rPr>
            </w:pPr>
            <w:r>
              <w:rPr>
                <w:rFonts w:ascii="Arial" w:cs="Arial" w:eastAsia="Arial" w:hAnsi="Arial"/>
                <w:sz w:val="18"/>
                <w:szCs w:val="18"/>
                <w:color w:val="auto"/>
              </w:rPr>
              <w:t>Extension of Stated Maturity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8"/>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2.15</w:t>
            </w:r>
          </w:p>
        </w:tc>
        <w:tc>
          <w:tcPr>
            <w:tcW w:w="10080" w:type="dxa"/>
            <w:vAlign w:val="bottom"/>
          </w:tcPr>
          <w:p>
            <w:pPr>
              <w:ind w:left="240"/>
              <w:spacing w:after="0"/>
              <w:rPr>
                <w:sz w:val="20"/>
                <w:szCs w:val="20"/>
                <w:color w:val="auto"/>
              </w:rPr>
            </w:pPr>
            <w:r>
              <w:rPr>
                <w:rFonts w:ascii="Arial" w:cs="Arial" w:eastAsia="Arial" w:hAnsi="Arial"/>
                <w:sz w:val="18"/>
                <w:szCs w:val="18"/>
                <w:color w:val="auto"/>
              </w:rPr>
              <w:t>Swing Line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2"/>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TAXES, YIELD PROTECTION AND ILLEGALITY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3.01</w:t>
            </w:r>
          </w:p>
        </w:tc>
        <w:tc>
          <w:tcPr>
            <w:tcW w:w="10080" w:type="dxa"/>
            <w:vAlign w:val="bottom"/>
          </w:tcPr>
          <w:p>
            <w:pPr>
              <w:ind w:left="240"/>
              <w:spacing w:after="0"/>
              <w:rPr>
                <w:sz w:val="20"/>
                <w:szCs w:val="20"/>
                <w:color w:val="auto"/>
              </w:rPr>
            </w:pPr>
            <w:r>
              <w:rPr>
                <w:rFonts w:ascii="Arial" w:cs="Arial" w:eastAsia="Arial" w:hAnsi="Arial"/>
                <w:sz w:val="18"/>
                <w:szCs w:val="18"/>
                <w:color w:val="auto"/>
              </w:rPr>
              <w:t>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3.02</w:t>
            </w:r>
          </w:p>
        </w:tc>
        <w:tc>
          <w:tcPr>
            <w:tcW w:w="10080" w:type="dxa"/>
            <w:vAlign w:val="bottom"/>
          </w:tcPr>
          <w:p>
            <w:pPr>
              <w:ind w:left="240"/>
              <w:spacing w:after="0"/>
              <w:rPr>
                <w:sz w:val="20"/>
                <w:szCs w:val="20"/>
                <w:color w:val="auto"/>
              </w:rPr>
            </w:pPr>
            <w:r>
              <w:rPr>
                <w:rFonts w:ascii="Arial" w:cs="Arial" w:eastAsia="Arial" w:hAnsi="Arial"/>
                <w:sz w:val="18"/>
                <w:szCs w:val="18"/>
                <w:color w:val="auto"/>
              </w:rPr>
              <w:t>Illegality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3.03</w:t>
            </w:r>
          </w:p>
        </w:tc>
        <w:tc>
          <w:tcPr>
            <w:tcW w:w="10080" w:type="dxa"/>
            <w:vAlign w:val="bottom"/>
          </w:tcPr>
          <w:p>
            <w:pPr>
              <w:ind w:left="240"/>
              <w:spacing w:after="0"/>
              <w:rPr>
                <w:sz w:val="20"/>
                <w:szCs w:val="20"/>
                <w:color w:val="auto"/>
              </w:rPr>
            </w:pPr>
            <w:r>
              <w:rPr>
                <w:rFonts w:ascii="Arial" w:cs="Arial" w:eastAsia="Arial" w:hAnsi="Arial"/>
                <w:sz w:val="18"/>
                <w:szCs w:val="18"/>
                <w:color w:val="auto"/>
              </w:rPr>
              <w:t>Inability to Determine Rates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3.04</w:t>
            </w:r>
          </w:p>
        </w:tc>
        <w:tc>
          <w:tcPr>
            <w:tcW w:w="10080" w:type="dxa"/>
            <w:vAlign w:val="bottom"/>
          </w:tcPr>
          <w:p>
            <w:pPr>
              <w:ind w:left="240"/>
              <w:spacing w:after="0"/>
              <w:rPr>
                <w:sz w:val="20"/>
                <w:szCs w:val="20"/>
                <w:color w:val="auto"/>
              </w:rPr>
            </w:pPr>
            <w:r>
              <w:rPr>
                <w:rFonts w:ascii="Arial" w:cs="Arial" w:eastAsia="Arial" w:hAnsi="Arial"/>
                <w:sz w:val="18"/>
                <w:szCs w:val="18"/>
                <w:color w:val="auto"/>
              </w:rPr>
              <w:t>Increased Cost; Reserves on Eurodollar Rate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3.05</w:t>
            </w:r>
          </w:p>
        </w:tc>
        <w:tc>
          <w:tcPr>
            <w:tcW w:w="10080" w:type="dxa"/>
            <w:vAlign w:val="bottom"/>
          </w:tcPr>
          <w:p>
            <w:pPr>
              <w:ind w:left="240"/>
              <w:spacing w:after="0"/>
              <w:rPr>
                <w:sz w:val="20"/>
                <w:szCs w:val="20"/>
                <w:color w:val="auto"/>
              </w:rPr>
            </w:pPr>
            <w:r>
              <w:rPr>
                <w:rFonts w:ascii="Arial" w:cs="Arial" w:eastAsia="Arial" w:hAnsi="Arial"/>
                <w:sz w:val="18"/>
                <w:szCs w:val="18"/>
                <w:color w:val="auto"/>
              </w:rPr>
              <w:t>Funding Losses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3.06</w:t>
            </w:r>
          </w:p>
        </w:tc>
        <w:tc>
          <w:tcPr>
            <w:tcW w:w="10080" w:type="dxa"/>
            <w:vAlign w:val="bottom"/>
          </w:tcPr>
          <w:p>
            <w:pPr>
              <w:ind w:left="240"/>
              <w:spacing w:after="0"/>
              <w:rPr>
                <w:sz w:val="20"/>
                <w:szCs w:val="20"/>
                <w:color w:val="auto"/>
              </w:rPr>
            </w:pPr>
            <w:r>
              <w:rPr>
                <w:rFonts w:ascii="Arial" w:cs="Arial" w:eastAsia="Arial" w:hAnsi="Arial"/>
                <w:sz w:val="18"/>
                <w:szCs w:val="18"/>
                <w:color w:val="auto"/>
              </w:rPr>
              <w:t>Matters Applicable to all Requests for Compensation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3.07</w:t>
            </w:r>
          </w:p>
        </w:tc>
        <w:tc>
          <w:tcPr>
            <w:tcW w:w="10080" w:type="dxa"/>
            <w:vAlign w:val="bottom"/>
          </w:tcPr>
          <w:p>
            <w:pPr>
              <w:ind w:left="240"/>
              <w:spacing w:after="0"/>
              <w:rPr>
                <w:sz w:val="20"/>
                <w:szCs w:val="20"/>
                <w:color w:val="auto"/>
              </w:rPr>
            </w:pPr>
            <w:r>
              <w:rPr>
                <w:rFonts w:ascii="Arial" w:cs="Arial" w:eastAsia="Arial" w:hAnsi="Arial"/>
                <w:sz w:val="18"/>
                <w:szCs w:val="18"/>
                <w:color w:val="auto"/>
              </w:rPr>
              <w:t>Mitigation Obligations; Replacement of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8"/>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3.08</w:t>
            </w:r>
          </w:p>
        </w:tc>
        <w:tc>
          <w:tcPr>
            <w:tcW w:w="10080" w:type="dxa"/>
            <w:vAlign w:val="bottom"/>
          </w:tcPr>
          <w:p>
            <w:pPr>
              <w:ind w:left="240"/>
              <w:spacing w:after="0"/>
              <w:rPr>
                <w:sz w:val="20"/>
                <w:szCs w:val="20"/>
                <w:color w:val="auto"/>
              </w:rPr>
            </w:pPr>
            <w:r>
              <w:rPr>
                <w:rFonts w:ascii="Arial" w:cs="Arial" w:eastAsia="Arial" w:hAnsi="Arial"/>
                <w:sz w:val="18"/>
                <w:szCs w:val="18"/>
                <w:color w:val="auto"/>
              </w:rPr>
              <w:t>Survival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2"/>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CONDITIONS PRECEDENT TO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4.01</w:t>
            </w:r>
          </w:p>
        </w:tc>
        <w:tc>
          <w:tcPr>
            <w:tcW w:w="10080" w:type="dxa"/>
            <w:vAlign w:val="bottom"/>
          </w:tcPr>
          <w:p>
            <w:pPr>
              <w:ind w:left="240"/>
              <w:spacing w:after="0"/>
              <w:rPr>
                <w:sz w:val="20"/>
                <w:szCs w:val="20"/>
                <w:color w:val="auto"/>
              </w:rPr>
            </w:pPr>
            <w:r>
              <w:rPr>
                <w:rFonts w:ascii="Arial" w:cs="Arial" w:eastAsia="Arial" w:hAnsi="Arial"/>
                <w:sz w:val="18"/>
                <w:szCs w:val="18"/>
                <w:color w:val="auto"/>
              </w:rPr>
              <w:t>Conditions to Credit Extension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8"/>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4.02</w:t>
            </w:r>
          </w:p>
        </w:tc>
        <w:tc>
          <w:tcPr>
            <w:tcW w:w="10080" w:type="dxa"/>
            <w:vAlign w:val="bottom"/>
          </w:tcPr>
          <w:p>
            <w:pPr>
              <w:ind w:left="240"/>
              <w:spacing w:after="0"/>
              <w:rPr>
                <w:sz w:val="20"/>
                <w:szCs w:val="20"/>
                <w:color w:val="auto"/>
              </w:rPr>
            </w:pPr>
            <w:r>
              <w:rPr>
                <w:rFonts w:ascii="Arial" w:cs="Arial" w:eastAsia="Arial" w:hAnsi="Arial"/>
                <w:sz w:val="18"/>
                <w:szCs w:val="18"/>
                <w:color w:val="auto"/>
              </w:rPr>
              <w:t>Conditions to all Loans and L/C Credit Extensions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12"/>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REPRESENTATIONS AND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5.01</w:t>
            </w:r>
          </w:p>
        </w:tc>
        <w:tc>
          <w:tcPr>
            <w:tcW w:w="10080" w:type="dxa"/>
            <w:vAlign w:val="bottom"/>
          </w:tcPr>
          <w:p>
            <w:pPr>
              <w:ind w:left="240"/>
              <w:spacing w:after="0"/>
              <w:rPr>
                <w:sz w:val="20"/>
                <w:szCs w:val="20"/>
                <w:color w:val="auto"/>
              </w:rPr>
            </w:pPr>
            <w:r>
              <w:rPr>
                <w:rFonts w:ascii="Arial" w:cs="Arial" w:eastAsia="Arial" w:hAnsi="Arial"/>
                <w:sz w:val="18"/>
                <w:szCs w:val="18"/>
                <w:color w:val="auto"/>
              </w:rPr>
              <w:t>Existence; Qualification and Power; Compliance with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5.02</w:t>
            </w:r>
          </w:p>
        </w:tc>
        <w:tc>
          <w:tcPr>
            <w:tcW w:w="10080" w:type="dxa"/>
            <w:vAlign w:val="bottom"/>
          </w:tcPr>
          <w:p>
            <w:pPr>
              <w:ind w:left="240"/>
              <w:spacing w:after="0"/>
              <w:rPr>
                <w:sz w:val="20"/>
                <w:szCs w:val="20"/>
                <w:color w:val="auto"/>
              </w:rPr>
            </w:pPr>
            <w:r>
              <w:rPr>
                <w:rFonts w:ascii="Arial" w:cs="Arial" w:eastAsia="Arial" w:hAnsi="Arial"/>
                <w:sz w:val="18"/>
                <w:szCs w:val="18"/>
                <w:color w:val="auto"/>
              </w:rPr>
              <w:t>Authorization; No Contravention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5.03</w:t>
            </w:r>
          </w:p>
        </w:tc>
        <w:tc>
          <w:tcPr>
            <w:tcW w:w="10080" w:type="dxa"/>
            <w:vAlign w:val="bottom"/>
          </w:tcPr>
          <w:p>
            <w:pPr>
              <w:ind w:left="240"/>
              <w:spacing w:after="0"/>
              <w:rPr>
                <w:sz w:val="20"/>
                <w:szCs w:val="20"/>
                <w:color w:val="auto"/>
              </w:rPr>
            </w:pPr>
            <w:r>
              <w:rPr>
                <w:rFonts w:ascii="Arial" w:cs="Arial" w:eastAsia="Arial" w:hAnsi="Arial"/>
                <w:sz w:val="18"/>
                <w:szCs w:val="18"/>
                <w:color w:val="auto"/>
              </w:rPr>
              <w:t>Governmental Authorization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5.04</w:t>
            </w:r>
          </w:p>
        </w:tc>
        <w:tc>
          <w:tcPr>
            <w:tcW w:w="10080" w:type="dxa"/>
            <w:vAlign w:val="bottom"/>
          </w:tcPr>
          <w:p>
            <w:pPr>
              <w:ind w:left="240"/>
              <w:spacing w:after="0"/>
              <w:rPr>
                <w:sz w:val="20"/>
                <w:szCs w:val="20"/>
                <w:color w:val="auto"/>
              </w:rPr>
            </w:pPr>
            <w:r>
              <w:rPr>
                <w:rFonts w:ascii="Arial" w:cs="Arial" w:eastAsia="Arial" w:hAnsi="Arial"/>
                <w:sz w:val="18"/>
                <w:szCs w:val="18"/>
                <w:color w:val="auto"/>
              </w:rPr>
              <w:t>Binding Effect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5.05</w:t>
            </w:r>
          </w:p>
        </w:tc>
        <w:tc>
          <w:tcPr>
            <w:tcW w:w="10080" w:type="dxa"/>
            <w:vAlign w:val="bottom"/>
          </w:tcPr>
          <w:p>
            <w:pPr>
              <w:ind w:left="240"/>
              <w:spacing w:after="0"/>
              <w:rPr>
                <w:sz w:val="20"/>
                <w:szCs w:val="20"/>
                <w:color w:val="auto"/>
              </w:rPr>
            </w:pPr>
            <w:r>
              <w:rPr>
                <w:rFonts w:ascii="Arial" w:cs="Arial" w:eastAsia="Arial" w:hAnsi="Arial"/>
                <w:sz w:val="18"/>
                <w:szCs w:val="18"/>
                <w:color w:val="auto"/>
              </w:rPr>
              <w:t>Financial Statements; No Material Adverse Effect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5.06</w:t>
            </w:r>
          </w:p>
        </w:tc>
        <w:tc>
          <w:tcPr>
            <w:tcW w:w="10080" w:type="dxa"/>
            <w:vAlign w:val="bottom"/>
          </w:tcPr>
          <w:p>
            <w:pPr>
              <w:ind w:left="240"/>
              <w:spacing w:after="0"/>
              <w:rPr>
                <w:sz w:val="20"/>
                <w:szCs w:val="20"/>
                <w:color w:val="auto"/>
              </w:rPr>
            </w:pPr>
            <w:r>
              <w:rPr>
                <w:rFonts w:ascii="Arial" w:cs="Arial" w:eastAsia="Arial" w:hAnsi="Arial"/>
                <w:sz w:val="18"/>
                <w:szCs w:val="18"/>
                <w:color w:val="auto"/>
              </w:rPr>
              <w:t>Litigation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5.07</w:t>
            </w:r>
          </w:p>
        </w:tc>
        <w:tc>
          <w:tcPr>
            <w:tcW w:w="10080" w:type="dxa"/>
            <w:vAlign w:val="bottom"/>
          </w:tcPr>
          <w:p>
            <w:pPr>
              <w:ind w:left="240"/>
              <w:spacing w:after="0"/>
              <w:rPr>
                <w:sz w:val="20"/>
                <w:szCs w:val="20"/>
                <w:color w:val="auto"/>
              </w:rPr>
            </w:pPr>
            <w:r>
              <w:rPr>
                <w:rFonts w:ascii="Arial" w:cs="Arial" w:eastAsia="Arial" w:hAnsi="Arial"/>
                <w:sz w:val="18"/>
                <w:szCs w:val="18"/>
                <w:color w:val="auto"/>
              </w:rPr>
              <w:t>Ownership of Property; Liens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8"/>
        </w:trPr>
        <w:tc>
          <w:tcPr>
            <w:tcW w:w="1060" w:type="dxa"/>
            <w:vAlign w:val="bottom"/>
          </w:tcPr>
          <w:p>
            <w:pPr>
              <w:ind w:left="520"/>
              <w:spacing w:after="0"/>
              <w:rPr>
                <w:sz w:val="20"/>
                <w:szCs w:val="20"/>
                <w:color w:val="auto"/>
              </w:rPr>
            </w:pPr>
            <w:r>
              <w:rPr>
                <w:rFonts w:ascii="Arial" w:cs="Arial" w:eastAsia="Arial" w:hAnsi="Arial"/>
                <w:sz w:val="18"/>
                <w:szCs w:val="18"/>
                <w:b w:val="1"/>
                <w:bCs w:val="1"/>
                <w:color w:val="auto"/>
              </w:rPr>
              <w:t>5.08</w:t>
            </w:r>
          </w:p>
        </w:tc>
        <w:tc>
          <w:tcPr>
            <w:tcW w:w="10080" w:type="dxa"/>
            <w:vAlign w:val="bottom"/>
          </w:tcPr>
          <w:p>
            <w:pPr>
              <w:ind w:left="240"/>
              <w:spacing w:after="0"/>
              <w:rPr>
                <w:sz w:val="20"/>
                <w:szCs w:val="20"/>
                <w:color w:val="auto"/>
              </w:rPr>
            </w:pPr>
            <w:r>
              <w:rPr>
                <w:rFonts w:ascii="Arial" w:cs="Arial" w:eastAsia="Arial" w:hAnsi="Arial"/>
                <w:sz w:val="18"/>
                <w:szCs w:val="18"/>
                <w:color w:val="auto"/>
              </w:rPr>
              <w:t>Environmental Compliance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5.09</w:t>
            </w:r>
          </w:p>
        </w:tc>
        <w:tc>
          <w:tcPr>
            <w:tcW w:w="880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5.10</w:t>
            </w:r>
          </w:p>
        </w:tc>
        <w:tc>
          <w:tcPr>
            <w:tcW w:w="8800" w:type="dxa"/>
            <w:vAlign w:val="bottom"/>
          </w:tcPr>
          <w:p>
            <w:pPr>
              <w:ind w:left="240"/>
              <w:spacing w:after="0"/>
              <w:rPr>
                <w:sz w:val="20"/>
                <w:szCs w:val="20"/>
                <w:color w:val="auto"/>
              </w:rPr>
            </w:pPr>
            <w:r>
              <w:rPr>
                <w:rFonts w:ascii="Arial" w:cs="Arial" w:eastAsia="Arial" w:hAnsi="Arial"/>
                <w:sz w:val="18"/>
                <w:szCs w:val="18"/>
                <w:color w:val="auto"/>
              </w:rPr>
              <w:t>Taxes</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5.11</w:t>
            </w:r>
          </w:p>
        </w:tc>
        <w:tc>
          <w:tcPr>
            <w:tcW w:w="8800" w:type="dxa"/>
            <w:vAlign w:val="bottom"/>
          </w:tcPr>
          <w:p>
            <w:pPr>
              <w:ind w:left="240"/>
              <w:spacing w:after="0"/>
              <w:rPr>
                <w:sz w:val="20"/>
                <w:szCs w:val="20"/>
                <w:color w:val="auto"/>
              </w:rPr>
            </w:pPr>
            <w:r>
              <w:rPr>
                <w:rFonts w:ascii="Arial" w:cs="Arial" w:eastAsia="Arial" w:hAnsi="Arial"/>
                <w:sz w:val="18"/>
                <w:szCs w:val="18"/>
                <w:color w:val="auto"/>
              </w:rPr>
              <w:t>ERISA Compliance</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5.12</w:t>
            </w:r>
          </w:p>
        </w:tc>
        <w:tc>
          <w:tcPr>
            <w:tcW w:w="8800" w:type="dxa"/>
            <w:vAlign w:val="bottom"/>
          </w:tcPr>
          <w:p>
            <w:pPr>
              <w:ind w:left="240"/>
              <w:spacing w:after="0"/>
              <w:rPr>
                <w:sz w:val="20"/>
                <w:szCs w:val="20"/>
                <w:color w:val="auto"/>
              </w:rPr>
            </w:pPr>
            <w:r>
              <w:rPr>
                <w:rFonts w:ascii="Arial" w:cs="Arial" w:eastAsia="Arial" w:hAnsi="Arial"/>
                <w:sz w:val="18"/>
                <w:szCs w:val="18"/>
                <w:color w:val="auto"/>
              </w:rPr>
              <w:t>Subsidiaries and other Investments</w:t>
            </w:r>
          </w:p>
        </w:tc>
        <w:tc>
          <w:tcPr>
            <w:tcW w:w="1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5.13</w:t>
            </w:r>
          </w:p>
        </w:tc>
        <w:tc>
          <w:tcPr>
            <w:tcW w:w="8800" w:type="dxa"/>
            <w:vAlign w:val="bottom"/>
          </w:tcPr>
          <w:p>
            <w:pPr>
              <w:ind w:left="240"/>
              <w:spacing w:after="0"/>
              <w:rPr>
                <w:sz w:val="20"/>
                <w:szCs w:val="20"/>
                <w:color w:val="auto"/>
              </w:rPr>
            </w:pPr>
            <w:r>
              <w:rPr>
                <w:rFonts w:ascii="Arial" w:cs="Arial" w:eastAsia="Arial" w:hAnsi="Arial"/>
                <w:sz w:val="18"/>
                <w:szCs w:val="18"/>
                <w:color w:val="auto"/>
              </w:rPr>
              <w:t>Margin Regulations; Investment Company Act; Public Utility Holding Company Act; Use of Proceeds</w:t>
            </w:r>
          </w:p>
        </w:tc>
        <w:tc>
          <w:tcPr>
            <w:tcW w:w="1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5.14</w:t>
            </w:r>
          </w:p>
        </w:tc>
        <w:tc>
          <w:tcPr>
            <w:tcW w:w="8800" w:type="dxa"/>
            <w:vAlign w:val="bottom"/>
          </w:tcPr>
          <w:p>
            <w:pPr>
              <w:ind w:left="240"/>
              <w:spacing w:after="0"/>
              <w:rPr>
                <w:sz w:val="20"/>
                <w:szCs w:val="20"/>
                <w:color w:val="auto"/>
              </w:rPr>
            </w:pPr>
            <w:r>
              <w:rPr>
                <w:rFonts w:ascii="Arial" w:cs="Arial" w:eastAsia="Arial" w:hAnsi="Arial"/>
                <w:sz w:val="18"/>
                <w:szCs w:val="18"/>
                <w:color w:val="auto"/>
              </w:rPr>
              <w:t>Disclosure</w:t>
            </w:r>
          </w:p>
        </w:tc>
        <w:tc>
          <w:tcPr>
            <w:tcW w:w="1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5.15</w:t>
            </w:r>
          </w:p>
        </w:tc>
        <w:tc>
          <w:tcPr>
            <w:tcW w:w="8800" w:type="dxa"/>
            <w:vAlign w:val="bottom"/>
          </w:tcPr>
          <w:p>
            <w:pPr>
              <w:ind w:left="240"/>
              <w:spacing w:after="0"/>
              <w:rPr>
                <w:sz w:val="20"/>
                <w:szCs w:val="20"/>
                <w:color w:val="auto"/>
              </w:rPr>
            </w:pPr>
            <w:r>
              <w:rPr>
                <w:rFonts w:ascii="Arial" w:cs="Arial" w:eastAsia="Arial" w:hAnsi="Arial"/>
                <w:sz w:val="18"/>
                <w:szCs w:val="18"/>
                <w:color w:val="auto"/>
              </w:rPr>
              <w:t>Labor Matters</w:t>
            </w:r>
          </w:p>
        </w:tc>
        <w:tc>
          <w:tcPr>
            <w:tcW w:w="1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5.16</w:t>
            </w:r>
          </w:p>
        </w:tc>
        <w:tc>
          <w:tcPr>
            <w:tcW w:w="880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5.17</w:t>
            </w:r>
          </w:p>
        </w:tc>
        <w:tc>
          <w:tcPr>
            <w:tcW w:w="8800" w:type="dxa"/>
            <w:vAlign w:val="bottom"/>
          </w:tcPr>
          <w:p>
            <w:pPr>
              <w:ind w:left="240"/>
              <w:spacing w:after="0"/>
              <w:rPr>
                <w:sz w:val="20"/>
                <w:szCs w:val="20"/>
                <w:color w:val="auto"/>
              </w:rPr>
            </w:pPr>
            <w:r>
              <w:rPr>
                <w:rFonts w:ascii="Arial" w:cs="Arial" w:eastAsia="Arial" w:hAnsi="Arial"/>
                <w:sz w:val="18"/>
                <w:szCs w:val="18"/>
                <w:color w:val="auto"/>
              </w:rPr>
              <w:t>Third Party Approvals</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8"/>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5.18</w:t>
            </w:r>
          </w:p>
        </w:tc>
        <w:tc>
          <w:tcPr>
            <w:tcW w:w="8800" w:type="dxa"/>
            <w:vAlign w:val="bottom"/>
          </w:tcPr>
          <w:p>
            <w:pPr>
              <w:ind w:left="240"/>
              <w:spacing w:after="0"/>
              <w:rPr>
                <w:sz w:val="20"/>
                <w:szCs w:val="20"/>
                <w:color w:val="auto"/>
              </w:rPr>
            </w:pPr>
            <w:r>
              <w:rPr>
                <w:rFonts w:ascii="Arial" w:cs="Arial" w:eastAsia="Arial" w:hAnsi="Arial"/>
                <w:sz w:val="18"/>
                <w:szCs w:val="18"/>
                <w:color w:val="auto"/>
              </w:rPr>
              <w:t>Solvency</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2"/>
        </w:trPr>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AFFIRMATIVE COVENANTS</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6.01</w:t>
            </w:r>
          </w:p>
        </w:tc>
        <w:tc>
          <w:tcPr>
            <w:tcW w:w="880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6.02</w:t>
            </w:r>
          </w:p>
        </w:tc>
        <w:tc>
          <w:tcPr>
            <w:tcW w:w="8800" w:type="dxa"/>
            <w:vAlign w:val="bottom"/>
          </w:tcPr>
          <w:p>
            <w:pPr>
              <w:ind w:left="240"/>
              <w:spacing w:after="0"/>
              <w:rPr>
                <w:sz w:val="20"/>
                <w:szCs w:val="20"/>
                <w:color w:val="auto"/>
              </w:rPr>
            </w:pPr>
            <w:r>
              <w:rPr>
                <w:rFonts w:ascii="Arial" w:cs="Arial" w:eastAsia="Arial" w:hAnsi="Arial"/>
                <w:sz w:val="18"/>
                <w:szCs w:val="18"/>
                <w:color w:val="auto"/>
              </w:rPr>
              <w:t>Certificates; Other Information</w:t>
            </w:r>
          </w:p>
        </w:tc>
        <w:tc>
          <w:tcPr>
            <w:tcW w:w="1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6.03</w:t>
            </w:r>
          </w:p>
        </w:tc>
        <w:tc>
          <w:tcPr>
            <w:tcW w:w="8800" w:type="dxa"/>
            <w:vAlign w:val="bottom"/>
          </w:tcPr>
          <w:p>
            <w:pPr>
              <w:ind w:left="240"/>
              <w:spacing w:after="0"/>
              <w:rPr>
                <w:sz w:val="20"/>
                <w:szCs w:val="20"/>
                <w:color w:val="auto"/>
              </w:rPr>
            </w:pPr>
            <w:r>
              <w:rPr>
                <w:rFonts w:ascii="Arial" w:cs="Arial" w:eastAsia="Arial" w:hAnsi="Arial"/>
                <w:sz w:val="18"/>
                <w:szCs w:val="18"/>
                <w:color w:val="auto"/>
              </w:rPr>
              <w:t>Notices</w:t>
            </w:r>
          </w:p>
        </w:tc>
        <w:tc>
          <w:tcPr>
            <w:tcW w:w="1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6.04</w:t>
            </w:r>
          </w:p>
        </w:tc>
        <w:tc>
          <w:tcPr>
            <w:tcW w:w="8800" w:type="dxa"/>
            <w:vAlign w:val="bottom"/>
          </w:tcPr>
          <w:p>
            <w:pPr>
              <w:ind w:left="240"/>
              <w:spacing w:after="0"/>
              <w:rPr>
                <w:sz w:val="20"/>
                <w:szCs w:val="20"/>
                <w:color w:val="auto"/>
              </w:rPr>
            </w:pPr>
            <w:r>
              <w:rPr>
                <w:rFonts w:ascii="Arial" w:cs="Arial" w:eastAsia="Arial" w:hAnsi="Arial"/>
                <w:sz w:val="18"/>
                <w:szCs w:val="18"/>
                <w:color w:val="auto"/>
              </w:rPr>
              <w:t>Payment of Obligations</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6.05</w:t>
            </w:r>
          </w:p>
        </w:tc>
        <w:tc>
          <w:tcPr>
            <w:tcW w:w="8800" w:type="dxa"/>
            <w:vAlign w:val="bottom"/>
          </w:tcPr>
          <w:p>
            <w:pPr>
              <w:ind w:left="240"/>
              <w:spacing w:after="0"/>
              <w:rPr>
                <w:sz w:val="20"/>
                <w:szCs w:val="20"/>
                <w:color w:val="auto"/>
              </w:rPr>
            </w:pPr>
            <w:r>
              <w:rPr>
                <w:rFonts w:ascii="Arial" w:cs="Arial" w:eastAsia="Arial" w:hAnsi="Arial"/>
                <w:sz w:val="18"/>
                <w:szCs w:val="18"/>
                <w:color w:val="auto"/>
              </w:rPr>
              <w:t>Preservation of Existence, Etc.</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6.06</w:t>
            </w:r>
          </w:p>
        </w:tc>
        <w:tc>
          <w:tcPr>
            <w:tcW w:w="8800" w:type="dxa"/>
            <w:vAlign w:val="bottom"/>
          </w:tcPr>
          <w:p>
            <w:pPr>
              <w:ind w:left="240"/>
              <w:spacing w:after="0"/>
              <w:rPr>
                <w:sz w:val="20"/>
                <w:szCs w:val="20"/>
                <w:color w:val="auto"/>
              </w:rPr>
            </w:pPr>
            <w:r>
              <w:rPr>
                <w:rFonts w:ascii="Arial" w:cs="Arial" w:eastAsia="Arial" w:hAnsi="Arial"/>
                <w:sz w:val="18"/>
                <w:szCs w:val="18"/>
                <w:color w:val="auto"/>
              </w:rPr>
              <w:t>Maintenance of Assets and Business</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6.07</w:t>
            </w:r>
          </w:p>
        </w:tc>
        <w:tc>
          <w:tcPr>
            <w:tcW w:w="8800" w:type="dxa"/>
            <w:vAlign w:val="bottom"/>
          </w:tcPr>
          <w:p>
            <w:pPr>
              <w:ind w:left="240"/>
              <w:spacing w:after="0"/>
              <w:rPr>
                <w:sz w:val="20"/>
                <w:szCs w:val="20"/>
                <w:color w:val="auto"/>
              </w:rPr>
            </w:pPr>
            <w:r>
              <w:rPr>
                <w:rFonts w:ascii="Arial" w:cs="Arial" w:eastAsia="Arial" w:hAnsi="Arial"/>
                <w:sz w:val="18"/>
                <w:szCs w:val="18"/>
                <w:color w:val="auto"/>
              </w:rPr>
              <w:t>Maintenance of Insurance</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6.08</w:t>
            </w:r>
          </w:p>
        </w:tc>
        <w:tc>
          <w:tcPr>
            <w:tcW w:w="880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6.09</w:t>
            </w:r>
          </w:p>
        </w:tc>
        <w:tc>
          <w:tcPr>
            <w:tcW w:w="8800" w:type="dxa"/>
            <w:vAlign w:val="bottom"/>
          </w:tcPr>
          <w:p>
            <w:pPr>
              <w:ind w:left="240"/>
              <w:spacing w:after="0"/>
              <w:rPr>
                <w:sz w:val="20"/>
                <w:szCs w:val="20"/>
                <w:color w:val="auto"/>
              </w:rPr>
            </w:pPr>
            <w:r>
              <w:rPr>
                <w:rFonts w:ascii="Arial" w:cs="Arial" w:eastAsia="Arial" w:hAnsi="Arial"/>
                <w:sz w:val="18"/>
                <w:szCs w:val="18"/>
                <w:color w:val="auto"/>
              </w:rPr>
              <w:t>Books and Records</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6.10</w:t>
            </w:r>
          </w:p>
        </w:tc>
        <w:tc>
          <w:tcPr>
            <w:tcW w:w="8800" w:type="dxa"/>
            <w:vAlign w:val="bottom"/>
          </w:tcPr>
          <w:p>
            <w:pPr>
              <w:ind w:left="240"/>
              <w:spacing w:after="0"/>
              <w:rPr>
                <w:sz w:val="20"/>
                <w:szCs w:val="20"/>
                <w:color w:val="auto"/>
              </w:rPr>
            </w:pPr>
            <w:r>
              <w:rPr>
                <w:rFonts w:ascii="Arial" w:cs="Arial" w:eastAsia="Arial" w:hAnsi="Arial"/>
                <w:sz w:val="18"/>
                <w:szCs w:val="18"/>
                <w:color w:val="auto"/>
              </w:rPr>
              <w:t>Inspection Rights</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6.11</w:t>
            </w:r>
          </w:p>
        </w:tc>
        <w:tc>
          <w:tcPr>
            <w:tcW w:w="8800" w:type="dxa"/>
            <w:vAlign w:val="bottom"/>
          </w:tcPr>
          <w:p>
            <w:pPr>
              <w:ind w:left="240"/>
              <w:spacing w:after="0"/>
              <w:rPr>
                <w:sz w:val="20"/>
                <w:szCs w:val="20"/>
                <w:color w:val="auto"/>
              </w:rPr>
            </w:pPr>
            <w:r>
              <w:rPr>
                <w:rFonts w:ascii="Arial" w:cs="Arial" w:eastAsia="Arial" w:hAnsi="Arial"/>
                <w:sz w:val="18"/>
                <w:szCs w:val="18"/>
                <w:color w:val="auto"/>
              </w:rPr>
              <w:t>Compliance with ERISA</w:t>
            </w: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6.12</w:t>
            </w:r>
          </w:p>
        </w:tc>
        <w:tc>
          <w:tcPr>
            <w:tcW w:w="880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6.13</w:t>
            </w:r>
          </w:p>
        </w:tc>
        <w:tc>
          <w:tcPr>
            <w:tcW w:w="8800" w:type="dxa"/>
            <w:vAlign w:val="bottom"/>
          </w:tcPr>
          <w:p>
            <w:pPr>
              <w:ind w:left="240"/>
              <w:spacing w:after="0"/>
              <w:rPr>
                <w:sz w:val="20"/>
                <w:szCs w:val="20"/>
                <w:color w:val="auto"/>
              </w:rPr>
            </w:pPr>
            <w:r>
              <w:rPr>
                <w:rFonts w:ascii="Arial" w:cs="Arial" w:eastAsia="Arial" w:hAnsi="Arial"/>
                <w:sz w:val="18"/>
                <w:szCs w:val="18"/>
                <w:color w:val="auto"/>
              </w:rPr>
              <w:t>Material Agreements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6.14</w:t>
            </w:r>
          </w:p>
        </w:tc>
        <w:tc>
          <w:tcPr>
            <w:tcW w:w="8800" w:type="dxa"/>
            <w:vAlign w:val="bottom"/>
          </w:tcPr>
          <w:p>
            <w:pPr>
              <w:ind w:left="240"/>
              <w:spacing w:after="0"/>
              <w:rPr>
                <w:sz w:val="20"/>
                <w:szCs w:val="20"/>
                <w:color w:val="auto"/>
              </w:rPr>
            </w:pPr>
            <w:r>
              <w:rPr>
                <w:rFonts w:ascii="Arial" w:cs="Arial" w:eastAsia="Arial" w:hAnsi="Arial"/>
                <w:sz w:val="18"/>
                <w:szCs w:val="18"/>
                <w:color w:val="auto"/>
              </w:rPr>
              <w:t>Maintenance of Separateness</w:t>
            </w: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8"/>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6.15</w:t>
            </w:r>
          </w:p>
        </w:tc>
        <w:tc>
          <w:tcPr>
            <w:tcW w:w="8800" w:type="dxa"/>
            <w:vAlign w:val="bottom"/>
          </w:tcPr>
          <w:p>
            <w:pPr>
              <w:ind w:left="240"/>
              <w:spacing w:after="0"/>
              <w:rPr>
                <w:sz w:val="20"/>
                <w:szCs w:val="20"/>
                <w:color w:val="auto"/>
              </w:rPr>
            </w:pPr>
            <w:r>
              <w:rPr>
                <w:rFonts w:ascii="Arial" w:cs="Arial" w:eastAsia="Arial" w:hAnsi="Arial"/>
                <w:sz w:val="18"/>
                <w:szCs w:val="18"/>
                <w:color w:val="auto"/>
              </w:rPr>
              <w:t>Confirmation of Release of Senior Note Subsidiary Guarantees</w:t>
            </w: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2"/>
        </w:trPr>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color w:val="auto"/>
              </w:rPr>
              <w:t>NEGATIVE COVENANTS</w:t>
            </w: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7.01</w:t>
            </w:r>
          </w:p>
        </w:tc>
        <w:tc>
          <w:tcPr>
            <w:tcW w:w="8800" w:type="dxa"/>
            <w:vAlign w:val="bottom"/>
          </w:tcPr>
          <w:p>
            <w:pPr>
              <w:ind w:left="240"/>
              <w:spacing w:after="0"/>
              <w:rPr>
                <w:sz w:val="20"/>
                <w:szCs w:val="20"/>
                <w:color w:val="auto"/>
              </w:rPr>
            </w:pPr>
            <w:r>
              <w:rPr>
                <w:rFonts w:ascii="Arial" w:cs="Arial" w:eastAsia="Arial" w:hAnsi="Arial"/>
                <w:sz w:val="18"/>
                <w:szCs w:val="18"/>
                <w:color w:val="auto"/>
              </w:rPr>
              <w:t>Liens</w:t>
            </w: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7.02</w:t>
            </w:r>
          </w:p>
        </w:tc>
        <w:tc>
          <w:tcPr>
            <w:tcW w:w="880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1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7.03</w:t>
            </w:r>
          </w:p>
        </w:tc>
        <w:tc>
          <w:tcPr>
            <w:tcW w:w="8800" w:type="dxa"/>
            <w:vAlign w:val="bottom"/>
          </w:tcPr>
          <w:p>
            <w:pPr>
              <w:ind w:left="240"/>
              <w:spacing w:after="0"/>
              <w:rPr>
                <w:sz w:val="20"/>
                <w:szCs w:val="20"/>
                <w:color w:val="auto"/>
              </w:rPr>
            </w:pPr>
            <w:r>
              <w:rPr>
                <w:rFonts w:ascii="Arial" w:cs="Arial" w:eastAsia="Arial" w:hAnsi="Arial"/>
                <w:sz w:val="18"/>
                <w:szCs w:val="18"/>
                <w:color w:val="auto"/>
              </w:rPr>
              <w:t>Hedging Agreements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7.04</w:t>
            </w:r>
          </w:p>
        </w:tc>
        <w:tc>
          <w:tcPr>
            <w:tcW w:w="8800" w:type="dxa"/>
            <w:vAlign w:val="bottom"/>
          </w:tcPr>
          <w:p>
            <w:pPr>
              <w:ind w:left="240"/>
              <w:spacing w:after="0"/>
              <w:rPr>
                <w:sz w:val="20"/>
                <w:szCs w:val="20"/>
                <w:color w:val="auto"/>
              </w:rPr>
            </w:pPr>
            <w:r>
              <w:rPr>
                <w:rFonts w:ascii="Arial" w:cs="Arial" w:eastAsia="Arial" w:hAnsi="Arial"/>
                <w:sz w:val="18"/>
                <w:szCs w:val="18"/>
                <w:color w:val="auto"/>
              </w:rPr>
              <w:t>Indebtedness of Subsidiaries</w:t>
            </w: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7.05</w:t>
            </w:r>
          </w:p>
        </w:tc>
        <w:tc>
          <w:tcPr>
            <w:tcW w:w="8800" w:type="dxa"/>
            <w:vAlign w:val="bottom"/>
          </w:tcPr>
          <w:p>
            <w:pPr>
              <w:ind w:left="240"/>
              <w:spacing w:after="0"/>
              <w:rPr>
                <w:sz w:val="20"/>
                <w:szCs w:val="20"/>
                <w:color w:val="auto"/>
              </w:rPr>
            </w:pPr>
            <w:r>
              <w:rPr>
                <w:rFonts w:ascii="Arial" w:cs="Arial" w:eastAsia="Arial" w:hAnsi="Arial"/>
                <w:sz w:val="18"/>
                <w:szCs w:val="18"/>
                <w:color w:val="auto"/>
              </w:rPr>
              <w:t>Fundamental Changes</w:t>
            </w: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7.06</w:t>
            </w:r>
          </w:p>
        </w:tc>
        <w:tc>
          <w:tcPr>
            <w:tcW w:w="8800" w:type="dxa"/>
            <w:vAlign w:val="bottom"/>
          </w:tcPr>
          <w:p>
            <w:pPr>
              <w:ind w:left="240"/>
              <w:spacing w:after="0"/>
              <w:rPr>
                <w:sz w:val="20"/>
                <w:szCs w:val="20"/>
                <w:color w:val="auto"/>
              </w:rPr>
            </w:pPr>
            <w:r>
              <w:rPr>
                <w:rFonts w:ascii="Arial" w:cs="Arial" w:eastAsia="Arial" w:hAnsi="Arial"/>
                <w:sz w:val="18"/>
                <w:szCs w:val="18"/>
                <w:color w:val="auto"/>
              </w:rPr>
              <w:t>Sale-Leaseback</w:t>
            </w:r>
          </w:p>
        </w:tc>
        <w:tc>
          <w:tcPr>
            <w:tcW w:w="1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7.07</w:t>
            </w:r>
          </w:p>
        </w:tc>
        <w:tc>
          <w:tcPr>
            <w:tcW w:w="8800" w:type="dxa"/>
            <w:vAlign w:val="bottom"/>
          </w:tcPr>
          <w:p>
            <w:pPr>
              <w:ind w:left="240"/>
              <w:spacing w:after="0"/>
              <w:rPr>
                <w:sz w:val="20"/>
                <w:szCs w:val="20"/>
                <w:color w:val="auto"/>
              </w:rPr>
            </w:pPr>
            <w:r>
              <w:rPr>
                <w:rFonts w:ascii="Arial" w:cs="Arial" w:eastAsia="Arial" w:hAnsi="Arial"/>
                <w:sz w:val="18"/>
                <w:szCs w:val="18"/>
                <w:color w:val="auto"/>
              </w:rPr>
              <w:t>Restricted Payments; Distributions and Redemptions; Payments on Excluded Affiliate Debt</w:t>
            </w:r>
          </w:p>
        </w:tc>
        <w:tc>
          <w:tcPr>
            <w:tcW w:w="1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7.08</w:t>
            </w:r>
          </w:p>
        </w:tc>
        <w:tc>
          <w:tcPr>
            <w:tcW w:w="8800" w:type="dxa"/>
            <w:vAlign w:val="bottom"/>
          </w:tcPr>
          <w:p>
            <w:pPr>
              <w:ind w:left="240"/>
              <w:spacing w:after="0"/>
              <w:rPr>
                <w:sz w:val="20"/>
                <w:szCs w:val="20"/>
                <w:color w:val="auto"/>
              </w:rPr>
            </w:pPr>
            <w:r>
              <w:rPr>
                <w:rFonts w:ascii="Arial" w:cs="Arial" w:eastAsia="Arial" w:hAnsi="Arial"/>
                <w:sz w:val="18"/>
                <w:szCs w:val="18"/>
                <w:color w:val="auto"/>
              </w:rPr>
              <w:t>ERISA</w:t>
            </w:r>
          </w:p>
        </w:tc>
        <w:tc>
          <w:tcPr>
            <w:tcW w:w="1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7.09</w:t>
            </w:r>
          </w:p>
        </w:tc>
        <w:tc>
          <w:tcPr>
            <w:tcW w:w="8800" w:type="dxa"/>
            <w:vAlign w:val="bottom"/>
          </w:tcPr>
          <w:p>
            <w:pPr>
              <w:ind w:left="240"/>
              <w:spacing w:after="0"/>
              <w:rPr>
                <w:sz w:val="20"/>
                <w:szCs w:val="20"/>
                <w:color w:val="auto"/>
              </w:rPr>
            </w:pPr>
            <w:r>
              <w:rPr>
                <w:rFonts w:ascii="Arial" w:cs="Arial" w:eastAsia="Arial" w:hAnsi="Arial"/>
                <w:sz w:val="18"/>
                <w:szCs w:val="18"/>
                <w:color w:val="auto"/>
              </w:rPr>
              <w:t>Nature of Business</w:t>
            </w:r>
          </w:p>
        </w:tc>
        <w:tc>
          <w:tcPr>
            <w:tcW w:w="1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7.10</w:t>
            </w:r>
          </w:p>
        </w:tc>
        <w:tc>
          <w:tcPr>
            <w:tcW w:w="8800" w:type="dxa"/>
            <w:vAlign w:val="bottom"/>
          </w:tcPr>
          <w:p>
            <w:pPr>
              <w:ind w:left="240"/>
              <w:spacing w:after="0"/>
              <w:rPr>
                <w:sz w:val="20"/>
                <w:szCs w:val="20"/>
                <w:color w:val="auto"/>
              </w:rPr>
            </w:pPr>
            <w:r>
              <w:rPr>
                <w:rFonts w:ascii="Arial" w:cs="Arial" w:eastAsia="Arial" w:hAnsi="Arial"/>
                <w:sz w:val="18"/>
                <w:szCs w:val="18"/>
                <w:color w:val="auto"/>
              </w:rPr>
              <w:t>Transactions with Affiliates</w:t>
            </w:r>
          </w:p>
        </w:tc>
        <w:tc>
          <w:tcPr>
            <w:tcW w:w="1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7.11</w:t>
            </w:r>
          </w:p>
        </w:tc>
        <w:tc>
          <w:tcPr>
            <w:tcW w:w="8800" w:type="dxa"/>
            <w:vAlign w:val="bottom"/>
          </w:tcPr>
          <w:p>
            <w:pPr>
              <w:ind w:left="240"/>
              <w:spacing w:after="0"/>
              <w:rPr>
                <w:sz w:val="20"/>
                <w:szCs w:val="20"/>
                <w:color w:val="auto"/>
              </w:rPr>
            </w:pPr>
            <w:r>
              <w:rPr>
                <w:rFonts w:ascii="Arial" w:cs="Arial" w:eastAsia="Arial" w:hAnsi="Arial"/>
                <w:sz w:val="18"/>
                <w:szCs w:val="18"/>
                <w:color w:val="auto"/>
              </w:rPr>
              <w:t>Burdensome Agreements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7.12</w:t>
            </w:r>
          </w:p>
        </w:tc>
        <w:tc>
          <w:tcPr>
            <w:tcW w:w="880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1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7.13</w:t>
            </w:r>
          </w:p>
        </w:tc>
        <w:tc>
          <w:tcPr>
            <w:tcW w:w="8800" w:type="dxa"/>
            <w:vAlign w:val="bottom"/>
          </w:tcPr>
          <w:p>
            <w:pPr>
              <w:ind w:left="240"/>
              <w:spacing w:after="0"/>
              <w:rPr>
                <w:sz w:val="20"/>
                <w:szCs w:val="20"/>
                <w:color w:val="auto"/>
              </w:rPr>
            </w:pPr>
            <w:r>
              <w:rPr>
                <w:rFonts w:ascii="Arial" w:cs="Arial" w:eastAsia="Arial" w:hAnsi="Arial"/>
                <w:sz w:val="18"/>
                <w:szCs w:val="18"/>
                <w:color w:val="auto"/>
              </w:rPr>
              <w:t>Material Agreements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8"/>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7.14</w:t>
            </w:r>
          </w:p>
        </w:tc>
        <w:tc>
          <w:tcPr>
            <w:tcW w:w="8800" w:type="dxa"/>
            <w:vAlign w:val="bottom"/>
          </w:tcPr>
          <w:p>
            <w:pPr>
              <w:ind w:left="240"/>
              <w:spacing w:after="0"/>
              <w:rPr>
                <w:sz w:val="20"/>
                <w:szCs w:val="20"/>
                <w:color w:val="auto"/>
              </w:rPr>
            </w:pPr>
            <w:r>
              <w:rPr>
                <w:rFonts w:ascii="Arial" w:cs="Arial" w:eastAsia="Arial" w:hAnsi="Arial"/>
                <w:sz w:val="18"/>
                <w:szCs w:val="18"/>
                <w:color w:val="auto"/>
              </w:rPr>
              <w:t>Leverage Ratio</w:t>
            </w:r>
          </w:p>
        </w:tc>
        <w:tc>
          <w:tcPr>
            <w:tcW w:w="1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2"/>
        </w:trPr>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EVENTS OF DEFAULT AND REMEDIES</w:t>
            </w:r>
          </w:p>
        </w:tc>
        <w:tc>
          <w:tcPr>
            <w:tcW w:w="1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8.01</w:t>
            </w:r>
          </w:p>
        </w:tc>
        <w:tc>
          <w:tcPr>
            <w:tcW w:w="8800" w:type="dxa"/>
            <w:vAlign w:val="bottom"/>
          </w:tcPr>
          <w:p>
            <w:pPr>
              <w:ind w:left="240"/>
              <w:spacing w:after="0"/>
              <w:rPr>
                <w:sz w:val="20"/>
                <w:szCs w:val="20"/>
                <w:color w:val="auto"/>
              </w:rPr>
            </w:pPr>
            <w:r>
              <w:rPr>
                <w:rFonts w:ascii="Arial" w:cs="Arial" w:eastAsia="Arial" w:hAnsi="Arial"/>
                <w:sz w:val="18"/>
                <w:szCs w:val="18"/>
                <w:color w:val="auto"/>
              </w:rPr>
              <w:t>Events of Default</w:t>
            </w:r>
          </w:p>
        </w:tc>
        <w:tc>
          <w:tcPr>
            <w:tcW w:w="1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8.02</w:t>
            </w:r>
          </w:p>
        </w:tc>
        <w:tc>
          <w:tcPr>
            <w:tcW w:w="8800" w:type="dxa"/>
            <w:vAlign w:val="bottom"/>
          </w:tcPr>
          <w:p>
            <w:pPr>
              <w:ind w:left="240"/>
              <w:spacing w:after="0"/>
              <w:rPr>
                <w:sz w:val="20"/>
                <w:szCs w:val="20"/>
                <w:color w:val="auto"/>
              </w:rPr>
            </w:pPr>
            <w:r>
              <w:rPr>
                <w:rFonts w:ascii="Arial" w:cs="Arial" w:eastAsia="Arial" w:hAnsi="Arial"/>
                <w:sz w:val="18"/>
                <w:szCs w:val="18"/>
                <w:color w:val="auto"/>
              </w:rPr>
              <w:t>Remedies Upon Event of Default</w:t>
            </w:r>
          </w:p>
        </w:tc>
        <w:tc>
          <w:tcPr>
            <w:tcW w:w="15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8"/>
        </w:trPr>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8.03</w:t>
            </w:r>
          </w:p>
        </w:tc>
        <w:tc>
          <w:tcPr>
            <w:tcW w:w="8800" w:type="dxa"/>
            <w:vAlign w:val="bottom"/>
          </w:tcPr>
          <w:p>
            <w:pPr>
              <w:ind w:left="240"/>
              <w:spacing w:after="0"/>
              <w:rPr>
                <w:sz w:val="20"/>
                <w:szCs w:val="20"/>
                <w:color w:val="auto"/>
              </w:rPr>
            </w:pPr>
            <w:r>
              <w:rPr>
                <w:rFonts w:ascii="Arial" w:cs="Arial" w:eastAsia="Arial" w:hAnsi="Arial"/>
                <w:sz w:val="18"/>
                <w:szCs w:val="18"/>
                <w:color w:val="auto"/>
              </w:rPr>
              <w:t>Application of Funds</w:t>
            </w:r>
          </w:p>
        </w:tc>
        <w:tc>
          <w:tcPr>
            <w:tcW w:w="15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ADMINISTRATIVE AGENT</w:t>
            </w:r>
          </w:p>
        </w:tc>
        <w:tc>
          <w:tcPr>
            <w:tcW w:w="5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9.01</w:t>
            </w:r>
          </w:p>
        </w:tc>
        <w:tc>
          <w:tcPr>
            <w:tcW w:w="4400" w:type="dxa"/>
            <w:vAlign w:val="bottom"/>
          </w:tcPr>
          <w:p>
            <w:pPr>
              <w:ind w:left="140"/>
              <w:spacing w:after="0"/>
              <w:rPr>
                <w:sz w:val="20"/>
                <w:szCs w:val="20"/>
                <w:color w:val="auto"/>
              </w:rPr>
            </w:pPr>
            <w:r>
              <w:rPr>
                <w:rFonts w:ascii="Arial" w:cs="Arial" w:eastAsia="Arial" w:hAnsi="Arial"/>
                <w:sz w:val="18"/>
                <w:szCs w:val="18"/>
                <w:color w:val="auto"/>
              </w:rPr>
              <w:t>Appointment and Authority</w:t>
            </w:r>
          </w:p>
        </w:tc>
        <w:tc>
          <w:tcPr>
            <w:tcW w:w="5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9.02</w:t>
            </w:r>
          </w:p>
        </w:tc>
        <w:tc>
          <w:tcPr>
            <w:tcW w:w="4400" w:type="dxa"/>
            <w:vAlign w:val="bottom"/>
          </w:tcPr>
          <w:p>
            <w:pPr>
              <w:ind w:left="140"/>
              <w:spacing w:after="0"/>
              <w:rPr>
                <w:sz w:val="20"/>
                <w:szCs w:val="20"/>
                <w:color w:val="auto"/>
              </w:rPr>
            </w:pPr>
            <w:r>
              <w:rPr>
                <w:rFonts w:ascii="Arial" w:cs="Arial" w:eastAsia="Arial" w:hAnsi="Arial"/>
                <w:sz w:val="18"/>
                <w:szCs w:val="18"/>
                <w:color w:val="auto"/>
              </w:rPr>
              <w:t>Rights as a Lender</w:t>
            </w:r>
          </w:p>
        </w:tc>
        <w:tc>
          <w:tcPr>
            <w:tcW w:w="5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9.03</w:t>
            </w:r>
          </w:p>
        </w:tc>
        <w:tc>
          <w:tcPr>
            <w:tcW w:w="4400" w:type="dxa"/>
            <w:vAlign w:val="bottom"/>
          </w:tcPr>
          <w:p>
            <w:pPr>
              <w:ind w:left="140"/>
              <w:spacing w:after="0"/>
              <w:rPr>
                <w:sz w:val="20"/>
                <w:szCs w:val="20"/>
                <w:color w:val="auto"/>
              </w:rPr>
            </w:pPr>
            <w:r>
              <w:rPr>
                <w:rFonts w:ascii="Arial" w:cs="Arial" w:eastAsia="Arial" w:hAnsi="Arial"/>
                <w:sz w:val="18"/>
                <w:szCs w:val="18"/>
                <w:color w:val="auto"/>
              </w:rPr>
              <w:t>Exculpatory Provisions</w:t>
            </w:r>
          </w:p>
        </w:tc>
        <w:tc>
          <w:tcPr>
            <w:tcW w:w="5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9.04</w:t>
            </w:r>
          </w:p>
        </w:tc>
        <w:tc>
          <w:tcPr>
            <w:tcW w:w="4400" w:type="dxa"/>
            <w:vAlign w:val="bottom"/>
          </w:tcPr>
          <w:p>
            <w:pPr>
              <w:ind w:left="140"/>
              <w:spacing w:after="0"/>
              <w:rPr>
                <w:sz w:val="20"/>
                <w:szCs w:val="20"/>
                <w:color w:val="auto"/>
              </w:rPr>
            </w:pPr>
            <w:r>
              <w:rPr>
                <w:rFonts w:ascii="Arial" w:cs="Arial" w:eastAsia="Arial" w:hAnsi="Arial"/>
                <w:sz w:val="18"/>
                <w:szCs w:val="18"/>
                <w:color w:val="auto"/>
              </w:rPr>
              <w:t>Reliance by Administrative Agent</w:t>
            </w:r>
          </w:p>
        </w:tc>
        <w:tc>
          <w:tcPr>
            <w:tcW w:w="58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9.05</w:t>
            </w:r>
          </w:p>
        </w:tc>
        <w:tc>
          <w:tcPr>
            <w:tcW w:w="4400" w:type="dxa"/>
            <w:vAlign w:val="bottom"/>
          </w:tcPr>
          <w:p>
            <w:pPr>
              <w:ind w:left="140"/>
              <w:spacing w:after="0"/>
              <w:rPr>
                <w:sz w:val="20"/>
                <w:szCs w:val="20"/>
                <w:color w:val="auto"/>
              </w:rPr>
            </w:pPr>
            <w:r>
              <w:rPr>
                <w:rFonts w:ascii="Arial" w:cs="Arial" w:eastAsia="Arial" w:hAnsi="Arial"/>
                <w:sz w:val="18"/>
                <w:szCs w:val="18"/>
                <w:color w:val="auto"/>
              </w:rPr>
              <w:t>Delegation of Duties</w:t>
            </w:r>
          </w:p>
        </w:tc>
        <w:tc>
          <w:tcPr>
            <w:tcW w:w="58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9.06</w:t>
            </w:r>
          </w:p>
        </w:tc>
        <w:tc>
          <w:tcPr>
            <w:tcW w:w="4400" w:type="dxa"/>
            <w:vAlign w:val="bottom"/>
          </w:tcPr>
          <w:p>
            <w:pPr>
              <w:ind w:left="140"/>
              <w:spacing w:after="0"/>
              <w:rPr>
                <w:sz w:val="20"/>
                <w:szCs w:val="20"/>
                <w:color w:val="auto"/>
              </w:rPr>
            </w:pPr>
            <w:r>
              <w:rPr>
                <w:rFonts w:ascii="Arial" w:cs="Arial" w:eastAsia="Arial" w:hAnsi="Arial"/>
                <w:sz w:val="18"/>
                <w:szCs w:val="18"/>
                <w:color w:val="auto"/>
              </w:rPr>
              <w:t>Resignation of Administrative Agent</w:t>
            </w:r>
          </w:p>
        </w:tc>
        <w:tc>
          <w:tcPr>
            <w:tcW w:w="58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9.07</w:t>
            </w:r>
          </w:p>
        </w:tc>
        <w:tc>
          <w:tcPr>
            <w:tcW w:w="4400" w:type="dxa"/>
            <w:vAlign w:val="bottom"/>
          </w:tcPr>
          <w:p>
            <w:pPr>
              <w:ind w:left="140"/>
              <w:spacing w:after="0"/>
              <w:rPr>
                <w:sz w:val="20"/>
                <w:szCs w:val="20"/>
                <w:color w:val="auto"/>
              </w:rPr>
            </w:pPr>
            <w:r>
              <w:rPr>
                <w:rFonts w:ascii="Arial" w:cs="Arial" w:eastAsia="Arial" w:hAnsi="Arial"/>
                <w:sz w:val="18"/>
                <w:szCs w:val="18"/>
                <w:color w:val="auto"/>
                <w:w w:val="92"/>
              </w:rPr>
              <w:t>Non-Reliance on Administrative Agent and Other Lenders</w:t>
            </w:r>
          </w:p>
        </w:tc>
        <w:tc>
          <w:tcPr>
            <w:tcW w:w="58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9.08</w:t>
            </w:r>
          </w:p>
        </w:tc>
        <w:tc>
          <w:tcPr>
            <w:tcW w:w="4400" w:type="dxa"/>
            <w:vAlign w:val="bottom"/>
          </w:tcPr>
          <w:p>
            <w:pPr>
              <w:ind w:left="140"/>
              <w:spacing w:after="0"/>
              <w:rPr>
                <w:sz w:val="20"/>
                <w:szCs w:val="20"/>
                <w:color w:val="auto"/>
              </w:rPr>
            </w:pPr>
            <w:r>
              <w:rPr>
                <w:rFonts w:ascii="Arial" w:cs="Arial" w:eastAsia="Arial" w:hAnsi="Arial"/>
                <w:sz w:val="18"/>
                <w:szCs w:val="18"/>
                <w:color w:val="auto"/>
                <w:w w:val="91"/>
              </w:rPr>
              <w:t>Indemnification of Administrative Agent and the L/C Issuer</w:t>
            </w:r>
          </w:p>
        </w:tc>
        <w:tc>
          <w:tcPr>
            <w:tcW w:w="58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8"/>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9.09</w:t>
            </w:r>
          </w:p>
        </w:tc>
        <w:tc>
          <w:tcPr>
            <w:tcW w:w="4400" w:type="dxa"/>
            <w:vAlign w:val="bottom"/>
          </w:tcPr>
          <w:p>
            <w:pPr>
              <w:ind w:left="140"/>
              <w:spacing w:after="0"/>
              <w:rPr>
                <w:sz w:val="20"/>
                <w:szCs w:val="20"/>
                <w:color w:val="auto"/>
              </w:rPr>
            </w:pPr>
            <w:r>
              <w:rPr>
                <w:rFonts w:ascii="Arial" w:cs="Arial" w:eastAsia="Arial" w:hAnsi="Arial"/>
                <w:sz w:val="18"/>
                <w:szCs w:val="18"/>
                <w:color w:val="auto"/>
              </w:rPr>
              <w:t>Other Agents; Lead Managers</w:t>
            </w:r>
          </w:p>
        </w:tc>
        <w:tc>
          <w:tcPr>
            <w:tcW w:w="58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2"/>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 </w:t>
            </w:r>
            <w:r>
              <w:rPr>
                <w:rFonts w:ascii="Arial" w:cs="Arial" w:eastAsia="Arial" w:hAnsi="Arial"/>
                <w:sz w:val="18"/>
                <w:szCs w:val="18"/>
                <w:color w:val="auto"/>
              </w:rPr>
              <w:t>MISCELLANEOUS</w:t>
            </w:r>
          </w:p>
        </w:tc>
        <w:tc>
          <w:tcPr>
            <w:tcW w:w="5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10.01</w:t>
            </w:r>
          </w:p>
        </w:tc>
        <w:tc>
          <w:tcPr>
            <w:tcW w:w="4400" w:type="dxa"/>
            <w:vAlign w:val="bottom"/>
          </w:tcPr>
          <w:p>
            <w:pPr>
              <w:ind w:left="140"/>
              <w:spacing w:after="0"/>
              <w:rPr>
                <w:sz w:val="20"/>
                <w:szCs w:val="20"/>
                <w:color w:val="auto"/>
              </w:rPr>
            </w:pPr>
            <w:r>
              <w:rPr>
                <w:rFonts w:ascii="Arial" w:cs="Arial" w:eastAsia="Arial" w:hAnsi="Arial"/>
                <w:sz w:val="18"/>
                <w:szCs w:val="18"/>
                <w:color w:val="auto"/>
              </w:rPr>
              <w:t>Amendments, Etc.</w:t>
            </w:r>
          </w:p>
        </w:tc>
        <w:tc>
          <w:tcPr>
            <w:tcW w:w="5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10.02</w:t>
            </w:r>
          </w:p>
        </w:tc>
        <w:tc>
          <w:tcPr>
            <w:tcW w:w="4400" w:type="dxa"/>
            <w:vAlign w:val="bottom"/>
          </w:tcPr>
          <w:p>
            <w:pPr>
              <w:ind w:left="140"/>
              <w:spacing w:after="0"/>
              <w:rPr>
                <w:sz w:val="20"/>
                <w:szCs w:val="20"/>
                <w:color w:val="auto"/>
              </w:rPr>
            </w:pPr>
            <w:r>
              <w:rPr>
                <w:rFonts w:ascii="Arial" w:cs="Arial" w:eastAsia="Arial" w:hAnsi="Arial"/>
                <w:sz w:val="18"/>
                <w:szCs w:val="18"/>
                <w:color w:val="auto"/>
                <w:w w:val="98"/>
              </w:rPr>
              <w:t>Notices and Other Communications; Facsimile Copies</w:t>
            </w:r>
          </w:p>
        </w:tc>
        <w:tc>
          <w:tcPr>
            <w:tcW w:w="5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10.03</w:t>
            </w:r>
          </w:p>
        </w:tc>
        <w:tc>
          <w:tcPr>
            <w:tcW w:w="4400" w:type="dxa"/>
            <w:vAlign w:val="bottom"/>
          </w:tcPr>
          <w:p>
            <w:pPr>
              <w:ind w:left="140"/>
              <w:spacing w:after="0"/>
              <w:rPr>
                <w:sz w:val="20"/>
                <w:szCs w:val="20"/>
                <w:color w:val="auto"/>
              </w:rPr>
            </w:pPr>
            <w:r>
              <w:rPr>
                <w:rFonts w:ascii="Arial" w:cs="Arial" w:eastAsia="Arial" w:hAnsi="Arial"/>
                <w:sz w:val="18"/>
                <w:szCs w:val="18"/>
                <w:color w:val="auto"/>
              </w:rPr>
              <w:t>No Waiver; Cumulative Remedies</w:t>
            </w:r>
          </w:p>
        </w:tc>
        <w:tc>
          <w:tcPr>
            <w:tcW w:w="5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10.04</w:t>
            </w:r>
          </w:p>
        </w:tc>
        <w:tc>
          <w:tcPr>
            <w:tcW w:w="4400" w:type="dxa"/>
            <w:vAlign w:val="bottom"/>
          </w:tcPr>
          <w:p>
            <w:pPr>
              <w:ind w:left="140"/>
              <w:spacing w:after="0"/>
              <w:rPr>
                <w:sz w:val="20"/>
                <w:szCs w:val="20"/>
                <w:color w:val="auto"/>
              </w:rPr>
            </w:pPr>
            <w:r>
              <w:rPr>
                <w:rFonts w:ascii="Arial" w:cs="Arial" w:eastAsia="Arial" w:hAnsi="Arial"/>
                <w:sz w:val="18"/>
                <w:szCs w:val="18"/>
                <w:color w:val="auto"/>
              </w:rPr>
              <w:t>Attorney Costs; Expenses</w:t>
            </w:r>
          </w:p>
        </w:tc>
        <w:tc>
          <w:tcPr>
            <w:tcW w:w="5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10.05</w:t>
            </w:r>
          </w:p>
        </w:tc>
        <w:tc>
          <w:tcPr>
            <w:tcW w:w="4400" w:type="dxa"/>
            <w:vAlign w:val="bottom"/>
          </w:tcPr>
          <w:p>
            <w:pPr>
              <w:ind w:left="140"/>
              <w:spacing w:after="0"/>
              <w:rPr>
                <w:sz w:val="20"/>
                <w:szCs w:val="20"/>
                <w:color w:val="auto"/>
              </w:rPr>
            </w:pPr>
            <w:r>
              <w:rPr>
                <w:rFonts w:ascii="Arial" w:cs="Arial" w:eastAsia="Arial" w:hAnsi="Arial"/>
                <w:sz w:val="18"/>
                <w:szCs w:val="18"/>
                <w:color w:val="auto"/>
              </w:rPr>
              <w:t>Indemnification</w:t>
            </w:r>
          </w:p>
        </w:tc>
        <w:tc>
          <w:tcPr>
            <w:tcW w:w="5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10.06</w:t>
            </w:r>
          </w:p>
        </w:tc>
        <w:tc>
          <w:tcPr>
            <w:tcW w:w="4400" w:type="dxa"/>
            <w:vAlign w:val="bottom"/>
          </w:tcPr>
          <w:p>
            <w:pPr>
              <w:ind w:left="140"/>
              <w:spacing w:after="0"/>
              <w:rPr>
                <w:sz w:val="20"/>
                <w:szCs w:val="20"/>
                <w:color w:val="auto"/>
              </w:rPr>
            </w:pPr>
            <w:r>
              <w:rPr>
                <w:rFonts w:ascii="Arial" w:cs="Arial" w:eastAsia="Arial" w:hAnsi="Arial"/>
                <w:sz w:val="18"/>
                <w:szCs w:val="18"/>
                <w:color w:val="auto"/>
              </w:rPr>
              <w:t>Payments Set Aside</w:t>
            </w:r>
          </w:p>
        </w:tc>
        <w:tc>
          <w:tcPr>
            <w:tcW w:w="5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10.07</w:t>
            </w:r>
          </w:p>
        </w:tc>
        <w:tc>
          <w:tcPr>
            <w:tcW w:w="4400" w:type="dxa"/>
            <w:vAlign w:val="bottom"/>
          </w:tcPr>
          <w:p>
            <w:pPr>
              <w:ind w:left="140"/>
              <w:spacing w:after="0"/>
              <w:rPr>
                <w:sz w:val="20"/>
                <w:szCs w:val="20"/>
                <w:color w:val="auto"/>
              </w:rPr>
            </w:pPr>
            <w:r>
              <w:rPr>
                <w:rFonts w:ascii="Arial" w:cs="Arial" w:eastAsia="Arial" w:hAnsi="Arial"/>
                <w:sz w:val="18"/>
                <w:szCs w:val="18"/>
                <w:color w:val="auto"/>
              </w:rPr>
              <w:t>Successors and Assigns</w:t>
            </w:r>
          </w:p>
        </w:tc>
        <w:tc>
          <w:tcPr>
            <w:tcW w:w="5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10.08</w:t>
            </w:r>
          </w:p>
        </w:tc>
        <w:tc>
          <w:tcPr>
            <w:tcW w:w="4400" w:type="dxa"/>
            <w:vAlign w:val="bottom"/>
          </w:tcPr>
          <w:p>
            <w:pPr>
              <w:ind w:left="140"/>
              <w:spacing w:after="0"/>
              <w:rPr>
                <w:sz w:val="20"/>
                <w:szCs w:val="20"/>
                <w:color w:val="auto"/>
              </w:rPr>
            </w:pPr>
            <w:r>
              <w:rPr>
                <w:rFonts w:ascii="Arial" w:cs="Arial" w:eastAsia="Arial" w:hAnsi="Arial"/>
                <w:sz w:val="18"/>
                <w:szCs w:val="18"/>
                <w:color w:val="auto"/>
              </w:rPr>
              <w:t>Confidentiality</w:t>
            </w:r>
          </w:p>
        </w:tc>
        <w:tc>
          <w:tcPr>
            <w:tcW w:w="5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10.09</w:t>
            </w:r>
          </w:p>
        </w:tc>
        <w:tc>
          <w:tcPr>
            <w:tcW w:w="4400" w:type="dxa"/>
            <w:vAlign w:val="bottom"/>
          </w:tcPr>
          <w:p>
            <w:pPr>
              <w:ind w:left="140"/>
              <w:spacing w:after="0"/>
              <w:rPr>
                <w:sz w:val="20"/>
                <w:szCs w:val="20"/>
                <w:color w:val="auto"/>
              </w:rPr>
            </w:pPr>
            <w:r>
              <w:rPr>
                <w:rFonts w:ascii="Arial" w:cs="Arial" w:eastAsia="Arial" w:hAnsi="Arial"/>
                <w:sz w:val="18"/>
                <w:szCs w:val="18"/>
                <w:color w:val="auto"/>
              </w:rPr>
              <w:t>Set-off</w:t>
            </w:r>
          </w:p>
        </w:tc>
        <w:tc>
          <w:tcPr>
            <w:tcW w:w="5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10.10</w:t>
            </w:r>
          </w:p>
        </w:tc>
        <w:tc>
          <w:tcPr>
            <w:tcW w:w="4400" w:type="dxa"/>
            <w:vAlign w:val="bottom"/>
          </w:tcPr>
          <w:p>
            <w:pPr>
              <w:ind w:left="140"/>
              <w:spacing w:after="0"/>
              <w:rPr>
                <w:sz w:val="20"/>
                <w:szCs w:val="20"/>
                <w:color w:val="auto"/>
              </w:rPr>
            </w:pPr>
            <w:r>
              <w:rPr>
                <w:rFonts w:ascii="Arial" w:cs="Arial" w:eastAsia="Arial" w:hAnsi="Arial"/>
                <w:sz w:val="18"/>
                <w:szCs w:val="18"/>
                <w:color w:val="auto"/>
              </w:rPr>
              <w:t>Interest Rate Limitation</w:t>
            </w:r>
          </w:p>
        </w:tc>
        <w:tc>
          <w:tcPr>
            <w:tcW w:w="5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10.11</w:t>
            </w:r>
          </w:p>
        </w:tc>
        <w:tc>
          <w:tcPr>
            <w:tcW w:w="440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5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10.12</w:t>
            </w:r>
          </w:p>
        </w:tc>
        <w:tc>
          <w:tcPr>
            <w:tcW w:w="4400" w:type="dxa"/>
            <w:vAlign w:val="bottom"/>
          </w:tcPr>
          <w:p>
            <w:pPr>
              <w:ind w:left="140"/>
              <w:spacing w:after="0"/>
              <w:rPr>
                <w:sz w:val="20"/>
                <w:szCs w:val="20"/>
                <w:color w:val="auto"/>
              </w:rPr>
            </w:pPr>
            <w:r>
              <w:rPr>
                <w:rFonts w:ascii="Arial" w:cs="Arial" w:eastAsia="Arial" w:hAnsi="Arial"/>
                <w:sz w:val="18"/>
                <w:szCs w:val="18"/>
                <w:color w:val="auto"/>
              </w:rPr>
              <w:t>Integration; Electronic Execution of Assignments</w:t>
            </w:r>
          </w:p>
        </w:tc>
        <w:tc>
          <w:tcPr>
            <w:tcW w:w="5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10.13</w:t>
            </w:r>
          </w:p>
        </w:tc>
        <w:tc>
          <w:tcPr>
            <w:tcW w:w="4400" w:type="dxa"/>
            <w:vAlign w:val="bottom"/>
          </w:tcPr>
          <w:p>
            <w:pPr>
              <w:ind w:left="140"/>
              <w:spacing w:after="0"/>
              <w:rPr>
                <w:sz w:val="20"/>
                <w:szCs w:val="20"/>
                <w:color w:val="auto"/>
              </w:rPr>
            </w:pPr>
            <w:r>
              <w:rPr>
                <w:rFonts w:ascii="Arial" w:cs="Arial" w:eastAsia="Arial" w:hAnsi="Arial"/>
                <w:sz w:val="18"/>
                <w:szCs w:val="18"/>
                <w:color w:val="auto"/>
              </w:rPr>
              <w:t>Survival of Representations and Warranties</w:t>
            </w:r>
          </w:p>
        </w:tc>
        <w:tc>
          <w:tcPr>
            <w:tcW w:w="5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10.14</w:t>
            </w:r>
          </w:p>
        </w:tc>
        <w:tc>
          <w:tcPr>
            <w:tcW w:w="440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5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10.15</w:t>
            </w:r>
          </w:p>
        </w:tc>
        <w:tc>
          <w:tcPr>
            <w:tcW w:w="440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5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10.16</w:t>
            </w:r>
          </w:p>
        </w:tc>
        <w:tc>
          <w:tcPr>
            <w:tcW w:w="4400" w:type="dxa"/>
            <w:vAlign w:val="bottom"/>
          </w:tcPr>
          <w:p>
            <w:pPr>
              <w:ind w:left="140"/>
              <w:spacing w:after="0"/>
              <w:rPr>
                <w:sz w:val="20"/>
                <w:szCs w:val="20"/>
                <w:color w:val="auto"/>
              </w:rPr>
            </w:pPr>
            <w:r>
              <w:rPr>
                <w:rFonts w:ascii="Arial" w:cs="Arial" w:eastAsia="Arial" w:hAnsi="Arial"/>
                <w:sz w:val="18"/>
                <w:szCs w:val="18"/>
                <w:color w:val="auto"/>
              </w:rPr>
              <w:t>Waiver of Right to Trial by Jury, Etc.</w:t>
            </w:r>
          </w:p>
        </w:tc>
        <w:tc>
          <w:tcPr>
            <w:tcW w:w="5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10.17</w:t>
            </w:r>
          </w:p>
        </w:tc>
        <w:tc>
          <w:tcPr>
            <w:tcW w:w="4400" w:type="dxa"/>
            <w:vAlign w:val="bottom"/>
          </w:tcPr>
          <w:p>
            <w:pPr>
              <w:ind w:left="140"/>
              <w:spacing w:after="0"/>
              <w:rPr>
                <w:sz w:val="20"/>
                <w:szCs w:val="20"/>
                <w:color w:val="auto"/>
              </w:rPr>
            </w:pPr>
            <w:r>
              <w:rPr>
                <w:rFonts w:ascii="Arial" w:cs="Arial" w:eastAsia="Arial" w:hAnsi="Arial"/>
                <w:sz w:val="18"/>
                <w:szCs w:val="18"/>
                <w:color w:val="auto"/>
              </w:rPr>
              <w:t>USA PATRIOT Act Notice</w:t>
            </w:r>
          </w:p>
        </w:tc>
        <w:tc>
          <w:tcPr>
            <w:tcW w:w="5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10.18</w:t>
            </w:r>
          </w:p>
        </w:tc>
        <w:tc>
          <w:tcPr>
            <w:tcW w:w="4400" w:type="dxa"/>
            <w:vAlign w:val="bottom"/>
          </w:tcPr>
          <w:p>
            <w:pPr>
              <w:ind w:left="140"/>
              <w:spacing w:after="0"/>
              <w:rPr>
                <w:sz w:val="20"/>
                <w:szCs w:val="20"/>
                <w:color w:val="auto"/>
              </w:rPr>
            </w:pPr>
            <w:r>
              <w:rPr>
                <w:rFonts w:ascii="Arial" w:cs="Arial" w:eastAsia="Arial" w:hAnsi="Arial"/>
                <w:sz w:val="18"/>
                <w:szCs w:val="18"/>
                <w:color w:val="auto"/>
              </w:rPr>
              <w:t>Termination of Existing Credit Agreement</w:t>
            </w:r>
          </w:p>
        </w:tc>
        <w:tc>
          <w:tcPr>
            <w:tcW w:w="5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10.19</w:t>
            </w:r>
          </w:p>
        </w:tc>
        <w:tc>
          <w:tcPr>
            <w:tcW w:w="4400" w:type="dxa"/>
            <w:vAlign w:val="bottom"/>
          </w:tcPr>
          <w:p>
            <w:pPr>
              <w:ind w:left="140"/>
              <w:spacing w:after="0"/>
              <w:rPr>
                <w:sz w:val="20"/>
                <w:szCs w:val="20"/>
                <w:color w:val="auto"/>
              </w:rPr>
            </w:pPr>
            <w:r>
              <w:rPr>
                <w:rFonts w:ascii="Arial" w:cs="Arial" w:eastAsia="Arial" w:hAnsi="Arial"/>
                <w:sz w:val="18"/>
                <w:szCs w:val="18"/>
                <w:color w:val="auto"/>
              </w:rPr>
              <w:t>Release of Subsidiary Guaranty</w:t>
            </w:r>
          </w:p>
        </w:tc>
        <w:tc>
          <w:tcPr>
            <w:tcW w:w="5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8"/>
        </w:trPr>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10.20</w:t>
            </w:r>
          </w:p>
        </w:tc>
        <w:tc>
          <w:tcPr>
            <w:tcW w:w="440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5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SIGNATURES</w:t>
            </w:r>
          </w:p>
        </w:tc>
        <w:tc>
          <w:tcPr>
            <w:tcW w:w="4400" w:type="dxa"/>
            <w:vAlign w:val="bottom"/>
          </w:tcPr>
          <w:p>
            <w:pPr>
              <w:spacing w:after="0"/>
              <w:rPr>
                <w:sz w:val="24"/>
                <w:szCs w:val="24"/>
                <w:color w:val="auto"/>
              </w:rPr>
            </w:pPr>
          </w:p>
        </w:tc>
        <w:tc>
          <w:tcPr>
            <w:tcW w:w="58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365"/>
        </w:trPr>
        <w:tc>
          <w:tcPr>
            <w:tcW w:w="12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820" w:type="dxa"/>
            <w:vAlign w:val="bottom"/>
          </w:tcPr>
          <w:p>
            <w:pPr>
              <w:jc w:val="right"/>
              <w:ind w:right="5552"/>
              <w:spacing w:after="0"/>
              <w:rPr>
                <w:sz w:val="20"/>
                <w:szCs w:val="20"/>
                <w:color w:val="auto"/>
              </w:rPr>
            </w:pPr>
            <w:r>
              <w:rPr>
                <w:rFonts w:ascii="Arial" w:cs="Arial" w:eastAsia="Arial" w:hAnsi="Arial"/>
                <w:sz w:val="18"/>
                <w:szCs w:val="18"/>
                <w:color w:val="auto"/>
              </w:rPr>
              <w:t>iii</w:t>
            </w:r>
          </w:p>
        </w:tc>
      </w:tr>
    </w:tbl>
    <w:p>
      <w:pPr>
        <w:jc w:val="right"/>
        <w:ind w:right="5552"/>
        <w:spacing w:after="0"/>
        <w:rPr>
          <w:sz w:val="20"/>
          <w:szCs w:val="20"/>
          <w:color w:val="auto"/>
        </w:rPr>
        <w:sectPr>
          <w:pgSz w:w="11900" w:h="16838" w:orient="portrait"/>
          <w:cols w:equalWidth="0" w:num="1">
            <w:col w:w="11420"/>
          </w:cols>
          <w:pgMar w:left="240" w:top="38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22"/>
        </w:trPr>
        <w:tc>
          <w:tcPr>
            <w:tcW w:w="1120" w:type="dxa"/>
            <w:vAlign w:val="bottom"/>
          </w:tcPr>
          <w:p>
            <w:pPr>
              <w:spacing w:after="0"/>
              <w:rPr>
                <w:sz w:val="20"/>
                <w:szCs w:val="20"/>
                <w:color w:val="auto"/>
              </w:rPr>
            </w:pPr>
            <w:r>
              <w:rPr>
                <w:rFonts w:ascii="Arial" w:cs="Arial" w:eastAsia="Arial" w:hAnsi="Arial"/>
                <w:sz w:val="18"/>
                <w:szCs w:val="18"/>
                <w:color w:val="auto"/>
                <w:w w:val="99"/>
              </w:rPr>
              <w:t>SCHEDULES</w:t>
            </w:r>
          </w:p>
        </w:tc>
        <w:tc>
          <w:tcPr>
            <w:tcW w:w="5200" w:type="dxa"/>
            <w:vAlign w:val="bottom"/>
          </w:tcPr>
          <w:p>
            <w:pPr>
              <w:spacing w:after="0"/>
              <w:rPr>
                <w:sz w:val="19"/>
                <w:szCs w:val="19"/>
                <w:color w:val="auto"/>
              </w:rPr>
            </w:pPr>
          </w:p>
        </w:tc>
      </w:tr>
      <w:tr>
        <w:trPr>
          <w:trHeight w:val="412"/>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w:t>
            </w:r>
          </w:p>
        </w:tc>
        <w:tc>
          <w:tcPr>
            <w:tcW w:w="5200" w:type="dxa"/>
            <w:vAlign w:val="bottom"/>
          </w:tcPr>
          <w:p>
            <w:pPr>
              <w:ind w:left="80"/>
              <w:spacing w:after="0"/>
              <w:rPr>
                <w:sz w:val="20"/>
                <w:szCs w:val="20"/>
                <w:color w:val="auto"/>
              </w:rPr>
            </w:pPr>
            <w:r>
              <w:rPr>
                <w:rFonts w:ascii="Arial" w:cs="Arial" w:eastAsia="Arial" w:hAnsi="Arial"/>
                <w:sz w:val="18"/>
                <w:szCs w:val="18"/>
                <w:color w:val="auto"/>
              </w:rPr>
              <w:t>Existing Letters of Credit</w:t>
            </w:r>
          </w:p>
        </w:tc>
      </w:tr>
      <w:tr>
        <w:trPr>
          <w:trHeight w:val="216"/>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2.01</w:t>
            </w:r>
          </w:p>
        </w:tc>
        <w:tc>
          <w:tcPr>
            <w:tcW w:w="5200" w:type="dxa"/>
            <w:vAlign w:val="bottom"/>
          </w:tcPr>
          <w:p>
            <w:pPr>
              <w:ind w:left="80"/>
              <w:spacing w:after="0"/>
              <w:rPr>
                <w:sz w:val="20"/>
                <w:szCs w:val="20"/>
                <w:color w:val="auto"/>
              </w:rPr>
            </w:pPr>
            <w:r>
              <w:rPr>
                <w:rFonts w:ascii="Arial" w:cs="Arial" w:eastAsia="Arial" w:hAnsi="Arial"/>
                <w:sz w:val="18"/>
                <w:szCs w:val="18"/>
                <w:color w:val="auto"/>
              </w:rPr>
              <w:t>Commitments</w:t>
            </w:r>
          </w:p>
        </w:tc>
      </w:tr>
      <w:tr>
        <w:trPr>
          <w:trHeight w:val="216"/>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5.12</w:t>
            </w:r>
          </w:p>
        </w:tc>
        <w:tc>
          <w:tcPr>
            <w:tcW w:w="5200" w:type="dxa"/>
            <w:vAlign w:val="bottom"/>
          </w:tcPr>
          <w:p>
            <w:pPr>
              <w:ind w:left="80"/>
              <w:spacing w:after="0"/>
              <w:rPr>
                <w:sz w:val="20"/>
                <w:szCs w:val="20"/>
                <w:color w:val="auto"/>
              </w:rPr>
            </w:pPr>
            <w:r>
              <w:rPr>
                <w:rFonts w:ascii="Arial" w:cs="Arial" w:eastAsia="Arial" w:hAnsi="Arial"/>
                <w:sz w:val="18"/>
                <w:szCs w:val="18"/>
                <w:color w:val="auto"/>
              </w:rPr>
              <w:t>Subsidiaries and other Equity Investments</w:t>
            </w:r>
          </w:p>
        </w:tc>
      </w:tr>
      <w:tr>
        <w:trPr>
          <w:trHeight w:val="216"/>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7.01</w:t>
            </w:r>
          </w:p>
        </w:tc>
        <w:tc>
          <w:tcPr>
            <w:tcW w:w="5200" w:type="dxa"/>
            <w:vAlign w:val="bottom"/>
          </w:tcPr>
          <w:p>
            <w:pPr>
              <w:ind w:left="80"/>
              <w:spacing w:after="0"/>
              <w:rPr>
                <w:sz w:val="20"/>
                <w:szCs w:val="20"/>
                <w:color w:val="auto"/>
              </w:rPr>
            </w:pPr>
            <w:r>
              <w:rPr>
                <w:rFonts w:ascii="Arial" w:cs="Arial" w:eastAsia="Arial" w:hAnsi="Arial"/>
                <w:sz w:val="18"/>
                <w:szCs w:val="18"/>
                <w:color w:val="auto"/>
              </w:rPr>
              <w:t>Existing Liens</w:t>
            </w:r>
          </w:p>
        </w:tc>
      </w:tr>
      <w:tr>
        <w:trPr>
          <w:trHeight w:val="222"/>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10.02</w:t>
            </w:r>
          </w:p>
        </w:tc>
        <w:tc>
          <w:tcPr>
            <w:tcW w:w="5200" w:type="dxa"/>
            <w:vAlign w:val="bottom"/>
          </w:tcPr>
          <w:p>
            <w:pPr>
              <w:ind w:left="80"/>
              <w:spacing w:after="0"/>
              <w:rPr>
                <w:sz w:val="20"/>
                <w:szCs w:val="20"/>
                <w:color w:val="auto"/>
              </w:rPr>
            </w:pPr>
            <w:r>
              <w:rPr>
                <w:rFonts w:ascii="Arial" w:cs="Arial" w:eastAsia="Arial" w:hAnsi="Arial"/>
                <w:sz w:val="18"/>
                <w:szCs w:val="18"/>
                <w:color w:val="auto"/>
                <w:w w:val="89"/>
              </w:rPr>
              <w:t>Addresses for Notices to Borrower, Guarantor and Administrative Agent</w:t>
            </w:r>
          </w:p>
        </w:tc>
      </w:tr>
      <w:tr>
        <w:trPr>
          <w:trHeight w:val="378"/>
        </w:trPr>
        <w:tc>
          <w:tcPr>
            <w:tcW w:w="1120" w:type="dxa"/>
            <w:vAlign w:val="bottom"/>
          </w:tcPr>
          <w:p>
            <w:pPr>
              <w:spacing w:after="0"/>
              <w:rPr>
                <w:sz w:val="20"/>
                <w:szCs w:val="20"/>
                <w:color w:val="auto"/>
              </w:rPr>
            </w:pPr>
            <w:r>
              <w:rPr>
                <w:rFonts w:ascii="Arial" w:cs="Arial" w:eastAsia="Arial" w:hAnsi="Arial"/>
                <w:sz w:val="18"/>
                <w:szCs w:val="18"/>
                <w:color w:val="auto"/>
              </w:rPr>
              <w:t>EXHIBITS</w:t>
            </w:r>
          </w:p>
        </w:tc>
        <w:tc>
          <w:tcPr>
            <w:tcW w:w="5200" w:type="dxa"/>
            <w:vAlign w:val="bottom"/>
          </w:tcPr>
          <w:p>
            <w:pPr>
              <w:spacing w:after="0"/>
              <w:rPr>
                <w:sz w:val="24"/>
                <w:szCs w:val="24"/>
                <w:color w:val="auto"/>
              </w:rPr>
            </w:pPr>
          </w:p>
        </w:tc>
      </w:tr>
      <w:tr>
        <w:trPr>
          <w:trHeight w:val="419"/>
        </w:trPr>
        <w:tc>
          <w:tcPr>
            <w:tcW w:w="1120" w:type="dxa"/>
            <w:vAlign w:val="bottom"/>
          </w:tcPr>
          <w:p>
            <w:pPr>
              <w:spacing w:after="0"/>
              <w:rPr>
                <w:sz w:val="24"/>
                <w:szCs w:val="24"/>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Form of:</w:t>
            </w:r>
          </w:p>
        </w:tc>
      </w:tr>
      <w:tr>
        <w:trPr>
          <w:trHeight w:val="412"/>
        </w:trPr>
        <w:tc>
          <w:tcPr>
            <w:tcW w:w="1120" w:type="dxa"/>
            <w:vAlign w:val="bottom"/>
          </w:tcPr>
          <w:p>
            <w:pPr>
              <w:jc w:val="right"/>
              <w:ind w:right="172"/>
              <w:spacing w:after="0"/>
              <w:rPr>
                <w:sz w:val="20"/>
                <w:szCs w:val="20"/>
                <w:color w:val="auto"/>
              </w:rPr>
            </w:pPr>
            <w:r>
              <w:rPr>
                <w:rFonts w:ascii="Arial" w:cs="Arial" w:eastAsia="Arial" w:hAnsi="Arial"/>
                <w:sz w:val="18"/>
                <w:szCs w:val="18"/>
                <w:color w:val="auto"/>
              </w:rPr>
              <w:t>A-1</w:t>
            </w:r>
          </w:p>
        </w:tc>
        <w:tc>
          <w:tcPr>
            <w:tcW w:w="5200" w:type="dxa"/>
            <w:vAlign w:val="bottom"/>
          </w:tcPr>
          <w:p>
            <w:pPr>
              <w:ind w:left="700"/>
              <w:spacing w:after="0"/>
              <w:rPr>
                <w:sz w:val="20"/>
                <w:szCs w:val="20"/>
                <w:color w:val="auto"/>
              </w:rPr>
            </w:pPr>
            <w:r>
              <w:rPr>
                <w:rFonts w:ascii="Arial" w:cs="Arial" w:eastAsia="Arial" w:hAnsi="Arial"/>
                <w:sz w:val="18"/>
                <w:szCs w:val="18"/>
                <w:color w:val="auto"/>
              </w:rPr>
              <w:t>Borrowing Notice for Committed Loans</w:t>
            </w:r>
          </w:p>
        </w:tc>
      </w:tr>
      <w:tr>
        <w:trPr>
          <w:trHeight w:val="216"/>
        </w:trPr>
        <w:tc>
          <w:tcPr>
            <w:tcW w:w="1120" w:type="dxa"/>
            <w:vAlign w:val="bottom"/>
          </w:tcPr>
          <w:p>
            <w:pPr>
              <w:jc w:val="right"/>
              <w:ind w:right="172"/>
              <w:spacing w:after="0"/>
              <w:rPr>
                <w:sz w:val="20"/>
                <w:szCs w:val="20"/>
                <w:color w:val="auto"/>
              </w:rPr>
            </w:pPr>
            <w:r>
              <w:rPr>
                <w:rFonts w:ascii="Arial" w:cs="Arial" w:eastAsia="Arial" w:hAnsi="Arial"/>
                <w:sz w:val="18"/>
                <w:szCs w:val="18"/>
                <w:color w:val="auto"/>
              </w:rPr>
              <w:t>A-2</w:t>
            </w:r>
          </w:p>
        </w:tc>
        <w:tc>
          <w:tcPr>
            <w:tcW w:w="5200" w:type="dxa"/>
            <w:vAlign w:val="bottom"/>
          </w:tcPr>
          <w:p>
            <w:pPr>
              <w:ind w:left="700"/>
              <w:spacing w:after="0"/>
              <w:rPr>
                <w:sz w:val="20"/>
                <w:szCs w:val="20"/>
                <w:color w:val="auto"/>
              </w:rPr>
            </w:pPr>
            <w:r>
              <w:rPr>
                <w:rFonts w:ascii="Arial" w:cs="Arial" w:eastAsia="Arial" w:hAnsi="Arial"/>
                <w:sz w:val="18"/>
                <w:szCs w:val="18"/>
                <w:color w:val="auto"/>
              </w:rPr>
              <w:t>Conversion/Continuation Notice</w:t>
            </w:r>
          </w:p>
        </w:tc>
      </w:tr>
      <w:tr>
        <w:trPr>
          <w:trHeight w:val="222"/>
        </w:trPr>
        <w:tc>
          <w:tcPr>
            <w:tcW w:w="1120" w:type="dxa"/>
            <w:vAlign w:val="bottom"/>
          </w:tcPr>
          <w:p>
            <w:pPr>
              <w:jc w:val="right"/>
              <w:ind w:right="172"/>
              <w:spacing w:after="0"/>
              <w:rPr>
                <w:sz w:val="20"/>
                <w:szCs w:val="20"/>
                <w:color w:val="auto"/>
              </w:rPr>
            </w:pPr>
            <w:r>
              <w:rPr>
                <w:rFonts w:ascii="Arial" w:cs="Arial" w:eastAsia="Arial" w:hAnsi="Arial"/>
                <w:sz w:val="18"/>
                <w:szCs w:val="18"/>
                <w:color w:val="auto"/>
              </w:rPr>
              <w:t>A-3</w:t>
            </w:r>
          </w:p>
        </w:tc>
        <w:tc>
          <w:tcPr>
            <w:tcW w:w="5200" w:type="dxa"/>
            <w:vAlign w:val="bottom"/>
          </w:tcPr>
          <w:p>
            <w:pPr>
              <w:ind w:left="700"/>
              <w:spacing w:after="0"/>
              <w:rPr>
                <w:sz w:val="20"/>
                <w:szCs w:val="20"/>
                <w:color w:val="auto"/>
              </w:rPr>
            </w:pPr>
            <w:r>
              <w:rPr>
                <w:rFonts w:ascii="Arial" w:cs="Arial" w:eastAsia="Arial" w:hAnsi="Arial"/>
                <w:sz w:val="18"/>
                <w:szCs w:val="18"/>
                <w:color w:val="auto"/>
              </w:rPr>
              <w:t>Borrowing Notice for Swing Line Loans</w:t>
            </w:r>
          </w:p>
        </w:tc>
      </w:tr>
    </w:tbl>
    <w:p>
      <w:pPr>
        <w:ind w:left="1820" w:hanging="1238"/>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w:t>
      </w:r>
    </w:p>
    <w:p>
      <w:pPr>
        <w:spacing w:after="0" w:line="9" w:lineRule="exact"/>
        <w:rPr>
          <w:sz w:val="20"/>
          <w:szCs w:val="20"/>
          <w:color w:val="auto"/>
        </w:rPr>
      </w:pPr>
    </w:p>
    <w:p>
      <w:pPr>
        <w:ind w:left="1820" w:hanging="1238"/>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Compliance Certificate pursuant to </w:t>
      </w:r>
      <w:r>
        <w:rPr>
          <w:rFonts w:ascii="Arial" w:cs="Arial" w:eastAsia="Arial" w:hAnsi="Arial"/>
          <w:sz w:val="18"/>
          <w:szCs w:val="18"/>
          <w:b w:val="1"/>
          <w:bCs w:val="1"/>
          <w:i w:val="1"/>
          <w:iCs w:val="1"/>
          <w:color w:val="auto"/>
        </w:rPr>
        <w:t>Section 6.02(a)</w:t>
      </w:r>
    </w:p>
    <w:p>
      <w:pPr>
        <w:spacing w:after="0" w:line="9" w:lineRule="exact"/>
        <w:rPr>
          <w:sz w:val="20"/>
          <w:szCs w:val="20"/>
          <w:color w:val="auto"/>
        </w:rPr>
      </w:pPr>
    </w:p>
    <w:p>
      <w:pPr>
        <w:ind w:left="1820" w:hanging="1238"/>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Assignment and Assumption</w:t>
      </w:r>
    </w:p>
    <w:p>
      <w:pPr>
        <w:spacing w:after="0" w:line="9" w:lineRule="exact"/>
        <w:rPr>
          <w:sz w:val="20"/>
          <w:szCs w:val="20"/>
          <w:color w:val="auto"/>
        </w:rPr>
      </w:pPr>
    </w:p>
    <w:p>
      <w:pPr>
        <w:ind w:left="1820" w:hanging="1238"/>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Guaranty (MLP)</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F-1</w:t>
            </w:r>
          </w:p>
        </w:tc>
        <w:tc>
          <w:tcPr>
            <w:tcW w:w="2480" w:type="dxa"/>
            <w:vAlign w:val="bottom"/>
          </w:tcPr>
          <w:p>
            <w:pPr>
              <w:ind w:left="500"/>
              <w:spacing w:after="0"/>
              <w:rPr>
                <w:sz w:val="20"/>
                <w:szCs w:val="20"/>
                <w:color w:val="auto"/>
              </w:rPr>
            </w:pPr>
            <w:r>
              <w:rPr>
                <w:rFonts w:ascii="Arial" w:cs="Arial" w:eastAsia="Arial" w:hAnsi="Arial"/>
                <w:sz w:val="18"/>
                <w:szCs w:val="18"/>
                <w:color w:val="auto"/>
              </w:rPr>
              <w:t>Opinion of Counsel</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F-2</w:t>
            </w:r>
          </w:p>
        </w:tc>
        <w:tc>
          <w:tcPr>
            <w:tcW w:w="2480" w:type="dxa"/>
            <w:vAlign w:val="bottom"/>
          </w:tcPr>
          <w:p>
            <w:pPr>
              <w:ind w:left="500"/>
              <w:spacing w:after="0"/>
              <w:rPr>
                <w:sz w:val="20"/>
                <w:szCs w:val="20"/>
                <w:color w:val="auto"/>
              </w:rPr>
            </w:pPr>
            <w:r>
              <w:rPr>
                <w:rFonts w:ascii="Arial" w:cs="Arial" w:eastAsia="Arial" w:hAnsi="Arial"/>
                <w:sz w:val="18"/>
                <w:szCs w:val="18"/>
                <w:color w:val="auto"/>
                <w:w w:val="89"/>
              </w:rPr>
              <w:t>Opinion of Internal Counsel</w:t>
            </w:r>
          </w:p>
        </w:tc>
      </w:tr>
    </w:tbl>
    <w:p>
      <w:pPr>
        <w:spacing w:after="0" w:line="14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280"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AGREEMENT</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This CREDIT AGREEMENT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entered into as of August 8, 2007, among SUNOCO LOGISTICS PARTNERS OPERATIONS L.P., a Delaware limited partnership (the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SUNOCO LOGISTICS PARTNERS L.P., a Delaware limited partnership (the “</w:t>
      </w:r>
      <w:r>
        <w:rPr>
          <w:rFonts w:ascii="Arial" w:cs="Arial" w:eastAsia="Arial" w:hAnsi="Arial"/>
          <w:sz w:val="16"/>
          <w:szCs w:val="16"/>
          <w:b w:val="1"/>
          <w:bCs w:val="1"/>
          <w:i w:val="1"/>
          <w:iCs w:val="1"/>
          <w:color w:val="auto"/>
        </w:rPr>
        <w:t>MLP</w:t>
      </w:r>
      <w:r>
        <w:rPr>
          <w:rFonts w:ascii="Arial" w:cs="Arial" w:eastAsia="Arial" w:hAnsi="Arial"/>
          <w:sz w:val="16"/>
          <w:szCs w:val="16"/>
          <w:color w:val="auto"/>
        </w:rPr>
        <w:t>”), each lender from time to time party hereto (collectively, the “</w:t>
      </w:r>
      <w:r>
        <w:rPr>
          <w:rFonts w:ascii="Arial" w:cs="Arial" w:eastAsia="Arial" w:hAnsi="Arial"/>
          <w:sz w:val="16"/>
          <w:szCs w:val="16"/>
          <w:b w:val="1"/>
          <w:bCs w:val="1"/>
          <w:i w:val="1"/>
          <w:iCs w:val="1"/>
          <w:color w:val="auto"/>
        </w:rPr>
        <w:t>Lenders</w:t>
      </w:r>
      <w:r>
        <w:rPr>
          <w:rFonts w:ascii="Arial" w:cs="Arial" w:eastAsia="Arial" w:hAnsi="Arial"/>
          <w:sz w:val="16"/>
          <w:szCs w:val="16"/>
          <w:color w:val="auto"/>
        </w:rPr>
        <w:t>” and individually, a “</w:t>
      </w:r>
      <w:r>
        <w:rPr>
          <w:rFonts w:ascii="Arial" w:cs="Arial" w:eastAsia="Arial" w:hAnsi="Arial"/>
          <w:sz w:val="16"/>
          <w:szCs w:val="16"/>
          <w:b w:val="1"/>
          <w:bCs w:val="1"/>
          <w:i w:val="1"/>
          <w:iCs w:val="1"/>
          <w:color w:val="auto"/>
        </w:rPr>
        <w:t>Lender</w:t>
      </w:r>
      <w:r>
        <w:rPr>
          <w:rFonts w:ascii="Arial" w:cs="Arial" w:eastAsia="Arial" w:hAnsi="Arial"/>
          <w:sz w:val="16"/>
          <w:szCs w:val="16"/>
          <w:color w:val="auto"/>
        </w:rPr>
        <w:t>”), and CITIBANK, N.A., as Administrative Agent, Swing Line Lender and L/C Issuer.</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Borrower has requested that the Lenders provide a revolving credit facility with a letter of credit sub-facility, and the Lenders are willing to do so on the terms and conditions set forth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ACCOUNTING TERMS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 Defined Terms</w:t>
      </w:r>
      <w:r>
        <w:rPr>
          <w:rFonts w:ascii="Arial" w:cs="Arial" w:eastAsia="Arial" w:hAnsi="Arial"/>
          <w:sz w:val="18"/>
          <w:szCs w:val="18"/>
          <w:color w:val="auto"/>
        </w:rPr>
        <w:t>. As used in this Agreement, the following terms shall have the meanings set forth below:</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6.125% Senior Note Indenture </w:t>
      </w:r>
      <w:r>
        <w:rPr>
          <w:rFonts w:ascii="Arial" w:cs="Arial" w:eastAsia="Arial" w:hAnsi="Arial"/>
          <w:sz w:val="18"/>
          <w:szCs w:val="18"/>
          <w:color w:val="auto"/>
        </w:rPr>
        <w:t>means the Indenture dated December 16, 2005 by and among Borrower as issuer, the MLP as guarantor, Sunoco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&amp; Terminals and Sunoco Pipeline L.P. as subsidiary guarantors, and U.S. Bank National Association (appointed successor to Citibank, N.A.) as trustee, together with the First Supplemental Indenture dated as of May 8, 2006.</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6.125% Senior Note Subsidiary Guarantees </w:t>
      </w:r>
      <w:r>
        <w:rPr>
          <w:rFonts w:ascii="Arial" w:cs="Arial" w:eastAsia="Arial" w:hAnsi="Arial"/>
          <w:sz w:val="18"/>
          <w:szCs w:val="18"/>
          <w:color w:val="auto"/>
        </w:rPr>
        <w:t>means the guarantees of the Subsidiary Guarantors (as defined in the 6.125% Senior Note Indenture)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arising under the 6.125% Senior Notes and the 6.125% Senior Note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6.125% Senior Notes </w:t>
      </w:r>
      <w:r>
        <w:rPr>
          <w:rFonts w:ascii="Arial" w:cs="Arial" w:eastAsia="Arial" w:hAnsi="Arial"/>
          <w:sz w:val="18"/>
          <w:szCs w:val="18"/>
          <w:color w:val="auto"/>
        </w:rPr>
        <w:t>means those certain 6.125% Senior Notes due 2016 issued pursuant to the 6.125% Senior Note Indenture.</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7.25% Senior Note Indenture </w:t>
      </w:r>
      <w:r>
        <w:rPr>
          <w:rFonts w:ascii="Arial" w:cs="Arial" w:eastAsia="Arial" w:hAnsi="Arial"/>
          <w:sz w:val="18"/>
          <w:szCs w:val="18"/>
          <w:color w:val="auto"/>
        </w:rPr>
        <w:t>means that certain Indenture dated May 8, 2006 by and among Borrower as issuer, the MLP as guarantor, Sunoco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&amp; Terminals and Sunoco Pipeline L.P. as subsidiary guarantors, and Wachovia Bank, National Association (successor by merger to First Union National Bank) as trustee.</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7.25% Senior Note Subsidiary Guarantees </w:t>
      </w:r>
      <w:r>
        <w:rPr>
          <w:rFonts w:ascii="Arial" w:cs="Arial" w:eastAsia="Arial" w:hAnsi="Arial"/>
          <w:sz w:val="18"/>
          <w:szCs w:val="18"/>
          <w:color w:val="auto"/>
        </w:rPr>
        <w:t>means the guarantees of the Subsidiary Guarantors (as defined in the 7.25% Senior Note Indenture)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arising under the 7.25% Senior Notes and the 7.25% Senior Note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7.25% Senior Notes </w:t>
      </w:r>
      <w:r>
        <w:rPr>
          <w:rFonts w:ascii="Arial" w:cs="Arial" w:eastAsia="Arial" w:hAnsi="Arial"/>
          <w:sz w:val="18"/>
          <w:szCs w:val="18"/>
          <w:color w:val="auto"/>
        </w:rPr>
        <w:t>means those certain 7.25% Senior Notes due 2012 issued pursuant to the 7.25% Senior Note Indenture.</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Acquisition </w:t>
      </w:r>
      <w:r>
        <w:rPr>
          <w:rFonts w:ascii="Arial" w:cs="Arial" w:eastAsia="Arial" w:hAnsi="Arial"/>
          <w:sz w:val="16"/>
          <w:szCs w:val="16"/>
          <w:color w:val="auto"/>
        </w:rPr>
        <w:t>means any transaction or series of related transactions for the purpose of, or resulting in, directly or indirectly, (a) the acquisition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Company of all or substantially all of the assets of a Person or of any business or division of a Person; (b) the acquisition by a Company of more than 50% of any class of Voting Stock (or similar ownership interests) of any Person; or (c) a merger, consolidation, amalgamation, or other combination by a Company with another Person if a Company is the surviving entity, </w:t>
      </w:r>
      <w:r>
        <w:rPr>
          <w:rFonts w:ascii="Arial" w:cs="Arial" w:eastAsia="Arial" w:hAnsi="Arial"/>
          <w:sz w:val="16"/>
          <w:szCs w:val="16"/>
          <w:i w:val="1"/>
          <w:iCs w:val="1"/>
          <w:color w:val="auto"/>
        </w:rPr>
        <w:t>provided that</w:t>
      </w:r>
      <w:r>
        <w:rPr>
          <w:rFonts w:ascii="Arial" w:cs="Arial" w:eastAsia="Arial" w:hAnsi="Arial"/>
          <w:sz w:val="16"/>
          <w:szCs w:val="16"/>
          <w:color w:val="auto"/>
        </w:rPr>
        <w:t>, (i) in any merger involving the Borrower, the Borrower must be the surviving entity; and (ii) in any merger involving a Wholly-Owned Subsidiary and another Subsidiary, a Wholly-Owned Subsidiary shall be the survivor.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0" w:name="page11"/>
    <w:bookmarkEnd w:id="10"/>
    <w:p>
      <w:pPr>
        <w:ind w:firstLine="456"/>
        <w:spacing w:after="0" w:line="289"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Acquisition Period </w:t>
      </w:r>
      <w:r>
        <w:rPr>
          <w:rFonts w:ascii="Arial" w:cs="Arial" w:eastAsia="Arial" w:hAnsi="Arial"/>
          <w:sz w:val="16"/>
          <w:szCs w:val="16"/>
          <w:color w:val="auto"/>
        </w:rPr>
        <w:t>means the period beginning with the payment of the purchase price for a Specified Acquisition (the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Acquisition Closing Date</w:t>
      </w:r>
      <w:r>
        <w:rPr>
          <w:rFonts w:ascii="Arial" w:cs="Arial" w:eastAsia="Arial" w:hAnsi="Arial"/>
          <w:sz w:val="16"/>
          <w:szCs w:val="16"/>
          <w:color w:val="auto"/>
        </w:rPr>
        <w: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ending on the earlier of (a) 270 days after the commencement of such period or (b) the date on which the Borrower is in compliance with </w:t>
      </w:r>
      <w:r>
        <w:rPr>
          <w:rFonts w:ascii="Arial" w:cs="Arial" w:eastAsia="Arial" w:hAnsi="Arial"/>
          <w:sz w:val="16"/>
          <w:szCs w:val="16"/>
          <w:b w:val="1"/>
          <w:bCs w:val="1"/>
          <w:i w:val="1"/>
          <w:iCs w:val="1"/>
          <w:color w:val="auto"/>
        </w:rPr>
        <w:t>Section 7.14</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w:t>
      </w:r>
      <w:r>
        <w:rPr>
          <w:rFonts w:ascii="Arial" w:cs="Arial" w:eastAsia="Arial" w:hAnsi="Arial"/>
          <w:sz w:val="16"/>
          <w:szCs w:val="16"/>
          <w:color w:val="auto"/>
        </w:rPr>
        <w:t>during any Acquisition Period, no additional Acquisition Period shall commence, nor shall such Acquisition Period be extended, by any subsequent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Acquisition until the current Acquisition Period shall have terminated and Borrower shall be in compliance with </w:t>
      </w:r>
      <w:r>
        <w:rPr>
          <w:rFonts w:ascii="Arial" w:cs="Arial" w:eastAsia="Arial" w:hAnsi="Arial"/>
          <w:sz w:val="16"/>
          <w:szCs w:val="16"/>
          <w:b w:val="1"/>
          <w:bCs w:val="1"/>
          <w:i w:val="1"/>
          <w:iCs w:val="1"/>
          <w:color w:val="auto"/>
        </w:rPr>
        <w:t>Section 7.14</w:t>
      </w:r>
      <w:r>
        <w:rPr>
          <w:rFonts w:ascii="Arial" w:cs="Arial" w:eastAsia="Arial" w:hAnsi="Arial"/>
          <w:sz w:val="16"/>
          <w:szCs w:val="16"/>
          <w:color w:val="auto"/>
        </w:rPr>
        <w:t>. As used above, “</w:t>
      </w:r>
      <w:r>
        <w:rPr>
          <w:rFonts w:ascii="Arial" w:cs="Arial" w:eastAsia="Arial" w:hAnsi="Arial"/>
          <w:sz w:val="16"/>
          <w:szCs w:val="16"/>
          <w:b w:val="1"/>
          <w:bCs w:val="1"/>
          <w:i w:val="1"/>
          <w:iCs w:val="1"/>
          <w:color w:val="auto"/>
        </w:rPr>
        <w:t>Specified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means an Acquisition or an Investment in a Permitted Joint Venture (a) for which the aggregate purchase price, when added to the aggregate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price for other Acquisitions and Investments in Permitted Joint Ventures closed during the twelve (12) calendar month period ending on the Acquisition Closing Date of such Acquisition or Investment, exceeds $50,000,000, and (b) which is designated by the Borrower (by written notice to the Administrative Agent) as a “</w:t>
      </w:r>
      <w:r>
        <w:rPr>
          <w:rFonts w:ascii="Arial" w:cs="Arial" w:eastAsia="Arial" w:hAnsi="Arial"/>
          <w:sz w:val="16"/>
          <w:szCs w:val="16"/>
          <w:i w:val="1"/>
          <w:iCs w:val="1"/>
          <w:color w:val="auto"/>
        </w:rPr>
        <w:t>Specified Acquisition</w:t>
      </w:r>
      <w:r>
        <w:rPr>
          <w:rFonts w:ascii="Arial" w:cs="Arial" w:eastAsia="Arial" w:hAnsi="Arial"/>
          <w:sz w:val="16"/>
          <w:szCs w:val="16"/>
          <w:color w:val="auto"/>
        </w:rPr>
        <w:t>”, such designation to be made at any time within 270 days after the Acquisition Closing Date of such Acquisition or Investment.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Administrative Agent </w:t>
      </w:r>
      <w:r>
        <w:rPr>
          <w:rFonts w:ascii="Arial" w:cs="Arial" w:eastAsia="Arial" w:hAnsi="Arial"/>
          <w:sz w:val="16"/>
          <w:szCs w:val="16"/>
          <w:color w:val="auto"/>
        </w:rPr>
        <w:t>means Citibank in its capacity as administrative agent under any of the Loan Documents, or any successor administrative agent.</w:t>
      </w:r>
    </w:p>
    <w:p>
      <w:pPr>
        <w:spacing w:after="0" w:line="19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Administrative Agent’s Office </w:t>
      </w:r>
      <w:r>
        <w:rPr>
          <w:rFonts w:ascii="Arial" w:cs="Arial" w:eastAsia="Arial" w:hAnsi="Arial"/>
          <w:sz w:val="18"/>
          <w:szCs w:val="18"/>
          <w:color w:val="auto"/>
        </w:rPr>
        <w:t>means the Administrative Agent’s address and, as appropriate, account as set forth on</w:t>
      </w:r>
      <w:r>
        <w:rPr>
          <w:rFonts w:ascii="Arial" w:cs="Arial" w:eastAsia="Arial" w:hAnsi="Arial"/>
          <w:sz w:val="18"/>
          <w:szCs w:val="18"/>
          <w:b w:val="1"/>
          <w:bCs w:val="1"/>
          <w:i w:val="1"/>
          <w:iCs w:val="1"/>
          <w:color w:val="auto"/>
        </w:rPr>
        <w:t xml:space="preserve"> Schedule 10.02</w:t>
      </w:r>
      <w:r>
        <w:rPr>
          <w:rFonts w:ascii="Arial" w:cs="Arial" w:eastAsia="Arial" w:hAnsi="Arial"/>
          <w:sz w:val="18"/>
          <w:szCs w:val="18"/>
          <w:color w:val="auto"/>
        </w:rPr>
        <w:t>, or such other address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account as the Administrative Agent may from time to time notify to the Borrower and the Lenders.</w:t>
      </w:r>
    </w:p>
    <w:p>
      <w:pPr>
        <w:spacing w:after="0" w:line="132"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Administrative Details Form </w:t>
      </w:r>
      <w:r>
        <w:rPr>
          <w:rFonts w:ascii="Arial" w:cs="Arial" w:eastAsia="Arial" w:hAnsi="Arial"/>
          <w:sz w:val="18"/>
          <w:szCs w:val="18"/>
          <w:color w:val="auto"/>
        </w:rPr>
        <w:t>means the Administrative Details Form furnished by a Lender to the Administrative Agent in connection with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with respect to a specified Person, another Person that directly, or indirectly through one or more intermediaries, Controls or is Controlled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or is under common Control with the Person specified.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Agent/Arranger Fee Letter </w:t>
      </w:r>
      <w:r>
        <w:rPr>
          <w:rFonts w:ascii="Arial" w:cs="Arial" w:eastAsia="Arial" w:hAnsi="Arial"/>
          <w:sz w:val="18"/>
          <w:szCs w:val="18"/>
          <w:color w:val="auto"/>
        </w:rPr>
        <w:t>has the meaning specified in</w:t>
      </w:r>
      <w:r>
        <w:rPr>
          <w:rFonts w:ascii="Arial" w:cs="Arial" w:eastAsia="Arial" w:hAnsi="Arial"/>
          <w:sz w:val="18"/>
          <w:szCs w:val="18"/>
          <w:b w:val="1"/>
          <w:bCs w:val="1"/>
          <w:i w:val="1"/>
          <w:iCs w:val="1"/>
          <w:color w:val="auto"/>
        </w:rPr>
        <w:t xml:space="preserve"> Section 2.08(c)</w:t>
      </w:r>
      <w:r>
        <w:rPr>
          <w:rFonts w:ascii="Arial" w:cs="Arial" w:eastAsia="Arial" w:hAnsi="Arial"/>
          <w:sz w:val="18"/>
          <w:szCs w:val="18"/>
          <w:i w:val="1"/>
          <w:iCs w:val="1"/>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Aggregate Commitments </w:t>
      </w:r>
      <w:r>
        <w:rPr>
          <w:rFonts w:ascii="Arial" w:cs="Arial" w:eastAsia="Arial" w:hAnsi="Arial"/>
          <w:sz w:val="18"/>
          <w:szCs w:val="18"/>
          <w:color w:val="auto"/>
        </w:rPr>
        <w:t>has the meaning set forth in the definition of “</w:t>
      </w:r>
      <w:r>
        <w:rPr>
          <w:rFonts w:ascii="Arial" w:cs="Arial" w:eastAsia="Arial" w:hAnsi="Arial"/>
          <w:sz w:val="18"/>
          <w:szCs w:val="18"/>
          <w:b w:val="1"/>
          <w:bCs w:val="1"/>
          <w:i w:val="1"/>
          <w:iCs w:val="1"/>
          <w:color w:val="auto"/>
        </w:rPr>
        <w:t>Commitment</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Aggregate Committed Sum </w:t>
      </w:r>
      <w:r>
        <w:rPr>
          <w:rFonts w:ascii="Arial" w:cs="Arial" w:eastAsia="Arial" w:hAnsi="Arial"/>
          <w:sz w:val="18"/>
          <w:szCs w:val="18"/>
          <w:color w:val="auto"/>
        </w:rPr>
        <w:t>means, on any date of determination, the sum of all Committed Sums then in effect for all Lenders (as the same may have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reduced, increased or canceled as provided in the Loan Documents).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Agreement </w:t>
      </w:r>
      <w:r>
        <w:rPr>
          <w:rFonts w:ascii="Arial" w:cs="Arial" w:eastAsia="Arial" w:hAnsi="Arial"/>
          <w:sz w:val="18"/>
          <w:szCs w:val="18"/>
          <w:color w:val="auto"/>
        </w:rPr>
        <w:t>means this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Anniversary Date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Section 2.14(a)</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Applicable Rate </w:t>
      </w:r>
      <w:r>
        <w:rPr>
          <w:rFonts w:ascii="Arial" w:cs="Arial" w:eastAsia="Arial" w:hAnsi="Arial"/>
          <w:sz w:val="16"/>
          <w:szCs w:val="16"/>
          <w:color w:val="auto"/>
        </w:rPr>
        <w:t>means the following percentages per annum (stated in terms of basis points) set forth in the table below, on any date of determination,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the Type of Borrowing or facility fee that corresponds to the Pricing Level, as determined based upon the Borrower’s Debt Rating.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1" w:name="page12"/>
    <w:bookmarkEnd w:id="11"/>
    <w:tbl>
      <w:tblPr>
        <w:tblLayout w:type="fixed"/>
        <w:tblInd w:w="92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Applicable Rate</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Eurodollar</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Rate Loans,</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Pricing</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Swing Line</w:t>
            </w:r>
          </w:p>
        </w:tc>
        <w:tc>
          <w:tcPr>
            <w:tcW w:w="7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Applicable</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Loans, and</w:t>
            </w:r>
          </w:p>
        </w:tc>
        <w:tc>
          <w:tcPr>
            <w:tcW w:w="7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Rate for Base</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700" w:type="dxa"/>
            <w:vAlign w:val="bottom"/>
          </w:tcPr>
          <w:p>
            <w:pPr>
              <w:spacing w:after="0"/>
              <w:rPr>
                <w:sz w:val="15"/>
                <w:szCs w:val="15"/>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Debt Rating</w:t>
            </w:r>
          </w:p>
        </w:tc>
        <w:tc>
          <w:tcPr>
            <w:tcW w:w="7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Facility Fee</w:t>
            </w:r>
          </w:p>
        </w:tc>
        <w:tc>
          <w:tcPr>
            <w:tcW w:w="72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Letters of Credit</w:t>
            </w:r>
          </w:p>
        </w:tc>
        <w:tc>
          <w:tcPr>
            <w:tcW w:w="7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Rate Loans</w:t>
            </w:r>
          </w:p>
        </w:tc>
        <w:tc>
          <w:tcPr>
            <w:tcW w:w="7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Utilization Fee</w:t>
            </w:r>
          </w:p>
        </w:tc>
        <w:tc>
          <w:tcPr>
            <w:tcW w:w="0" w:type="dxa"/>
            <w:vAlign w:val="bottom"/>
          </w:tcPr>
          <w:p>
            <w:pPr>
              <w:spacing w:after="0"/>
              <w:rPr>
                <w:sz w:val="1"/>
                <w:szCs w:val="1"/>
                <w:color w:val="auto"/>
              </w:rPr>
            </w:pPr>
          </w:p>
        </w:tc>
      </w:tr>
      <w:tr>
        <w:trPr>
          <w:trHeight w:val="163"/>
        </w:trPr>
        <w:tc>
          <w:tcPr>
            <w:tcW w:w="1380" w:type="dxa"/>
            <w:vAlign w:val="bottom"/>
          </w:tcPr>
          <w:p>
            <w:pPr>
              <w:jc w:val="center"/>
              <w:spacing w:after="0" w:line="163" w:lineRule="exact"/>
              <w:rPr>
                <w:sz w:val="20"/>
                <w:szCs w:val="20"/>
                <w:color w:val="auto"/>
              </w:rPr>
            </w:pPr>
            <w:r>
              <w:rPr>
                <w:rFonts w:ascii="Arial" w:cs="Arial" w:eastAsia="Arial" w:hAnsi="Arial"/>
                <w:sz w:val="18"/>
                <w:szCs w:val="18"/>
                <w:color w:val="auto"/>
                <w:w w:val="79"/>
              </w:rPr>
              <w:t>1</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center"/>
              <w:ind w:right="420"/>
              <w:spacing w:after="0" w:line="163" w:lineRule="exact"/>
              <w:rPr>
                <w:sz w:val="20"/>
                <w:szCs w:val="20"/>
                <w:color w:val="auto"/>
              </w:rPr>
            </w:pPr>
            <w:r>
              <w:rPr>
                <w:rFonts w:ascii="Arial" w:cs="Arial" w:eastAsia="Arial" w:hAnsi="Arial"/>
                <w:sz w:val="18"/>
                <w:szCs w:val="18"/>
                <w:color w:val="auto"/>
                <w:w w:val="95"/>
              </w:rPr>
              <w:t>&gt; A/A2</w:t>
            </w:r>
          </w:p>
        </w:tc>
        <w:tc>
          <w:tcPr>
            <w:tcW w:w="720" w:type="dxa"/>
            <w:vAlign w:val="bottom"/>
          </w:tcPr>
          <w:p>
            <w:pPr>
              <w:spacing w:after="0"/>
              <w:rPr>
                <w:sz w:val="14"/>
                <w:szCs w:val="14"/>
                <w:color w:val="auto"/>
              </w:rPr>
            </w:pPr>
          </w:p>
        </w:tc>
        <w:tc>
          <w:tcPr>
            <w:tcW w:w="660" w:type="dxa"/>
            <w:vAlign w:val="bottom"/>
          </w:tcPr>
          <w:p>
            <w:pPr>
              <w:jc w:val="right"/>
              <w:ind w:right="102"/>
              <w:spacing w:after="0" w:line="163" w:lineRule="exact"/>
              <w:rPr>
                <w:sz w:val="20"/>
                <w:szCs w:val="20"/>
                <w:color w:val="auto"/>
              </w:rPr>
            </w:pPr>
            <w:r>
              <w:rPr>
                <w:rFonts w:ascii="Arial" w:cs="Arial" w:eastAsia="Arial" w:hAnsi="Arial"/>
                <w:sz w:val="18"/>
                <w:szCs w:val="18"/>
                <w:color w:val="auto"/>
              </w:rPr>
              <w:t>4.5</w:t>
            </w:r>
          </w:p>
        </w:tc>
        <w:tc>
          <w:tcPr>
            <w:tcW w:w="720" w:type="dxa"/>
            <w:vAlign w:val="bottom"/>
          </w:tcPr>
          <w:p>
            <w:pPr>
              <w:spacing w:after="0"/>
              <w:rPr>
                <w:sz w:val="14"/>
                <w:szCs w:val="14"/>
                <w:color w:val="auto"/>
              </w:rPr>
            </w:pPr>
          </w:p>
        </w:tc>
        <w:tc>
          <w:tcPr>
            <w:tcW w:w="980" w:type="dxa"/>
            <w:vAlign w:val="bottom"/>
          </w:tcPr>
          <w:p>
            <w:pPr>
              <w:jc w:val="center"/>
              <w:spacing w:after="0" w:line="163" w:lineRule="exact"/>
              <w:rPr>
                <w:sz w:val="20"/>
                <w:szCs w:val="20"/>
                <w:color w:val="auto"/>
              </w:rPr>
            </w:pPr>
            <w:r>
              <w:rPr>
                <w:rFonts w:ascii="Arial" w:cs="Arial" w:eastAsia="Arial" w:hAnsi="Arial"/>
                <w:sz w:val="18"/>
                <w:szCs w:val="18"/>
                <w:color w:val="auto"/>
                <w:w w:val="85"/>
              </w:rPr>
              <w:t>18.0</w:t>
            </w:r>
          </w:p>
        </w:tc>
        <w:tc>
          <w:tcPr>
            <w:tcW w:w="720" w:type="dxa"/>
            <w:vAlign w:val="bottom"/>
          </w:tcPr>
          <w:p>
            <w:pPr>
              <w:spacing w:after="0"/>
              <w:rPr>
                <w:sz w:val="14"/>
                <w:szCs w:val="14"/>
                <w:color w:val="auto"/>
              </w:rPr>
            </w:pPr>
          </w:p>
        </w:tc>
        <w:tc>
          <w:tcPr>
            <w:tcW w:w="780" w:type="dxa"/>
            <w:vAlign w:val="bottom"/>
          </w:tcPr>
          <w:p>
            <w:pPr>
              <w:jc w:val="center"/>
              <w:spacing w:after="0" w:line="163" w:lineRule="exact"/>
              <w:rPr>
                <w:sz w:val="20"/>
                <w:szCs w:val="20"/>
                <w:color w:val="auto"/>
              </w:rPr>
            </w:pPr>
            <w:r>
              <w:rPr>
                <w:rFonts w:ascii="Arial" w:cs="Arial" w:eastAsia="Arial" w:hAnsi="Arial"/>
                <w:sz w:val="18"/>
                <w:szCs w:val="18"/>
                <w:color w:val="auto"/>
                <w:w w:val="79"/>
              </w:rPr>
              <w:t>0</w:t>
            </w:r>
          </w:p>
        </w:tc>
        <w:tc>
          <w:tcPr>
            <w:tcW w:w="720" w:type="dxa"/>
            <w:vAlign w:val="bottom"/>
          </w:tcPr>
          <w:p>
            <w:pPr>
              <w:spacing w:after="0"/>
              <w:rPr>
                <w:sz w:val="14"/>
                <w:szCs w:val="14"/>
                <w:color w:val="auto"/>
              </w:rPr>
            </w:pPr>
          </w:p>
        </w:tc>
        <w:tc>
          <w:tcPr>
            <w:tcW w:w="840" w:type="dxa"/>
            <w:vAlign w:val="bottom"/>
          </w:tcPr>
          <w:p>
            <w:pPr>
              <w:jc w:val="right"/>
              <w:ind w:right="202"/>
              <w:spacing w:after="0" w:line="163"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3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A-/A3</w:t>
            </w: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5.0</w:t>
            </w:r>
          </w:p>
        </w:tc>
        <w:tc>
          <w:tcPr>
            <w:tcW w:w="1700" w:type="dxa"/>
            <w:vAlign w:val="bottom"/>
            <w:gridSpan w:val="2"/>
          </w:tcPr>
          <w:p>
            <w:pPr>
              <w:jc w:val="center"/>
              <w:ind w:left="632"/>
              <w:spacing w:after="0"/>
              <w:rPr>
                <w:sz w:val="20"/>
                <w:szCs w:val="20"/>
                <w:color w:val="auto"/>
              </w:rPr>
            </w:pPr>
            <w:r>
              <w:rPr>
                <w:rFonts w:ascii="Arial" w:cs="Arial" w:eastAsia="Arial" w:hAnsi="Arial"/>
                <w:sz w:val="18"/>
                <w:szCs w:val="18"/>
                <w:color w:val="auto"/>
                <w:w w:val="85"/>
              </w:rPr>
              <w:t>20.0</w:t>
            </w:r>
          </w:p>
        </w:tc>
        <w:tc>
          <w:tcPr>
            <w:tcW w:w="1500" w:type="dxa"/>
            <w:vAlign w:val="bottom"/>
            <w:gridSpan w:val="2"/>
          </w:tcPr>
          <w:p>
            <w:pPr>
              <w:jc w:val="center"/>
              <w:ind w:left="612"/>
              <w:spacing w:after="0"/>
              <w:rPr>
                <w:sz w:val="20"/>
                <w:szCs w:val="20"/>
                <w:color w:val="auto"/>
              </w:rPr>
            </w:pPr>
            <w:r>
              <w:rPr>
                <w:rFonts w:ascii="Arial" w:cs="Arial" w:eastAsia="Arial" w:hAnsi="Arial"/>
                <w:sz w:val="18"/>
                <w:szCs w:val="18"/>
                <w:color w:val="auto"/>
                <w:w w:val="79"/>
              </w:rPr>
              <w:t>0</w:t>
            </w:r>
          </w:p>
        </w:tc>
        <w:tc>
          <w:tcPr>
            <w:tcW w:w="1560" w:type="dxa"/>
            <w:vAlign w:val="bottom"/>
            <w:gridSpan w:val="2"/>
          </w:tcPr>
          <w:p>
            <w:pPr>
              <w:jc w:val="right"/>
              <w:ind w:right="20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70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1"/>
              </w:rPr>
              <w:t>BBB+/Baa1</w:t>
            </w: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7.0</w:t>
            </w:r>
          </w:p>
        </w:tc>
        <w:tc>
          <w:tcPr>
            <w:tcW w:w="1700" w:type="dxa"/>
            <w:vAlign w:val="bottom"/>
            <w:gridSpan w:val="2"/>
          </w:tcPr>
          <w:p>
            <w:pPr>
              <w:jc w:val="center"/>
              <w:ind w:left="632"/>
              <w:spacing w:after="0"/>
              <w:rPr>
                <w:sz w:val="20"/>
                <w:szCs w:val="20"/>
                <w:color w:val="auto"/>
              </w:rPr>
            </w:pPr>
            <w:r>
              <w:rPr>
                <w:rFonts w:ascii="Arial" w:cs="Arial" w:eastAsia="Arial" w:hAnsi="Arial"/>
                <w:sz w:val="18"/>
                <w:szCs w:val="18"/>
                <w:color w:val="auto"/>
                <w:w w:val="85"/>
              </w:rPr>
              <w:t>23.0</w:t>
            </w:r>
          </w:p>
        </w:tc>
        <w:tc>
          <w:tcPr>
            <w:tcW w:w="1500" w:type="dxa"/>
            <w:vAlign w:val="bottom"/>
            <w:gridSpan w:val="2"/>
          </w:tcPr>
          <w:p>
            <w:pPr>
              <w:jc w:val="center"/>
              <w:ind w:left="612"/>
              <w:spacing w:after="0"/>
              <w:rPr>
                <w:sz w:val="20"/>
                <w:szCs w:val="20"/>
                <w:color w:val="auto"/>
              </w:rPr>
            </w:pPr>
            <w:r>
              <w:rPr>
                <w:rFonts w:ascii="Arial" w:cs="Arial" w:eastAsia="Arial" w:hAnsi="Arial"/>
                <w:sz w:val="18"/>
                <w:szCs w:val="18"/>
                <w:color w:val="auto"/>
                <w:w w:val="79"/>
              </w:rPr>
              <w:t>0</w:t>
            </w:r>
          </w:p>
        </w:tc>
        <w:tc>
          <w:tcPr>
            <w:tcW w:w="1560" w:type="dxa"/>
            <w:vAlign w:val="bottom"/>
            <w:gridSpan w:val="2"/>
          </w:tcPr>
          <w:p>
            <w:pPr>
              <w:jc w:val="right"/>
              <w:ind w:right="20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0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1"/>
              </w:rPr>
              <w:t>BBB/Baa2</w:t>
            </w: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9.0</w:t>
            </w:r>
          </w:p>
        </w:tc>
        <w:tc>
          <w:tcPr>
            <w:tcW w:w="1700" w:type="dxa"/>
            <w:vAlign w:val="bottom"/>
            <w:gridSpan w:val="2"/>
          </w:tcPr>
          <w:p>
            <w:pPr>
              <w:jc w:val="center"/>
              <w:ind w:left="632"/>
              <w:spacing w:after="0"/>
              <w:rPr>
                <w:sz w:val="20"/>
                <w:szCs w:val="20"/>
                <w:color w:val="auto"/>
              </w:rPr>
            </w:pPr>
            <w:r>
              <w:rPr>
                <w:rFonts w:ascii="Arial" w:cs="Arial" w:eastAsia="Arial" w:hAnsi="Arial"/>
                <w:sz w:val="18"/>
                <w:szCs w:val="18"/>
                <w:color w:val="auto"/>
                <w:w w:val="85"/>
              </w:rPr>
              <w:t>31.0</w:t>
            </w:r>
          </w:p>
        </w:tc>
        <w:tc>
          <w:tcPr>
            <w:tcW w:w="1500" w:type="dxa"/>
            <w:vAlign w:val="bottom"/>
            <w:gridSpan w:val="2"/>
          </w:tcPr>
          <w:p>
            <w:pPr>
              <w:jc w:val="center"/>
              <w:ind w:left="612"/>
              <w:spacing w:after="0"/>
              <w:rPr>
                <w:sz w:val="20"/>
                <w:szCs w:val="20"/>
                <w:color w:val="auto"/>
              </w:rPr>
            </w:pPr>
            <w:r>
              <w:rPr>
                <w:rFonts w:ascii="Arial" w:cs="Arial" w:eastAsia="Arial" w:hAnsi="Arial"/>
                <w:sz w:val="18"/>
                <w:szCs w:val="18"/>
                <w:color w:val="auto"/>
                <w:w w:val="79"/>
              </w:rPr>
              <w:t>0</w:t>
            </w:r>
          </w:p>
        </w:tc>
        <w:tc>
          <w:tcPr>
            <w:tcW w:w="1560" w:type="dxa"/>
            <w:vAlign w:val="bottom"/>
            <w:gridSpan w:val="2"/>
          </w:tcPr>
          <w:p>
            <w:pPr>
              <w:jc w:val="right"/>
              <w:ind w:right="20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70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2"/>
              </w:rPr>
              <w:t>BBB-/Baa3</w:t>
            </w: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11.0</w:t>
            </w:r>
          </w:p>
        </w:tc>
        <w:tc>
          <w:tcPr>
            <w:tcW w:w="1700" w:type="dxa"/>
            <w:vAlign w:val="bottom"/>
            <w:gridSpan w:val="2"/>
          </w:tcPr>
          <w:p>
            <w:pPr>
              <w:jc w:val="center"/>
              <w:ind w:left="632"/>
              <w:spacing w:after="0"/>
              <w:rPr>
                <w:sz w:val="20"/>
                <w:szCs w:val="20"/>
                <w:color w:val="auto"/>
              </w:rPr>
            </w:pPr>
            <w:r>
              <w:rPr>
                <w:rFonts w:ascii="Arial" w:cs="Arial" w:eastAsia="Arial" w:hAnsi="Arial"/>
                <w:sz w:val="18"/>
                <w:szCs w:val="18"/>
                <w:color w:val="auto"/>
                <w:w w:val="85"/>
              </w:rPr>
              <w:t>44.0</w:t>
            </w:r>
          </w:p>
        </w:tc>
        <w:tc>
          <w:tcPr>
            <w:tcW w:w="1500" w:type="dxa"/>
            <w:vAlign w:val="bottom"/>
            <w:gridSpan w:val="2"/>
          </w:tcPr>
          <w:p>
            <w:pPr>
              <w:jc w:val="center"/>
              <w:ind w:left="612"/>
              <w:spacing w:after="0"/>
              <w:rPr>
                <w:sz w:val="20"/>
                <w:szCs w:val="20"/>
                <w:color w:val="auto"/>
              </w:rPr>
            </w:pPr>
            <w:r>
              <w:rPr>
                <w:rFonts w:ascii="Arial" w:cs="Arial" w:eastAsia="Arial" w:hAnsi="Arial"/>
                <w:sz w:val="18"/>
                <w:szCs w:val="18"/>
                <w:color w:val="auto"/>
                <w:w w:val="79"/>
              </w:rPr>
              <w:t>0</w:t>
            </w:r>
          </w:p>
        </w:tc>
        <w:tc>
          <w:tcPr>
            <w:tcW w:w="1560" w:type="dxa"/>
            <w:vAlign w:val="bottom"/>
            <w:gridSpan w:val="2"/>
          </w:tcPr>
          <w:p>
            <w:pPr>
              <w:jc w:val="right"/>
              <w:ind w:right="20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70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2"/>
              </w:rPr>
              <w:t>&lt; BBB-/Baa3 or</w:t>
            </w: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12.5</w:t>
            </w:r>
          </w:p>
        </w:tc>
        <w:tc>
          <w:tcPr>
            <w:tcW w:w="1700" w:type="dxa"/>
            <w:vAlign w:val="bottom"/>
            <w:gridSpan w:val="2"/>
          </w:tcPr>
          <w:p>
            <w:pPr>
              <w:jc w:val="center"/>
              <w:ind w:left="632"/>
              <w:spacing w:after="0"/>
              <w:rPr>
                <w:sz w:val="20"/>
                <w:szCs w:val="20"/>
                <w:color w:val="auto"/>
              </w:rPr>
            </w:pPr>
            <w:r>
              <w:rPr>
                <w:rFonts w:ascii="Arial" w:cs="Arial" w:eastAsia="Arial" w:hAnsi="Arial"/>
                <w:sz w:val="18"/>
                <w:szCs w:val="18"/>
                <w:color w:val="auto"/>
                <w:w w:val="85"/>
              </w:rPr>
              <w:t>57.5</w:t>
            </w:r>
          </w:p>
        </w:tc>
        <w:tc>
          <w:tcPr>
            <w:tcW w:w="1500" w:type="dxa"/>
            <w:vAlign w:val="bottom"/>
            <w:gridSpan w:val="2"/>
          </w:tcPr>
          <w:p>
            <w:pPr>
              <w:jc w:val="center"/>
              <w:ind w:left="612"/>
              <w:spacing w:after="0"/>
              <w:rPr>
                <w:sz w:val="20"/>
                <w:szCs w:val="20"/>
                <w:color w:val="auto"/>
              </w:rPr>
            </w:pPr>
            <w:r>
              <w:rPr>
                <w:rFonts w:ascii="Arial" w:cs="Arial" w:eastAsia="Arial" w:hAnsi="Arial"/>
                <w:sz w:val="18"/>
                <w:szCs w:val="18"/>
                <w:color w:val="auto"/>
                <w:w w:val="79"/>
              </w:rPr>
              <w:t>0</w:t>
            </w:r>
          </w:p>
        </w:tc>
        <w:tc>
          <w:tcPr>
            <w:tcW w:w="1560" w:type="dxa"/>
            <w:vAlign w:val="bottom"/>
            <w:gridSpan w:val="2"/>
          </w:tcPr>
          <w:p>
            <w:pPr>
              <w:jc w:val="right"/>
              <w:ind w:right="20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8"/>
                <w:szCs w:val="18"/>
                <w:color w:val="auto"/>
                <w:w w:val="85"/>
              </w:rPr>
              <w:t>unrated</w:t>
            </w: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60"/>
        <w:spacing w:after="0" w:line="298" w:lineRule="auto"/>
        <w:rPr>
          <w:sz w:val="20"/>
          <w:szCs w:val="20"/>
          <w:color w:val="auto"/>
        </w:rPr>
      </w:pPr>
      <w:r>
        <w:rPr>
          <w:rFonts w:ascii="Arial" w:cs="Arial" w:eastAsia="Arial" w:hAnsi="Arial"/>
          <w:sz w:val="16"/>
          <w:szCs w:val="16"/>
          <w:color w:val="auto"/>
        </w:rPr>
        <w:t xml:space="preserve">Each change in the Applicable Rate resulting from a publicly announced change in the Debt Rating shall be effective, in the case of an upgrade, during the period commencing on the date of delivery by the Borrower to the Administrative Agent of notice thereof pursuant to </w:t>
      </w:r>
      <w:r>
        <w:rPr>
          <w:rFonts w:ascii="Arial" w:cs="Arial" w:eastAsia="Arial" w:hAnsi="Arial"/>
          <w:sz w:val="16"/>
          <w:szCs w:val="16"/>
          <w:b w:val="1"/>
          <w:bCs w:val="1"/>
          <w:i w:val="1"/>
          <w:iCs w:val="1"/>
          <w:color w:val="auto"/>
        </w:rPr>
        <w:t>Section 6.03(d)</w:t>
      </w:r>
      <w:r>
        <w:rPr>
          <w:rFonts w:ascii="Arial" w:cs="Arial" w:eastAsia="Arial" w:hAnsi="Arial"/>
          <w:sz w:val="16"/>
          <w:szCs w:val="16"/>
          <w:color w:val="auto"/>
        </w:rPr>
        <w:t xml:space="preserve">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Approved Fund </w:t>
      </w:r>
      <w:r>
        <w:rPr>
          <w:rFonts w:ascii="Arial" w:cs="Arial" w:eastAsia="Arial" w:hAnsi="Arial"/>
          <w:sz w:val="18"/>
          <w:szCs w:val="18"/>
          <w:color w:val="auto"/>
        </w:rPr>
        <w:t>means any Fund that is administered or managed by (a) a Lender, (b) an Affiliate of a Lender or (c) an entity or an Affiliate of an entity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administers or manages a Lender.</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Arranger </w:t>
      </w:r>
      <w:r>
        <w:rPr>
          <w:rFonts w:ascii="Arial" w:cs="Arial" w:eastAsia="Arial" w:hAnsi="Arial"/>
          <w:sz w:val="18"/>
          <w:szCs w:val="18"/>
          <w:color w:val="auto"/>
        </w:rPr>
        <w:t>means each of Citigroup Global Markets Inc. and Barclays Capital (the investment banking division of Barclays Bank PLC), in their respective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capacities as joint lead arrangers and bookrunners.</w:t>
      </w:r>
    </w:p>
    <w:p>
      <w:pPr>
        <w:spacing w:after="0" w:line="132"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Assignment and Assumption </w:t>
      </w:r>
      <w:r>
        <w:rPr>
          <w:rFonts w:ascii="Arial" w:cs="Arial" w:eastAsia="Arial" w:hAnsi="Arial"/>
          <w:sz w:val="18"/>
          <w:szCs w:val="18"/>
          <w:color w:val="auto"/>
        </w:rPr>
        <w:t>means an Assignment and Assumption substantially in the form of</w:t>
      </w:r>
      <w:r>
        <w:rPr>
          <w:rFonts w:ascii="Arial" w:cs="Arial" w:eastAsia="Arial" w:hAnsi="Arial"/>
          <w:sz w:val="18"/>
          <w:szCs w:val="18"/>
          <w:b w:val="1"/>
          <w:bCs w:val="1"/>
          <w:i w:val="1"/>
          <w:iCs w:val="1"/>
          <w:color w:val="auto"/>
        </w:rPr>
        <w:t xml:space="preserve"> Exhibit D </w:t>
      </w:r>
      <w:r>
        <w:rPr>
          <w:rFonts w:ascii="Arial" w:cs="Arial" w:eastAsia="Arial" w:hAnsi="Arial"/>
          <w:sz w:val="18"/>
          <w:szCs w:val="18"/>
          <w:color w:val="auto"/>
        </w:rPr>
        <w:t>or any other form approved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Agent.</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Attorney Costs </w:t>
      </w:r>
      <w:r>
        <w:rPr>
          <w:rFonts w:ascii="Arial" w:cs="Arial" w:eastAsia="Arial" w:hAnsi="Arial"/>
          <w:sz w:val="18"/>
          <w:szCs w:val="18"/>
          <w:color w:val="auto"/>
        </w:rPr>
        <w:t>means and includes all reasonable fees and reasonable disbursements of any law firm or other external counsel and the reasonable allocated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internal legal services and all disbursements of internal counsel.</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Attributable Indebtedness </w:t>
      </w:r>
      <w:r>
        <w:rPr>
          <w:rFonts w:ascii="Arial" w:cs="Arial" w:eastAsia="Arial" w:hAnsi="Arial"/>
          <w:sz w:val="18"/>
          <w:szCs w:val="18"/>
          <w:color w:val="auto"/>
        </w:rPr>
        <w:t>means, on any date, in respect of any Capital Lease of any Person, the capitalized amount thereof that would appear on a balance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sheet of such Person prepared as of such date in accordance with GAAP.</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Attributable Principal </w:t>
      </w:r>
      <w:r>
        <w:rPr>
          <w:rFonts w:ascii="Arial" w:cs="Arial" w:eastAsia="Arial" w:hAnsi="Arial"/>
          <w:sz w:val="18"/>
          <w:szCs w:val="18"/>
          <w:color w:val="auto"/>
        </w:rPr>
        <w:t>means, on any date, in respect of any Synthetic Lease Obligation, the capitalized amount of the remaining lease payments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relevant lease that would appear on a balance sheet of such Person prepared as of such date in accordance with GAAP if such lease were accounted for as a capital lease.</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Audited Financial Statement </w:t>
      </w:r>
      <w:r>
        <w:rPr>
          <w:rFonts w:ascii="Arial" w:cs="Arial" w:eastAsia="Arial" w:hAnsi="Arial"/>
          <w:sz w:val="18"/>
          <w:szCs w:val="18"/>
          <w:color w:val="auto"/>
        </w:rPr>
        <w:t>means the audited consolidated balance sheet of the MLP and its Subsidiaries for the fiscal year ended December 31, 2006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related consolidated statements of income or operations, shareholders’ equity and cash flows for such fiscal year of the MLP and its Subsidiaries, including the notes thereto.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3" w:right="239" w:bottom="1440" w:gutter="0" w:footer="0" w:header="0"/>
        </w:sectPr>
      </w:pPr>
    </w:p>
    <w:bookmarkStart w:id="12" w:name="page13"/>
    <w:bookmarkEnd w:id="12"/>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Authorizations </w:t>
      </w:r>
      <w:r>
        <w:rPr>
          <w:rFonts w:ascii="Arial" w:cs="Arial" w:eastAsia="Arial" w:hAnsi="Arial"/>
          <w:sz w:val="18"/>
          <w:szCs w:val="18"/>
          <w:color w:val="auto"/>
        </w:rPr>
        <w:t>means all filings, recordings, and registrations with, and all validations or exemptions, approvals, orders, authorizations, consents,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franchises, licenses, certificates, and permits from, any Governmental Authority.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Bank Guaranties </w:t>
      </w:r>
      <w:r>
        <w:rPr>
          <w:rFonts w:ascii="Arial" w:cs="Arial" w:eastAsia="Arial" w:hAnsi="Arial"/>
          <w:sz w:val="16"/>
          <w:szCs w:val="16"/>
          <w:color w:val="auto"/>
        </w:rPr>
        <w:t>means guaranties or other agreements or instruments serving a similar function issued by a bank or other financial institution.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Barclays </w:t>
      </w:r>
      <w:r>
        <w:rPr>
          <w:rFonts w:ascii="Arial" w:cs="Arial" w:eastAsia="Arial" w:hAnsi="Arial"/>
          <w:sz w:val="18"/>
          <w:szCs w:val="18"/>
          <w:color w:val="auto"/>
        </w:rPr>
        <w:t>means Barclays Bank PLC.</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Base Rate </w:t>
      </w:r>
      <w:r>
        <w:rPr>
          <w:rFonts w:ascii="Arial" w:cs="Arial" w:eastAsia="Arial" w:hAnsi="Arial"/>
          <w:sz w:val="18"/>
          <w:szCs w:val="18"/>
          <w:color w:val="auto"/>
        </w:rPr>
        <w:t>means for any day a fluctuating rate per annum equal to the higher of (a) the Federal Funds Rate plus 1/2 of 1% and (b) the rate of interest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for such day as publicly announced from time to time by Citibank as its “</w:t>
      </w:r>
      <w:r>
        <w:rPr>
          <w:rFonts w:ascii="Arial" w:cs="Arial" w:eastAsia="Arial" w:hAnsi="Arial"/>
          <w:sz w:val="18"/>
          <w:szCs w:val="18"/>
          <w:i w:val="1"/>
          <w:iCs w:val="1"/>
          <w:color w:val="auto"/>
        </w:rPr>
        <w:t>prime rate</w:t>
      </w:r>
      <w:r>
        <w:rPr>
          <w:rFonts w:ascii="Arial" w:cs="Arial" w:eastAsia="Arial" w:hAnsi="Arial"/>
          <w:sz w:val="18"/>
          <w:szCs w:val="18"/>
          <w:color w:val="auto"/>
        </w:rPr>
        <w:t>.” Such rate is a rate set by Citibank based upon various factors including Citibank’s costs and desired return, general economic conditions and other factors, and is used as a reference point for pricing some loans, which may be priced at, above, or below such announced rate. Any change in such rate announced by Citibank shall take effect at the opening of business on the day specified in the public announcement of such change.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Base Rate Loan </w:t>
      </w:r>
      <w:r>
        <w:rPr>
          <w:rFonts w:ascii="Arial" w:cs="Arial" w:eastAsia="Arial" w:hAnsi="Arial"/>
          <w:sz w:val="18"/>
          <w:szCs w:val="18"/>
          <w:color w:val="auto"/>
        </w:rPr>
        <w:t>means a Committed Loan that bears interest based on the Base Rate.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Governors of the Federal Reserve System of the United States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Borrower </w:t>
      </w:r>
      <w:r>
        <w:rPr>
          <w:rFonts w:ascii="Arial" w:cs="Arial" w:eastAsia="Arial" w:hAnsi="Arial"/>
          <w:sz w:val="18"/>
          <w:szCs w:val="18"/>
          <w:color w:val="auto"/>
        </w:rPr>
        <w:t>has the meaning set forth in the introductory paragraph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Borrower Affiliate </w:t>
      </w:r>
      <w:r>
        <w:rPr>
          <w:rFonts w:ascii="Arial" w:cs="Arial" w:eastAsia="Arial" w:hAnsi="Arial"/>
          <w:sz w:val="15"/>
          <w:szCs w:val="15"/>
          <w:color w:val="auto"/>
        </w:rPr>
        <w:t>means each Subsidiary of the Borrower, the General Partner, the MLP, the general partner of the MLP, and their respective Subsidiaries.</w:t>
      </w:r>
    </w:p>
    <w:p>
      <w:pPr>
        <w:spacing w:after="0" w:line="20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Borrower Operating Agreements </w:t>
      </w:r>
      <w:r>
        <w:rPr>
          <w:rFonts w:ascii="Arial" w:cs="Arial" w:eastAsia="Arial" w:hAnsi="Arial"/>
          <w:sz w:val="18"/>
          <w:szCs w:val="18"/>
          <w:color w:val="auto"/>
        </w:rPr>
        <w:t>means the following: (a) Borrower’s and its Subsidiaries’ Organization Documents, (b) the Omnibus Agreement, (c)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Agreement, (d) the Throughput Agreement, (e) the Interrefinery Lease Agreement, (f) the Treasury Services Agreement, and (g) the Intellectual Property Agreement.</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Borrowing </w:t>
      </w:r>
      <w:r>
        <w:rPr>
          <w:rFonts w:ascii="Arial" w:cs="Arial" w:eastAsia="Arial" w:hAnsi="Arial"/>
          <w:sz w:val="18"/>
          <w:szCs w:val="18"/>
          <w:color w:val="auto"/>
        </w:rPr>
        <w:t>means (a) in the case of Committed Loans, a borrowing consisting of simultaneous Committed Loans of the same Type and having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Interest Period made by each of the Lenders pursuant to </w:t>
      </w:r>
      <w:r>
        <w:rPr>
          <w:rFonts w:ascii="Arial" w:cs="Arial" w:eastAsia="Arial" w:hAnsi="Arial"/>
          <w:sz w:val="18"/>
          <w:szCs w:val="18"/>
          <w:b w:val="1"/>
          <w:bCs w:val="1"/>
          <w:i w:val="1"/>
          <w:iCs w:val="1"/>
          <w:color w:val="auto"/>
        </w:rPr>
        <w:t>Section 2.01</w:t>
      </w:r>
      <w:r>
        <w:rPr>
          <w:rFonts w:ascii="Arial" w:cs="Arial" w:eastAsia="Arial" w:hAnsi="Arial"/>
          <w:sz w:val="18"/>
          <w:szCs w:val="18"/>
          <w:color w:val="auto"/>
        </w:rPr>
        <w:t xml:space="preserve">, and (b) in the case of Swing Line Loans, a borrowing of a Swing Line Loan pursuant to </w:t>
      </w:r>
      <w:r>
        <w:rPr>
          <w:rFonts w:ascii="Arial" w:cs="Arial" w:eastAsia="Arial" w:hAnsi="Arial"/>
          <w:sz w:val="18"/>
          <w:szCs w:val="18"/>
          <w:b w:val="1"/>
          <w:bCs w:val="1"/>
          <w:i w:val="1"/>
          <w:iCs w:val="1"/>
          <w:color w:val="auto"/>
        </w:rPr>
        <w:t>Section 2.15</w:t>
      </w:r>
      <w:r>
        <w:rPr>
          <w:rFonts w:ascii="Arial" w:cs="Arial" w:eastAsia="Arial" w:hAnsi="Arial"/>
          <w:sz w:val="18"/>
          <w:szCs w:val="18"/>
          <w:color w:val="auto"/>
        </w:rPr>
        <w:t>.</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Borrowing Notice </w:t>
      </w:r>
      <w:r>
        <w:rPr>
          <w:rFonts w:ascii="Arial" w:cs="Arial" w:eastAsia="Arial" w:hAnsi="Arial"/>
          <w:sz w:val="18"/>
          <w:szCs w:val="18"/>
          <w:color w:val="auto"/>
        </w:rPr>
        <w:t>means (1) with respect to Committed Loans, a notice of (a) a Borrowing of Committed Loans, (b) a conversion of Committed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from one Type to the other, or (c) a continuation of Committed Loans as the same Type, pursuant to </w:t>
      </w:r>
      <w:r>
        <w:rPr>
          <w:rFonts w:ascii="Arial" w:cs="Arial" w:eastAsia="Arial" w:hAnsi="Arial"/>
          <w:sz w:val="18"/>
          <w:szCs w:val="18"/>
          <w:b w:val="1"/>
          <w:bCs w:val="1"/>
          <w:i w:val="1"/>
          <w:iCs w:val="1"/>
          <w:color w:val="auto"/>
        </w:rPr>
        <w:t>Section 2.03(a),</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b w:val="1"/>
          <w:bCs w:val="1"/>
          <w:i w:val="1"/>
          <w:iCs w:val="1"/>
          <w:color w:val="auto"/>
        </w:rPr>
        <w:t>Exhibit A-1</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A-2</w:t>
      </w:r>
      <w:r>
        <w:rPr>
          <w:rFonts w:ascii="Arial" w:cs="Arial" w:eastAsia="Arial" w:hAnsi="Arial"/>
          <w:sz w:val="18"/>
          <w:szCs w:val="18"/>
          <w:color w:val="auto"/>
        </w:rPr>
        <w:t xml:space="preserve">, as applicable, and (2) with respect to a Borrowing of Swing Line Loans, a notice of a Borrowing of Swing Line Loans, which, if in writing, shall be substantially in the form of </w:t>
      </w:r>
      <w:r>
        <w:rPr>
          <w:rFonts w:ascii="Arial" w:cs="Arial" w:eastAsia="Arial" w:hAnsi="Arial"/>
          <w:sz w:val="18"/>
          <w:szCs w:val="18"/>
          <w:b w:val="1"/>
          <w:bCs w:val="1"/>
          <w:i w:val="1"/>
          <w:iCs w:val="1"/>
          <w:color w:val="auto"/>
        </w:rPr>
        <w:t>Exhibit A-3</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Business Day </w:t>
      </w:r>
      <w:r>
        <w:rPr>
          <w:rFonts w:ascii="Arial" w:cs="Arial" w:eastAsia="Arial" w:hAnsi="Arial"/>
          <w:sz w:val="16"/>
          <w:szCs w:val="16"/>
          <w:color w:val="auto"/>
        </w:rPr>
        <w:t>means any day other than a Saturday, Sunday, or other day on which commercial banks are authorized to close under the Laws of, or are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fact closed in, New York or the state where the Administrative Agent’s Office is located and, if such day relates to any Eurodollar Rate Loan, means any such day on which dealings in Dollar deposits are conducted by and between banks in the applicable offshore Dollar interbank market.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3" w:name="page14"/>
    <w:bookmarkEnd w:id="13"/>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Capital Expenditure </w:t>
      </w:r>
      <w:r>
        <w:rPr>
          <w:rFonts w:ascii="Arial" w:cs="Arial" w:eastAsia="Arial" w:hAnsi="Arial"/>
          <w:sz w:val="18"/>
          <w:szCs w:val="18"/>
          <w:color w:val="auto"/>
        </w:rPr>
        <w:t>by a Person means an expenditure (determined in accordance with GAAP) for any fixed asset owned by such Person for use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of such Person having a useful life of more than one year, or any improvements or additions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Capital Lease </w:t>
      </w:r>
      <w:r>
        <w:rPr>
          <w:rFonts w:ascii="Arial" w:cs="Arial" w:eastAsia="Arial" w:hAnsi="Arial"/>
          <w:sz w:val="18"/>
          <w:szCs w:val="18"/>
          <w:color w:val="auto"/>
        </w:rPr>
        <w:t>means any capital lease or sublease which should be capitalized on a balance sheet in accordance with GAAP.</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Cash Collateralize </w:t>
      </w:r>
      <w:r>
        <w:rPr>
          <w:rFonts w:ascii="Arial" w:cs="Arial" w:eastAsia="Arial" w:hAnsi="Arial"/>
          <w:sz w:val="16"/>
          <w:szCs w:val="16"/>
          <w:color w:val="auto"/>
        </w:rPr>
        <w:t>means to pledge and deposit with or deliver to the Administrative Agent, for the benefit of the L/C Issuer and the Lenders, as collateral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L/C Obligations, cash and deposit account balances held pursuant to documentation satisfactory to the Administrative Agent and the L/C Issuer (which documents are hereby consented to by the Lenders). Derivatives of such term have corresponding meanings.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Change in Law </w:t>
      </w:r>
      <w:r>
        <w:rPr>
          <w:rFonts w:ascii="Arial" w:cs="Arial" w:eastAsia="Arial" w:hAnsi="Arial"/>
          <w:sz w:val="16"/>
          <w:szCs w:val="16"/>
          <w:color w:val="auto"/>
        </w:rPr>
        <w:t>means the occurrence, after the date of this Agreement, of any of the following: (a) the adoption or taking effect of any law, rule, regulation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Change of Control </w:t>
      </w:r>
      <w:r>
        <w:rPr>
          <w:rFonts w:ascii="Arial" w:cs="Arial" w:eastAsia="Arial" w:hAnsi="Arial"/>
          <w:sz w:val="16"/>
          <w:szCs w:val="16"/>
          <w:color w:val="auto"/>
        </w:rPr>
        <w:t>means (a) the failure of Sunoco to own, directly or indirectly, 51% of the general partner interests in the MLP, (b) the failure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MLP to own, free of all Liens, directly or indirectly, 100% of the general partner interests in the Borrower, (c) the failure of Sunoco to control the management of both the MLP and the Borrower, or (d) the failure of the MLP to own, free of all Liens, all of the limited partner interests in the Borrower.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Citibank </w:t>
      </w:r>
      <w:r>
        <w:rPr>
          <w:rFonts w:ascii="Arial" w:cs="Arial" w:eastAsia="Arial" w:hAnsi="Arial"/>
          <w:sz w:val="18"/>
          <w:szCs w:val="18"/>
          <w:color w:val="auto"/>
        </w:rPr>
        <w:t>means Citibank, N.A.</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Closing Date </w:t>
      </w:r>
      <w:r>
        <w:rPr>
          <w:rFonts w:ascii="Arial" w:cs="Arial" w:eastAsia="Arial" w:hAnsi="Arial"/>
          <w:sz w:val="18"/>
          <w:szCs w:val="18"/>
          <w:color w:val="auto"/>
        </w:rPr>
        <w:t>means the date upon which all the conditions precedent in</w:t>
      </w:r>
      <w:r>
        <w:rPr>
          <w:rFonts w:ascii="Arial" w:cs="Arial" w:eastAsia="Arial" w:hAnsi="Arial"/>
          <w:sz w:val="18"/>
          <w:szCs w:val="18"/>
          <w:b w:val="1"/>
          <w:bCs w:val="1"/>
          <w:i w:val="1"/>
          <w:iCs w:val="1"/>
          <w:color w:val="auto"/>
        </w:rPr>
        <w:t xml:space="preserve"> Section 4.01 </w:t>
      </w:r>
      <w:r>
        <w:rPr>
          <w:rFonts w:ascii="Arial" w:cs="Arial" w:eastAsia="Arial" w:hAnsi="Arial"/>
          <w:sz w:val="18"/>
          <w:szCs w:val="18"/>
          <w:color w:val="auto"/>
        </w:rPr>
        <w:t>are satisfied or waived in accordance with</w:t>
      </w:r>
      <w:r>
        <w:rPr>
          <w:rFonts w:ascii="Arial" w:cs="Arial" w:eastAsia="Arial" w:hAnsi="Arial"/>
          <w:sz w:val="18"/>
          <w:szCs w:val="18"/>
          <w:b w:val="1"/>
          <w:bCs w:val="1"/>
          <w:i w:val="1"/>
          <w:iCs w:val="1"/>
          <w:color w:val="auto"/>
        </w:rPr>
        <w:t xml:space="preserve"> Section 10.01 </w:t>
      </w:r>
      <w:r>
        <w:rPr>
          <w:rFonts w:ascii="Arial" w:cs="Arial" w:eastAsia="Arial" w:hAnsi="Arial"/>
          <w:sz w:val="18"/>
          <w:szCs w:val="18"/>
          <w:color w:val="auto"/>
        </w:rPr>
        <w:t>(or,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case of </w:t>
      </w:r>
      <w:r>
        <w:rPr>
          <w:rFonts w:ascii="Arial" w:cs="Arial" w:eastAsia="Arial" w:hAnsi="Arial"/>
          <w:sz w:val="18"/>
          <w:szCs w:val="18"/>
          <w:b w:val="1"/>
          <w:bCs w:val="1"/>
          <w:i w:val="1"/>
          <w:iCs w:val="1"/>
          <w:color w:val="auto"/>
        </w:rPr>
        <w:t>Sections 4.01(b) and 4.01(c),</w:t>
      </w:r>
      <w:r>
        <w:rPr>
          <w:rFonts w:ascii="Arial" w:cs="Arial" w:eastAsia="Arial" w:hAnsi="Arial"/>
          <w:sz w:val="18"/>
          <w:szCs w:val="18"/>
          <w:color w:val="auto"/>
        </w:rPr>
        <w:t xml:space="preserve"> waived by the Person entitled to receive the applicable payment).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Commercial Operation Date </w:t>
      </w:r>
      <w:r>
        <w:rPr>
          <w:rFonts w:ascii="Arial" w:cs="Arial" w:eastAsia="Arial" w:hAnsi="Arial"/>
          <w:sz w:val="18"/>
          <w:szCs w:val="18"/>
          <w:color w:val="auto"/>
        </w:rPr>
        <w:t>means the date on which a Material Project is substantially complete and commercially operable.</w:t>
      </w:r>
    </w:p>
    <w:p>
      <w:pPr>
        <w:spacing w:after="0" w:line="171"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Commitment </w:t>
      </w:r>
      <w:r>
        <w:rPr>
          <w:rFonts w:ascii="Arial" w:cs="Arial" w:eastAsia="Arial" w:hAnsi="Arial"/>
          <w:sz w:val="16"/>
          <w:szCs w:val="16"/>
          <w:color w:val="auto"/>
        </w:rPr>
        <w:t>means, as to each Lender, its obligation to (a) make Committed Loans to the Borrower pursuant to</w:t>
      </w:r>
      <w:r>
        <w:rPr>
          <w:rFonts w:ascii="Arial" w:cs="Arial" w:eastAsia="Arial" w:hAnsi="Arial"/>
          <w:sz w:val="16"/>
          <w:szCs w:val="16"/>
          <w:b w:val="1"/>
          <w:bCs w:val="1"/>
          <w:i w:val="1"/>
          <w:iCs w:val="1"/>
          <w:color w:val="auto"/>
        </w:rPr>
        <w:t xml:space="preserve"> Section 2.01</w:t>
      </w:r>
      <w:r>
        <w:rPr>
          <w:rFonts w:ascii="Arial" w:cs="Arial" w:eastAsia="Arial" w:hAnsi="Arial"/>
          <w:sz w:val="16"/>
          <w:szCs w:val="16"/>
          <w:color w:val="auto"/>
        </w:rPr>
        <w:t>, (b) purchase participations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 L/C Obligations pursuant to </w:t>
      </w:r>
      <w:r>
        <w:rPr>
          <w:rFonts w:ascii="Arial" w:cs="Arial" w:eastAsia="Arial" w:hAnsi="Arial"/>
          <w:sz w:val="16"/>
          <w:szCs w:val="16"/>
          <w:b w:val="1"/>
          <w:bCs w:val="1"/>
          <w:i w:val="1"/>
          <w:iCs w:val="1"/>
          <w:color w:val="auto"/>
        </w:rPr>
        <w:t>Section 2.02</w:t>
      </w:r>
      <w:r>
        <w:rPr>
          <w:rFonts w:ascii="Arial" w:cs="Arial" w:eastAsia="Arial" w:hAnsi="Arial"/>
          <w:sz w:val="16"/>
          <w:szCs w:val="16"/>
          <w:color w:val="auto"/>
        </w:rPr>
        <w:t>, and (c) purchase participations in Swing Line Loans, in an aggregate principal amount at any one time outstanding not to exceed its Committed Sum, in each case as such amount may be reduced or adjusted from time to time in accordance with this Agreement (the aggregate Commitments of all the Lenders, collectively, the “</w:t>
      </w:r>
      <w:r>
        <w:rPr>
          <w:rFonts w:ascii="Arial" w:cs="Arial" w:eastAsia="Arial" w:hAnsi="Arial"/>
          <w:sz w:val="16"/>
          <w:szCs w:val="16"/>
          <w:b w:val="1"/>
          <w:bCs w:val="1"/>
          <w:i w:val="1"/>
          <w:iCs w:val="1"/>
          <w:color w:val="auto"/>
        </w:rPr>
        <w:t>Aggregate Commitments</w:t>
      </w:r>
      <w:r>
        <w:rPr>
          <w:rFonts w:ascii="Arial" w:cs="Arial" w:eastAsia="Arial" w:hAnsi="Arial"/>
          <w:sz w:val="16"/>
          <w:szCs w:val="16"/>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Committed Loan </w:t>
      </w:r>
      <w:r>
        <w:rPr>
          <w:rFonts w:ascii="Arial" w:cs="Arial" w:eastAsia="Arial" w:hAnsi="Arial"/>
          <w:sz w:val="18"/>
          <w:szCs w:val="18"/>
          <w:color w:val="auto"/>
        </w:rPr>
        <w:t>has the meaning specified in</w:t>
      </w:r>
      <w:r>
        <w:rPr>
          <w:rFonts w:ascii="Arial" w:cs="Arial" w:eastAsia="Arial" w:hAnsi="Arial"/>
          <w:sz w:val="18"/>
          <w:szCs w:val="18"/>
          <w:b w:val="1"/>
          <w:bCs w:val="1"/>
          <w:i w:val="1"/>
          <w:iCs w:val="1"/>
          <w:color w:val="auto"/>
        </w:rPr>
        <w:t xml:space="preserve"> Section 2.01</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Committed Sum </w:t>
      </w:r>
      <w:r>
        <w:rPr>
          <w:rFonts w:ascii="Arial" w:cs="Arial" w:eastAsia="Arial" w:hAnsi="Arial"/>
          <w:sz w:val="16"/>
          <w:szCs w:val="16"/>
          <w:color w:val="auto"/>
        </w:rPr>
        <w:t>means for any Lender, at any date of determination occurring prior to such Lender’s Maturity Date, the amount stated beside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Lender’s name on the most-recently amended </w:t>
      </w:r>
      <w:r>
        <w:rPr>
          <w:rFonts w:ascii="Arial" w:cs="Arial" w:eastAsia="Arial" w:hAnsi="Arial"/>
          <w:sz w:val="16"/>
          <w:szCs w:val="16"/>
          <w:b w:val="1"/>
          <w:bCs w:val="1"/>
          <w:i w:val="1"/>
          <w:iCs w:val="1"/>
          <w:color w:val="auto"/>
        </w:rPr>
        <w:t>Schedule 2.01</w:t>
      </w:r>
      <w:r>
        <w:rPr>
          <w:rFonts w:ascii="Arial" w:cs="Arial" w:eastAsia="Arial" w:hAnsi="Arial"/>
          <w:sz w:val="16"/>
          <w:szCs w:val="16"/>
          <w:color w:val="auto"/>
        </w:rPr>
        <w:t xml:space="preserve"> to this Agreement, or in the Assignment and Assumption pursuant to which such Lender becomes a party hereto, as applicable (in each case, which amount is subject to increase, reduction, or cancellation in accordance with the Loan Documents).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 w:name="page15"/>
    <w:bookmarkEnd w:id="14"/>
    <w:p>
      <w:pPr>
        <w:ind w:left="46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Company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Companies </w:t>
      </w:r>
      <w:r>
        <w:rPr>
          <w:rFonts w:ascii="Arial" w:cs="Arial" w:eastAsia="Arial" w:hAnsi="Arial"/>
          <w:sz w:val="16"/>
          <w:szCs w:val="16"/>
          <w:color w:val="auto"/>
        </w:rPr>
        <w:t>means, on any date of determination thereof, the MLP, the Borrower and each of their respective Subsidiaries.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Compensation Period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Section 2.11(e)(ii)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Compliance Certificate </w:t>
      </w:r>
      <w:r>
        <w:rPr>
          <w:rFonts w:ascii="Arial" w:cs="Arial" w:eastAsia="Arial" w:hAnsi="Arial"/>
          <w:sz w:val="18"/>
          <w:szCs w:val="18"/>
          <w:color w:val="auto"/>
        </w:rPr>
        <w:t>means a certificate substantially in the form of</w:t>
      </w:r>
      <w:r>
        <w:rPr>
          <w:rFonts w:ascii="Arial" w:cs="Arial" w:eastAsia="Arial" w:hAnsi="Arial"/>
          <w:sz w:val="18"/>
          <w:szCs w:val="18"/>
          <w:b w:val="1"/>
          <w:bCs w:val="1"/>
          <w:i w:val="1"/>
          <w:iCs w:val="1"/>
          <w:color w:val="auto"/>
        </w:rPr>
        <w:t xml:space="preserve"> Exhibit C</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Consolidated EBITDA </w:t>
      </w:r>
      <w:r>
        <w:rPr>
          <w:rFonts w:ascii="Arial" w:cs="Arial" w:eastAsia="Arial" w:hAnsi="Arial"/>
          <w:sz w:val="18"/>
          <w:szCs w:val="18"/>
          <w:color w:val="auto"/>
        </w:rPr>
        <w:t>means, for any period, for the MLP and its Subsidiaries on a consolidated basis, an amount equal to the sum of (a)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Income for such period, (b) Consolidated Interest Charges for such period, (c) the amount of taxes, based on or measured by income, used or included in the determination of such Consolidated Net Income, and (d) the amount of depreciation and amortization expense deducted in determining such Consolidated Net Income. Consolidated EBITDA for a Rolling Period shall be calculated after giving effect, on a pro forma basis, to Acquisitions occurring during such period as if such Acquisitions occurred on the first day of the period; and, at Borrower’s option, Consolidated EBITDA shall be calculated by giving effect to Material Project EBITDA Adjustments.</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Consolidated Interest Charges </w:t>
      </w:r>
      <w:r>
        <w:rPr>
          <w:rFonts w:ascii="Arial" w:cs="Arial" w:eastAsia="Arial" w:hAnsi="Arial"/>
          <w:sz w:val="16"/>
          <w:szCs w:val="16"/>
          <w:color w:val="auto"/>
        </w:rPr>
        <w:t>means, for any period, for the MLP and its Subsidiaries on a consolidated basis, the sum of (a) all interest, premium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fees, charges and related expenses of the MLP and its Subsidiaries in connection with Indebtedness (including capitalized interest) other than Excluded Affiliate Debt, in each case to the extent treated as interest in accordance with GAAP, and (b) the portion of rent expense of the MLP and its Subsidiaries with respect to such period under Capital Leases that is treated as interest in accordance with GAAP.</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Consolidated Net Income </w:t>
      </w:r>
      <w:r>
        <w:rPr>
          <w:rFonts w:ascii="Arial" w:cs="Arial" w:eastAsia="Arial" w:hAnsi="Arial"/>
          <w:sz w:val="16"/>
          <w:szCs w:val="16"/>
          <w:color w:val="auto"/>
        </w:rPr>
        <w:t>means, for any period, for the MLP and its Subsidiaries on a consolidated basis, the net income or net loss of the MLP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Subsidiaries from continuing operations,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there shall be excluded from such net income (to the extent otherwise included therein): (a) the income (or loss) of any entity other than a Subsidiary in which the MLP or any Subsidiary has an ownership interest, except to the extent that any such income has been actually received by the MLP or such Subsidiary in the form of cash dividends or similar cash distributions; (b) net extraordinary gains and losses (other than, in the case of losses, losses resulting from charges against net income to establish or increase reserves for potential environmental liabilities and reserves for exposure under rate cases), and (c) any gains or losses attributable to non-cash write-ups or write-downs of assets.</w:t>
      </w:r>
    </w:p>
    <w:p>
      <w:pPr>
        <w:spacing w:after="0" w:line="12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Consolidated Net Worth </w:t>
      </w:r>
      <w:r>
        <w:rPr>
          <w:rFonts w:ascii="Arial" w:cs="Arial" w:eastAsia="Arial" w:hAnsi="Arial"/>
          <w:sz w:val="18"/>
          <w:szCs w:val="18"/>
          <w:color w:val="auto"/>
        </w:rPr>
        <w:t>means the sum of (i) the amount of partners’ capital of the MLP determined as of such date in accordance with GAAP,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(ii) Designated Hybrid Securities.</w:t>
      </w:r>
    </w:p>
    <w:p>
      <w:pPr>
        <w:spacing w:after="0" w:line="132" w:lineRule="exact"/>
        <w:rPr>
          <w:sz w:val="20"/>
          <w:szCs w:val="20"/>
          <w:color w:val="auto"/>
        </w:rPr>
      </w:pPr>
    </w:p>
    <w:p>
      <w:pPr>
        <w:ind w:right="200" w:firstLine="456"/>
        <w:spacing w:after="0" w:line="305" w:lineRule="auto"/>
        <w:rPr>
          <w:sz w:val="20"/>
          <w:szCs w:val="20"/>
          <w:color w:val="auto"/>
        </w:rPr>
      </w:pPr>
      <w:r>
        <w:rPr>
          <w:rFonts w:ascii="Arial" w:cs="Arial" w:eastAsia="Arial" w:hAnsi="Arial"/>
          <w:sz w:val="15"/>
          <w:szCs w:val="15"/>
          <w:b w:val="1"/>
          <w:bCs w:val="1"/>
          <w:i w:val="1"/>
          <w:iCs w:val="1"/>
          <w:color w:val="auto"/>
        </w:rPr>
        <w:t xml:space="preserve">Consolidated Total Debt </w:t>
      </w:r>
      <w:r>
        <w:rPr>
          <w:rFonts w:ascii="Arial" w:cs="Arial" w:eastAsia="Arial" w:hAnsi="Arial"/>
          <w:sz w:val="15"/>
          <w:szCs w:val="15"/>
          <w:color w:val="auto"/>
        </w:rPr>
        <w:t>means, as of any date of determination, for the MLP and its Subsidiaries on a consolidated basis, the sum of (a) the outstanding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principal amount of all obligations and liabilities, whether current or long-term, for borrowed money (including Obligations hereunder), (b) Capital Leases, and</w:t>
      </w:r>
    </w:p>
    <w:p>
      <w:pPr>
        <w:ind w:right="120" w:firstLine="8"/>
        <w:spacing w:after="0" w:line="261" w:lineRule="auto"/>
        <w:tabs>
          <w:tab w:leader="none" w:pos="239"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without duplication, all Guaranty Obligations with respect to Indebtedness of the type specified in </w:t>
      </w:r>
      <w:r>
        <w:rPr>
          <w:rFonts w:ascii="Arial" w:cs="Arial" w:eastAsia="Arial" w:hAnsi="Arial"/>
          <w:sz w:val="18"/>
          <w:szCs w:val="18"/>
          <w:b w:val="1"/>
          <w:bCs w:val="1"/>
          <w:i w:val="1"/>
          <w:iCs w:val="1"/>
          <w:color w:val="auto"/>
        </w:rPr>
        <w:t>subsections (a)</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w:t>
      </w:r>
      <w:r>
        <w:rPr>
          <w:rFonts w:ascii="Arial" w:cs="Arial" w:eastAsia="Arial" w:hAnsi="Arial"/>
          <w:sz w:val="18"/>
          <w:szCs w:val="18"/>
          <w:color w:val="auto"/>
        </w:rPr>
        <w:t xml:space="preserve"> above, excluding in all cases to the extent included in any of </w:t>
      </w:r>
      <w:r>
        <w:rPr>
          <w:rFonts w:ascii="Arial" w:cs="Arial" w:eastAsia="Arial" w:hAnsi="Arial"/>
          <w:sz w:val="18"/>
          <w:szCs w:val="18"/>
          <w:b w:val="1"/>
          <w:bCs w:val="1"/>
          <w:i w:val="1"/>
          <w:iCs w:val="1"/>
          <w:color w:val="auto"/>
        </w:rPr>
        <w:t>subsections (a)</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(c)</w:t>
      </w:r>
      <w:r>
        <w:rPr>
          <w:rFonts w:ascii="Arial" w:cs="Arial" w:eastAsia="Arial" w:hAnsi="Arial"/>
          <w:sz w:val="18"/>
          <w:szCs w:val="18"/>
          <w:color w:val="auto"/>
        </w:rPr>
        <w:t xml:space="preserve"> above, Designated Hybrid Securities.</w:t>
      </w:r>
    </w:p>
    <w:p>
      <w:pPr>
        <w:spacing w:after="0" w:line="13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Contractual Obligation </w:t>
      </w:r>
      <w:r>
        <w:rPr>
          <w:rFonts w:ascii="Arial" w:cs="Arial" w:eastAsia="Arial" w:hAnsi="Arial"/>
          <w:sz w:val="18"/>
          <w:szCs w:val="18"/>
          <w:color w:val="auto"/>
        </w:rPr>
        <w:t>means, as to any Person, any provision of any security issued by such Person or of any agreement, instrument or other undertaking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which such Person is a party or by which it or any of its property is bound.</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Contribution Agreement </w:t>
      </w:r>
      <w:r>
        <w:rPr>
          <w:rFonts w:ascii="Arial" w:cs="Arial" w:eastAsia="Arial" w:hAnsi="Arial"/>
          <w:sz w:val="18"/>
          <w:szCs w:val="18"/>
          <w:color w:val="auto"/>
        </w:rPr>
        <w:t>means the Contribution, Conveyance and Assumption Agreement dated as of February 8, 2002 among Sunoco Partners LLC,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MLP, the Borrower, and certain Affiliates of Sunoco.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5" w:name="page16"/>
    <w:bookmarkEnd w:id="15"/>
    <w:p>
      <w:pPr>
        <w:ind w:right="500" w:firstLine="456"/>
        <w:spacing w:after="0" w:line="33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Control </w:t>
      </w:r>
      <w:r>
        <w:rPr>
          <w:rFonts w:ascii="Arial" w:cs="Arial" w:eastAsia="Arial" w:hAnsi="Arial"/>
          <w:sz w:val="16"/>
          <w:szCs w:val="16"/>
          <w:color w:val="auto"/>
        </w:rPr>
        <w:t>means the possession, directly or indirectly, of the power to direct or cause the direction of the management or policies of a Person, whether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ability to exercise voting power, by contract or otherwise. “</w:t>
      </w:r>
      <w:r>
        <w:rPr>
          <w:rFonts w:ascii="Arial" w:cs="Arial" w:eastAsia="Arial" w:hAnsi="Arial"/>
          <w:sz w:val="16"/>
          <w:szCs w:val="16"/>
          <w:b w:val="1"/>
          <w:bCs w:val="1"/>
          <w:i w:val="1"/>
          <w:i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i w:val="1"/>
          <w:iCs w:val="1"/>
          <w:color w:val="auto"/>
        </w:rPr>
        <w:t>Controlled</w:t>
      </w:r>
      <w:r>
        <w:rPr>
          <w:rFonts w:ascii="Arial" w:cs="Arial" w:eastAsia="Arial" w:hAnsi="Arial"/>
          <w:sz w:val="16"/>
          <w:szCs w:val="16"/>
          <w:color w:val="auto"/>
        </w:rPr>
        <w:t>” have meanings correlative thereto.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Credit Extension </w:t>
      </w:r>
      <w:r>
        <w:rPr>
          <w:rFonts w:ascii="Arial" w:cs="Arial" w:eastAsia="Arial" w:hAnsi="Arial"/>
          <w:sz w:val="18"/>
          <w:szCs w:val="18"/>
          <w:color w:val="auto"/>
        </w:rPr>
        <w:t>means each of the following: (a) a Borrowing and (b) an L/C Credit Extension.</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Crude Oil Purchase Agreements </w:t>
      </w:r>
      <w:r>
        <w:rPr>
          <w:rFonts w:ascii="Arial" w:cs="Arial" w:eastAsia="Arial" w:hAnsi="Arial"/>
          <w:sz w:val="18"/>
          <w:szCs w:val="18"/>
          <w:color w:val="auto"/>
        </w:rPr>
        <w:t>means Crude Oil Purchase Agreements between Sunoco Partners Marketing &amp; Terminals and Sunoco R&amp;M, entered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time to time.</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Customary Coverage </w:t>
      </w:r>
      <w:r>
        <w:rPr>
          <w:rFonts w:ascii="Arial" w:cs="Arial" w:eastAsia="Arial" w:hAnsi="Arial"/>
          <w:sz w:val="16"/>
          <w:szCs w:val="16"/>
          <w:color w:val="auto"/>
        </w:rPr>
        <w:t>means insurance coverage in such amounts, with such deductibles and covering such risks as are customarily carried by companies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engaged in similar businesses and owning similar properties in localities where the Borrower or its Subsidiaries operate.</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Debt Rating </w:t>
      </w:r>
      <w:r>
        <w:rPr>
          <w:rFonts w:ascii="Arial" w:cs="Arial" w:eastAsia="Arial" w:hAnsi="Arial"/>
          <w:sz w:val="18"/>
          <w:szCs w:val="18"/>
          <w:color w:val="auto"/>
        </w:rPr>
        <w:t>of the Borrower means, as of any date of determination, the rating as determined by either S&amp;P or Moody’s (collectively, the “</w:t>
      </w:r>
      <w:r>
        <w:rPr>
          <w:rFonts w:ascii="Arial" w:cs="Arial" w:eastAsia="Arial" w:hAnsi="Arial"/>
          <w:sz w:val="18"/>
          <w:szCs w:val="18"/>
          <w:b w:val="1"/>
          <w:bCs w:val="1"/>
          <w:i w:val="1"/>
          <w:iCs w:val="1"/>
          <w:color w:val="auto"/>
        </w:rPr>
        <w:t>Debt Ratings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the Borrower’s non-credit-enhanced, senior unsecured long-term debt;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a Debt Rating is issued by each of the foregoing rating agencies, then the higher of such Debt Ratings shall apply, unless there is a split in Debt Ratings of more than one level, in which case the level that is one level lower than the higher Debt Rating shall apply.</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Debtor Relief Laws </w:t>
      </w:r>
      <w:r>
        <w:rPr>
          <w:rFonts w:ascii="Arial" w:cs="Arial" w:eastAsia="Arial" w:hAnsi="Arial"/>
          <w:sz w:val="18"/>
          <w:szCs w:val="18"/>
          <w:color w:val="auto"/>
        </w:rPr>
        <w:t>means the Bankruptcy Code of the United States of America, and all other liquidation, conservatorship, bankruptcy, assignment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of creditors, moratorium, rearrangement, receivership, insolvency, reorganization, or similar debtor relief Laws of the United States of America or other applicable jurisdictions from time to time in effect and affecting the rights of creditors generally.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Default </w:t>
      </w:r>
      <w:r>
        <w:rPr>
          <w:rFonts w:ascii="Arial" w:cs="Arial" w:eastAsia="Arial" w:hAnsi="Arial"/>
          <w:sz w:val="18"/>
          <w:szCs w:val="18"/>
          <w:color w:val="auto"/>
        </w:rPr>
        <w:t>means any event that, with the giving of any notice, the passage of time, or both, would be an Event of Default.</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Default Rate </w:t>
      </w:r>
      <w:r>
        <w:rPr>
          <w:rFonts w:ascii="Arial" w:cs="Arial" w:eastAsia="Arial" w:hAnsi="Arial"/>
          <w:sz w:val="16"/>
          <w:szCs w:val="16"/>
          <w:color w:val="auto"/>
        </w:rPr>
        <w:t>means an interest rate equal to (a) the Base Rate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plus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 the Applicable Rate, if any, applicable to Base Rate Loans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plus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 2% per annum;</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with respect to a Eurodollar Rate Loan, the Default Rate shall be an interest rate equal to the interest rate (including any Applicable Rate)</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applicable to such Loan plus 2% per annum, in each case to the fullest extent permitted by applicable Laws.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Designated Hybrid Securities </w:t>
      </w:r>
      <w:r>
        <w:rPr>
          <w:rFonts w:ascii="Arial" w:cs="Arial" w:eastAsia="Arial" w:hAnsi="Arial"/>
          <w:sz w:val="18"/>
          <w:szCs w:val="18"/>
          <w:color w:val="auto"/>
        </w:rPr>
        <w:t>means at the end of any fiscal quarter, the outstanding Hybrid Securities at such time in a face amount that does not exceed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 of Total Capitalization at such time.</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Disposition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Dispose </w:t>
      </w:r>
      <w:r>
        <w:rPr>
          <w:rFonts w:ascii="Arial" w:cs="Arial" w:eastAsia="Arial" w:hAnsi="Arial"/>
          <w:sz w:val="18"/>
          <w:szCs w:val="18"/>
          <w:color w:val="auto"/>
        </w:rPr>
        <w:t>means the sale, transfer, license or other disposition (including any sale and leaseback transaction) of any property (including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and other equity interests) by any Person, including any sale, assignment, transfer or other disposal, with or without recourse, of any notes or accounts receivable or any rights and claims associated therewith.</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Dollar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 </w:t>
      </w:r>
      <w:r>
        <w:rPr>
          <w:rFonts w:ascii="Arial" w:cs="Arial" w:eastAsia="Arial" w:hAnsi="Arial"/>
          <w:sz w:val="18"/>
          <w:szCs w:val="18"/>
          <w:color w:val="auto"/>
        </w:rPr>
        <w:t>means lawful money of the United States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EDGAR </w:t>
      </w:r>
      <w:r>
        <w:rPr>
          <w:rFonts w:ascii="Arial" w:cs="Arial" w:eastAsia="Arial" w:hAnsi="Arial"/>
          <w:sz w:val="18"/>
          <w:szCs w:val="18"/>
          <w:color w:val="auto"/>
        </w:rPr>
        <w:t>means the Electronic Data Gathering and Retrieval System of the United States Securities and Exchange Commission.</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Eligible Assignee </w:t>
      </w:r>
      <w:r>
        <w:rPr>
          <w:rFonts w:ascii="Arial" w:cs="Arial" w:eastAsia="Arial" w:hAnsi="Arial"/>
          <w:sz w:val="18"/>
          <w:szCs w:val="18"/>
          <w:color w:val="auto"/>
        </w:rPr>
        <w:t>means (a) a Lender, (b) an Affiliate of a Lender, (c) an Approved Fund, and (d) any other Person (other than a natural Person) approved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by the Administrative Agent, the L/C Issuers and, unless an Event of Default has occurred and is continuing, the Borrower (each such approval not to be unreasonably withheld or delayed);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notwithstanding the foregoing, “</w:t>
      </w:r>
      <w:r>
        <w:rPr>
          <w:rFonts w:ascii="Arial" w:cs="Arial" w:eastAsia="Arial" w:hAnsi="Arial"/>
          <w:sz w:val="18"/>
          <w:szCs w:val="18"/>
          <w:b w:val="1"/>
          <w:bCs w:val="1"/>
          <w:i w:val="1"/>
          <w:iCs w:val="1"/>
          <w:color w:val="auto"/>
        </w:rPr>
        <w:t>Eligible Assignee</w:t>
      </w:r>
      <w:r>
        <w:rPr>
          <w:rFonts w:ascii="Arial" w:cs="Arial" w:eastAsia="Arial" w:hAnsi="Arial"/>
          <w:sz w:val="18"/>
          <w:szCs w:val="18"/>
          <w:color w:val="auto"/>
        </w:rPr>
        <w:t>” shall not include the Borrower or any of the Borrower’s Affiliates or Subsidiaries.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6" w:name="page17"/>
    <w:bookmarkEnd w:id="16"/>
    <w:p>
      <w:pPr>
        <w:ind w:firstLine="456"/>
        <w:spacing w:after="0" w:line="303"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Environmental Law </w:t>
      </w:r>
      <w:r>
        <w:rPr>
          <w:rFonts w:ascii="Arial" w:cs="Arial" w:eastAsia="Arial" w:hAnsi="Arial"/>
          <w:sz w:val="15"/>
          <w:szCs w:val="15"/>
          <w:color w:val="auto"/>
        </w:rPr>
        <w:t>means any applicable Law that relates to (a) the condition or protection of air, groundwater, surface water, soil, or other environmental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media, (b) the environment, including natural resources or any activity which affects the environment, (c) the regulation of any pollutants, contaminants, wastes, substances, and Hazardous Substances, including, without limitation, the Comprehensive Environmental Response, Compensation, and Liability Act (42 U.S.C.</w:t>
      </w:r>
    </w:p>
    <w:p>
      <w:pPr>
        <w:spacing w:after="0" w:line="1" w:lineRule="exact"/>
        <w:rPr>
          <w:sz w:val="20"/>
          <w:szCs w:val="20"/>
          <w:color w:val="auto"/>
        </w:rPr>
      </w:pPr>
    </w:p>
    <w:p>
      <w:pPr>
        <w:ind w:right="60" w:firstLine="8"/>
        <w:spacing w:after="0" w:line="287" w:lineRule="auto"/>
        <w:tabs>
          <w:tab w:leader="none" w:pos="132" w:val="left"/>
        </w:tabs>
        <w:numPr>
          <w:ilvl w:val="0"/>
          <w:numId w:val="8"/>
        </w:numPr>
        <w:rPr>
          <w:rFonts w:ascii="Arial" w:cs="Arial" w:eastAsia="Arial" w:hAnsi="Arial"/>
          <w:sz w:val="16"/>
          <w:szCs w:val="16"/>
          <w:color w:val="auto"/>
        </w:rPr>
      </w:pPr>
      <w:r>
        <w:rPr>
          <w:rFonts w:ascii="Arial" w:cs="Arial" w:eastAsia="Arial" w:hAnsi="Arial"/>
          <w:sz w:val="16"/>
          <w:szCs w:val="16"/>
          <w:color w:val="auto"/>
        </w:rPr>
        <w:t>9601 et seq.) (“</w:t>
      </w:r>
      <w:r>
        <w:rPr>
          <w:rFonts w:ascii="Arial" w:cs="Arial" w:eastAsia="Arial" w:hAnsi="Arial"/>
          <w:sz w:val="16"/>
          <w:szCs w:val="16"/>
          <w:b w:val="1"/>
          <w:bCs w:val="1"/>
          <w:i w:val="1"/>
          <w:iCs w:val="1"/>
          <w:color w:val="auto"/>
        </w:rPr>
        <w:t>CERCLA</w:t>
      </w:r>
      <w:r>
        <w:rPr>
          <w:rFonts w:ascii="Arial" w:cs="Arial" w:eastAsia="Arial" w:hAnsi="Arial"/>
          <w:sz w:val="16"/>
          <w:szCs w:val="16"/>
          <w:color w:val="auto"/>
        </w:rPr>
        <w:t>”), the Clean Air Act (42 U.S.C. § 7401 et seq.), the Federal Water Pollution Control Act, as amended by the Clean Water Act (33 U.S.C. § 1251 et seq.), the Federal Insecticide, Fungicide, and Rodenticide Act (7 U.S.C. § 136 et seq.), the Emergency Planning and Community Right to Know Act of 1986 (42 U.S.C. § 11001 et seq.), the Hazardous Materials Transportation Act (49 U.S.C. § 1801 et seq.), the National Environmental Policy Act of 1969 (42 U.S.C. § 4321 et seq.), the Oil Pollution Act (33 U.S.C. § 2701 et seq.), the Resource Conservation and Recovery Act (42 U.S.C. § 6901 et seq.), the Rivers and Harbors Act (33 U.S.C. § 401 et seq.), the Safe Drinking Water Act (42 U.S.C. § 201 and § 300f et seq.), the Solid Waste Disposal Act, as amended by the Resource Conservation and Recovery Act of 1976 and the Hazardous and Solid Waste Amendments of 1984 (42 U.S.C. § 6901 et seq.), the Toxic Substances Control Act (15 U.S.C. § 2601 et seq.), and analogous state and local Laws, as any of the foregoing may have been and may be amended or supplemented from time to time, and any analogous enacted or adopted Law, or (d) the Release or threatened Release of Hazardous Substances.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ERISA </w:t>
      </w:r>
      <w:r>
        <w:rPr>
          <w:rFonts w:ascii="Arial" w:cs="Arial" w:eastAsia="Arial" w:hAnsi="Arial"/>
          <w:sz w:val="18"/>
          <w:szCs w:val="18"/>
          <w:color w:val="auto"/>
        </w:rPr>
        <w:t>means the Employee Retirement Income Security Act of 1974 and any regulations issued pursuant thereto.</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ERISA Affiliate </w:t>
      </w:r>
      <w:r>
        <w:rPr>
          <w:rFonts w:ascii="Arial" w:cs="Arial" w:eastAsia="Arial" w:hAnsi="Arial"/>
          <w:sz w:val="18"/>
          <w:szCs w:val="18"/>
          <w:color w:val="auto"/>
        </w:rPr>
        <w:t>means any trade or business (whether or not incorporated) under common control with the Borrower within the meaning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Section 414(b)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or </w:t>
      </w:r>
      <w:r>
        <w:rPr>
          <w:rFonts w:ascii="Arial" w:cs="Arial" w:eastAsia="Arial" w:hAnsi="Arial"/>
          <w:sz w:val="18"/>
          <w:szCs w:val="18"/>
          <w:i w:val="1"/>
          <w:iCs w:val="1"/>
          <w:color w:val="auto"/>
        </w:rPr>
        <w:t>(c)</w:t>
      </w:r>
      <w:r>
        <w:rPr>
          <w:rFonts w:ascii="Arial" w:cs="Arial" w:eastAsia="Arial" w:hAnsi="Arial"/>
          <w:sz w:val="18"/>
          <w:szCs w:val="18"/>
          <w:color w:val="auto"/>
        </w:rPr>
        <w:t xml:space="preserve"> of the Code (and </w:t>
      </w:r>
      <w:r>
        <w:rPr>
          <w:rFonts w:ascii="Arial" w:cs="Arial" w:eastAsia="Arial" w:hAnsi="Arial"/>
          <w:sz w:val="18"/>
          <w:szCs w:val="18"/>
          <w:i w:val="1"/>
          <w:iCs w:val="1"/>
          <w:color w:val="auto"/>
        </w:rPr>
        <w:t>Sections 414(m)</w:t>
      </w:r>
      <w:r>
        <w:rPr>
          <w:rFonts w:ascii="Arial" w:cs="Arial" w:eastAsia="Arial" w:hAnsi="Arial"/>
          <w:sz w:val="18"/>
          <w:szCs w:val="18"/>
          <w:color w:val="auto"/>
        </w:rPr>
        <w:t xml:space="preserve"> and </w:t>
      </w:r>
      <w:r>
        <w:rPr>
          <w:rFonts w:ascii="Arial" w:cs="Arial" w:eastAsia="Arial" w:hAnsi="Arial"/>
          <w:sz w:val="18"/>
          <w:szCs w:val="18"/>
          <w:i w:val="1"/>
          <w:iCs w:val="1"/>
          <w:color w:val="auto"/>
        </w:rPr>
        <w:t>(o)</w:t>
      </w:r>
      <w:r>
        <w:rPr>
          <w:rFonts w:ascii="Arial" w:cs="Arial" w:eastAsia="Arial" w:hAnsi="Arial"/>
          <w:sz w:val="18"/>
          <w:szCs w:val="18"/>
          <w:color w:val="auto"/>
        </w:rPr>
        <w:t xml:space="preserve"> of the Code for purposes of provisions of this Agreement relating to obligations imposed under </w:t>
      </w:r>
      <w:r>
        <w:rPr>
          <w:rFonts w:ascii="Arial" w:cs="Arial" w:eastAsia="Arial" w:hAnsi="Arial"/>
          <w:sz w:val="18"/>
          <w:szCs w:val="18"/>
          <w:i w:val="1"/>
          <w:iCs w:val="1"/>
          <w:color w:val="auto"/>
        </w:rPr>
        <w:t>Section 412</w:t>
      </w:r>
      <w:r>
        <w:rPr>
          <w:rFonts w:ascii="Arial" w:cs="Arial" w:eastAsia="Arial" w:hAnsi="Arial"/>
          <w:sz w:val="18"/>
          <w:szCs w:val="18"/>
          <w:color w:val="auto"/>
        </w:rPr>
        <w:t xml:space="preserve"> of the Code).</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i w:val="1"/>
          <w:iCs w:val="1"/>
          <w:color w:val="auto"/>
        </w:rPr>
        <w:t xml:space="preserve">ERISA Event </w:t>
      </w:r>
      <w:r>
        <w:rPr>
          <w:rFonts w:ascii="Arial" w:cs="Arial" w:eastAsia="Arial" w:hAnsi="Arial"/>
          <w:sz w:val="16"/>
          <w:szCs w:val="16"/>
          <w:color w:val="auto"/>
        </w:rPr>
        <w:t>means (a) a Reportable Event with respect to a Pension Plan; (b) a withdrawal by the Borrower or any ERISA Affiliate from a Pension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subject to </w:t>
      </w:r>
      <w:r>
        <w:rPr>
          <w:rFonts w:ascii="Arial" w:cs="Arial" w:eastAsia="Arial" w:hAnsi="Arial"/>
          <w:sz w:val="16"/>
          <w:szCs w:val="16"/>
          <w:i w:val="1"/>
          <w:iCs w:val="1"/>
          <w:color w:val="auto"/>
        </w:rPr>
        <w:t>Section 4063</w:t>
      </w:r>
      <w:r>
        <w:rPr>
          <w:rFonts w:ascii="Arial" w:cs="Arial" w:eastAsia="Arial" w:hAnsi="Arial"/>
          <w:sz w:val="16"/>
          <w:szCs w:val="16"/>
          <w:color w:val="auto"/>
        </w:rPr>
        <w:t xml:space="preserve"> of ERISA during a plan year in which it was a substantial employer (as defined in </w:t>
      </w:r>
      <w:r>
        <w:rPr>
          <w:rFonts w:ascii="Arial" w:cs="Arial" w:eastAsia="Arial" w:hAnsi="Arial"/>
          <w:sz w:val="16"/>
          <w:szCs w:val="16"/>
          <w:i w:val="1"/>
          <w:iCs w:val="1"/>
          <w:color w:val="auto"/>
        </w:rPr>
        <w:t>Section 4001(a)(2)</w:t>
      </w:r>
      <w:r>
        <w:rPr>
          <w:rFonts w:ascii="Arial" w:cs="Arial" w:eastAsia="Arial" w:hAnsi="Arial"/>
          <w:sz w:val="16"/>
          <w:szCs w:val="16"/>
          <w:color w:val="auto"/>
        </w:rPr>
        <w:t xml:space="preserve"> of ERISA) or a cessation of operations that is treated as such a withdrawal under </w:t>
      </w:r>
      <w:r>
        <w:rPr>
          <w:rFonts w:ascii="Arial" w:cs="Arial" w:eastAsia="Arial" w:hAnsi="Arial"/>
          <w:sz w:val="16"/>
          <w:szCs w:val="16"/>
          <w:i w:val="1"/>
          <w:iCs w:val="1"/>
          <w:color w:val="auto"/>
        </w:rPr>
        <w:t>Section 4062(e)</w:t>
      </w:r>
      <w:r>
        <w:rPr>
          <w:rFonts w:ascii="Arial" w:cs="Arial" w:eastAsia="Arial" w:hAnsi="Arial"/>
          <w:sz w:val="16"/>
          <w:szCs w:val="16"/>
          <w:color w:val="auto"/>
        </w:rPr>
        <w:t xml:space="preserve"> of ERISA; (c) a complete or partial withdrawal by the Borrower or any ERISA Affiliate from a Multiemployer Plan or notification that a Multiemployer Plan is in reorganization; (d) the filing of a notice of intent to terminate, the treatment of a Plan amendment as a termination under </w:t>
      </w:r>
      <w:r>
        <w:rPr>
          <w:rFonts w:ascii="Arial" w:cs="Arial" w:eastAsia="Arial" w:hAnsi="Arial"/>
          <w:sz w:val="16"/>
          <w:szCs w:val="16"/>
          <w:i w:val="1"/>
          <w:iCs w:val="1"/>
          <w:color w:val="auto"/>
        </w:rPr>
        <w:t>Sections 4041</w:t>
      </w:r>
      <w:r>
        <w:rPr>
          <w:rFonts w:ascii="Arial" w:cs="Arial" w:eastAsia="Arial" w:hAnsi="Arial"/>
          <w:sz w:val="16"/>
          <w:szCs w:val="16"/>
          <w:color w:val="auto"/>
        </w:rPr>
        <w:t xml:space="preserve"> or </w:t>
      </w:r>
      <w:r>
        <w:rPr>
          <w:rFonts w:ascii="Arial" w:cs="Arial" w:eastAsia="Arial" w:hAnsi="Arial"/>
          <w:sz w:val="16"/>
          <w:szCs w:val="16"/>
          <w:i w:val="1"/>
          <w:iCs w:val="1"/>
          <w:color w:val="auto"/>
        </w:rPr>
        <w:t>4041A</w:t>
      </w:r>
      <w:r>
        <w:rPr>
          <w:rFonts w:ascii="Arial" w:cs="Arial" w:eastAsia="Arial" w:hAnsi="Arial"/>
          <w:sz w:val="16"/>
          <w:szCs w:val="16"/>
          <w:color w:val="auto"/>
        </w:rPr>
        <w:t xml:space="preserve"> of ERISA, or the commencement of proceedings by the PBGC to terminate a Pension Plan or Multiemployer Plan; (e) an event or condition which might reasonably be expected to constitute grounds under </w:t>
      </w:r>
      <w:r>
        <w:rPr>
          <w:rFonts w:ascii="Arial" w:cs="Arial" w:eastAsia="Arial" w:hAnsi="Arial"/>
          <w:sz w:val="16"/>
          <w:szCs w:val="16"/>
          <w:i w:val="1"/>
          <w:iCs w:val="1"/>
          <w:color w:val="auto"/>
        </w:rPr>
        <w:t>Section 4042</w:t>
      </w:r>
      <w:r>
        <w:rPr>
          <w:rFonts w:ascii="Arial" w:cs="Arial" w:eastAsia="Arial" w:hAnsi="Arial"/>
          <w:sz w:val="16"/>
          <w:szCs w:val="16"/>
          <w:color w:val="auto"/>
        </w:rPr>
        <w:t xml:space="preserve"> of ERISA for the termination of, or the appointment of a trustee to administer, any Pension Plan or Multiemployer Plan; or (f) the imposition of any liability under </w:t>
      </w:r>
      <w:r>
        <w:rPr>
          <w:rFonts w:ascii="Arial" w:cs="Arial" w:eastAsia="Arial" w:hAnsi="Arial"/>
          <w:sz w:val="16"/>
          <w:szCs w:val="16"/>
          <w:i w:val="1"/>
          <w:iCs w:val="1"/>
          <w:color w:val="auto"/>
        </w:rPr>
        <w:t>Title IV</w:t>
      </w:r>
      <w:r>
        <w:rPr>
          <w:rFonts w:ascii="Arial" w:cs="Arial" w:eastAsia="Arial" w:hAnsi="Arial"/>
          <w:sz w:val="16"/>
          <w:szCs w:val="16"/>
          <w:color w:val="auto"/>
        </w:rPr>
        <w:t xml:space="preserve"> of ERISA, other than PBGC premiums due but not delinquent under </w:t>
      </w:r>
      <w:r>
        <w:rPr>
          <w:rFonts w:ascii="Arial" w:cs="Arial" w:eastAsia="Arial" w:hAnsi="Arial"/>
          <w:sz w:val="16"/>
          <w:szCs w:val="16"/>
          <w:i w:val="1"/>
          <w:iCs w:val="1"/>
          <w:color w:val="auto"/>
        </w:rPr>
        <w:t>Section 4007</w:t>
      </w:r>
      <w:r>
        <w:rPr>
          <w:rFonts w:ascii="Arial" w:cs="Arial" w:eastAsia="Arial" w:hAnsi="Arial"/>
          <w:sz w:val="16"/>
          <w:szCs w:val="16"/>
          <w:color w:val="auto"/>
        </w:rPr>
        <w:t xml:space="preserve"> of ERISA, upon the Borrower or any ERISA Affiliate.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Eurodollar Rate </w:t>
      </w:r>
      <w:r>
        <w:rPr>
          <w:rFonts w:ascii="Arial" w:cs="Arial" w:eastAsia="Arial" w:hAnsi="Arial"/>
          <w:sz w:val="18"/>
          <w:szCs w:val="18"/>
          <w:color w:val="auto"/>
        </w:rPr>
        <w:t>means for any Interest Period with respect to any Eurodollar Rate Loan:</w:t>
      </w:r>
    </w:p>
    <w:p>
      <w:pPr>
        <w:spacing w:after="0" w:line="90" w:lineRule="exact"/>
        <w:rPr>
          <w:sz w:val="20"/>
          <w:szCs w:val="20"/>
          <w:color w:val="auto"/>
        </w:rPr>
      </w:pPr>
    </w:p>
    <w:p>
      <w:pPr>
        <w:jc w:val="both"/>
        <w:ind w:left="460" w:right="20" w:firstLine="443"/>
        <w:spacing w:after="0" w:line="256" w:lineRule="auto"/>
        <w:tabs>
          <w:tab w:leader="none" w:pos="113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per annum equal to the rate determined by the Administrative Agent to be the offered rate that appears on Reuters Screen LIBOR01 Page (or any successor thereto)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7" w:name="page18"/>
    <w:bookmarkEnd w:id="17"/>
    <w:p>
      <w:pPr>
        <w:ind w:left="460" w:right="140" w:firstLine="443"/>
        <w:spacing w:after="0" w:line="255" w:lineRule="auto"/>
        <w:tabs>
          <w:tab w:leader="none" w:pos="1147"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the rate referenced in the preceding </w:t>
      </w:r>
      <w:r>
        <w:rPr>
          <w:rFonts w:ascii="Arial" w:cs="Arial" w:eastAsia="Arial" w:hAnsi="Arial"/>
          <w:sz w:val="18"/>
          <w:szCs w:val="18"/>
          <w:b w:val="1"/>
          <w:bCs w:val="1"/>
          <w:i w:val="1"/>
          <w:iCs w:val="1"/>
          <w:color w:val="auto"/>
        </w:rPr>
        <w:t>subsection (a)</w:t>
      </w:r>
      <w:r>
        <w:rPr>
          <w:rFonts w:ascii="Arial" w:cs="Arial" w:eastAsia="Arial" w:hAnsi="Arial"/>
          <w:sz w:val="18"/>
          <w:szCs w:val="18"/>
          <w:color w:val="auto"/>
        </w:rPr>
        <w:t xml:space="preserve"> does not appear on such page or service or such page or service shall cease to be available, the rate per annum equal to the rate determined by the Administrative Agent to be the offered rate on such other page or other service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61" w:lineRule="exact"/>
        <w:rPr>
          <w:rFonts w:ascii="Arial" w:cs="Arial" w:eastAsia="Arial" w:hAnsi="Arial"/>
          <w:sz w:val="18"/>
          <w:szCs w:val="18"/>
          <w:color w:val="auto"/>
        </w:rPr>
      </w:pPr>
    </w:p>
    <w:p>
      <w:pPr>
        <w:ind w:left="460" w:right="20" w:firstLine="443"/>
        <w:spacing w:after="0" w:line="294" w:lineRule="auto"/>
        <w:tabs>
          <w:tab w:leader="none" w:pos="11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if the rates referenced in the preceding </w:t>
      </w:r>
      <w:r>
        <w:rPr>
          <w:rFonts w:ascii="Arial" w:cs="Arial" w:eastAsia="Arial" w:hAnsi="Arial"/>
          <w:sz w:val="16"/>
          <w:szCs w:val="16"/>
          <w:b w:val="1"/>
          <w:bCs w:val="1"/>
          <w:i w:val="1"/>
          <w:iCs w:val="1"/>
          <w:color w:val="auto"/>
        </w:rPr>
        <w:t>subsections (a)</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(b)</w:t>
      </w:r>
      <w:r>
        <w:rPr>
          <w:rFonts w:ascii="Arial" w:cs="Arial" w:eastAsia="Arial" w:hAnsi="Arial"/>
          <w:sz w:val="16"/>
          <w:szCs w:val="16"/>
          <w:color w:val="auto"/>
        </w:rPr>
        <w:t xml:space="preserve"> are not available, the rate per annum determined by the Administrative Agent as the rate of interest (rounded upward to the next 1/100th of 1%) at which deposits in Dollars for delivery on the first day of such Interest Period in same day funds in the approximate amount of the Eurodollar Rate Loan being made, continued or converted by Citibank and with a term equivalent to such Interest Period would be offered by Citibank’s London Branch to major banks in the offshore Dollar market at their request at approximately 11:00 a.m. (London time) two Business Days prior to the first day of such Interest Period.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Eurodollar Rate Loan </w:t>
      </w:r>
      <w:r>
        <w:rPr>
          <w:rFonts w:ascii="Arial" w:cs="Arial" w:eastAsia="Arial" w:hAnsi="Arial"/>
          <w:sz w:val="18"/>
          <w:szCs w:val="18"/>
          <w:color w:val="auto"/>
        </w:rPr>
        <w:t>means a Loan that bears interest at a rate based on the Eurodollar Rate.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Event of Default </w:t>
      </w:r>
      <w:r>
        <w:rPr>
          <w:rFonts w:ascii="Arial" w:cs="Arial" w:eastAsia="Arial" w:hAnsi="Arial"/>
          <w:sz w:val="18"/>
          <w:szCs w:val="18"/>
          <w:color w:val="auto"/>
        </w:rPr>
        <w:t>means any of the events or circumstances specified in</w:t>
      </w:r>
      <w:r>
        <w:rPr>
          <w:rFonts w:ascii="Arial" w:cs="Arial" w:eastAsia="Arial" w:hAnsi="Arial"/>
          <w:sz w:val="18"/>
          <w:szCs w:val="18"/>
          <w:b w:val="1"/>
          <w:bCs w:val="1"/>
          <w:i w:val="1"/>
          <w:iCs w:val="1"/>
          <w:color w:val="auto"/>
        </w:rPr>
        <w:t xml:space="preserve"> Article VIII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Evergreen Letter of Credit </w:t>
      </w:r>
      <w:r>
        <w:rPr>
          <w:rFonts w:ascii="Arial" w:cs="Arial" w:eastAsia="Arial" w:hAnsi="Arial"/>
          <w:sz w:val="18"/>
          <w:szCs w:val="18"/>
          <w:color w:val="auto"/>
        </w:rPr>
        <w:t>has the meaning specified in</w:t>
      </w:r>
      <w:r>
        <w:rPr>
          <w:rFonts w:ascii="Arial" w:cs="Arial" w:eastAsia="Arial" w:hAnsi="Arial"/>
          <w:sz w:val="18"/>
          <w:szCs w:val="18"/>
          <w:b w:val="1"/>
          <w:bCs w:val="1"/>
          <w:i w:val="1"/>
          <w:iCs w:val="1"/>
          <w:color w:val="auto"/>
        </w:rPr>
        <w:t xml:space="preserve"> Section 2.02(b)(iii)</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Excluded Affiliate Debt </w:t>
      </w:r>
      <w:r>
        <w:rPr>
          <w:rFonts w:ascii="Arial" w:cs="Arial" w:eastAsia="Arial" w:hAnsi="Arial"/>
          <w:sz w:val="16"/>
          <w:szCs w:val="16"/>
          <w:color w:val="auto"/>
        </w:rPr>
        <w:t>means Indebtedness that is included in the definition of Consolidated Total Debt, owed by the Borrower or a Subsidiary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Borrower to a Sunoco, Inc. Affiliate in an amount not to exceed $75,000,000 in the aggregate that (a) requires no payment of principal at any time prior to the date that is six (6) months after the last occurring Stated Maturity Date of any Lender, (b) requires no payment of interest during the existence of a Default or Event of Default under this Agreement, (c) contains terms no less favorable to the Borrower and its Subsidiaries than could be obtained on an arm’s length basis from third parties, and (d) with respect to Indebtedness owed by the Borrower, is subordinated to the full payment of the Obligations pursuant to a subordination agreement satisfactory to the Required Lenders.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Excluded Taxes </w:t>
      </w:r>
      <w:r>
        <w:rPr>
          <w:rFonts w:ascii="Arial" w:cs="Arial" w:eastAsia="Arial" w:hAnsi="Arial"/>
          <w:sz w:val="16"/>
          <w:szCs w:val="16"/>
          <w:color w:val="auto"/>
        </w:rPr>
        <w:t>means, with respect to the Administrative Agent, any Lender, the L/C Issuer or any other recipient of any payment to be made by or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account of any obligation of the Borrower hereunder, (a)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of America or any similar tax imposed by any other jurisdiction in which the Borrower is located and (c) in the case of a Foreign Lender (other than an assignee pursuant to a request by the Borrower under </w:t>
      </w:r>
      <w:r>
        <w:rPr>
          <w:rFonts w:ascii="Arial" w:cs="Arial" w:eastAsia="Arial" w:hAnsi="Arial"/>
          <w:sz w:val="16"/>
          <w:szCs w:val="16"/>
          <w:b w:val="1"/>
          <w:bCs w:val="1"/>
          <w:i w:val="1"/>
          <w:iCs w:val="1"/>
          <w:color w:val="auto"/>
        </w:rPr>
        <w:t>Section 3.03</w:t>
      </w:r>
      <w:r>
        <w:rPr>
          <w:rFonts w:ascii="Arial" w:cs="Arial" w:eastAsia="Arial" w:hAnsi="Arial"/>
          <w:sz w:val="16"/>
          <w:szCs w:val="16"/>
          <w:color w:val="auto"/>
        </w:rPr>
        <w:t xml:space="preserve">), any withholding tax that is imposed on amounts payable to such Foreign Lender at the time such Foreign Lender becomes a party hereto (or designates a new Lending Office) or is attributable to such Foreign Lender’s failure or inability (other than as a result of a Change in Law) to comply with </w:t>
      </w:r>
      <w:r>
        <w:rPr>
          <w:rFonts w:ascii="Arial" w:cs="Arial" w:eastAsia="Arial" w:hAnsi="Arial"/>
          <w:sz w:val="16"/>
          <w:szCs w:val="16"/>
          <w:b w:val="1"/>
          <w:bCs w:val="1"/>
          <w:i w:val="1"/>
          <w:iCs w:val="1"/>
          <w:color w:val="auto"/>
        </w:rPr>
        <w:t>Section 3.01</w:t>
      </w:r>
      <w:r>
        <w:rPr>
          <w:rFonts w:ascii="Arial" w:cs="Arial" w:eastAsia="Arial" w:hAnsi="Arial"/>
          <w:sz w:val="16"/>
          <w:szCs w:val="16"/>
          <w:color w:val="auto"/>
        </w:rPr>
        <w:t xml:space="preserve">, except to the extent that such Foreign Lender (or its assignor, if any) was entitled, at the time of designation of a new Lending Office (or assignment), to receive additional amounts from the Borrower with respect to such withholding tax pursuant to </w:t>
      </w:r>
      <w:r>
        <w:rPr>
          <w:rFonts w:ascii="Arial" w:cs="Arial" w:eastAsia="Arial" w:hAnsi="Arial"/>
          <w:sz w:val="16"/>
          <w:szCs w:val="16"/>
          <w:b w:val="1"/>
          <w:bCs w:val="1"/>
          <w:i w:val="1"/>
          <w:iCs w:val="1"/>
          <w:color w:val="auto"/>
        </w:rPr>
        <w:t>Section 3.02(a)</w:t>
      </w:r>
      <w:r>
        <w:rPr>
          <w:rFonts w:ascii="Arial" w:cs="Arial" w:eastAsia="Arial" w:hAnsi="Arial"/>
          <w:sz w:val="16"/>
          <w:szCs w:val="16"/>
          <w:color w:val="auto"/>
        </w:rPr>
        <w: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8" w:name="page19"/>
    <w:bookmarkEnd w:id="18"/>
    <w:p>
      <w:pPr>
        <w:ind w:right="82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Existing Credit Agreement </w:t>
      </w:r>
      <w:r>
        <w:rPr>
          <w:rFonts w:ascii="Arial" w:cs="Arial" w:eastAsia="Arial" w:hAnsi="Arial"/>
          <w:sz w:val="18"/>
          <w:szCs w:val="18"/>
          <w:color w:val="auto"/>
        </w:rPr>
        <w:t>means the Credit Agreement dated as of November 22, 2004 among the Borrower, the Guarantor, Citibank, N.A.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Agent and L/C Issuer, and the lenders therein named, as amended.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Existing Letters of Credit </w:t>
      </w:r>
      <w:r>
        <w:rPr>
          <w:rFonts w:ascii="Arial" w:cs="Arial" w:eastAsia="Arial" w:hAnsi="Arial"/>
          <w:sz w:val="16"/>
          <w:szCs w:val="16"/>
          <w:color w:val="auto"/>
        </w:rPr>
        <w:t>means the letters of credit, if any, issued pursuant to the Existing Credit Agreement and outstanding on the Closing Date.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Existing Stated Maturity Date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Section2.14(a)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Extending Lender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Section 2.14(b)</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Federal Funds Rate </w:t>
      </w:r>
      <w:r>
        <w:rPr>
          <w:rFonts w:ascii="Arial" w:cs="Arial" w:eastAsia="Arial" w:hAnsi="Arial"/>
          <w:sz w:val="16"/>
          <w:szCs w:val="16"/>
          <w:color w:val="auto"/>
        </w:rPr>
        <w:t>means, for any day, the rate per annum (rounded upwards to the nearest 1/100 of 1%) equal to the weighted average of the rates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upwards, if necessary, to the nearest 1/100 of 1%) charged to Citibank on such day on such transactions as determined by the Administrative Agent.</w:t>
      </w:r>
    </w:p>
    <w:p>
      <w:pPr>
        <w:spacing w:after="0" w:line="12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Foreign Lender </w:t>
      </w:r>
      <w:r>
        <w:rPr>
          <w:rFonts w:ascii="Arial" w:cs="Arial" w:eastAsia="Arial" w:hAnsi="Arial"/>
          <w:sz w:val="16"/>
          <w:szCs w:val="16"/>
          <w:color w:val="auto"/>
        </w:rPr>
        <w:t>means any Lender that is organized under the laws of a jurisdiction other than that in which the Borrower is resident for tax purposes.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purposes of this definition, the United States of America, each State thereof and the District of Columbia shall be deemed to constitute a single jurisdiction.</w:t>
      </w:r>
    </w:p>
    <w:p>
      <w:pPr>
        <w:spacing w:after="0" w:line="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Foreign Subsidiary </w:t>
      </w:r>
      <w:r>
        <w:rPr>
          <w:rFonts w:ascii="Arial" w:cs="Arial" w:eastAsia="Arial" w:hAnsi="Arial"/>
          <w:sz w:val="18"/>
          <w:szCs w:val="18"/>
          <w:color w:val="auto"/>
        </w:rPr>
        <w:t>of any Person means a Subsidiary of such Person that is organized or incorporated under the Laws of a jurisdiction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 of the United States.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Fund </w:t>
      </w:r>
      <w:r>
        <w:rPr>
          <w:rFonts w:ascii="Arial" w:cs="Arial" w:eastAsia="Arial" w:hAnsi="Arial"/>
          <w:sz w:val="18"/>
          <w:szCs w:val="18"/>
          <w:color w:val="auto"/>
        </w:rPr>
        <w:t>means any Person (other than a natural person) that is (or will be) engaged in making, purchasing, holding or otherwise investing in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loans and similar extensions of credit in the ordinary course of its business.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GAAP </w:t>
      </w:r>
      <w:r>
        <w:rPr>
          <w:rFonts w:ascii="Arial" w:cs="Arial" w:eastAsia="Arial" w:hAnsi="Arial"/>
          <w:sz w:val="16"/>
          <w:szCs w:val="16"/>
          <w:color w:val="auto"/>
        </w:rPr>
        <w:t>means generally accepted accounting principles set forth in the opinions and pronouncements of the Accounting Principles Board and the American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Institute of Certified Public Accountants and statements and pronouncements of the Financial Accounting Standards Board or such other principles as may be approved by a significant segment of the accounting profession, that are applicable to the circumstances as of the date of determination, consistently applied.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6"/>
          <w:szCs w:val="16"/>
          <w:i w:val="1"/>
          <w:iCs w:val="1"/>
          <w:color w:val="auto"/>
        </w:rPr>
        <w:t>provided that</w:t>
      </w:r>
      <w:r>
        <w:rPr>
          <w:rFonts w:ascii="Arial" w:cs="Arial" w:eastAsia="Arial" w:hAnsi="Arial"/>
          <w:sz w:val="16"/>
          <w:szCs w:val="16"/>
          <w:color w:val="auto"/>
        </w:rPr>
        <w: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General Partner </w:t>
      </w:r>
      <w:r>
        <w:rPr>
          <w:rFonts w:ascii="Arial" w:cs="Arial" w:eastAsia="Arial" w:hAnsi="Arial"/>
          <w:sz w:val="18"/>
          <w:szCs w:val="18"/>
          <w:color w:val="auto"/>
        </w:rPr>
        <w:t>means Sunoco Logistics Partners GP LLC, a Delaware limited liability company, the general partner of the Borrower.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9" w:name="page20"/>
    <w:bookmarkEnd w:id="19"/>
    <w:p>
      <w:pPr>
        <w:ind w:firstLine="456"/>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Governmental Authority </w:t>
      </w:r>
      <w:r>
        <w:rPr>
          <w:rFonts w:ascii="Arial" w:cs="Arial" w:eastAsia="Arial" w:hAnsi="Arial"/>
          <w:sz w:val="18"/>
          <w:szCs w:val="18"/>
          <w:color w:val="auto"/>
        </w:rPr>
        <w:t>means the government of the United States of America or any other nation, or of any political subdivision thereof, whether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Granting Lender </w:t>
      </w:r>
      <w:r>
        <w:rPr>
          <w:rFonts w:ascii="Arial" w:cs="Arial" w:eastAsia="Arial" w:hAnsi="Arial"/>
          <w:sz w:val="18"/>
          <w:szCs w:val="18"/>
          <w:color w:val="auto"/>
        </w:rPr>
        <w:t>has the meaning specified in</w:t>
      </w:r>
      <w:r>
        <w:rPr>
          <w:rFonts w:ascii="Arial" w:cs="Arial" w:eastAsia="Arial" w:hAnsi="Arial"/>
          <w:sz w:val="18"/>
          <w:szCs w:val="18"/>
          <w:b w:val="1"/>
          <w:bCs w:val="1"/>
          <w:i w:val="1"/>
          <w:iCs w:val="1"/>
          <w:color w:val="auto"/>
        </w:rPr>
        <w:t xml:space="preserve"> Section 10.07(i)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Guarantor </w:t>
      </w:r>
      <w:r>
        <w:rPr>
          <w:rFonts w:ascii="Arial" w:cs="Arial" w:eastAsia="Arial" w:hAnsi="Arial"/>
          <w:sz w:val="18"/>
          <w:szCs w:val="18"/>
          <w:color w:val="auto"/>
        </w:rPr>
        <w:t>means the MLP.</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Guaranty </w:t>
      </w:r>
      <w:r>
        <w:rPr>
          <w:rFonts w:ascii="Arial" w:cs="Arial" w:eastAsia="Arial" w:hAnsi="Arial"/>
          <w:sz w:val="18"/>
          <w:szCs w:val="18"/>
          <w:color w:val="auto"/>
        </w:rPr>
        <w:t>means that certain Guaranty dated as of even date herewith made by Guarantor in favor of the Administrative Agent on behalf of the Lenders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guaranteeing the Obligations.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Guaranty Obligation </w:t>
      </w:r>
      <w:r>
        <w:rPr>
          <w:rFonts w:ascii="Arial" w:cs="Arial" w:eastAsia="Arial" w:hAnsi="Arial"/>
          <w:sz w:val="16"/>
          <w:szCs w:val="16"/>
          <w:color w:val="auto"/>
        </w:rPr>
        <w:t>means, as to any Person, (a) any obligation, contingent or otherwise, of such Person guaranteeing or having the economic effect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guaranteeing any Indebtedness or other payment obligation of another Person (the “</w:t>
      </w:r>
      <w:r>
        <w:rPr>
          <w:rFonts w:ascii="Arial" w:cs="Arial" w:eastAsia="Arial" w:hAnsi="Arial"/>
          <w:sz w:val="16"/>
          <w:szCs w:val="16"/>
          <w:i w:val="1"/>
          <w:iCs w:val="1"/>
          <w:color w:val="auto"/>
        </w:rPr>
        <w:t>primary obligor</w:t>
      </w:r>
      <w:r>
        <w:rPr>
          <w:rFonts w:ascii="Arial" w:cs="Arial" w:eastAsia="Arial" w:hAnsi="Arial"/>
          <w:sz w:val="16"/>
          <w:szCs w:val="16"/>
          <w:color w:val="auto"/>
        </w:rPr>
        <w:t>”) in any manner, whether directly or indirectly, and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obligation of such Person, direct or indirect, (i) to purchase or pay (or advance or supply funds for the purchase or payment of) such Indebtedness or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obligation, (ii) to purchase or lease property, securities or services for the purpose of assuring the obligee in respect of such Indebtedness or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obligation of the payment of such Indebtedness or other payment obligation, (iii) to maintain working capital, equity capital or any other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condition or liquidity of the primary obligor so as to enable the primary obligor to pay such Indebtedness or other payment obligation, or (iv) entered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into for the purpose of assuring in any other manner the obligees in respect of such Indebtedness or other payment obligation of the payment thereof or to protect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such obligees against loss in respect thereof (in whole or in part), or (b) any Lien on any assets of such Person securing any Indebtedness or other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obligation of any other Person, whether or not such Indebtedness or other payment obligation is assumed by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Guaranty Obligation</w:t>
      </w:r>
      <w:r>
        <w:rPr>
          <w:rFonts w:ascii="Arial" w:cs="Arial" w:eastAsia="Arial" w:hAnsi="Arial"/>
          <w:sz w:val="16"/>
          <w:szCs w:val="16"/>
          <w:color w:val="auto"/>
        </w:rPr>
        <w:t>” shall not include endorsements of instruments for deposit or collection in the ordinary course of business. The amount of any Guaranty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 shall be deemed to be the lesser of (a) an amount equal to the stated or determinable outstanding amount of the related primary obligation and (b)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maximum amount for which such guarantying Person may be liable pursuant to the terms of the instrument embodying such Guaranty Obligation, unless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amount of such primary obligation and the maximum amount for which such guarantying Person may be liable are not stated or determinable,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case the amount of such Guaranty Obligation shall be the maximum reasonably anticipated liability in respect thereof as determined by the guarantying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Person in good faith.</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Hazardous Substance </w:t>
      </w:r>
      <w:r>
        <w:rPr>
          <w:rFonts w:ascii="Arial" w:cs="Arial" w:eastAsia="Arial" w:hAnsi="Arial"/>
          <w:sz w:val="18"/>
          <w:szCs w:val="18"/>
          <w:color w:val="auto"/>
        </w:rPr>
        <w:t>means (a) any substance that is designated, defined, or classified as a hazardous waste, hazardous material, pollutant, contaminant,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or toxic or hazardous substance, or that is otherwise regulated, under any Environmental Law, including without limitation any hazardous substance within the meaning of </w:t>
      </w:r>
      <w:r>
        <w:rPr>
          <w:rFonts w:ascii="Arial" w:cs="Arial" w:eastAsia="Arial" w:hAnsi="Arial"/>
          <w:sz w:val="18"/>
          <w:szCs w:val="18"/>
          <w:i w:val="1"/>
          <w:iCs w:val="1"/>
          <w:color w:val="auto"/>
        </w:rPr>
        <w:t>Section 101(14)</w:t>
      </w:r>
      <w:r>
        <w:rPr>
          <w:rFonts w:ascii="Arial" w:cs="Arial" w:eastAsia="Arial" w:hAnsi="Arial"/>
          <w:sz w:val="18"/>
          <w:szCs w:val="18"/>
          <w:color w:val="auto"/>
        </w:rPr>
        <w:t xml:space="preserve"> of CERCLA, and (b) petroleum, oil, gasoline, natural gas, fuel oil, motor oil, waste oil, diesel fuel, jet fuel, and other refined petroleum hydrocarbons.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Honor Date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Section 2.02(c)(i)</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Hybrid Securities </w:t>
      </w:r>
      <w:r>
        <w:rPr>
          <w:rFonts w:ascii="Arial" w:cs="Arial" w:eastAsia="Arial" w:hAnsi="Arial"/>
          <w:sz w:val="16"/>
          <w:szCs w:val="16"/>
          <w:color w:val="auto"/>
        </w:rPr>
        <w:t>means any trust preferred securities or deferrable interest subordinated debt issued by the Borrower, the MLP or a Financing Vehicle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maturity of at least 20 years, which provides for the optional or mandatory deferral of interest or distributions at the option of the issuer thereof. “Financing Vehicle” means a business trust, limited liability company, limited partnership or similar entity (i) substantially all of the common equity, general partner or similar interests of which are owned (either directly or indirectly through one or more Wholly-Owned Subsidiaries) at all times by the Borrower or the MLP,</w:t>
      </w:r>
    </w:p>
    <w:p>
      <w:pPr>
        <w:spacing w:after="0" w:line="3" w:lineRule="exact"/>
        <w:rPr>
          <w:sz w:val="20"/>
          <w:szCs w:val="20"/>
          <w:color w:val="auto"/>
        </w:rPr>
      </w:pPr>
    </w:p>
    <w:p>
      <w:pPr>
        <w:jc w:val="right"/>
        <w:ind w:left="5620" w:right="5560" w:hanging="5612"/>
        <w:spacing w:after="0" w:line="404" w:lineRule="auto"/>
        <w:tabs>
          <w:tab w:leader="none" w:pos="257"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that has been formed for the sole purpose of issuing trust preferred securities or 11</w:t>
      </w:r>
    </w:p>
    <w:p>
      <w:pPr>
        <w:sectPr>
          <w:pgSz w:w="11900" w:h="16838" w:orient="portrait"/>
          <w:cols w:equalWidth="0" w:num="1">
            <w:col w:w="11400"/>
          </w:cols>
          <w:pgMar w:left="240" w:top="280" w:right="259" w:bottom="1440" w:gutter="0" w:footer="0" w:header="0"/>
        </w:sectPr>
      </w:pPr>
    </w:p>
    <w:bookmarkStart w:id="20" w:name="page21"/>
    <w:bookmarkEnd w:id="20"/>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deferrable interest subordinated debt, and (iii) substantially all the assets of which consist of (A) subordinated debt of the Borrower or the MLP and (B) payments made from time to time on such subordinated debt.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Increase Effective Date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Section 2.13(b)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Incremental EBITDA </w:t>
      </w:r>
      <w:r>
        <w:rPr>
          <w:rFonts w:ascii="Arial" w:cs="Arial" w:eastAsia="Arial" w:hAnsi="Arial"/>
          <w:sz w:val="18"/>
          <w:szCs w:val="18"/>
          <w:color w:val="auto"/>
        </w:rPr>
        <w:t>of an entity means the EBITDA of such entity for the most recent four fiscal quarters. For this purpose:</w:t>
      </w:r>
    </w:p>
    <w:p>
      <w:pPr>
        <w:spacing w:after="0" w:line="90"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means an amount equal to the sum of (a) Net Income, (b) Interest Charges, (c) the amount of taxes, based on or measured by income,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included in the determination of such Net Income, and (d) the amount of depreciation and amortization expense deducted in determining such Net Income.</w:t>
      </w:r>
    </w:p>
    <w:p>
      <w:pPr>
        <w:spacing w:after="0" w:line="59" w:lineRule="exact"/>
        <w:rPr>
          <w:sz w:val="20"/>
          <w:szCs w:val="20"/>
          <w:color w:val="auto"/>
        </w:rPr>
      </w:pPr>
    </w:p>
    <w:p>
      <w:pPr>
        <w:ind w:left="920" w:right="460"/>
        <w:spacing w:after="0" w:line="306" w:lineRule="auto"/>
        <w:rPr>
          <w:sz w:val="20"/>
          <w:szCs w:val="20"/>
          <w:color w:val="auto"/>
        </w:rPr>
      </w:pPr>
      <w:r>
        <w:rPr>
          <w:rFonts w:ascii="Arial" w:cs="Arial" w:eastAsia="Arial" w:hAnsi="Arial"/>
          <w:sz w:val="16"/>
          <w:szCs w:val="16"/>
          <w:b w:val="1"/>
          <w:bCs w:val="1"/>
          <w:i w:val="1"/>
          <w:iCs w:val="1"/>
          <w:color w:val="auto"/>
        </w:rPr>
        <w:t xml:space="preserve">Interest Charges </w:t>
      </w:r>
      <w:r>
        <w:rPr>
          <w:rFonts w:ascii="Arial" w:cs="Arial" w:eastAsia="Arial" w:hAnsi="Arial"/>
          <w:sz w:val="16"/>
          <w:szCs w:val="16"/>
          <w:color w:val="auto"/>
        </w:rPr>
        <w:t>means the sum of (a) all interest, premium payments, fees, charges and related expenses in connection with Indebtedness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capitalized interest), in each case to the extent treated as interest in accordance with GAAP, and (b) the portion of rent expense with respect to such period under Capital Leases that is treated as interest in accordance with GAAP.</w:t>
      </w:r>
    </w:p>
    <w:p>
      <w:pPr>
        <w:spacing w:after="0" w:line="26" w:lineRule="exact"/>
        <w:rPr>
          <w:sz w:val="20"/>
          <w:szCs w:val="20"/>
          <w:color w:val="auto"/>
        </w:rPr>
      </w:pPr>
    </w:p>
    <w:p>
      <w:pPr>
        <w:ind w:left="920" w:right="60"/>
        <w:spacing w:after="0" w:line="254"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for a Person means the net income or net loss from continuing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shall be excluded from such net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extent otherwise included therein): (a) the income (or loss) of any entity other than a Subsidiary in which such Person has an ownership interest, except to the extent that any such income has been actually received by such Person in the form of cash dividends or similar cash distributions; (b) net extraordinary gains and losses (other than, in the case of losses, losses resulting from charges against net income to establish or increase reserves for potential environmental liabilities and reserves for exposure under rate cases), and (c) any gains or losses attributable to non-cash write-ups or write-downs of assets.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Indebtedness </w:t>
      </w:r>
      <w:r>
        <w:rPr>
          <w:rFonts w:ascii="Arial" w:cs="Arial" w:eastAsia="Arial" w:hAnsi="Arial"/>
          <w:sz w:val="18"/>
          <w:szCs w:val="18"/>
          <w:color w:val="auto"/>
        </w:rPr>
        <w:t>means, as to any Person at a particular time, all of the following:</w:t>
      </w:r>
    </w:p>
    <w:p>
      <w:pPr>
        <w:spacing w:after="0" w:line="90" w:lineRule="exact"/>
        <w:rPr>
          <w:sz w:val="20"/>
          <w:szCs w:val="20"/>
          <w:color w:val="auto"/>
        </w:rPr>
      </w:pPr>
    </w:p>
    <w:p>
      <w:pPr>
        <w:ind w:left="460" w:right="80" w:firstLine="443"/>
        <w:spacing w:after="0" w:line="268" w:lineRule="auto"/>
        <w:tabs>
          <w:tab w:leader="none" w:pos="11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face amount of all letters of credit (including standby and commercial), banker’s acceptances, Bank Guaranties, surety bonds, and similar instruments issued for the account of such Person, and, without duplication, all drafts drawn and unpaid thereunder;</w:t>
      </w:r>
    </w:p>
    <w:p>
      <w:pPr>
        <w:spacing w:after="0" w:line="4" w:lineRule="exact"/>
        <w:rPr>
          <w:rFonts w:ascii="Arial" w:cs="Arial" w:eastAsia="Arial" w:hAnsi="Arial"/>
          <w:sz w:val="16"/>
          <w:szCs w:val="16"/>
          <w:color w:val="auto"/>
        </w:rPr>
      </w:pPr>
    </w:p>
    <w:p>
      <w:pPr>
        <w:ind w:left="460" w:firstLine="443"/>
        <w:spacing w:after="0" w:line="298" w:lineRule="auto"/>
        <w:tabs>
          <w:tab w:leader="none" w:pos="1137"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or not so included as liabilities in accordance with GAAP, all obligations of such Person to pay the deferred purchase price of property or services, other than trade accounts payable in the ordinary course of business not overdue by more than 60 days, and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Leases; and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Guaranty Obligations of such Person in respect of any of the foregoing.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21" w:name="page22"/>
    <w:bookmarkEnd w:id="21"/>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all purposes hereof, the Indebtedness of any Person shall include the Indebtedness of any partnership or joint venture in which such Person is a general partner, unless such Indebtedness is expressly made non-recourse to such Person except for customary exceptions acceptable to the Required Lenders. The amount of any Capital Lease as of any date shall be deemed to be the amount of Attributable Indebtedness in respect thereof as of such date.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Indemnified Liabilities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Section 10.05</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Indemnified Taxes </w:t>
      </w:r>
      <w:r>
        <w:rPr>
          <w:rFonts w:ascii="Arial" w:cs="Arial" w:eastAsia="Arial" w:hAnsi="Arial"/>
          <w:sz w:val="18"/>
          <w:szCs w:val="18"/>
          <w:color w:val="auto"/>
        </w:rPr>
        <w:t>means Taxes other than Excluded Taxes.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Indemnitees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Section 10.05</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Independent Insurers </w:t>
      </w:r>
      <w:r>
        <w:rPr>
          <w:rFonts w:ascii="Arial" w:cs="Arial" w:eastAsia="Arial" w:hAnsi="Arial"/>
          <w:sz w:val="18"/>
          <w:szCs w:val="18"/>
          <w:color w:val="auto"/>
        </w:rPr>
        <w:t>means sound and reputable insurance companies not Affiliates of the Borrower.</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Intellectual Property Agreement </w:t>
      </w:r>
      <w:r>
        <w:rPr>
          <w:rFonts w:ascii="Arial" w:cs="Arial" w:eastAsia="Arial" w:hAnsi="Arial"/>
          <w:sz w:val="18"/>
          <w:szCs w:val="18"/>
          <w:color w:val="auto"/>
        </w:rPr>
        <w:t>means the Intellectual Property and Trademark License Agreement dated as of February 8, 2002, among the Borrower,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Sunoco, Sunoco R&amp;M, the MLP and certain other Affiliates of Sunoco.</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Interest Payment Date </w:t>
      </w:r>
      <w:r>
        <w:rPr>
          <w:rFonts w:ascii="Arial" w:cs="Arial" w:eastAsia="Arial" w:hAnsi="Arial"/>
          <w:sz w:val="18"/>
          <w:szCs w:val="18"/>
          <w:color w:val="auto"/>
        </w:rPr>
        <w:t>means, (a) as to any Loan other than a Base Rate Loan, the last day of each Interest Period applicable to such Loan;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Interest Period for a Eurodollar Rate Loan exceeds three months, the respective dates that fall every three months after the beginning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Period shall also be Interest Payment Dates; and (b) as to any Base Rate Loan, the last Business Day of each March, June, September and December and as to any Lender, its Maturity Date.</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Period </w:t>
      </w:r>
      <w:r>
        <w:rPr>
          <w:rFonts w:ascii="Arial" w:cs="Arial" w:eastAsia="Arial" w:hAnsi="Arial"/>
          <w:sz w:val="18"/>
          <w:szCs w:val="18"/>
          <w:color w:val="auto"/>
        </w:rPr>
        <w:t>means, as to each Eurodollar Rate Loan, the period commencing on the date such Eurodollar Rate Loan is disbursed or converted to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continued as a Eurodollar Rate Loan and ending on the date one, two, three or six months thereafter, as selected by the Borrower in its Borrowing Notice;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59" w:lineRule="exact"/>
        <w:rPr>
          <w:sz w:val="20"/>
          <w:szCs w:val="20"/>
          <w:color w:val="auto"/>
        </w:rPr>
      </w:pPr>
    </w:p>
    <w:p>
      <w:pPr>
        <w:ind w:left="460" w:firstLine="443"/>
        <w:spacing w:after="0" w:line="259" w:lineRule="auto"/>
        <w:tabs>
          <w:tab w:leader="none" w:pos="11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59" w:lineRule="exact"/>
        <w:rPr>
          <w:rFonts w:ascii="Arial" w:cs="Arial" w:eastAsia="Arial" w:hAnsi="Arial"/>
          <w:sz w:val="18"/>
          <w:szCs w:val="18"/>
          <w:color w:val="auto"/>
        </w:rPr>
      </w:pPr>
    </w:p>
    <w:p>
      <w:pPr>
        <w:jc w:val="both"/>
        <w:ind w:left="460" w:right="40" w:firstLine="443"/>
        <w:spacing w:after="0" w:line="259" w:lineRule="auto"/>
        <w:tabs>
          <w:tab w:leader="none" w:pos="11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Interest Period applicable to any Loan of any Lender shall extend beyond the then effective Maturity Date of such Lender.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Interrefinery Lease Agreement </w:t>
      </w:r>
      <w:r>
        <w:rPr>
          <w:rFonts w:ascii="Arial" w:cs="Arial" w:eastAsia="Arial" w:hAnsi="Arial"/>
          <w:sz w:val="15"/>
          <w:szCs w:val="15"/>
          <w:color w:val="auto"/>
        </w:rPr>
        <w:t>means the Interrefinery Lease Agreement between Sunoco Pipeline L.P. and Sunoco R&amp;M dated as of February 8, 2002.</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Investment </w:t>
      </w:r>
      <w:r>
        <w:rPr>
          <w:rFonts w:ascii="Arial" w:cs="Arial" w:eastAsia="Arial" w:hAnsi="Arial"/>
          <w:sz w:val="15"/>
          <w:szCs w:val="15"/>
          <w:color w:val="auto"/>
        </w:rPr>
        <w:t>means, as to any Person, any acquisition or investment by such Person, whether directly or through a Subsidiary of such Person, by means of</w:t>
      </w:r>
    </w:p>
    <w:p>
      <w:pPr>
        <w:spacing w:after="0" w:line="50" w:lineRule="exact"/>
        <w:rPr>
          <w:sz w:val="20"/>
          <w:szCs w:val="20"/>
          <w:color w:val="auto"/>
        </w:rPr>
      </w:pPr>
    </w:p>
    <w:p>
      <w:pPr>
        <w:ind w:right="220" w:firstLine="8"/>
        <w:spacing w:after="0" w:line="261" w:lineRule="auto"/>
        <w:tabs>
          <w:tab w:leader="none" w:pos="2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purchase or other acquisition of capital stock or other securities of another Person, (b) a loan, advance or capital contribution to, guaranty of debt of, or purchase or other acquisition of any other debt or equity participation or interest in, another</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22" w:name="page23"/>
    <w:bookmarkEnd w:id="2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 including any partnership or joint venture interest in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Investment Grade Rating </w:t>
      </w:r>
      <w:r>
        <w:rPr>
          <w:rFonts w:ascii="Arial" w:cs="Arial" w:eastAsia="Arial" w:hAnsi="Arial"/>
          <w:sz w:val="15"/>
          <w:szCs w:val="15"/>
          <w:color w:val="auto"/>
        </w:rPr>
        <w:t>means ratings of BBB- and Baa3 or better by S&amp;P and Moody’s, respectively, of long-term non-enhanced senior unsecured debt.</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IRS </w:t>
      </w:r>
      <w:r>
        <w:rPr>
          <w:rFonts w:ascii="Arial" w:cs="Arial" w:eastAsia="Arial" w:hAnsi="Arial"/>
          <w:sz w:val="18"/>
          <w:szCs w:val="18"/>
          <w:color w:val="auto"/>
        </w:rPr>
        <w:t>means the United States Internal Revenue Service.</w:t>
      </w:r>
    </w:p>
    <w:p>
      <w:pPr>
        <w:spacing w:after="0" w:line="171" w:lineRule="exact"/>
        <w:rPr>
          <w:sz w:val="20"/>
          <w:szCs w:val="20"/>
          <w:color w:val="auto"/>
        </w:rPr>
      </w:pPr>
    </w:p>
    <w:p>
      <w:pPr>
        <w:ind w:right="5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Laws </w:t>
      </w:r>
      <w:r>
        <w:rPr>
          <w:rFonts w:ascii="Arial" w:cs="Arial" w:eastAsia="Arial" w:hAnsi="Arial"/>
          <w:sz w:val="18"/>
          <w:szCs w:val="18"/>
          <w:color w:val="auto"/>
        </w:rPr>
        <w:t>means, collectively, all applicable international, foreign, federal, state and local statutes, treaties, rules, regulations, ordinances, codes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or judicial precedents or authorities, including the interpretation or administration thereof by any Governmental Authority charged with the enforcement, interpretation or administration thereof, and all applicable administrative orders, licenses, authorizations and permits of, any Governmental Authority.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L/C Advance </w:t>
      </w:r>
      <w:r>
        <w:rPr>
          <w:rFonts w:ascii="Arial" w:cs="Arial" w:eastAsia="Arial" w:hAnsi="Arial"/>
          <w:sz w:val="16"/>
          <w:szCs w:val="16"/>
          <w:color w:val="auto"/>
        </w:rPr>
        <w:t>means, with respect to each Lender, such Lender’s participation in any L/C Borrowing in accordance with its Pro Rata Share.</w:t>
      </w:r>
    </w:p>
    <w:p>
      <w:pPr>
        <w:spacing w:after="0" w:line="19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L/C Borrowing </w:t>
      </w:r>
      <w:r>
        <w:rPr>
          <w:rFonts w:ascii="Arial" w:cs="Arial" w:eastAsia="Arial" w:hAnsi="Arial"/>
          <w:sz w:val="18"/>
          <w:szCs w:val="18"/>
          <w:color w:val="auto"/>
        </w:rPr>
        <w:t>means an extension of credit resulting from a drawing under any Letter of Credit which has not been reimbursed on the date when made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refinanced as a Borrowing of Committed Loans.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L/C Credit Extension </w:t>
      </w:r>
      <w:r>
        <w:rPr>
          <w:rFonts w:ascii="Arial" w:cs="Arial" w:eastAsia="Arial" w:hAnsi="Arial"/>
          <w:sz w:val="18"/>
          <w:szCs w:val="18"/>
          <w:color w:val="auto"/>
        </w:rPr>
        <w:t>means, with respect to any Letter of Credit, the issuance thereof or extension of the expiry date thereof, or the renewal or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amount thereof.</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L/C Issuer </w:t>
      </w:r>
      <w:r>
        <w:rPr>
          <w:rFonts w:ascii="Arial" w:cs="Arial" w:eastAsia="Arial" w:hAnsi="Arial"/>
          <w:sz w:val="16"/>
          <w:szCs w:val="16"/>
          <w:color w:val="auto"/>
        </w:rPr>
        <w:t>means each of Citibank, Barclays and any other Lender that has, at the request of Borrower, agreed to issue Letters of Credit hereunder and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reasonably acceptable to the Administrative Agent, in its capacity as an issuer of Letters of Credit hereunder, or any successor issuer of Letters of Credit hereunder. As used herein, the term “the L/C Issuer” shall mean “each L/C Issuer” or “the applicable L/C Issuer,” as the context may require.</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L/C Issuer Commitment </w:t>
      </w:r>
      <w:r>
        <w:rPr>
          <w:rFonts w:ascii="Arial" w:cs="Arial" w:eastAsia="Arial" w:hAnsi="Arial"/>
          <w:sz w:val="18"/>
          <w:szCs w:val="18"/>
          <w:color w:val="auto"/>
        </w:rPr>
        <w:t>means (a) with respect to each of Citibank and Barclays, $37,500,000, and (b) with respect to any Lender which agrees to be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 Issuer after the Closing Date, the aggregate face amount of Letters of Credit that such L/C Issuer has agreed in writing to issue as of the date such Lender became an L/C Issuer.</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L/C Obligations </w:t>
      </w:r>
      <w:r>
        <w:rPr>
          <w:rFonts w:ascii="Arial" w:cs="Arial" w:eastAsia="Arial" w:hAnsi="Arial"/>
          <w:sz w:val="18"/>
          <w:szCs w:val="18"/>
          <w:color w:val="auto"/>
        </w:rPr>
        <w:t>means, as at any date of determination, the aggregate undrawn face amount of all outstanding Letters of Credit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plus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aggregate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Unreimbursed Amounts, including all L/C Borrowings.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Lender </w:t>
      </w:r>
      <w:r>
        <w:rPr>
          <w:rFonts w:ascii="Arial" w:cs="Arial" w:eastAsia="Arial" w:hAnsi="Arial"/>
          <w:sz w:val="16"/>
          <w:szCs w:val="16"/>
          <w:color w:val="auto"/>
        </w:rPr>
        <w:t>has the meaning specified in the introductory paragraph hereto and, as the context requires, includes the L/C Issuer and the Swing Line Lender.</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Lending Office </w:t>
      </w:r>
      <w:r>
        <w:rPr>
          <w:rFonts w:ascii="Arial" w:cs="Arial" w:eastAsia="Arial" w:hAnsi="Arial"/>
          <w:sz w:val="18"/>
          <w:szCs w:val="18"/>
          <w:color w:val="auto"/>
        </w:rPr>
        <w:t>means, as to any Lender, the office or offices of such Lender set forth on its Administrative Details Form, or such other office or offices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Lender may from time to time notify the Borrower and the Administrative Agent.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Letter of Credit </w:t>
      </w:r>
      <w:r>
        <w:rPr>
          <w:rFonts w:ascii="Arial" w:cs="Arial" w:eastAsia="Arial" w:hAnsi="Arial"/>
          <w:sz w:val="18"/>
          <w:szCs w:val="18"/>
          <w:color w:val="auto"/>
        </w:rPr>
        <w:t>means any standby or commercial letter of credit issued hereunder and shall include the Existing Letters of Credit.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3" w:name="page24"/>
    <w:bookmarkEnd w:id="23"/>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Letter of Credit Application </w:t>
      </w:r>
      <w:r>
        <w:rPr>
          <w:rFonts w:ascii="Arial" w:cs="Arial" w:eastAsia="Arial" w:hAnsi="Arial"/>
          <w:sz w:val="18"/>
          <w:szCs w:val="18"/>
          <w:color w:val="auto"/>
        </w:rPr>
        <w:t>means an application and agreement for the issuance or amendment of a letter of credit in the form from time to time in use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L/C Issuer.</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Letter of Credit Expiration Date </w:t>
      </w:r>
      <w:r>
        <w:rPr>
          <w:rFonts w:ascii="Arial" w:cs="Arial" w:eastAsia="Arial" w:hAnsi="Arial"/>
          <w:sz w:val="18"/>
          <w:szCs w:val="18"/>
          <w:color w:val="auto"/>
        </w:rPr>
        <w:t>for each L/C Issuer means the day that is seven days prior to such L/C Issuer’s Stated Maturity Date (or, if such day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Business Day, the next preceding Business Day).</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Leverage Ratio </w:t>
      </w:r>
      <w:r>
        <w:rPr>
          <w:rFonts w:ascii="Arial" w:cs="Arial" w:eastAsia="Arial" w:hAnsi="Arial"/>
          <w:sz w:val="18"/>
          <w:szCs w:val="18"/>
          <w:color w:val="auto"/>
        </w:rPr>
        <w:t>means, for the MLP and its Subsidiaries on a consolidated basis, the ratio of (a) (i) Consolidated Total Debt as of the determination date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minus </w:t>
      </w:r>
      <w:r>
        <w:rPr>
          <w:rFonts w:ascii="Arial" w:cs="Arial" w:eastAsia="Arial" w:hAnsi="Arial"/>
          <w:sz w:val="18"/>
          <w:szCs w:val="18"/>
          <w:color w:val="auto"/>
        </w:rPr>
        <w:t>(ii) Excluded Affiliate Debt as of such date to (b) (i) Consolidated EBITDA for the period of the four fiscal quarters ending on such date, or if such date is</w:t>
      </w:r>
      <w:r>
        <w:rPr>
          <w:rFonts w:ascii="Arial" w:cs="Arial" w:eastAsia="Arial" w:hAnsi="Arial"/>
          <w:sz w:val="18"/>
          <w:szCs w:val="18"/>
          <w:i w:val="1"/>
          <w:iCs w:val="1"/>
          <w:color w:val="auto"/>
        </w:rPr>
        <w:t xml:space="preserve"> </w:t>
      </w:r>
      <w:r>
        <w:rPr>
          <w:rFonts w:ascii="Arial" w:cs="Arial" w:eastAsia="Arial" w:hAnsi="Arial"/>
          <w:sz w:val="18"/>
          <w:szCs w:val="18"/>
          <w:color w:val="auto"/>
        </w:rPr>
        <w:t>not the last day of a fiscal quarter, ending on the last day of the fiscal quarter most recently ended.</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Lien </w:t>
      </w:r>
      <w:r>
        <w:rPr>
          <w:rFonts w:ascii="Arial" w:cs="Arial" w:eastAsia="Arial" w:hAnsi="Arial"/>
          <w:sz w:val="18"/>
          <w:szCs w:val="18"/>
          <w:color w:val="auto"/>
        </w:rPr>
        <w:t>means any mortgage, pledge, hypothecation, assignment, deposit arrangement, encumbrance, lien (statutory or other), charge, or preference, priority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security interest or preferential arrangement of any kind or nature whatsoever to secure or provide for payment of any obligation of any Person, (including any conditional sale or other title retention agreement, any financing lease having substantially the same economic effect as any of the foregoing, and the filing of any financing statement under the Uniform Commercial Code or comparable Laws of any jurisdiction), including the interest of a purchaser of accounts receivable.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Loan </w:t>
      </w:r>
      <w:r>
        <w:rPr>
          <w:rFonts w:ascii="Arial" w:cs="Arial" w:eastAsia="Arial" w:hAnsi="Arial"/>
          <w:sz w:val="18"/>
          <w:szCs w:val="18"/>
          <w:color w:val="auto"/>
        </w:rPr>
        <w:t>means an extension of credit by a Lender to the Borrower pursuant to</w:t>
      </w:r>
      <w:r>
        <w:rPr>
          <w:rFonts w:ascii="Arial" w:cs="Arial" w:eastAsia="Arial" w:hAnsi="Arial"/>
          <w:sz w:val="18"/>
          <w:szCs w:val="18"/>
          <w:b w:val="1"/>
          <w:bCs w:val="1"/>
          <w:i w:val="1"/>
          <w:iCs w:val="1"/>
          <w:color w:val="auto"/>
        </w:rPr>
        <w:t xml:space="preserve"> Section 2.01 </w:t>
      </w:r>
      <w:r>
        <w:rPr>
          <w:rFonts w:ascii="Arial" w:cs="Arial" w:eastAsia="Arial" w:hAnsi="Arial"/>
          <w:sz w:val="18"/>
          <w:szCs w:val="18"/>
          <w:color w:val="auto"/>
        </w:rPr>
        <w:t>of this Agreement, in the form of a Committed Loan or a Swing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Line Loan.</w:t>
      </w:r>
    </w:p>
    <w:p>
      <w:pPr>
        <w:spacing w:after="0" w:line="132"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b w:val="1"/>
          <w:bCs w:val="1"/>
          <w:i w:val="1"/>
          <w:iCs w:val="1"/>
          <w:color w:val="auto"/>
        </w:rPr>
        <w:t xml:space="preserve">Loan Documents </w:t>
      </w:r>
      <w:r>
        <w:rPr>
          <w:rFonts w:ascii="Arial" w:cs="Arial" w:eastAsia="Arial" w:hAnsi="Arial"/>
          <w:sz w:val="15"/>
          <w:szCs w:val="15"/>
          <w:color w:val="auto"/>
        </w:rPr>
        <w:t>means this Agreement, each Note, the Agent/Arranger Fee Letter, each Borrowing Notice, each Compliance Certificate, the Guaranty,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any other document executed by the Borrower or the Guarantor which contains a provision stating that it is a “Loan Document” as herein defined.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Loan Parties </w:t>
      </w:r>
      <w:r>
        <w:rPr>
          <w:rFonts w:ascii="Arial" w:cs="Arial" w:eastAsia="Arial" w:hAnsi="Arial"/>
          <w:sz w:val="18"/>
          <w:szCs w:val="18"/>
          <w:color w:val="auto"/>
        </w:rPr>
        <w:t>means, collectively, the Borrower and the Guarantor.</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Material Adverse Effect </w:t>
      </w:r>
      <w:r>
        <w:rPr>
          <w:rFonts w:ascii="Arial" w:cs="Arial" w:eastAsia="Arial" w:hAnsi="Arial"/>
          <w:sz w:val="16"/>
          <w:szCs w:val="16"/>
          <w:color w:val="auto"/>
        </w:rPr>
        <w:t>means (a) a material adverse change in, or a material adverse effect upon, the operations, business, properties or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of the Borrower and its Subsidiaries taken as a whole or of the MLP and its Subsidiaries taken as a whole; (b) a material impairment of the ability of the Borrower and the MLP, collectively, to perform their obligations under the Loan Documents; or (c) a material adverse effect upon the legality, validity, binding effect or enforceability against the Borrower or against the MLP, collectively, of any Loan Documents.</w:t>
      </w:r>
    </w:p>
    <w:p>
      <w:pPr>
        <w:spacing w:after="0" w:line="113"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Material Agreement </w:t>
      </w:r>
      <w:r>
        <w:rPr>
          <w:rFonts w:ascii="Arial" w:cs="Arial" w:eastAsia="Arial" w:hAnsi="Arial"/>
          <w:sz w:val="18"/>
          <w:szCs w:val="18"/>
          <w:color w:val="auto"/>
        </w:rPr>
        <w:t>means (a) each Borrower Operating Agreement, and (b) any other contract material to the business of the Borrower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taken as a whole.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Material Project </w:t>
      </w:r>
      <w:r>
        <w:rPr>
          <w:rFonts w:ascii="Arial" w:cs="Arial" w:eastAsia="Arial" w:hAnsi="Arial"/>
          <w:sz w:val="18"/>
          <w:szCs w:val="18"/>
          <w:color w:val="auto"/>
        </w:rPr>
        <w:t>means any capital construction or expansion project of the Borrower or its Subsidiaries, the aggregate capital cost or budgeted capital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which, in each case, including capital costs expended prior to the Acquisition of any such project by the Borrower or its Subsidiaries, as the case may be, exceeds $25,000,000.00.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Material Project EBITDA Adjustments </w:t>
      </w:r>
      <w:r>
        <w:rPr>
          <w:rFonts w:ascii="Arial" w:cs="Arial" w:eastAsia="Arial" w:hAnsi="Arial"/>
          <w:sz w:val="18"/>
          <w:szCs w:val="18"/>
          <w:color w:val="auto"/>
        </w:rPr>
        <w:t>means, with respect to each Material Project</w:t>
      </w:r>
    </w:p>
    <w:p>
      <w:pPr>
        <w:spacing w:after="0" w:line="90" w:lineRule="exact"/>
        <w:rPr>
          <w:sz w:val="20"/>
          <w:szCs w:val="20"/>
          <w:color w:val="auto"/>
        </w:rPr>
      </w:pPr>
    </w:p>
    <w:p>
      <w:pPr>
        <w:ind w:right="100" w:firstLine="464"/>
        <w:spacing w:after="0" w:line="332" w:lineRule="auto"/>
        <w:tabs>
          <w:tab w:leader="none" w:pos="744"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any Rolling Period ending on or prior to the last day of the fiscal quarter in which the Commercial Operation Date of such Material Project occurs, a percentage (based on the then-current completion percentage of such Material Project) of an amount determined by the Borrower as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4" w:name="page25"/>
    <w:bookmarkEnd w:id="2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projected Consolidated EBITDA attributable to such Material Project for the first 12-month period following the scheduled Commercial Operation Date of such Material Project (such amount to be determined by the Borrower in good faith and in a commercially reasonable manner based on customer contracts relating to such Material Project, the creditworthiness of the other parties to such contracts, projected revenues from such contracts, capital costs and expenses, scheduled Commercial Operation Date, oil and gas reserve and production estimates, commodity price assumptions and other similar factors deemed appropriate by the Borrower) which may, at the Borrower’s option, for purposes of calculating the Leverage Ratio, be added to Consolidated EBITDA for the fiscal quarter in which construction or expansion of such Material Project commences and for each fiscal quarter thereafter until the Commercial Operation Date of such Material Project (including the fiscal quarter in which such Commercial Operation Date occurs, but without duplication of any actual Consolidated EBITDA attributable to such Material Project following such Commercial Operation Date); provided that if the actual Commercial Operation Date does not occur by the scheduled Commercial Operation Date as reflected in the Responsible Officer’s Certificate delivered pursuant to clause (C)(i) of this definition then the foregoing amount shall be reduced, for quarters ending after the scheduled Commercial Operation Date to (but excluding) the first full quarter after the actual Commercial Operation Date, by the following percentage amounts depending on the period of delay (based on the actual period of delay or then-estimated delay, whichever is longer): (i) 90 days or less, 0%, (ii) longer than 90 days, but not more than 180 days, 25%, (iii) longer than 180 days but not more than 270 days, 50%, (iv) longer than 270 days, 100%; and</w:t>
      </w:r>
    </w:p>
    <w:p>
      <w:pPr>
        <w:spacing w:after="0" w:line="121" w:lineRule="exact"/>
        <w:rPr>
          <w:sz w:val="20"/>
          <w:szCs w:val="20"/>
          <w:color w:val="auto"/>
        </w:rPr>
      </w:pPr>
    </w:p>
    <w:p>
      <w:pPr>
        <w:jc w:val="both"/>
        <w:ind w:right="20" w:firstLine="464"/>
        <w:spacing w:after="0" w:line="254" w:lineRule="auto"/>
        <w:tabs>
          <w:tab w:leader="none" w:pos="7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each Rolling Period ending on the last day of the first, second and third fiscal quarters, respectively, immediately following the fiscal quarter during which the Commercial Operation Date occurs, an amount equal to the projected Consolidated EBITDA attributable to the Material Project for the period from but excluding the end of such Rolling Period through and including the last day of the fourth fiscal quarter following the fiscal quarter during which the Commercial Operation Date occurs, may, at the Borrower’s option, for purposes of calculating the Leverage Ratio, be added to Consolidated EBITDA for such Rolling Period (net of any actual Consolidated EBITDA attributable to the Material Project) through and including the last day of the fiscal quarter during which the Commercial Operation Date occurs.</w:t>
      </w:r>
    </w:p>
    <w:p>
      <w:pPr>
        <w:spacing w:after="0" w:line="144" w:lineRule="exact"/>
        <w:rPr>
          <w:rFonts w:ascii="Arial" w:cs="Arial" w:eastAsia="Arial" w:hAnsi="Arial"/>
          <w:sz w:val="18"/>
          <w:szCs w:val="18"/>
          <w:color w:val="auto"/>
        </w:rPr>
      </w:pPr>
    </w:p>
    <w:p>
      <w:pPr>
        <w:ind w:left="740" w:hanging="27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the foregoing:</w:t>
      </w:r>
    </w:p>
    <w:p>
      <w:pPr>
        <w:spacing w:after="0" w:line="90" w:lineRule="exact"/>
        <w:rPr>
          <w:rFonts w:ascii="Arial" w:cs="Arial" w:eastAsia="Arial" w:hAnsi="Arial"/>
          <w:sz w:val="18"/>
          <w:szCs w:val="18"/>
          <w:color w:val="auto"/>
        </w:rPr>
      </w:pPr>
    </w:p>
    <w:p>
      <w:pPr>
        <w:ind w:left="460" w:firstLine="443"/>
        <w:spacing w:after="0" w:line="289" w:lineRule="auto"/>
        <w:tabs>
          <w:tab w:leader="none" w:pos="1108" w:val="left"/>
        </w:tabs>
        <w:numPr>
          <w:ilvl w:val="1"/>
          <w:numId w:val="16"/>
        </w:numPr>
        <w:rPr>
          <w:rFonts w:ascii="Arial" w:cs="Arial" w:eastAsia="Arial" w:hAnsi="Arial"/>
          <w:sz w:val="16"/>
          <w:szCs w:val="16"/>
          <w:color w:val="auto"/>
        </w:rPr>
      </w:pPr>
      <w:r>
        <w:rPr>
          <w:rFonts w:ascii="Arial" w:cs="Arial" w:eastAsia="Arial" w:hAnsi="Arial"/>
          <w:sz w:val="16"/>
          <w:szCs w:val="16"/>
          <w:color w:val="auto"/>
        </w:rPr>
        <w:t>no such additions shall be allowed with respect to any Material Project unless at least 20 days prior to the delivery of any Compliance Certificate on which Material Project EBITDA Adjustments will be reflected for a Material Project (or such shorter time period as may be agreed by the Administrative Agent), the Borrower shall have delivered to the Administrative Agent a certificate of a Responsible Officer of the Borrower certifying as to the scheduled Commercial Operation Date of such Material Project and as to the amount determined by the Borrower as the projected Consolidated EBITDA attributable to such Material Project, together with a reasonably detailed explanation of the basis therefor and such other information and documentation as the Administrative Agent or any Lender may reasonably request, and such certificate, explanation and other information and documentation delivered by the Borrower shall be deemed in form and substance satisfactory to the Administrative Agent and the Required Lenders unless the Administrative Agent or the Required Lender object thereto within 10 Business Days after receipt thereof, and</w:t>
      </w:r>
    </w:p>
    <w:p>
      <w:pPr>
        <w:spacing w:after="0" w:line="37" w:lineRule="exact"/>
        <w:rPr>
          <w:rFonts w:ascii="Arial" w:cs="Arial" w:eastAsia="Arial" w:hAnsi="Arial"/>
          <w:sz w:val="16"/>
          <w:szCs w:val="16"/>
          <w:color w:val="auto"/>
        </w:rPr>
      </w:pPr>
    </w:p>
    <w:p>
      <w:pPr>
        <w:ind w:left="460" w:right="200" w:firstLine="443"/>
        <w:spacing w:after="0" w:line="259" w:lineRule="auto"/>
        <w:tabs>
          <w:tab w:leader="none" w:pos="11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aggregate amount of all Material Project EBITDA Adjustments during any period shall be limited to 20% of the total actual Consolidated EBITDA for such period (which total actual Consolidated EBITDA shall be determined without including any Material Project EBITDA Adjustments or any adjustments for Acquisitions pursuant to the definition of Consolidated EBITDA).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5" w:name="page26"/>
    <w:bookmarkEnd w:id="25"/>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Maturity Date </w:t>
      </w:r>
      <w:r>
        <w:rPr>
          <w:rFonts w:ascii="Arial" w:cs="Arial" w:eastAsia="Arial" w:hAnsi="Arial"/>
          <w:sz w:val="18"/>
          <w:szCs w:val="18"/>
          <w:color w:val="auto"/>
        </w:rPr>
        <w:t>means for each Lender (including the Swing Line Lender) (a) such Lender’s Stated Maturity Date, or (b) such earlier effective date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termination, cancellation, or acceleration of all Commitments under this Agreement.</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Maximum Amount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Maximum Rate </w:t>
      </w:r>
      <w:r>
        <w:rPr>
          <w:rFonts w:ascii="Arial" w:cs="Arial" w:eastAsia="Arial" w:hAnsi="Arial"/>
          <w:sz w:val="16"/>
          <w:szCs w:val="16"/>
          <w:color w:val="auto"/>
        </w:rPr>
        <w:t>respectively mean, for each Lender, the maximum non-usurious amount and the maximum non-usurious rate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which, under applicable Law, such Lender is permitted to contract for, charge, take, reserve, or receive on the Obligations.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MLP </w:t>
      </w:r>
      <w:r>
        <w:rPr>
          <w:rFonts w:ascii="Arial" w:cs="Arial" w:eastAsia="Arial" w:hAnsi="Arial"/>
          <w:sz w:val="18"/>
          <w:szCs w:val="18"/>
          <w:color w:val="auto"/>
        </w:rPr>
        <w:t>has the meaning set forth in the introductory paragraph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Moody’s </w:t>
      </w:r>
      <w:r>
        <w:rPr>
          <w:rFonts w:ascii="Arial" w:cs="Arial" w:eastAsia="Arial" w:hAnsi="Arial"/>
          <w:sz w:val="18"/>
          <w:szCs w:val="18"/>
          <w:color w:val="auto"/>
        </w:rPr>
        <w:t>means Moody’s Investors Service, Inc.</w:t>
      </w:r>
    </w:p>
    <w:p>
      <w:pPr>
        <w:spacing w:after="0" w:line="171"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Multiemployer Plan </w:t>
      </w:r>
      <w:r>
        <w:rPr>
          <w:rFonts w:ascii="Arial" w:cs="Arial" w:eastAsia="Arial" w:hAnsi="Arial"/>
          <w:sz w:val="16"/>
          <w:szCs w:val="16"/>
          <w:color w:val="auto"/>
        </w:rPr>
        <w:t>means any employee benefit plan of the type described in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Section 4001(a)(3)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ERISA, to which the Borrower or any ERISA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Affiliate makes or is obligated to make contributions, or during the preceding three calendar years, has made or been obligated to make contributions.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Non-Extending Lender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Section 2.14(b)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Nonrenewal Notice Date </w:t>
      </w:r>
      <w:r>
        <w:rPr>
          <w:rFonts w:ascii="Arial" w:cs="Arial" w:eastAsia="Arial" w:hAnsi="Arial"/>
          <w:sz w:val="18"/>
          <w:szCs w:val="18"/>
          <w:color w:val="auto"/>
        </w:rPr>
        <w:t>has the meaning specified in</w:t>
      </w:r>
      <w:r>
        <w:rPr>
          <w:rFonts w:ascii="Arial" w:cs="Arial" w:eastAsia="Arial" w:hAnsi="Arial"/>
          <w:sz w:val="18"/>
          <w:szCs w:val="18"/>
          <w:b w:val="1"/>
          <w:bCs w:val="1"/>
          <w:i w:val="1"/>
          <w:iCs w:val="1"/>
          <w:color w:val="auto"/>
        </w:rPr>
        <w:t xml:space="preserve"> Section 2.02(b)(iii)</w:t>
      </w:r>
      <w:r>
        <w:rPr>
          <w:rFonts w:ascii="Arial" w:cs="Arial" w:eastAsia="Arial" w:hAnsi="Arial"/>
          <w:sz w:val="18"/>
          <w:szCs w:val="18"/>
          <w:color w:val="auto"/>
        </w:rPr>
        <w:t>.</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Notes </w:t>
      </w:r>
      <w:r>
        <w:rPr>
          <w:rFonts w:ascii="Arial" w:cs="Arial" w:eastAsia="Arial" w:hAnsi="Arial"/>
          <w:sz w:val="18"/>
          <w:szCs w:val="18"/>
          <w:color w:val="auto"/>
        </w:rPr>
        <w:t>means promissory notes of the Borrower, substantially in the form of</w:t>
      </w:r>
      <w:r>
        <w:rPr>
          <w:rFonts w:ascii="Arial" w:cs="Arial" w:eastAsia="Arial" w:hAnsi="Arial"/>
          <w:sz w:val="18"/>
          <w:szCs w:val="18"/>
          <w:b w:val="1"/>
          <w:bCs w:val="1"/>
          <w:i w:val="1"/>
          <w:iCs w:val="1"/>
          <w:color w:val="auto"/>
        </w:rPr>
        <w:t xml:space="preserve"> Exhibit B </w:t>
      </w:r>
      <w:r>
        <w:rPr>
          <w:rFonts w:ascii="Arial" w:cs="Arial" w:eastAsia="Arial" w:hAnsi="Arial"/>
          <w:sz w:val="18"/>
          <w:szCs w:val="18"/>
          <w:color w:val="auto"/>
        </w:rPr>
        <w:t>hereto, evidencing the obligation of Borrower to repay the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means any one of such promissory notes issued hereunder.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Notice Date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Section 2.14(b)</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b w:val="1"/>
          <w:bCs w:val="1"/>
          <w:i w:val="1"/>
          <w:iCs w:val="1"/>
          <w:color w:val="auto"/>
        </w:rPr>
        <w:t xml:space="preserve">Obligations </w:t>
      </w:r>
      <w:r>
        <w:rPr>
          <w:rFonts w:ascii="Arial" w:cs="Arial" w:eastAsia="Arial" w:hAnsi="Arial"/>
          <w:sz w:val="15"/>
          <w:szCs w:val="15"/>
          <w:color w:val="auto"/>
        </w:rPr>
        <w:t>means all advances to, and debts, liabilities, obligations, covenants and duties of, any Loan Party arising under any Loan Document, whether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direct or indirect (including those acquired by assumption), absolute or contingent, due or to become due, now existing or hereafter arising and including interest that accrues after the commencement by or against any Loan Party of any proceeding under any Debtor Relief Laws naming such Person as the debtor in such proceeding;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all references to the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Obligations</w:t>
      </w:r>
      <w:r>
        <w:rPr>
          <w:rFonts w:ascii="Arial" w:cs="Arial" w:eastAsia="Arial" w:hAnsi="Arial"/>
          <w:sz w:val="15"/>
          <w:szCs w:val="15"/>
          <w:i w:val="1"/>
          <w:iCs w:val="1"/>
          <w:color w:val="auto"/>
        </w:rPr>
        <w:t>”</w:t>
      </w:r>
      <w:r>
        <w:rPr>
          <w:rFonts w:ascii="Arial" w:cs="Arial" w:eastAsia="Arial" w:hAnsi="Arial"/>
          <w:sz w:val="15"/>
          <w:szCs w:val="15"/>
          <w:color w:val="auto"/>
        </w:rPr>
        <w:t xml:space="preserve"> in the Guaranty and in </w:t>
      </w:r>
      <w:r>
        <w:rPr>
          <w:rFonts w:ascii="Arial" w:cs="Arial" w:eastAsia="Arial" w:hAnsi="Arial"/>
          <w:sz w:val="15"/>
          <w:szCs w:val="15"/>
          <w:b w:val="1"/>
          <w:bCs w:val="1"/>
          <w:i w:val="1"/>
          <w:iCs w:val="1"/>
          <w:color w:val="auto"/>
        </w:rPr>
        <w:t>Sections 2.11(c)</w:t>
      </w:r>
      <w:r>
        <w:rPr>
          <w:rFonts w:ascii="Arial" w:cs="Arial" w:eastAsia="Arial" w:hAnsi="Arial"/>
          <w:sz w:val="15"/>
          <w:szCs w:val="15"/>
          <w:color w:val="auto"/>
        </w:rPr>
        <w:t xml:space="preserve"> and </w:t>
      </w:r>
      <w:r>
        <w:rPr>
          <w:rFonts w:ascii="Arial" w:cs="Arial" w:eastAsia="Arial" w:hAnsi="Arial"/>
          <w:sz w:val="15"/>
          <w:szCs w:val="15"/>
          <w:b w:val="1"/>
          <w:bCs w:val="1"/>
          <w:i w:val="1"/>
          <w:iCs w:val="1"/>
          <w:color w:val="auto"/>
        </w:rPr>
        <w:t>10.09</w:t>
      </w:r>
      <w:r>
        <w:rPr>
          <w:rFonts w:ascii="Arial" w:cs="Arial" w:eastAsia="Arial" w:hAnsi="Arial"/>
          <w:sz w:val="15"/>
          <w:szCs w:val="15"/>
          <w:color w:val="auto"/>
        </w:rPr>
        <w:t xml:space="preserve"> of this Agreement shall, in addition to the foregoing, also include all present and future indebtedness, liabilities, and obligations (and all renewals and extensions thereof or any part thereof) now or hereafter owed to any Lender or any Affiliate of a Lender arising from or pursuant to any Swap Contract entered into by the Borrower or any of its Subsidiaries.</w:t>
      </w:r>
    </w:p>
    <w:p>
      <w:pPr>
        <w:spacing w:after="0" w:line="10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Omnibus Agreement </w:t>
      </w:r>
      <w:r>
        <w:rPr>
          <w:rFonts w:ascii="Arial" w:cs="Arial" w:eastAsia="Arial" w:hAnsi="Arial"/>
          <w:sz w:val="18"/>
          <w:szCs w:val="18"/>
          <w:color w:val="auto"/>
        </w:rPr>
        <w:t>means the Omnibus Agreement dated as of February 8, 2002, among the MLP, General Partner, the Borrower, Sunoco, Sunoco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(R&amp;M) and certain other Affiliates of Sunoco.</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Organization Documents </w:t>
      </w:r>
      <w:r>
        <w:rPr>
          <w:rFonts w:ascii="Arial" w:cs="Arial" w:eastAsia="Arial" w:hAnsi="Arial"/>
          <w:sz w:val="16"/>
          <w:szCs w:val="16"/>
          <w:color w:val="auto"/>
        </w:rPr>
        <w:t>means, (a) with respect to any corporation, the certificate or articles of incorporation and the bylaws; (b) with respect to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limited liability company, the certificate of formation and operating agreement; and (c) with respect to any partnership, joint venture, trust or other form of business entity, the partnership, joint venture or other applicable agreement of formation and any agreement, instrument, filing or notice with respect thereto filed in connection with its formation with the secretary of state or other department in the state of its formation, in each case as amended from time to time.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80" w:right="319" w:bottom="1440" w:gutter="0" w:footer="0" w:header="0"/>
        </w:sectPr>
      </w:pPr>
    </w:p>
    <w:bookmarkStart w:id="26" w:name="page27"/>
    <w:bookmarkEnd w:id="26"/>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Other Taxes </w:t>
      </w:r>
      <w:r>
        <w:rPr>
          <w:rFonts w:ascii="Arial" w:cs="Arial" w:eastAsia="Arial" w:hAnsi="Arial"/>
          <w:sz w:val="18"/>
          <w:szCs w:val="18"/>
          <w:color w:val="auto"/>
        </w:rPr>
        <w:t>means all present or future stamp or documentary taxes or any other excise or property taxes, charges or similar levies arising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made hereunder or under any other Loan Document or from the execution, delivery or enforcement of, or otherwise with respect to, this Agreement or any other Loan Document.</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Outstanding Amount </w:t>
      </w:r>
      <w:r>
        <w:rPr>
          <w:rFonts w:ascii="Arial" w:cs="Arial" w:eastAsia="Arial" w:hAnsi="Arial"/>
          <w:sz w:val="16"/>
          <w:szCs w:val="16"/>
          <w:color w:val="auto"/>
        </w:rPr>
        <w:t>means on any date, (i) with respect to Committed Loans and Swing Line Loans on any date, the aggregate principal amount thereof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giving effect to any Borrowings and prepayments or repayments of Committed Loans and Swing Line Loans occurring on such date; and (ii) with respect to any L/C Obligations, the amount of such L/C Obligations on such date after giving effect to any L/C Credit Extension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has the meaning specified in</w:t>
      </w:r>
      <w:r>
        <w:rPr>
          <w:rFonts w:ascii="Arial" w:cs="Arial" w:eastAsia="Arial" w:hAnsi="Arial"/>
          <w:sz w:val="18"/>
          <w:szCs w:val="18"/>
          <w:b w:val="1"/>
          <w:bCs w:val="1"/>
          <w:i w:val="1"/>
          <w:iCs w:val="1"/>
          <w:color w:val="auto"/>
        </w:rPr>
        <w:t xml:space="preserve"> Section 10.07(d)</w:t>
      </w:r>
      <w:r>
        <w:rPr>
          <w:rFonts w:ascii="Arial" w:cs="Arial" w:eastAsia="Arial" w:hAnsi="Arial"/>
          <w:sz w:val="18"/>
          <w:szCs w:val="18"/>
          <w:color w:val="auto"/>
        </w:rPr>
        <w:t>.</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Partnership Agreement (Borrower) </w:t>
      </w:r>
      <w:r>
        <w:rPr>
          <w:rFonts w:ascii="Arial" w:cs="Arial" w:eastAsia="Arial" w:hAnsi="Arial"/>
          <w:sz w:val="18"/>
          <w:szCs w:val="18"/>
          <w:color w:val="auto"/>
        </w:rPr>
        <w:t>means the Amended and Restated Agreement of Limited Partnership of Sunoco Logistics Partners Operations 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dated as of February 8, 2002.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Partnership Agreement (MLP) </w:t>
      </w:r>
      <w:r>
        <w:rPr>
          <w:rFonts w:ascii="Arial" w:cs="Arial" w:eastAsia="Arial" w:hAnsi="Arial"/>
          <w:sz w:val="16"/>
          <w:szCs w:val="16"/>
          <w:color w:val="auto"/>
        </w:rPr>
        <w:t>means the Second Amended and Restated Agreement of Limited Partnership of the MLP, dated as of July 20, 2004.</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PBGC </w:t>
      </w:r>
      <w:r>
        <w:rPr>
          <w:rFonts w:ascii="Arial" w:cs="Arial" w:eastAsia="Arial" w:hAnsi="Arial"/>
          <w:sz w:val="18"/>
          <w:szCs w:val="18"/>
          <w:color w:val="auto"/>
        </w:rPr>
        <w:t>means the Pension Benefit Guaranty Corporation.</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Pension Plan </w:t>
      </w:r>
      <w:r>
        <w:rPr>
          <w:rFonts w:ascii="Arial" w:cs="Arial" w:eastAsia="Arial" w:hAnsi="Arial"/>
          <w:sz w:val="18"/>
          <w:szCs w:val="18"/>
          <w:color w:val="auto"/>
        </w:rPr>
        <w:t>means any “</w:t>
      </w:r>
      <w:r>
        <w:rPr>
          <w:rFonts w:ascii="Arial" w:cs="Arial" w:eastAsia="Arial" w:hAnsi="Arial"/>
          <w:sz w:val="18"/>
          <w:szCs w:val="18"/>
          <w:i w:val="1"/>
          <w:iCs w:val="1"/>
          <w:color w:val="auto"/>
        </w:rPr>
        <w:t>employee pension benefit plan</w:t>
      </w:r>
      <w:r>
        <w:rPr>
          <w:rFonts w:ascii="Arial" w:cs="Arial" w:eastAsia="Arial" w:hAnsi="Arial"/>
          <w:sz w:val="18"/>
          <w:szCs w:val="18"/>
          <w:color w:val="auto"/>
        </w:rPr>
        <w:t>” (as such term 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Section 3(2)(A)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ERISA), other than a Multiemployer Plan,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subject to </w:t>
      </w:r>
      <w:r>
        <w:rPr>
          <w:rFonts w:ascii="Arial" w:cs="Arial" w:eastAsia="Arial" w:hAnsi="Arial"/>
          <w:sz w:val="18"/>
          <w:szCs w:val="18"/>
          <w:i w:val="1"/>
          <w:iCs w:val="1"/>
          <w:color w:val="auto"/>
        </w:rPr>
        <w:t>Title IV</w:t>
      </w:r>
      <w:r>
        <w:rPr>
          <w:rFonts w:ascii="Arial" w:cs="Arial" w:eastAsia="Arial" w:hAnsi="Arial"/>
          <w:sz w:val="18"/>
          <w:szCs w:val="18"/>
          <w:color w:val="auto"/>
        </w:rPr>
        <w:t xml:space="preserve"> of ERISA and is sponsored or maintained by the Borrower or any ERISA Affiliate or to which the Borrower or any ERISA Affiliate contributes or has an obligation to contribute, or in the case of a multiple employer plan (as described in </w:t>
      </w:r>
      <w:r>
        <w:rPr>
          <w:rFonts w:ascii="Arial" w:cs="Arial" w:eastAsia="Arial" w:hAnsi="Arial"/>
          <w:sz w:val="18"/>
          <w:szCs w:val="18"/>
          <w:i w:val="1"/>
          <w:iCs w:val="1"/>
          <w:color w:val="auto"/>
        </w:rPr>
        <w:t>Section 4064(a)</w:t>
      </w:r>
      <w:r>
        <w:rPr>
          <w:rFonts w:ascii="Arial" w:cs="Arial" w:eastAsia="Arial" w:hAnsi="Arial"/>
          <w:sz w:val="18"/>
          <w:szCs w:val="18"/>
          <w:color w:val="auto"/>
        </w:rPr>
        <w:t xml:space="preserve"> of ERISA) has made contributions at any time during the immediately preceding five plan years.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Permitted Investments </w:t>
      </w:r>
      <w:r>
        <w:rPr>
          <w:rFonts w:ascii="Arial" w:cs="Arial" w:eastAsia="Arial" w:hAnsi="Arial"/>
          <w:sz w:val="18"/>
          <w:szCs w:val="18"/>
          <w:color w:val="auto"/>
        </w:rPr>
        <w:t>means:</w:t>
      </w:r>
    </w:p>
    <w:p>
      <w:pPr>
        <w:spacing w:after="0" w:line="90" w:lineRule="exact"/>
        <w:rPr>
          <w:sz w:val="20"/>
          <w:szCs w:val="20"/>
          <w:color w:val="auto"/>
        </w:rPr>
      </w:pPr>
    </w:p>
    <w:p>
      <w:pPr>
        <w:ind w:left="1140" w:hanging="237"/>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right="40" w:firstLine="443"/>
        <w:spacing w:after="0" w:line="306" w:lineRule="auto"/>
        <w:tabs>
          <w:tab w:leader="none" w:pos="1147"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direct general obligations, or obligations of, or obligations fully and unconditionally guaranteed as to the timely payment of principal and interest by, the United States or any agency or instrumentality thereof having remaining maturities of not more than thirteen (13) months, but excluding any such securities whose terms do not provide for payment of a fixed dollar amount upon maturity or call for redemptions;</w:t>
      </w:r>
    </w:p>
    <w:p>
      <w:pPr>
        <w:spacing w:after="0" w:line="25" w:lineRule="exact"/>
        <w:rPr>
          <w:rFonts w:ascii="Arial" w:cs="Arial" w:eastAsia="Arial" w:hAnsi="Arial"/>
          <w:sz w:val="16"/>
          <w:szCs w:val="16"/>
          <w:color w:val="auto"/>
        </w:rPr>
      </w:pPr>
    </w:p>
    <w:p>
      <w:pPr>
        <w:ind w:left="460" w:right="280" w:firstLine="443"/>
        <w:spacing w:after="0" w:line="306" w:lineRule="auto"/>
        <w:tabs>
          <w:tab w:leader="none" w:pos="1137"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thirteen (13) months or less, bankers acceptances with maturities not exceeding one hundred eighty (180) days, overnight bank deposits and other similar short term instruments, in each case with any domestic commercial bank having capital and surplus in excess of $500,000,000 and having a rating of at least “A2” by Moody’s and at least “A” by S&amp;P;</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1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thirteen (13) months for underlying securities of the types described in (b) and (c) above entered into with any financial institution meeting the qualifications in (c)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7" w:name="page28"/>
    <w:bookmarkEnd w:id="27"/>
    <w:p>
      <w:pPr>
        <w:ind w:left="460" w:right="100" w:firstLine="443"/>
        <w:spacing w:after="0" w:line="268" w:lineRule="auto"/>
        <w:tabs>
          <w:tab w:leader="none" w:pos="1137"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commercial paper (having original maturities of not more than two hundred seventy (270) days) of any person rated “P-1” or better by Moody’s or “A-1” or the equivalent by S&amp;P; and</w:t>
      </w:r>
    </w:p>
    <w:p>
      <w:pPr>
        <w:spacing w:after="0" w:line="50" w:lineRule="exact"/>
        <w:rPr>
          <w:rFonts w:ascii="Arial" w:cs="Arial" w:eastAsia="Arial" w:hAnsi="Arial"/>
          <w:sz w:val="18"/>
          <w:szCs w:val="18"/>
          <w:color w:val="auto"/>
        </w:rPr>
      </w:pPr>
    </w:p>
    <w:p>
      <w:pPr>
        <w:ind w:left="460" w:right="480" w:firstLine="443"/>
        <w:spacing w:after="0" w:line="268" w:lineRule="auto"/>
        <w:tabs>
          <w:tab w:leader="none" w:pos="11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money market mutual or similar funds having assets in excess of $100,000,000, at least 95% of the assets of which are comprised of assets specified in </w:t>
      </w:r>
      <w:r>
        <w:rPr>
          <w:rFonts w:ascii="Arial" w:cs="Arial" w:eastAsia="Arial" w:hAnsi="Arial"/>
          <w:sz w:val="18"/>
          <w:szCs w:val="18"/>
          <w:b w:val="1"/>
          <w:bCs w:val="1"/>
          <w:i w:val="1"/>
          <w:iCs w:val="1"/>
          <w:color w:val="auto"/>
        </w:rPr>
        <w:t>clause (a)</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(e)</w:t>
      </w:r>
      <w:r>
        <w:rPr>
          <w:rFonts w:ascii="Arial" w:cs="Arial" w:eastAsia="Arial" w:hAnsi="Arial"/>
          <w:sz w:val="18"/>
          <w:szCs w:val="18"/>
          <w:color w:val="auto"/>
        </w:rPr>
        <w:t xml:space="preserve"> above.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Permitted Joint Venture </w:t>
      </w:r>
      <w:r>
        <w:rPr>
          <w:rFonts w:ascii="Arial" w:cs="Arial" w:eastAsia="Arial" w:hAnsi="Arial"/>
          <w:sz w:val="18"/>
          <w:szCs w:val="18"/>
          <w:color w:val="auto"/>
        </w:rPr>
        <w:t>means any Person (other than a Subsidiary) in which the Borrower owns (including ownership through its Subsidiaries)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interests representing less than 100% of the total outstanding equity interests of such Person,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Person is engaged only in the businesses that are permitted for the Borrower and its Subsidiaries pursuant to </w:t>
      </w:r>
      <w:r>
        <w:rPr>
          <w:rFonts w:ascii="Arial" w:cs="Arial" w:eastAsia="Arial" w:hAnsi="Arial"/>
          <w:sz w:val="18"/>
          <w:szCs w:val="18"/>
          <w:b w:val="1"/>
          <w:bCs w:val="1"/>
          <w:i w:val="1"/>
          <w:iCs w:val="1"/>
          <w:color w:val="auto"/>
        </w:rPr>
        <w:t>Section 7.09</w:t>
      </w:r>
      <w:r>
        <w:rPr>
          <w:rFonts w:ascii="Arial" w:cs="Arial" w:eastAsia="Arial" w:hAnsi="Arial"/>
          <w:sz w:val="18"/>
          <w:szCs w:val="18"/>
          <w:color w:val="auto"/>
        </w:rPr>
        <w: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Permitted Liens </w:t>
      </w:r>
      <w:r>
        <w:rPr>
          <w:rFonts w:ascii="Arial" w:cs="Arial" w:eastAsia="Arial" w:hAnsi="Arial"/>
          <w:sz w:val="18"/>
          <w:szCs w:val="18"/>
          <w:color w:val="auto"/>
        </w:rPr>
        <w:t>means Liens permitted under</w:t>
      </w:r>
      <w:r>
        <w:rPr>
          <w:rFonts w:ascii="Arial" w:cs="Arial" w:eastAsia="Arial" w:hAnsi="Arial"/>
          <w:sz w:val="18"/>
          <w:szCs w:val="18"/>
          <w:b w:val="1"/>
          <w:bCs w:val="1"/>
          <w:i w:val="1"/>
          <w:iCs w:val="1"/>
          <w:color w:val="auto"/>
        </w:rPr>
        <w:t xml:space="preserve"> Section 7.01 </w:t>
      </w:r>
      <w:r>
        <w:rPr>
          <w:rFonts w:ascii="Arial" w:cs="Arial" w:eastAsia="Arial" w:hAnsi="Arial"/>
          <w:sz w:val="18"/>
          <w:szCs w:val="18"/>
          <w:color w:val="auto"/>
        </w:rPr>
        <w:t>as described in such Section.</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Person </w:t>
      </w:r>
      <w:r>
        <w:rPr>
          <w:rFonts w:ascii="Arial" w:cs="Arial" w:eastAsia="Arial" w:hAnsi="Arial"/>
          <w:sz w:val="18"/>
          <w:szCs w:val="18"/>
          <w:color w:val="auto"/>
        </w:rPr>
        <w:t>means any individual, trustee, corporation, general partnership, limited partnership, limited liability company, joint stock company,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unincorporated organization, bank, business association, firm, joint venture or Governmental Authority.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Plan </w:t>
      </w:r>
      <w:r>
        <w:rPr>
          <w:rFonts w:ascii="Arial" w:cs="Arial" w:eastAsia="Arial" w:hAnsi="Arial"/>
          <w:sz w:val="16"/>
          <w:szCs w:val="16"/>
          <w:color w:val="auto"/>
        </w:rPr>
        <w:t>means any “</w:t>
      </w:r>
      <w:r>
        <w:rPr>
          <w:rFonts w:ascii="Arial" w:cs="Arial" w:eastAsia="Arial" w:hAnsi="Arial"/>
          <w:sz w:val="16"/>
          <w:szCs w:val="16"/>
          <w:i w:val="1"/>
          <w:iCs w:val="1"/>
          <w:color w:val="auto"/>
        </w:rPr>
        <w:t>employee benefit plan</w:t>
      </w:r>
      <w:r>
        <w:rPr>
          <w:rFonts w:ascii="Arial" w:cs="Arial" w:eastAsia="Arial" w:hAnsi="Arial"/>
          <w:sz w:val="16"/>
          <w:szCs w:val="16"/>
          <w:color w:val="auto"/>
        </w:rPr>
        <w:t>” (as such term is defined in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Section 3(3)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ERISA) established by the Borrower or any ERISA Affiliate.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Present and Related Businesses </w:t>
      </w:r>
      <w:r>
        <w:rPr>
          <w:rFonts w:ascii="Arial" w:cs="Arial" w:eastAsia="Arial" w:hAnsi="Arial"/>
          <w:sz w:val="16"/>
          <w:szCs w:val="16"/>
          <w:color w:val="auto"/>
        </w:rPr>
        <w:t>means the storage, transportation and distribution of hydrocarbons, and businesses closely related thereto.</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Pro Rata Share </w:t>
      </w:r>
      <w:r>
        <w:rPr>
          <w:rFonts w:ascii="Arial" w:cs="Arial" w:eastAsia="Arial" w:hAnsi="Arial"/>
          <w:sz w:val="18"/>
          <w:szCs w:val="18"/>
          <w:color w:val="auto"/>
        </w:rPr>
        <w:t>means, at any date of determination, for any Lender, the percentage (carried out to the ninth decimal place) that its Committed Sum bears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Aggregate Committed Sum.</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Quarterly Distributions </w:t>
      </w:r>
      <w:r>
        <w:rPr>
          <w:rFonts w:ascii="Arial" w:cs="Arial" w:eastAsia="Arial" w:hAnsi="Arial"/>
          <w:sz w:val="16"/>
          <w:szCs w:val="16"/>
          <w:color w:val="auto"/>
        </w:rPr>
        <w:t>means with respect to the Borrower, the distributions by the Borrower of Available Cash (as defined in the Partnership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(Borrower)) or with respect to MLP, the distributions by the MLP of Available Cash (as defined in the Partnership Agreement (MLP)).</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Refinery Assets </w:t>
      </w:r>
      <w:r>
        <w:rPr>
          <w:rFonts w:ascii="Arial" w:cs="Arial" w:eastAsia="Arial" w:hAnsi="Arial"/>
          <w:sz w:val="16"/>
          <w:szCs w:val="16"/>
          <w:color w:val="auto"/>
        </w:rPr>
        <w:t>means refineries and related assets that accept crude oil or feedstock or ship product pursuant to a Borrower Operating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Section 10.07(c)</w:t>
      </w:r>
      <w:r>
        <w:rPr>
          <w:rFonts w:ascii="Arial" w:cs="Arial" w:eastAsia="Arial" w:hAnsi="Arial"/>
          <w:sz w:val="18"/>
          <w:szCs w:val="18"/>
          <w:color w:val="auto"/>
        </w:rPr>
        <w:t>.</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Related Parties </w:t>
      </w:r>
      <w:r>
        <w:rPr>
          <w:rFonts w:ascii="Arial" w:cs="Arial" w:eastAsia="Arial" w:hAnsi="Arial"/>
          <w:sz w:val="18"/>
          <w:szCs w:val="18"/>
          <w:color w:val="auto"/>
        </w:rPr>
        <w:t>means, with respect to any Person, such Person’s Affiliates and the partners, directors, officers, employees, agents and advisors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and of such Person’s Affiliates.</w:t>
      </w:r>
    </w:p>
    <w:p>
      <w:pPr>
        <w:spacing w:after="0" w:line="132"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Release </w:t>
      </w:r>
      <w:r>
        <w:rPr>
          <w:rFonts w:ascii="Arial" w:cs="Arial" w:eastAsia="Arial" w:hAnsi="Arial"/>
          <w:sz w:val="16"/>
          <w:szCs w:val="16"/>
          <w:color w:val="auto"/>
        </w:rPr>
        <w:t>means any spilling, leaking, pumping, pouring, emitting, emptying, discharging, injecting, escaping, leaching, dumping, disposal,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dispersal, migrating, or other movement into the air, ground, or surface water, or soil in violation of any Environmental Law.</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Reportable Event </w:t>
      </w:r>
      <w:r>
        <w:rPr>
          <w:rFonts w:ascii="Arial" w:cs="Arial" w:eastAsia="Arial" w:hAnsi="Arial"/>
          <w:sz w:val="16"/>
          <w:szCs w:val="16"/>
          <w:color w:val="auto"/>
        </w:rPr>
        <w:t>means any of the events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Section 4043(c) of ERISA</w:t>
      </w:r>
      <w:r>
        <w:rPr>
          <w:rFonts w:ascii="Arial" w:cs="Arial" w:eastAsia="Arial" w:hAnsi="Arial"/>
          <w:sz w:val="16"/>
          <w:szCs w:val="16"/>
          <w:color w:val="auto"/>
        </w:rPr>
        <w:t>, other than events for which the 30 day notice period has been waived.</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Request for Credit Extension </w:t>
      </w:r>
      <w:r>
        <w:rPr>
          <w:rFonts w:ascii="Arial" w:cs="Arial" w:eastAsia="Arial" w:hAnsi="Arial"/>
          <w:sz w:val="18"/>
          <w:szCs w:val="18"/>
          <w:color w:val="auto"/>
        </w:rPr>
        <w:t>means (a) with respect to a Borrowing, conversion or continuation of Loans, a Borrowing Notice, and (b) with respect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 Credit Extension, a Letter of Credit Application.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80" w:right="319" w:bottom="1440" w:gutter="0" w:footer="0" w:header="0"/>
        </w:sectPr>
      </w:pPr>
    </w:p>
    <w:bookmarkStart w:id="28" w:name="page29"/>
    <w:bookmarkEnd w:id="28"/>
    <w:p>
      <w:pPr>
        <w:jc w:val="both"/>
        <w:ind w:right="260" w:firstLine="456"/>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Required Lenders </w:t>
      </w:r>
      <w:r>
        <w:rPr>
          <w:rFonts w:ascii="Arial" w:cs="Arial" w:eastAsia="Arial" w:hAnsi="Arial"/>
          <w:sz w:val="18"/>
          <w:szCs w:val="18"/>
          <w:color w:val="auto"/>
        </w:rPr>
        <w:t>means (a) on and after the Closing Date and at all times thereafter prior to termination of the Commitments, Lenders whose Pro Rata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Shares aggregate more than 50%, and (b) at any time after termination of the Commitments, those Lenders holding more than 50% of the </w:t>
      </w:r>
      <w:r>
        <w:rPr>
          <w:rFonts w:ascii="Arial" w:cs="Arial" w:eastAsia="Arial" w:hAnsi="Arial"/>
          <w:sz w:val="18"/>
          <w:szCs w:val="18"/>
          <w:i w:val="1"/>
          <w:iCs w:val="1"/>
          <w:color w:val="auto"/>
        </w:rPr>
        <w:t>sum</w:t>
      </w:r>
      <w:r>
        <w:rPr>
          <w:rFonts w:ascii="Arial" w:cs="Arial" w:eastAsia="Arial" w:hAnsi="Arial"/>
          <w:sz w:val="18"/>
          <w:szCs w:val="18"/>
          <w:color w:val="auto"/>
        </w:rPr>
        <w:t xml:space="preserve"> of (i) the Loans </w:t>
      </w:r>
      <w:r>
        <w:rPr>
          <w:rFonts w:ascii="Arial" w:cs="Arial" w:eastAsia="Arial" w:hAnsi="Arial"/>
          <w:sz w:val="18"/>
          <w:szCs w:val="18"/>
          <w:i w:val="1"/>
          <w:iCs w:val="1"/>
          <w:color w:val="auto"/>
        </w:rPr>
        <w:t xml:space="preserve">plus </w:t>
      </w:r>
      <w:r>
        <w:rPr>
          <w:rFonts w:ascii="Arial" w:cs="Arial" w:eastAsia="Arial" w:hAnsi="Arial"/>
          <w:sz w:val="18"/>
          <w:szCs w:val="18"/>
          <w:color w:val="auto"/>
        </w:rPr>
        <w:t>(ii) the L/C Obligations.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Responsible Officer </w:t>
      </w:r>
      <w:r>
        <w:rPr>
          <w:rFonts w:ascii="Arial" w:cs="Arial" w:eastAsia="Arial" w:hAnsi="Arial"/>
          <w:sz w:val="18"/>
          <w:szCs w:val="18"/>
          <w:color w:val="auto"/>
        </w:rPr>
        <w:t>means the president, chief executive officer, chief financial officer, treasurer or assistant treasurer of a Loan Party. Any document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Restricted Payment </w:t>
      </w:r>
      <w:r>
        <w:rPr>
          <w:rFonts w:ascii="Arial" w:cs="Arial" w:eastAsia="Arial" w:hAnsi="Arial"/>
          <w:sz w:val="18"/>
          <w:szCs w:val="18"/>
          <w:color w:val="auto"/>
        </w:rPr>
        <w:t>by a Person means any dividend or other distribution (whether in cash, securities or other property) with respect to any equity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such Person, or any payment (whether in cash, securities or other property), including any sinking fund or similar deposit on account of the purchase, redemption, retirement, acquisition, cancellation or termination of any such equity interest or of any option, warrant or other right to acquire any such equity interest.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Rights </w:t>
      </w:r>
      <w:r>
        <w:rPr>
          <w:rFonts w:ascii="Arial" w:cs="Arial" w:eastAsia="Arial" w:hAnsi="Arial"/>
          <w:sz w:val="18"/>
          <w:szCs w:val="18"/>
          <w:color w:val="auto"/>
        </w:rPr>
        <w:t>means rights, remedies, powers, privileges, and benefits.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Rolling Period </w:t>
      </w:r>
      <w:r>
        <w:rPr>
          <w:rFonts w:ascii="Arial" w:cs="Arial" w:eastAsia="Arial" w:hAnsi="Arial"/>
          <w:sz w:val="18"/>
          <w:szCs w:val="18"/>
          <w:color w:val="auto"/>
        </w:rPr>
        <w:t>means any period of four consecutive fiscal quarters.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S&amp;P </w:t>
      </w:r>
      <w:r>
        <w:rPr>
          <w:rFonts w:ascii="Arial" w:cs="Arial" w:eastAsia="Arial" w:hAnsi="Arial"/>
          <w:sz w:val="18"/>
          <w:szCs w:val="18"/>
          <w:color w:val="auto"/>
        </w:rPr>
        <w:t>means Standard &amp; Poor’s Ratings Services, a division of the McGraw-Hill Companies,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Senior Note Indentures </w:t>
      </w:r>
      <w:r>
        <w:rPr>
          <w:rFonts w:ascii="Arial" w:cs="Arial" w:eastAsia="Arial" w:hAnsi="Arial"/>
          <w:sz w:val="18"/>
          <w:szCs w:val="18"/>
          <w:color w:val="auto"/>
        </w:rPr>
        <w:t>means, collectively, (a) the 7.25% Senior Note Indenture, and (b) the 6.125% Senior Note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Senior Notes </w:t>
      </w:r>
      <w:r>
        <w:rPr>
          <w:rFonts w:ascii="Arial" w:cs="Arial" w:eastAsia="Arial" w:hAnsi="Arial"/>
          <w:sz w:val="18"/>
          <w:szCs w:val="18"/>
          <w:color w:val="auto"/>
        </w:rPr>
        <w:t>means, collectively, (a) the 7.25% Senior Notes, and (b) the 6.125% Senior Notes.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Senior Note Subsidiary Guarantees </w:t>
      </w:r>
      <w:r>
        <w:rPr>
          <w:rFonts w:ascii="Arial" w:cs="Arial" w:eastAsia="Arial" w:hAnsi="Arial"/>
          <w:sz w:val="18"/>
          <w:szCs w:val="18"/>
          <w:color w:val="auto"/>
        </w:rPr>
        <w:t>means, collectively, (a) the 7.25% Senior Note Subsidiary Guarantees, and (b) the 6.125% Senior Note Subsidiary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Guarantees.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Servicing Employees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Section 5.15</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SPC </w:t>
      </w:r>
      <w:r>
        <w:rPr>
          <w:rFonts w:ascii="Arial" w:cs="Arial" w:eastAsia="Arial" w:hAnsi="Arial"/>
          <w:sz w:val="18"/>
          <w:szCs w:val="18"/>
          <w:color w:val="auto"/>
        </w:rPr>
        <w:t>has the meaning specified in</w:t>
      </w:r>
      <w:r>
        <w:rPr>
          <w:rFonts w:ascii="Arial" w:cs="Arial" w:eastAsia="Arial" w:hAnsi="Arial"/>
          <w:sz w:val="18"/>
          <w:szCs w:val="18"/>
          <w:b w:val="1"/>
          <w:bCs w:val="1"/>
          <w:i w:val="1"/>
          <w:iCs w:val="1"/>
          <w:color w:val="auto"/>
        </w:rPr>
        <w:t xml:space="preserve"> Section 10.07(i)</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Stated Maturity Date </w:t>
      </w:r>
      <w:r>
        <w:rPr>
          <w:rFonts w:ascii="Arial" w:cs="Arial" w:eastAsia="Arial" w:hAnsi="Arial"/>
          <w:sz w:val="18"/>
          <w:szCs w:val="18"/>
          <w:color w:val="auto"/>
        </w:rPr>
        <w:t>means for each Lender, the later of (a) November 22, 2012, and (b) if such date is extended for such Lender pursuant to</w:t>
      </w:r>
      <w:r>
        <w:rPr>
          <w:rFonts w:ascii="Arial" w:cs="Arial" w:eastAsia="Arial" w:hAnsi="Arial"/>
          <w:sz w:val="18"/>
          <w:szCs w:val="18"/>
          <w:b w:val="1"/>
          <w:bCs w:val="1"/>
          <w:i w:val="1"/>
          <w:iCs w:val="1"/>
          <w:color w:val="auto"/>
        </w:rPr>
        <w:t xml:space="preserve"> Section 2.14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extended date as determined pursuant to such Section.</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of a Person means a corporation, partnership, joint venture, limited liability company or other business entity of which a majority of the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or to “</w:t>
      </w: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 shall refer to a Subsidiary or Subsidiaries of the Borrower.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Sunoco </w:t>
      </w:r>
      <w:r>
        <w:rPr>
          <w:rFonts w:ascii="Arial" w:cs="Arial" w:eastAsia="Arial" w:hAnsi="Arial"/>
          <w:sz w:val="18"/>
          <w:szCs w:val="18"/>
          <w:color w:val="auto"/>
        </w:rPr>
        <w:t>means Sunoco, Inc., a Pennsylvania corporation.</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Sunoco Contract Party </w:t>
      </w:r>
      <w:r>
        <w:rPr>
          <w:rFonts w:ascii="Arial" w:cs="Arial" w:eastAsia="Arial" w:hAnsi="Arial"/>
          <w:sz w:val="18"/>
          <w:szCs w:val="18"/>
          <w:color w:val="auto"/>
        </w:rPr>
        <w:t>means any Sunoco, Inc. Affiliate that is a party to a Material Agreement with the MLP, the Borrower or a Subsidiary of Borrower,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any permitted assignee.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Sunoco, Inc. Affiliate </w:t>
      </w:r>
      <w:r>
        <w:rPr>
          <w:rFonts w:ascii="Arial" w:cs="Arial" w:eastAsia="Arial" w:hAnsi="Arial"/>
          <w:sz w:val="18"/>
          <w:szCs w:val="18"/>
          <w:color w:val="auto"/>
        </w:rPr>
        <w:t>means Sunoco and each Affiliate of Sunoco other than the Companies.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Sunoco Partners Marketing &amp; Terminals </w:t>
      </w:r>
      <w:r>
        <w:rPr>
          <w:rFonts w:ascii="Arial" w:cs="Arial" w:eastAsia="Arial" w:hAnsi="Arial"/>
          <w:sz w:val="18"/>
          <w:szCs w:val="18"/>
          <w:color w:val="auto"/>
        </w:rPr>
        <w:t>means Sunoco Partners Marketing &amp; Terminals L.P., a Texas limited partnership, any successor entity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entity to which all or substantially all of its assets are transferred.</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Sunoco Pipeline L.P. </w:t>
      </w:r>
      <w:r>
        <w:rPr>
          <w:rFonts w:ascii="Arial" w:cs="Arial" w:eastAsia="Arial" w:hAnsi="Arial"/>
          <w:sz w:val="18"/>
          <w:szCs w:val="18"/>
          <w:color w:val="auto"/>
        </w:rPr>
        <w:t>means Sunoco Pipeline L.P., a Texas limited partnership, any successor entity or any entity to which all or substantially all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are transferred.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Sunoco (R&amp;M) </w:t>
      </w:r>
      <w:r>
        <w:rPr>
          <w:rFonts w:ascii="Arial" w:cs="Arial" w:eastAsia="Arial" w:hAnsi="Arial"/>
          <w:sz w:val="18"/>
          <w:szCs w:val="18"/>
          <w:color w:val="auto"/>
        </w:rPr>
        <w:t>means Sunoco, Inc. (R&amp;M), a Pennsylvania corporation.</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Swap Contract </w:t>
      </w:r>
      <w:r>
        <w:rPr>
          <w:rFonts w:ascii="Arial" w:cs="Arial" w:eastAsia="Arial" w:hAnsi="Arial"/>
          <w:sz w:val="16"/>
          <w:szCs w:val="16"/>
          <w:color w:val="auto"/>
        </w:rPr>
        <w:t>means (a) any and all rate swap transactions, basis swaps, credit derivative transactions, forward rate transactions, commodity swaps,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b w:val="1"/>
          <w:bCs w:val="1"/>
          <w:i w:val="1"/>
          <w:iCs w:val="1"/>
          <w:color w:val="auto"/>
        </w:rPr>
        <w:t>Master Agreement</w:t>
      </w:r>
      <w:r>
        <w:rPr>
          <w:rFonts w:ascii="Arial" w:cs="Arial" w:eastAsia="Arial" w:hAnsi="Arial"/>
          <w:sz w:val="16"/>
          <w:szCs w:val="16"/>
          <w:color w:val="auto"/>
        </w:rPr>
        <w:t>”), including any such obligations or liabilities under any Master Agreement.</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Swap Termination Value </w:t>
      </w:r>
      <w:r>
        <w:rPr>
          <w:rFonts w:ascii="Arial" w:cs="Arial" w:eastAsia="Arial" w:hAnsi="Arial"/>
          <w:sz w:val="18"/>
          <w:szCs w:val="18"/>
          <w:color w:val="auto"/>
        </w:rPr>
        <w:t>means, in respect of any one or more Swap Contracts, after taking into account the effect of any legally enforceable netting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8"/>
          <w:szCs w:val="18"/>
          <w:b w:val="1"/>
          <w:bCs w:val="1"/>
          <w:i w:val="1"/>
          <w:iCs w:val="1"/>
          <w:color w:val="auto"/>
        </w:rPr>
        <w:t>clause (a)</w:t>
      </w:r>
      <w:r>
        <w:rPr>
          <w:rFonts w:ascii="Arial" w:cs="Arial" w:eastAsia="Arial" w:hAnsi="Arial"/>
          <w:sz w:val="18"/>
          <w:szCs w:val="18"/>
          <w:color w:val="auto"/>
        </w:rPr>
        <w:t xml:space="preserve"> the amount(s) determined as the mark-to-market value(s) for such Swap Contracts, as determined based upon one or more mid-market or other readily available quotations provided by any recognized dealer in such Swap Contracts (which may include any Lender).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Swing Line Lender </w:t>
      </w:r>
      <w:r>
        <w:rPr>
          <w:rFonts w:ascii="Arial" w:cs="Arial" w:eastAsia="Arial" w:hAnsi="Arial"/>
          <w:sz w:val="18"/>
          <w:szCs w:val="18"/>
          <w:color w:val="auto"/>
        </w:rPr>
        <w:t>means Citibank, N.A., in its capacity as provider of Swing Line Loans, or any successor swing line lender 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Swing Line Loan </w:t>
      </w:r>
      <w:r>
        <w:rPr>
          <w:rFonts w:ascii="Arial" w:cs="Arial" w:eastAsia="Arial" w:hAnsi="Arial"/>
          <w:sz w:val="18"/>
          <w:szCs w:val="18"/>
          <w:color w:val="auto"/>
        </w:rPr>
        <w:t>has the meaning specified in</w:t>
      </w:r>
      <w:r>
        <w:rPr>
          <w:rFonts w:ascii="Arial" w:cs="Arial" w:eastAsia="Arial" w:hAnsi="Arial"/>
          <w:sz w:val="18"/>
          <w:szCs w:val="18"/>
          <w:b w:val="1"/>
          <w:bCs w:val="1"/>
          <w:i w:val="1"/>
          <w:iCs w:val="1"/>
          <w:color w:val="auto"/>
        </w:rPr>
        <w:t xml:space="preserve"> Section 2.15</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Swing Line Sublimit </w:t>
      </w:r>
      <w:r>
        <w:rPr>
          <w:rFonts w:ascii="Arial" w:cs="Arial" w:eastAsia="Arial" w:hAnsi="Arial"/>
          <w:sz w:val="18"/>
          <w:szCs w:val="18"/>
          <w:color w:val="auto"/>
        </w:rPr>
        <w:t>means an amount equal to the lesser of (a) $50,000,000 and (b) the Aggregate Commitments. The Swing Line Sublimit is part of,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in addition to, the Aggregate Commitments.</w:t>
      </w:r>
    </w:p>
    <w:p>
      <w:pPr>
        <w:spacing w:after="0" w:line="132" w:lineRule="exact"/>
        <w:rPr>
          <w:sz w:val="20"/>
          <w:szCs w:val="20"/>
          <w:color w:val="auto"/>
        </w:rPr>
      </w:pPr>
    </w:p>
    <w:p>
      <w:pPr>
        <w:jc w:val="both"/>
        <w:ind w:right="3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Synthetic Lease Obligation </w:t>
      </w:r>
      <w:r>
        <w:rPr>
          <w:rFonts w:ascii="Arial" w:cs="Arial" w:eastAsia="Arial" w:hAnsi="Arial"/>
          <w:sz w:val="16"/>
          <w:szCs w:val="16"/>
          <w:color w:val="auto"/>
        </w:rPr>
        <w:t>means the monetary obligation of a Person under (a) a so-called synthetic, off-balance sheet or tax retention lease, or (b)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The amount of any Synthetic Lease Obligation as of any date shall be deemed to be the amount of Attributable Principal in respect thereof as of such date.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0" w:name="page31"/>
    <w:bookmarkEnd w:id="30"/>
    <w:p>
      <w:pPr>
        <w:ind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Taxes </w:t>
      </w:r>
      <w:r>
        <w:rPr>
          <w:rFonts w:ascii="Arial" w:cs="Arial" w:eastAsia="Arial" w:hAnsi="Arial"/>
          <w:sz w:val="18"/>
          <w:szCs w:val="18"/>
          <w:color w:val="auto"/>
        </w:rPr>
        <w:t>means all present or future taxes, levies, imposts, duties, deductions, withholdings, assessments, fees or other charges imposed by any Governmental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including any interest, additions to tax or penalties applicable thereto.</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Throughput Agreement </w:t>
      </w:r>
      <w:r>
        <w:rPr>
          <w:rFonts w:ascii="Arial" w:cs="Arial" w:eastAsia="Arial" w:hAnsi="Arial"/>
          <w:sz w:val="18"/>
          <w:szCs w:val="18"/>
          <w:color w:val="auto"/>
        </w:rPr>
        <w:t>means the Pipelines and Terminals Storage and Throughput Agreement between the Borrower, Sunoco R&amp;M, and certain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of Sunoco dated as of February 8, 2002.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Total Capitalization </w:t>
      </w:r>
      <w:r>
        <w:rPr>
          <w:rFonts w:ascii="Arial" w:cs="Arial" w:eastAsia="Arial" w:hAnsi="Arial"/>
          <w:sz w:val="18"/>
          <w:szCs w:val="18"/>
          <w:color w:val="auto"/>
        </w:rPr>
        <w:t>means, as of any date of determination, the total of (i) Consolidated Total Debt plus (ii) Consolidated Net Worth.</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b w:val="1"/>
          <w:bCs w:val="1"/>
          <w:i w:val="1"/>
          <w:iCs w:val="1"/>
          <w:color w:val="auto"/>
        </w:rPr>
        <w:t xml:space="preserve">Treasury Services Agreement </w:t>
      </w:r>
      <w:r>
        <w:rPr>
          <w:rFonts w:ascii="Arial" w:cs="Arial" w:eastAsia="Arial" w:hAnsi="Arial"/>
          <w:sz w:val="16"/>
          <w:szCs w:val="16"/>
          <w:color w:val="auto"/>
        </w:rPr>
        <w:t>means the Amended and Restated Treasury Services Agreement between the Borrower, the MLP, and Sunoco, dated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26, 2003, pursuant to which the Borrower and the MLP participate in Sunoco’s centralized cash management program.</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Type </w:t>
      </w:r>
      <w:r>
        <w:rPr>
          <w:rFonts w:ascii="Arial" w:cs="Arial" w:eastAsia="Arial" w:hAnsi="Arial"/>
          <w:sz w:val="18"/>
          <w:szCs w:val="18"/>
          <w:color w:val="auto"/>
        </w:rPr>
        <w:t>means, with respect to a Committed Loan, its character as a Base Rate Loan or a Eurodollar Rate Loan.</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Unauthorized Assignment </w:t>
      </w:r>
      <w:r>
        <w:rPr>
          <w:rFonts w:ascii="Arial" w:cs="Arial" w:eastAsia="Arial" w:hAnsi="Arial"/>
          <w:sz w:val="18"/>
          <w:szCs w:val="18"/>
          <w:color w:val="auto"/>
        </w:rPr>
        <w:t>means an assignment by a Sunoco Contract Party of any of its obligations under a Borrower Operating Agreement other than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assignment to a Person with an Investment Grade Rating who fully assumes the obligations of such Sunoco Contract Party under such Borrower Operating Agreement.</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Unfunded Pension Liability </w:t>
      </w:r>
      <w:r>
        <w:rPr>
          <w:rFonts w:ascii="Arial" w:cs="Arial" w:eastAsia="Arial" w:hAnsi="Arial"/>
          <w:sz w:val="18"/>
          <w:szCs w:val="18"/>
          <w:color w:val="auto"/>
        </w:rPr>
        <w:t>means the excess of a Pension Plan’s benefit liabilities under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Section 4001(a)(16)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ERISA, over the current value of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Pension Plan’s assets, determined in accordance with the assumptions used for funding the Pension Plan pursuant to </w:t>
      </w:r>
      <w:r>
        <w:rPr>
          <w:rFonts w:ascii="Arial" w:cs="Arial" w:eastAsia="Arial" w:hAnsi="Arial"/>
          <w:sz w:val="18"/>
          <w:szCs w:val="18"/>
          <w:i w:val="1"/>
          <w:iCs w:val="1"/>
          <w:color w:val="auto"/>
        </w:rPr>
        <w:t>Section 412</w:t>
      </w:r>
      <w:r>
        <w:rPr>
          <w:rFonts w:ascii="Arial" w:cs="Arial" w:eastAsia="Arial" w:hAnsi="Arial"/>
          <w:sz w:val="18"/>
          <w:szCs w:val="18"/>
          <w:color w:val="auto"/>
        </w:rPr>
        <w:t xml:space="preserve"> of the Code for the applicable plan year.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Unreimbursed Amount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Section 2.02(c)(i)</w:t>
      </w:r>
      <w:r>
        <w:rPr>
          <w:rFonts w:ascii="Arial" w:cs="Arial" w:eastAsia="Arial" w:hAnsi="Arial"/>
          <w:sz w:val="18"/>
          <w:szCs w:val="18"/>
          <w:color w:val="auto"/>
        </w:rPr>
        <w:t>.</w:t>
      </w:r>
    </w:p>
    <w:p>
      <w:pPr>
        <w:spacing w:after="0" w:line="171" w:lineRule="exact"/>
        <w:rPr>
          <w:sz w:val="20"/>
          <w:szCs w:val="20"/>
          <w:color w:val="auto"/>
        </w:rPr>
      </w:pPr>
    </w:p>
    <w:p>
      <w:pPr>
        <w:jc w:val="both"/>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Voting Stock </w:t>
      </w:r>
      <w:r>
        <w:rPr>
          <w:rFonts w:ascii="Arial" w:cs="Arial" w:eastAsia="Arial" w:hAnsi="Arial"/>
          <w:sz w:val="18"/>
          <w:szCs w:val="18"/>
          <w:color w:val="auto"/>
        </w:rPr>
        <w:t>means the capital stock (or equivalent thereof) of any class or kind, of a Person, the holders of which are entitled to vote for the election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managers, or other voting members of the governing body of such Person.</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Wholly-Owned </w:t>
      </w:r>
      <w:r>
        <w:rPr>
          <w:rFonts w:ascii="Arial" w:cs="Arial" w:eastAsia="Arial" w:hAnsi="Arial"/>
          <w:sz w:val="16"/>
          <w:szCs w:val="16"/>
          <w:color w:val="auto"/>
        </w:rPr>
        <w:t>when used in connection with a Person means any Subsidiary of such Person of which all of the issued and outstanding shares of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except</w:t>
      </w:r>
      <w:r>
        <w:rPr>
          <w:rFonts w:ascii="Arial" w:cs="Arial" w:eastAsia="Arial" w:hAnsi="Arial"/>
          <w:sz w:val="16"/>
          <w:szCs w:val="16"/>
          <w:color w:val="auto"/>
        </w:rPr>
        <w:t xml:space="preserve"> shares required as directors’ qualifying shares) shall be owned by such Person or one or more of its Wholly-Owned Subsidiaries.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1.02 Other Interpretive Provisions</w:t>
      </w:r>
      <w:r>
        <w:rPr>
          <w:rFonts w:ascii="Arial" w:cs="Arial" w:eastAsia="Arial" w:hAnsi="Arial"/>
          <w:sz w:val="18"/>
          <w:szCs w:val="18"/>
          <w:color w:val="auto"/>
        </w:rPr>
        <w:t>.</w:t>
      </w:r>
    </w:p>
    <w:p>
      <w:pPr>
        <w:spacing w:after="0" w:line="96" w:lineRule="exact"/>
        <w:rPr>
          <w:sz w:val="20"/>
          <w:szCs w:val="20"/>
          <w:color w:val="auto"/>
        </w:rPr>
      </w:pPr>
    </w:p>
    <w:p>
      <w:pPr>
        <w:ind w:left="700" w:hanging="23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90" w:lineRule="exact"/>
        <w:rPr>
          <w:rFonts w:ascii="Arial" w:cs="Arial" w:eastAsia="Arial" w:hAnsi="Arial"/>
          <w:sz w:val="18"/>
          <w:szCs w:val="18"/>
          <w:color w:val="auto"/>
        </w:rPr>
      </w:pPr>
    </w:p>
    <w:p>
      <w:pPr>
        <w:ind w:left="460" w:right="140" w:firstLine="4"/>
        <w:spacing w:after="0" w:line="268" w:lineRule="auto"/>
        <w:tabs>
          <w:tab w:leader="none" w:pos="7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The words “</w:t>
      </w:r>
      <w:r>
        <w:rPr>
          <w:rFonts w:ascii="Arial" w:cs="Arial" w:eastAsia="Arial" w:hAnsi="Arial"/>
          <w:sz w:val="18"/>
          <w:szCs w:val="18"/>
          <w:i w:val="1"/>
          <w:iCs w:val="1"/>
          <w:color w:val="auto"/>
        </w:rPr>
        <w:t>herein</w:t>
      </w:r>
      <w:r>
        <w:rPr>
          <w:rFonts w:ascii="Arial" w:cs="Arial" w:eastAsia="Arial" w:hAnsi="Arial"/>
          <w:sz w:val="18"/>
          <w:szCs w:val="18"/>
          <w:color w:val="auto"/>
        </w:rPr>
        <w:t>” and “</w:t>
      </w:r>
      <w:r>
        <w:rPr>
          <w:rFonts w:ascii="Arial" w:cs="Arial" w:eastAsia="Arial" w:hAnsi="Arial"/>
          <w:sz w:val="18"/>
          <w:szCs w:val="18"/>
          <w:i w:val="1"/>
          <w:iCs w:val="1"/>
          <w:color w:val="auto"/>
        </w:rPr>
        <w:t>hereunder</w:t>
      </w:r>
      <w:r>
        <w:rPr>
          <w:rFonts w:ascii="Arial" w:cs="Arial" w:eastAsia="Arial" w:hAnsi="Arial"/>
          <w:sz w:val="18"/>
          <w:szCs w:val="18"/>
          <w:color w:val="auto"/>
        </w:rPr>
        <w:t>” and words of similar import when used in any Loan Document shall refer to such Loan Document as a whole and not to any particular provision thereof.</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Unless otherwise specified herein, Article, Section, Exhibit and Schedule references are to this Agreement.</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including</w:t>
      </w:r>
      <w:r>
        <w:rPr>
          <w:rFonts w:ascii="Arial" w:cs="Arial" w:eastAsia="Arial" w:hAnsi="Arial"/>
          <w:sz w:val="18"/>
          <w:szCs w:val="18"/>
          <w:color w:val="auto"/>
        </w:rPr>
        <w:t>” is by way of example and not limitation.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31" w:name="page32"/>
    <w:bookmarkEnd w:id="31"/>
    <w:p>
      <w:pPr>
        <w:ind w:left="460" w:right="340" w:firstLine="443"/>
        <w:spacing w:after="0" w:line="268" w:lineRule="auto"/>
        <w:tabs>
          <w:tab w:leader="none" w:pos="1196" w:val="left"/>
        </w:tabs>
        <w:numPr>
          <w:ilvl w:val="1"/>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w:t>
      </w:r>
      <w:r>
        <w:rPr>
          <w:rFonts w:ascii="Arial" w:cs="Arial" w:eastAsia="Arial" w:hAnsi="Arial"/>
          <w:sz w:val="18"/>
          <w:szCs w:val="18"/>
          <w:i w:val="1"/>
          <w:iCs w:val="1"/>
          <w:color w:val="auto"/>
        </w:rPr>
        <w:t>documents</w:t>
      </w:r>
      <w:r>
        <w:rPr>
          <w:rFonts w:ascii="Arial" w:cs="Arial" w:eastAsia="Arial" w:hAnsi="Arial"/>
          <w:sz w:val="18"/>
          <w:szCs w:val="18"/>
          <w:color w:val="auto"/>
        </w:rPr>
        <w:t>” includes any and all instruments, documents, agreements, certificates, notices, reports, financial statements and other writings, however evidenced.</w:t>
      </w:r>
    </w:p>
    <w:p>
      <w:pPr>
        <w:spacing w:after="0" w:line="131" w:lineRule="exact"/>
        <w:rPr>
          <w:rFonts w:ascii="Arial" w:cs="Arial" w:eastAsia="Arial" w:hAnsi="Arial"/>
          <w:sz w:val="18"/>
          <w:szCs w:val="18"/>
          <w:color w:val="auto"/>
        </w:rPr>
      </w:pPr>
    </w:p>
    <w:p>
      <w:pPr>
        <w:ind w:right="180" w:firstLine="464"/>
        <w:spacing w:after="0" w:line="268"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i w:val="1"/>
          <w:iCs w:val="1"/>
          <w:color w:val="auto"/>
        </w:rPr>
        <w:t>from</w:t>
      </w:r>
      <w:r>
        <w:rPr>
          <w:rFonts w:ascii="Arial" w:cs="Arial" w:eastAsia="Arial" w:hAnsi="Arial"/>
          <w:sz w:val="18"/>
          <w:szCs w:val="18"/>
          <w:color w:val="auto"/>
        </w:rPr>
        <w:t>” means “</w:t>
      </w:r>
      <w:r>
        <w:rPr>
          <w:rFonts w:ascii="Arial" w:cs="Arial" w:eastAsia="Arial" w:hAnsi="Arial"/>
          <w:sz w:val="18"/>
          <w:szCs w:val="18"/>
          <w:i w:val="1"/>
          <w:iCs w:val="1"/>
          <w:color w:val="auto"/>
        </w:rPr>
        <w:t>from and including</w:t>
      </w:r>
      <w:r>
        <w:rPr>
          <w:rFonts w:ascii="Arial" w:cs="Arial" w:eastAsia="Arial" w:hAnsi="Arial"/>
          <w:sz w:val="18"/>
          <w:szCs w:val="18"/>
          <w:color w:val="auto"/>
        </w:rPr>
        <w:t>;” the words “</w:t>
      </w:r>
      <w:r>
        <w:rPr>
          <w:rFonts w:ascii="Arial" w:cs="Arial" w:eastAsia="Arial" w:hAnsi="Arial"/>
          <w:sz w:val="18"/>
          <w:szCs w:val="18"/>
          <w:i w:val="1"/>
          <w:iCs w:val="1"/>
          <w:color w:val="auto"/>
        </w:rPr>
        <w:t>to</w:t>
      </w:r>
      <w:r>
        <w:rPr>
          <w:rFonts w:ascii="Arial" w:cs="Arial" w:eastAsia="Arial" w:hAnsi="Arial"/>
          <w:sz w:val="18"/>
          <w:szCs w:val="18"/>
          <w:color w:val="auto"/>
        </w:rPr>
        <w:t>” and “</w:t>
      </w:r>
      <w:r>
        <w:rPr>
          <w:rFonts w:ascii="Arial" w:cs="Arial" w:eastAsia="Arial" w:hAnsi="Arial"/>
          <w:sz w:val="18"/>
          <w:szCs w:val="18"/>
          <w:i w:val="1"/>
          <w:iCs w:val="1"/>
          <w:color w:val="auto"/>
        </w:rPr>
        <w:t>until</w:t>
      </w:r>
      <w:r>
        <w:rPr>
          <w:rFonts w:ascii="Arial" w:cs="Arial" w:eastAsia="Arial" w:hAnsi="Arial"/>
          <w:sz w:val="18"/>
          <w:szCs w:val="18"/>
          <w:color w:val="auto"/>
        </w:rPr>
        <w:t>” each mean “</w:t>
      </w:r>
      <w:r>
        <w:rPr>
          <w:rFonts w:ascii="Arial" w:cs="Arial" w:eastAsia="Arial" w:hAnsi="Arial"/>
          <w:sz w:val="18"/>
          <w:szCs w:val="18"/>
          <w:i w:val="1"/>
          <w:iCs w:val="1"/>
          <w:color w:val="auto"/>
        </w:rPr>
        <w:t>to but excluding</w:t>
      </w:r>
      <w:r>
        <w:rPr>
          <w:rFonts w:ascii="Arial" w:cs="Arial" w:eastAsia="Arial" w:hAnsi="Arial"/>
          <w:sz w:val="18"/>
          <w:szCs w:val="18"/>
          <w:color w:val="auto"/>
        </w:rPr>
        <w:t>;” and the word “</w:t>
      </w:r>
      <w:r>
        <w:rPr>
          <w:rFonts w:ascii="Arial" w:cs="Arial" w:eastAsia="Arial" w:hAnsi="Arial"/>
          <w:sz w:val="18"/>
          <w:szCs w:val="18"/>
          <w:i w:val="1"/>
          <w:iCs w:val="1"/>
          <w:color w:val="auto"/>
        </w:rPr>
        <w:t>through</w:t>
      </w:r>
      <w:r>
        <w:rPr>
          <w:rFonts w:ascii="Arial" w:cs="Arial" w:eastAsia="Arial" w:hAnsi="Arial"/>
          <w:sz w:val="18"/>
          <w:szCs w:val="18"/>
          <w:color w:val="auto"/>
        </w:rPr>
        <w:t>” means “</w:t>
      </w:r>
      <w:r>
        <w:rPr>
          <w:rFonts w:ascii="Arial" w:cs="Arial" w:eastAsia="Arial" w:hAnsi="Arial"/>
          <w:sz w:val="18"/>
          <w:szCs w:val="18"/>
          <w:i w:val="1"/>
          <w:iCs w:val="1"/>
          <w:color w:val="auto"/>
        </w:rPr>
        <w:t>to and including</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340" w:firstLine="464"/>
        <w:spacing w:after="0" w:line="268"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headings herein and the other Loan Documents are included for convenience of reference only and shall not affect the interpretation of this Agreement or any other Loan Document.</w:t>
      </w:r>
    </w:p>
    <w:p>
      <w:pPr>
        <w:spacing w:after="0" w:line="126"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color w:val="auto"/>
        </w:rPr>
        <w:t>1.03 Accounting Terms</w:t>
      </w:r>
      <w:r>
        <w:rPr>
          <w:rFonts w:ascii="Arial" w:cs="Arial" w:eastAsia="Arial" w:hAnsi="Arial"/>
          <w:sz w:val="16"/>
          <w:szCs w:val="16"/>
          <w:color w:val="auto"/>
        </w:rPr>
        <w:t>. All accounting terms not specifically or completely defined herein shall be construed in conformity with, and all financial data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6"/>
          <w:szCs w:val="16"/>
          <w:i w:val="1"/>
          <w:iCs w:val="1"/>
          <w:color w:val="auto"/>
        </w:rPr>
        <w:t>except</w:t>
      </w:r>
      <w:r>
        <w:rPr>
          <w:rFonts w:ascii="Arial" w:cs="Arial" w:eastAsia="Arial" w:hAnsi="Arial"/>
          <w:sz w:val="16"/>
          <w:szCs w:val="16"/>
          <w:color w:val="auto"/>
        </w:rPr>
        <w:t xml:space="preserve"> as otherwise specifically prescribed herein.</w:t>
      </w:r>
    </w:p>
    <w:p>
      <w:pPr>
        <w:spacing w:after="0" w:line="97"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1.04 Rounding</w:t>
      </w:r>
      <w:r>
        <w:rPr>
          <w:rFonts w:ascii="Arial" w:cs="Arial" w:eastAsia="Arial" w:hAnsi="Arial"/>
          <w:sz w:val="18"/>
          <w:szCs w:val="18"/>
          <w:color w:val="auto"/>
        </w:rPr>
        <w:t>. Any financial ratios required to be maintained by the Borrower pursuant to this Agreement shall be calculated by dividing the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32"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1.05 References to Agreements and Laws</w:t>
      </w:r>
      <w:r>
        <w:rPr>
          <w:rFonts w:ascii="Arial" w:cs="Arial" w:eastAsia="Arial" w:hAnsi="Arial"/>
          <w:sz w:val="16"/>
          <w:szCs w:val="16"/>
          <w:color w:val="auto"/>
        </w:rPr>
        <w:t>. Unless otherwise expressly provided herein, (a) references to agreements (including the Loan Documents)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COMMITMENTS AND BORROWINGS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 Committed Loans</w:t>
      </w:r>
      <w:r>
        <w:rPr>
          <w:rFonts w:ascii="Arial" w:cs="Arial" w:eastAsia="Arial" w:hAnsi="Arial"/>
          <w:sz w:val="18"/>
          <w:szCs w:val="18"/>
          <w:color w:val="auto"/>
        </w:rPr>
        <w:t>.</w:t>
      </w:r>
    </w:p>
    <w:p>
      <w:pPr>
        <w:spacing w:after="0" w:line="96" w:lineRule="exact"/>
        <w:rPr>
          <w:sz w:val="20"/>
          <w:szCs w:val="20"/>
          <w:color w:val="auto"/>
        </w:rPr>
      </w:pPr>
    </w:p>
    <w:p>
      <w:pPr>
        <w:ind w:right="60" w:firstLine="464"/>
        <w:spacing w:after="0" w:line="289" w:lineRule="auto"/>
        <w:tabs>
          <w:tab w:leader="none" w:pos="6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each Lender severally, but not jointly, agrees to make loans (each such loan, a “</w:t>
      </w:r>
      <w:r>
        <w:rPr>
          <w:rFonts w:ascii="Arial" w:cs="Arial" w:eastAsia="Arial" w:hAnsi="Arial"/>
          <w:sz w:val="16"/>
          <w:szCs w:val="16"/>
          <w:b w:val="1"/>
          <w:bCs w:val="1"/>
          <w:i w:val="1"/>
          <w:iCs w:val="1"/>
          <w:color w:val="auto"/>
        </w:rPr>
        <w:t>Committed Loan</w:t>
      </w:r>
      <w:r>
        <w:rPr>
          <w:rFonts w:ascii="Arial" w:cs="Arial" w:eastAsia="Arial" w:hAnsi="Arial"/>
          <w:sz w:val="16"/>
          <w:szCs w:val="16"/>
          <w:color w:val="auto"/>
        </w:rPr>
        <w:t xml:space="preserve">”) to the Borrower from time to time on any Business Day during the period from the Closing Date to such Lender’s Maturity Date, in an aggregate amount not to exceed at any time outstanding the amount of such Lender’s Commitment. Such Borrowings may be prepaid and reborrowed from time to time in accordance with the terms and provisions of the Loan Documents;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each such Borrowing must occur on a Business Day and no later than the Business Day immediately preceding such Lender’s Maturity Date,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after giving effect to any Borrowing of Committed Loans, (i) the aggregate Outstanding Amount of all Loans and L/C Obligations shall not exceed the Aggregate Commitments, and (ii) the aggregate Outstanding Amount of the Committed Loans of any Lender, </w:t>
      </w:r>
      <w:r>
        <w:rPr>
          <w:rFonts w:ascii="Arial" w:cs="Arial" w:eastAsia="Arial" w:hAnsi="Arial"/>
          <w:sz w:val="16"/>
          <w:szCs w:val="16"/>
          <w:i w:val="1"/>
          <w:iCs w:val="1"/>
          <w:color w:val="auto"/>
        </w:rPr>
        <w:t>plus</w:t>
      </w:r>
      <w:r>
        <w:rPr>
          <w:rFonts w:ascii="Arial" w:cs="Arial" w:eastAsia="Arial" w:hAnsi="Arial"/>
          <w:sz w:val="16"/>
          <w:szCs w:val="16"/>
          <w:color w:val="auto"/>
        </w:rPr>
        <w:t xml:space="preserve"> such Lender’s Pro Rata Share of the Outstanding Amount of all L/C Obligations, </w:t>
      </w:r>
      <w:r>
        <w:rPr>
          <w:rFonts w:ascii="Arial" w:cs="Arial" w:eastAsia="Arial" w:hAnsi="Arial"/>
          <w:sz w:val="16"/>
          <w:szCs w:val="16"/>
          <w:i w:val="1"/>
          <w:iCs w:val="1"/>
          <w:color w:val="auto"/>
        </w:rPr>
        <w:t>plus</w:t>
      </w:r>
      <w:r>
        <w:rPr>
          <w:rFonts w:ascii="Arial" w:cs="Arial" w:eastAsia="Arial" w:hAnsi="Arial"/>
          <w:sz w:val="16"/>
          <w:szCs w:val="16"/>
          <w:color w:val="auto"/>
        </w:rPr>
        <w:t xml:space="preserve"> such Lender’s Pro Rata Share of the Outstanding Amount of all Swing Line Loans, shall not exceed such Lender’s Commitment.</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Loans shall be available to the Borrower for the purposes set forth in </w:t>
      </w:r>
      <w:r>
        <w:rPr>
          <w:rFonts w:ascii="Arial" w:cs="Arial" w:eastAsia="Arial" w:hAnsi="Arial"/>
          <w:sz w:val="18"/>
          <w:szCs w:val="18"/>
          <w:b w:val="1"/>
          <w:bCs w:val="1"/>
          <w:i w:val="1"/>
          <w:iCs w:val="1"/>
          <w:color w:val="auto"/>
        </w:rPr>
        <w:t>Section 6.12</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2.02 Letters of Credit</w:t>
      </w:r>
      <w:r>
        <w:rPr>
          <w:rFonts w:ascii="Arial" w:cs="Arial" w:eastAsia="Arial" w:hAnsi="Arial"/>
          <w:sz w:val="18"/>
          <w:szCs w:val="18"/>
          <w:color w:val="auto"/>
        </w:rPr>
        <w:t>.</w:t>
      </w:r>
    </w:p>
    <w:p>
      <w:pPr>
        <w:spacing w:after="0" w:line="96" w:lineRule="exact"/>
        <w:rPr>
          <w:sz w:val="20"/>
          <w:szCs w:val="20"/>
          <w:color w:val="auto"/>
        </w:rPr>
      </w:pPr>
    </w:p>
    <w:p>
      <w:pPr>
        <w:ind w:left="240" w:hanging="236"/>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443"/>
        <w:spacing w:after="0" w:line="285" w:lineRule="auto"/>
        <w:tabs>
          <w:tab w:leader="none" w:pos="648"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 each L/C Issuer agrees, in reliance upon the agreements of the other Lenders set forth in this </w:t>
      </w:r>
      <w:r>
        <w:rPr>
          <w:rFonts w:ascii="Arial" w:cs="Arial" w:eastAsia="Arial" w:hAnsi="Arial"/>
          <w:sz w:val="16"/>
          <w:szCs w:val="16"/>
          <w:b w:val="1"/>
          <w:bCs w:val="1"/>
          <w:i w:val="1"/>
          <w:iCs w:val="1"/>
          <w:color w:val="auto"/>
        </w:rPr>
        <w:t>Section 2.02</w:t>
      </w:r>
      <w:r>
        <w:rPr>
          <w:rFonts w:ascii="Arial" w:cs="Arial" w:eastAsia="Arial" w:hAnsi="Arial"/>
          <w:sz w:val="16"/>
          <w:szCs w:val="16"/>
          <w:color w:val="auto"/>
        </w:rPr>
        <w:t xml:space="preserve">, (1) from time to time on any Business Day during the period from the Closing Date until the Letter of Credit Expiration Date, to issue Letters of Credit for the account of the Borrower or its Subsidiaries, and to amend or renew Letters of Credit previously issued by it, in accordance with </w:t>
      </w:r>
      <w:r>
        <w:rPr>
          <w:rFonts w:ascii="Arial" w:cs="Arial" w:eastAsia="Arial" w:hAnsi="Arial"/>
          <w:sz w:val="16"/>
          <w:szCs w:val="16"/>
          <w:b w:val="1"/>
          <w:bCs w:val="1"/>
          <w:i w:val="1"/>
          <w:iCs w:val="1"/>
          <w:color w:val="auto"/>
        </w:rPr>
        <w:t xml:space="preserve">subsection (b) </w:t>
      </w:r>
      <w:r>
        <w:rPr>
          <w:rFonts w:ascii="Arial" w:cs="Arial" w:eastAsia="Arial" w:hAnsi="Arial"/>
          <w:sz w:val="16"/>
          <w:szCs w:val="16"/>
          <w:color w:val="auto"/>
        </w:rPr>
        <w:t>below, and (2) to honor drafts under the Letters of Credit; and (B) the Lenders severally agree to participate in Letters of Credit issued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account of the Borrower and its Subsidiaries;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L/C Issuer shall not be obligated to make any L/C Credit Extension with respect to any Letter of Credit, and no Lender shall be obligated to participate in, any Letter of Credit if as of the date of such L/C Credit Extension, (x) the Outstanding Amount of all L/C Obligations and all Loans would exceed the Aggregate Commitments, (y) the aggregate Outstanding Amount of the Committed Loans of any Lender, </w:t>
      </w:r>
      <w:r>
        <w:rPr>
          <w:rFonts w:ascii="Arial" w:cs="Arial" w:eastAsia="Arial" w:hAnsi="Arial"/>
          <w:sz w:val="16"/>
          <w:szCs w:val="16"/>
          <w:i w:val="1"/>
          <w:iCs w:val="1"/>
          <w:color w:val="auto"/>
        </w:rPr>
        <w:t>plus</w:t>
      </w:r>
      <w:r>
        <w:rPr>
          <w:rFonts w:ascii="Arial" w:cs="Arial" w:eastAsia="Arial" w:hAnsi="Arial"/>
          <w:sz w:val="16"/>
          <w:szCs w:val="16"/>
          <w:color w:val="auto"/>
        </w:rPr>
        <w:t xml:space="preserve"> such Lender’s Pro Rata Share of the Outstanding Amount of all L/C Obligations, </w:t>
      </w:r>
      <w:r>
        <w:rPr>
          <w:rFonts w:ascii="Arial" w:cs="Arial" w:eastAsia="Arial" w:hAnsi="Arial"/>
          <w:sz w:val="16"/>
          <w:szCs w:val="16"/>
          <w:i w:val="1"/>
          <w:iCs w:val="1"/>
          <w:color w:val="auto"/>
        </w:rPr>
        <w:t>plus</w:t>
      </w:r>
      <w:r>
        <w:rPr>
          <w:rFonts w:ascii="Arial" w:cs="Arial" w:eastAsia="Arial" w:hAnsi="Arial"/>
          <w:sz w:val="16"/>
          <w:szCs w:val="16"/>
          <w:color w:val="auto"/>
        </w:rPr>
        <w:t xml:space="preserve"> such Lender’s Pro Rata Share of the Outstanding Amount of all Swing Line Loans, would exceed such Lender’s Commitment, or (z) the Outstanding Amount of the L/C Obligations under Letters of Credit issued by such L/C Issuer would exceed the L/C Issuer Commitment of such L/C Issuer.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if any, shall be deemed to have been issued pursuant hereto, and from and after the Closing Date shall be subject to and governed by the terms and conditions hereof.</w:t>
      </w:r>
    </w:p>
    <w:p>
      <w:pPr>
        <w:spacing w:after="0" w:line="47" w:lineRule="exact"/>
        <w:rPr>
          <w:rFonts w:ascii="Arial" w:cs="Arial" w:eastAsia="Arial" w:hAnsi="Arial"/>
          <w:sz w:val="16"/>
          <w:szCs w:val="16"/>
          <w:color w:val="auto"/>
        </w:rPr>
      </w:pPr>
    </w:p>
    <w:p>
      <w:pPr>
        <w:ind w:left="700" w:hanging="257"/>
        <w:spacing w:after="0"/>
        <w:tabs>
          <w:tab w:leader="none" w:pos="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L/C Issuer shall be under no obligation to issue any Letter of Credit if:</w:t>
      </w:r>
    </w:p>
    <w:p>
      <w:pPr>
        <w:spacing w:after="0" w:line="90" w:lineRule="exact"/>
        <w:rPr>
          <w:rFonts w:ascii="Arial" w:cs="Arial" w:eastAsia="Arial" w:hAnsi="Arial"/>
          <w:sz w:val="18"/>
          <w:szCs w:val="18"/>
          <w:color w:val="auto"/>
        </w:rPr>
      </w:pPr>
    </w:p>
    <w:p>
      <w:pPr>
        <w:ind w:left="460" w:firstLine="421"/>
        <w:spacing w:after="0" w:line="253" w:lineRule="auto"/>
        <w:tabs>
          <w:tab w:leader="none" w:pos="1167"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66" w:lineRule="exact"/>
        <w:rPr>
          <w:rFonts w:ascii="Arial" w:cs="Arial" w:eastAsia="Arial" w:hAnsi="Arial"/>
          <w:sz w:val="18"/>
          <w:szCs w:val="18"/>
          <w:color w:val="auto"/>
        </w:rPr>
      </w:pPr>
    </w:p>
    <w:p>
      <w:pPr>
        <w:ind w:left="1160" w:hanging="279"/>
        <w:spacing w:after="0"/>
        <w:tabs>
          <w:tab w:leader="none" w:pos="11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one or more policies of the L/C Issuer; or</w:t>
      </w:r>
    </w:p>
    <w:p>
      <w:pPr>
        <w:spacing w:after="0" w:line="90" w:lineRule="exact"/>
        <w:rPr>
          <w:rFonts w:ascii="Arial" w:cs="Arial" w:eastAsia="Arial" w:hAnsi="Arial"/>
          <w:sz w:val="18"/>
          <w:szCs w:val="18"/>
          <w:color w:val="auto"/>
        </w:rPr>
      </w:pPr>
    </w:p>
    <w:p>
      <w:pPr>
        <w:ind w:left="460" w:right="340" w:firstLine="421"/>
        <w:spacing w:after="0" w:line="268" w:lineRule="auto"/>
        <w:tabs>
          <w:tab w:leader="none" w:pos="1158"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such Letter of Credit is in a face amount less than $100,000, or is to be used for a purpose other than as described in </w:t>
      </w:r>
      <w:r>
        <w:rPr>
          <w:rFonts w:ascii="Arial" w:cs="Arial" w:eastAsia="Arial" w:hAnsi="Arial"/>
          <w:sz w:val="18"/>
          <w:szCs w:val="18"/>
          <w:b w:val="1"/>
          <w:bCs w:val="1"/>
          <w:i w:val="1"/>
          <w:iCs w:val="1"/>
          <w:color w:val="auto"/>
        </w:rPr>
        <w:t>Section 6.12</w:t>
      </w:r>
      <w:r>
        <w:rPr>
          <w:rFonts w:ascii="Arial" w:cs="Arial" w:eastAsia="Arial" w:hAnsi="Arial"/>
          <w:sz w:val="18"/>
          <w:szCs w:val="18"/>
          <w:color w:val="auto"/>
        </w:rPr>
        <w:t xml:space="preserve"> or is denominated in a currency other than Dollars.</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L/C Issuer shall not issue a Letter of Credit if:</w:t>
      </w:r>
    </w:p>
    <w:p>
      <w:pPr>
        <w:spacing w:after="0" w:line="90" w:lineRule="exact"/>
        <w:rPr>
          <w:rFonts w:ascii="Arial" w:cs="Arial" w:eastAsia="Arial" w:hAnsi="Arial"/>
          <w:sz w:val="18"/>
          <w:szCs w:val="18"/>
          <w:color w:val="auto"/>
        </w:rPr>
      </w:pPr>
    </w:p>
    <w:p>
      <w:pPr>
        <w:ind w:left="460" w:right="240" w:firstLine="421"/>
        <w:spacing w:after="0" w:line="268" w:lineRule="auto"/>
        <w:tabs>
          <w:tab w:leader="none" w:pos="1167"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i w:val="1"/>
          <w:iCs w:val="1"/>
          <w:color w:val="auto"/>
        </w:rPr>
        <w:t>Section 2.02(b)(iii)</w:t>
      </w:r>
      <w:r>
        <w:rPr>
          <w:rFonts w:ascii="Arial" w:cs="Arial" w:eastAsia="Arial" w:hAnsi="Arial"/>
          <w:sz w:val="18"/>
          <w:szCs w:val="18"/>
          <w:color w:val="auto"/>
        </w:rPr>
        <w:t>, the expiry date of such requested Letter of Credit would occur more than twelve months after the date of issuance or last renewal, unless the Required Lenders have approved such expiry date; or</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700" w:top="274" w:right="279" w:bottom="1440" w:gutter="0" w:footer="0" w:header="0"/>
        </w:sectPr>
      </w:pPr>
    </w:p>
    <w:bookmarkStart w:id="33" w:name="page34"/>
    <w:bookmarkEnd w:id="33"/>
    <w:p>
      <w:pPr>
        <w:ind w:left="1160" w:hanging="279"/>
        <w:spacing w:after="0"/>
        <w:tabs>
          <w:tab w:leader="none" w:pos="1160" w:val="left"/>
        </w:tabs>
        <w:numPr>
          <w:ilvl w:val="2"/>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expiry date of such requested Letter of Credit would occur</w:t>
      </w:r>
    </w:p>
    <w:p>
      <w:pPr>
        <w:spacing w:after="0" w:line="90" w:lineRule="exact"/>
        <w:rPr>
          <w:rFonts w:ascii="Arial" w:cs="Arial" w:eastAsia="Arial" w:hAnsi="Arial"/>
          <w:sz w:val="18"/>
          <w:szCs w:val="18"/>
          <w:color w:val="auto"/>
        </w:rPr>
      </w:pPr>
    </w:p>
    <w:p>
      <w:pPr>
        <w:ind w:left="1040" w:right="40" w:firstLine="389"/>
        <w:spacing w:after="0" w:line="268" w:lineRule="auto"/>
        <w:tabs>
          <w:tab w:leader="none" w:pos="1686" w:val="left"/>
        </w:tabs>
        <w:numPr>
          <w:ilvl w:val="3"/>
          <w:numId w:val="24"/>
        </w:numPr>
        <w:rPr>
          <w:rFonts w:ascii="Arial" w:cs="Arial" w:eastAsia="Arial" w:hAnsi="Arial"/>
          <w:sz w:val="18"/>
          <w:szCs w:val="18"/>
          <w:color w:val="auto"/>
        </w:rPr>
      </w:pPr>
      <w:r>
        <w:rPr>
          <w:rFonts w:ascii="Arial" w:cs="Arial" w:eastAsia="Arial" w:hAnsi="Arial"/>
          <w:sz w:val="18"/>
          <w:szCs w:val="18"/>
          <w:color w:val="auto"/>
        </w:rPr>
        <w:t>after the Letter of Credit Expiration Date, unless the L/C Issuer and all Lenders (other than any Non-Extending Lender(s) who shall no longer be a party(ies) to this Agreement after such expiry date) have approved such expiry date, or</w:t>
      </w:r>
    </w:p>
    <w:p>
      <w:pPr>
        <w:spacing w:after="0" w:line="50" w:lineRule="exact"/>
        <w:rPr>
          <w:rFonts w:ascii="Arial" w:cs="Arial" w:eastAsia="Arial" w:hAnsi="Arial"/>
          <w:sz w:val="18"/>
          <w:szCs w:val="18"/>
          <w:color w:val="auto"/>
        </w:rPr>
      </w:pPr>
    </w:p>
    <w:p>
      <w:pPr>
        <w:ind w:left="1040" w:right="200" w:firstLine="389"/>
        <w:spacing w:after="0" w:line="255" w:lineRule="auto"/>
        <w:tabs>
          <w:tab w:leader="none" w:pos="1686" w:val="left"/>
        </w:tabs>
        <w:numPr>
          <w:ilvl w:val="3"/>
          <w:numId w:val="24"/>
        </w:numPr>
        <w:rPr>
          <w:rFonts w:ascii="Arial" w:cs="Arial" w:eastAsia="Arial" w:hAnsi="Arial"/>
          <w:sz w:val="18"/>
          <w:szCs w:val="18"/>
          <w:color w:val="auto"/>
        </w:rPr>
      </w:pPr>
      <w:r>
        <w:rPr>
          <w:rFonts w:ascii="Arial" w:cs="Arial" w:eastAsia="Arial" w:hAnsi="Arial"/>
          <w:sz w:val="18"/>
          <w:szCs w:val="18"/>
          <w:color w:val="auto"/>
        </w:rPr>
        <w:t>after any Stated Maturity Date applicable to any Non-Extending Lender, unless (x) the amount of such Letter of Credit together with all other L/C Obligations and Loans outstanding on the date of issuance of such Letter of Credit is equal to or less than the Aggregate Commitments of all Lenders who shall remain parties to this Agreement subsequent to such Stated Maturity Date, and (y) the Borrower obtains prior approval from the L/C Issuer and all Lenders who shall remain parties to this Agreement subsequent to such Stated Maturity Date;</w:t>
      </w:r>
    </w:p>
    <w:p>
      <w:pPr>
        <w:spacing w:after="0" w:line="61" w:lineRule="exact"/>
        <w:rPr>
          <w:rFonts w:ascii="Arial" w:cs="Arial" w:eastAsia="Arial" w:hAnsi="Arial"/>
          <w:sz w:val="18"/>
          <w:szCs w:val="18"/>
          <w:color w:val="auto"/>
        </w:rPr>
      </w:pPr>
    </w:p>
    <w:p>
      <w:pPr>
        <w:ind w:firstLine="443"/>
        <w:spacing w:after="0" w:line="259" w:lineRule="auto"/>
        <w:tabs>
          <w:tab w:leader="none" w:pos="73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40" w:lineRule="exact"/>
        <w:rPr>
          <w:rFonts w:ascii="Arial" w:cs="Arial" w:eastAsia="Arial" w:hAnsi="Arial"/>
          <w:sz w:val="18"/>
          <w:szCs w:val="18"/>
          <w:color w:val="auto"/>
        </w:rPr>
      </w:pPr>
    </w:p>
    <w:p>
      <w:pPr>
        <w:ind w:left="260" w:hanging="256"/>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Evergreen Letters of Credit.</w:t>
      </w:r>
    </w:p>
    <w:p>
      <w:pPr>
        <w:spacing w:after="0" w:line="90" w:lineRule="exact"/>
        <w:rPr>
          <w:rFonts w:ascii="Arial" w:cs="Arial" w:eastAsia="Arial" w:hAnsi="Arial"/>
          <w:sz w:val="18"/>
          <w:szCs w:val="18"/>
          <w:color w:val="auto"/>
        </w:rPr>
      </w:pPr>
    </w:p>
    <w:p>
      <w:pPr>
        <w:ind w:firstLine="443"/>
        <w:spacing w:after="0" w:line="286" w:lineRule="auto"/>
        <w:tabs>
          <w:tab w:leader="none" w:pos="648" w:val="left"/>
        </w:tabs>
        <w:numPr>
          <w:ilvl w:val="1"/>
          <w:numId w:val="26"/>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L/C Application must be received by the L/C Issuer and the Administrative Agent not later than 11:00 a.m., New York time, at least two Business Days (or such later date and time as the L/C Issuer may agree in a particular instance in its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w:t>
      </w:r>
    </w:p>
    <w:p>
      <w:pPr>
        <w:spacing w:after="0" w:line="46" w:lineRule="exact"/>
        <w:rPr>
          <w:rFonts w:ascii="Arial" w:cs="Arial" w:eastAsia="Arial" w:hAnsi="Arial"/>
          <w:sz w:val="16"/>
          <w:szCs w:val="16"/>
          <w:color w:val="auto"/>
        </w:rPr>
      </w:pPr>
    </w:p>
    <w:p>
      <w:pPr>
        <w:ind w:right="60" w:firstLine="443"/>
        <w:spacing w:after="0" w:line="294" w:lineRule="auto"/>
        <w:tabs>
          <w:tab w:leader="none" w:pos="697" w:val="left"/>
        </w:tabs>
        <w:numPr>
          <w:ilvl w:val="1"/>
          <w:numId w:val="26"/>
        </w:numPr>
        <w:rPr>
          <w:rFonts w:ascii="Arial" w:cs="Arial" w:eastAsia="Arial" w:hAnsi="Arial"/>
          <w:sz w:val="16"/>
          <w:szCs w:val="16"/>
          <w:color w:val="auto"/>
        </w:rPr>
      </w:pPr>
      <w:r>
        <w:rPr>
          <w:rFonts w:ascii="Arial" w:cs="Arial" w:eastAsia="Arial" w:hAnsi="Arial"/>
          <w:sz w:val="16"/>
          <w:szCs w:val="16"/>
          <w:color w:val="auto"/>
        </w:rPr>
        <w:t>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Upon receipt by the L/C Issuer of confirmation from the Administrative Agent that the requested issuance or amendment is permitted in accordance with the terms hereof, then, subject to the terms and conditions hereof, the L/C Issuer shall, on the requested date, issue a Letter of Credit for the account of the Borrower or enter into the applicable amendment, as the case may be, in each case in accordance</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80" w:right="239" w:bottom="1440" w:gutter="0" w:footer="0" w:header="0"/>
        </w:sectPr>
      </w:pPr>
    </w:p>
    <w:bookmarkStart w:id="34" w:name="page35"/>
    <w:bookmarkEnd w:id="34"/>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with the L/C Issuer’s usual and customary business practices. Immediately upon the issuance of each Letter of Credit, each Lender shall be deemed to, and hereby irrevocably and unconditionally agrees to, purchase from the L/C Issuer a participation in such Letter of Credit in an amount equal to the product of such Lender’s Pro Rata Share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amount of such Letter of Credit.</w:t>
      </w:r>
    </w:p>
    <w:p>
      <w:pPr>
        <w:spacing w:after="0" w:line="59" w:lineRule="exact"/>
        <w:rPr>
          <w:sz w:val="20"/>
          <w:szCs w:val="20"/>
          <w:color w:val="auto"/>
        </w:rPr>
      </w:pPr>
    </w:p>
    <w:p>
      <w:pPr>
        <w:ind w:firstLine="443"/>
        <w:spacing w:after="0" w:line="286" w:lineRule="auto"/>
        <w:tabs>
          <w:tab w:leader="none" w:pos="745" w:val="left"/>
        </w:tabs>
        <w:numPr>
          <w:ilvl w:val="1"/>
          <w:numId w:val="27"/>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L/C Issuer may, in it sole and absolute discretion, agree to issue a Letter of Credit that has automatic renewal provisions (each, an “</w:t>
      </w:r>
      <w:r>
        <w:rPr>
          <w:rFonts w:ascii="Arial" w:cs="Arial" w:eastAsia="Arial" w:hAnsi="Arial"/>
          <w:sz w:val="16"/>
          <w:szCs w:val="16"/>
          <w:b w:val="1"/>
          <w:bCs w:val="1"/>
          <w:i w:val="1"/>
          <w:iCs w:val="1"/>
          <w:color w:val="auto"/>
        </w:rPr>
        <w:t>Evergreen Letter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such Evergreen Letter of Credit must permit the L/C Issuer to prevent any such renewal at least once in each twelve-month period (commencing with the date of issuance of such Letter of Credit) by giving prior notice to the beneficiary thereof not later than a day (the “</w:t>
      </w:r>
      <w:r>
        <w:rPr>
          <w:rFonts w:ascii="Arial" w:cs="Arial" w:eastAsia="Arial" w:hAnsi="Arial"/>
          <w:sz w:val="16"/>
          <w:szCs w:val="16"/>
          <w:b w:val="1"/>
          <w:bCs w:val="1"/>
          <w:i w:val="1"/>
          <w:iCs w:val="1"/>
          <w:color w:val="auto"/>
        </w:rPr>
        <w:t>Nonrenewal Notice Date</w:t>
      </w:r>
      <w:r>
        <w:rPr>
          <w:rFonts w:ascii="Arial" w:cs="Arial" w:eastAsia="Arial" w:hAnsi="Arial"/>
          <w:sz w:val="16"/>
          <w:szCs w:val="16"/>
          <w:color w:val="auto"/>
        </w:rPr>
        <w:t xml:space="preserve">”) in each such twelve-month period to be agreed upon at the time such Letter of Credit is issued. Unless otherwise directed by the L/C Issuer, the Borrower shall not be required to make a specific request to the L/C Issuer for any such renewal. Once an Evergreen Letter of Credit has been issued, the Lenders shall be deemed to have authorized (but may not require) the L/C Issuer to permit the renewal of such Letter of Credit at any time to a date not later than the Letter of Credit Expiration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L/C Issuer shall not permit any such renewal if it has received notice on or before the Business Day immediately preceding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Nonrenewal Notice Date (1) from the Administrative Agent that the Required Lenders have elected not to permit such renewal or (2) from any Lender stating that one or more of the applicable conditions specified in </w:t>
      </w:r>
      <w:r>
        <w:rPr>
          <w:rFonts w:ascii="Arial" w:cs="Arial" w:eastAsia="Arial" w:hAnsi="Arial"/>
          <w:sz w:val="16"/>
          <w:szCs w:val="16"/>
          <w:b w:val="1"/>
          <w:bCs w:val="1"/>
          <w:i w:val="1"/>
          <w:iCs w:val="1"/>
          <w:color w:val="auto"/>
        </w:rPr>
        <w:t>Section 4.02</w:t>
      </w:r>
      <w:r>
        <w:rPr>
          <w:rFonts w:ascii="Arial" w:cs="Arial" w:eastAsia="Arial" w:hAnsi="Arial"/>
          <w:sz w:val="16"/>
          <w:szCs w:val="16"/>
          <w:color w:val="auto"/>
        </w:rPr>
        <w:t xml:space="preserve"> is not then satisfied and directing the L/C Issuer not to permit such renewal. Notwithstanding anything to the contrary contained herein, the L/C Issuer shall have no obligation to permit the renewal of any Evergreen Letter of Credit at any time.</w:t>
      </w:r>
    </w:p>
    <w:p>
      <w:pPr>
        <w:spacing w:after="0" w:line="43" w:lineRule="exact"/>
        <w:rPr>
          <w:rFonts w:ascii="Arial" w:cs="Arial" w:eastAsia="Arial" w:hAnsi="Arial"/>
          <w:sz w:val="16"/>
          <w:szCs w:val="16"/>
          <w:color w:val="auto"/>
        </w:rPr>
      </w:pPr>
    </w:p>
    <w:p>
      <w:pPr>
        <w:ind w:right="400" w:firstLine="443"/>
        <w:spacing w:after="0" w:line="259" w:lineRule="auto"/>
        <w:tabs>
          <w:tab w:leader="none" w:pos="736" w:val="left"/>
        </w:tabs>
        <w:numPr>
          <w:ilvl w:val="1"/>
          <w:numId w:val="27"/>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140" w:lineRule="exact"/>
        <w:rPr>
          <w:rFonts w:ascii="Arial" w:cs="Arial" w:eastAsia="Arial" w:hAnsi="Arial"/>
          <w:sz w:val="18"/>
          <w:szCs w:val="18"/>
          <w:color w:val="auto"/>
        </w:rPr>
      </w:pPr>
    </w:p>
    <w:p>
      <w:pPr>
        <w:ind w:left="240" w:hanging="236"/>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87" w:lineRule="auto"/>
        <w:tabs>
          <w:tab w:leader="none" w:pos="648" w:val="left"/>
        </w:tabs>
        <w:numPr>
          <w:ilvl w:val="1"/>
          <w:numId w:val="28"/>
        </w:numPr>
        <w:rPr>
          <w:rFonts w:ascii="Arial" w:cs="Arial" w:eastAsia="Arial" w:hAnsi="Arial"/>
          <w:sz w:val="16"/>
          <w:szCs w:val="16"/>
          <w:color w:val="auto"/>
        </w:rPr>
      </w:pPr>
      <w:r>
        <w:rPr>
          <w:rFonts w:ascii="Arial" w:cs="Arial" w:eastAsia="Arial" w:hAnsi="Arial"/>
          <w:sz w:val="16"/>
          <w:szCs w:val="16"/>
          <w:color w:val="auto"/>
        </w:rPr>
        <w:t>Upon any drawing under any Letter of Credit, the L/C Issuer shall notify the Borrower and the Administrative Agent thereof. Not later than 11:00 a.m., New York time, on the date of any payment by the L/C Issuer under a Letter of Credit (each such date, an “</w:t>
      </w:r>
      <w:r>
        <w:rPr>
          <w:rFonts w:ascii="Arial" w:cs="Arial" w:eastAsia="Arial" w:hAnsi="Arial"/>
          <w:sz w:val="16"/>
          <w:szCs w:val="16"/>
          <w:b w:val="1"/>
          <w:bCs w:val="1"/>
          <w:i w:val="1"/>
          <w:iCs w:val="1"/>
          <w:color w:val="auto"/>
        </w:rPr>
        <w:t>Honor Date</w:t>
      </w:r>
      <w:r>
        <w:rPr>
          <w:rFonts w:ascii="Arial" w:cs="Arial" w:eastAsia="Arial" w:hAnsi="Arial"/>
          <w:sz w:val="16"/>
          <w:szCs w:val="16"/>
          <w:color w:val="auto"/>
        </w:rPr>
        <w:t>”), the Borrower shall reimburse the L/C Issuer through the Administrative Agent in an amount equal to the amount of such drawing. If the Borrower fails to so reimburse the L/C Issuer by such time, the Administrative Agent shall promptly notify each Lender of the Honor Date, the amount of the unreimbursed drawing (the “</w:t>
      </w:r>
      <w:r>
        <w:rPr>
          <w:rFonts w:ascii="Arial" w:cs="Arial" w:eastAsia="Arial" w:hAnsi="Arial"/>
          <w:sz w:val="16"/>
          <w:szCs w:val="16"/>
          <w:b w:val="1"/>
          <w:bCs w:val="1"/>
          <w:i w:val="1"/>
          <w:iCs w:val="1"/>
          <w:color w:val="auto"/>
        </w:rPr>
        <w:t>Unreimbursed Amount</w:t>
      </w:r>
      <w:r>
        <w:rPr>
          <w:rFonts w:ascii="Arial" w:cs="Arial" w:eastAsia="Arial" w:hAnsi="Arial"/>
          <w:sz w:val="16"/>
          <w:szCs w:val="16"/>
          <w:color w:val="auto"/>
        </w:rPr>
        <w:t xml:space="preserve">”), and such Lender’s Pro Rata Share thereof. In such event, the Borrower shall be deemed to have requested a Borrowing of Base Rate Loans to be disbursed on the Honor Date in an amount equal to the Unreimbursed Amount, without regard to the minimum and multiples specified in </w:t>
      </w:r>
      <w:r>
        <w:rPr>
          <w:rFonts w:ascii="Arial" w:cs="Arial" w:eastAsia="Arial" w:hAnsi="Arial"/>
          <w:sz w:val="16"/>
          <w:szCs w:val="16"/>
          <w:b w:val="1"/>
          <w:bCs w:val="1"/>
          <w:i w:val="1"/>
          <w:iCs w:val="1"/>
          <w:color w:val="auto"/>
        </w:rPr>
        <w:t xml:space="preserve">Section 2.03 </w:t>
      </w:r>
      <w:r>
        <w:rPr>
          <w:rFonts w:ascii="Arial" w:cs="Arial" w:eastAsia="Arial" w:hAnsi="Arial"/>
          <w:sz w:val="16"/>
          <w:szCs w:val="16"/>
          <w:color w:val="auto"/>
        </w:rPr>
        <w:t>for the principal amount of Base Rate Loans, but subject to the amount of the unutilized portion of the Aggregate Commitments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conditions set forth in </w:t>
      </w:r>
      <w:r>
        <w:rPr>
          <w:rFonts w:ascii="Arial" w:cs="Arial" w:eastAsia="Arial" w:hAnsi="Arial"/>
          <w:sz w:val="16"/>
          <w:szCs w:val="16"/>
          <w:b w:val="1"/>
          <w:bCs w:val="1"/>
          <w:i w:val="1"/>
          <w:iCs w:val="1"/>
          <w:color w:val="auto"/>
        </w:rPr>
        <w:t>Section 4.02</w:t>
      </w:r>
      <w:r>
        <w:rPr>
          <w:rFonts w:ascii="Arial" w:cs="Arial" w:eastAsia="Arial" w:hAnsi="Arial"/>
          <w:sz w:val="16"/>
          <w:szCs w:val="16"/>
          <w:color w:val="auto"/>
        </w:rPr>
        <w:t xml:space="preserve"> (other than the delivery of a Borrowing Notice). Any notice given by the L/C Issuer or the Administrative Agent pursuant to this </w:t>
      </w:r>
      <w:r>
        <w:rPr>
          <w:rFonts w:ascii="Arial" w:cs="Arial" w:eastAsia="Arial" w:hAnsi="Arial"/>
          <w:sz w:val="16"/>
          <w:szCs w:val="16"/>
          <w:b w:val="1"/>
          <w:bCs w:val="1"/>
          <w:i w:val="1"/>
          <w:iCs w:val="1"/>
          <w:color w:val="auto"/>
        </w:rPr>
        <w:t>Section 2.02(c)(i)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lack of such an immediate confirmation shall not affect the conclusiveness or binding effect of such notice.</w:t>
      </w:r>
    </w:p>
    <w:p>
      <w:pPr>
        <w:spacing w:after="0" w:line="41" w:lineRule="exact"/>
        <w:rPr>
          <w:rFonts w:ascii="Arial" w:cs="Arial" w:eastAsia="Arial" w:hAnsi="Arial"/>
          <w:sz w:val="16"/>
          <w:szCs w:val="16"/>
          <w:color w:val="auto"/>
        </w:rPr>
      </w:pPr>
    </w:p>
    <w:p>
      <w:pPr>
        <w:ind w:right="660" w:firstLine="443"/>
        <w:spacing w:after="0" w:line="268" w:lineRule="auto"/>
        <w:tabs>
          <w:tab w:leader="none" w:pos="697"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Each Lender (including the Lender acting as L/C Issuer) shall upon any notice pursuant to </w:t>
      </w:r>
      <w:r>
        <w:rPr>
          <w:rFonts w:ascii="Arial" w:cs="Arial" w:eastAsia="Arial" w:hAnsi="Arial"/>
          <w:sz w:val="18"/>
          <w:szCs w:val="18"/>
          <w:b w:val="1"/>
          <w:bCs w:val="1"/>
          <w:i w:val="1"/>
          <w:iCs w:val="1"/>
          <w:color w:val="auto"/>
        </w:rPr>
        <w:t>Section 2.02(c)(i)</w:t>
      </w:r>
      <w:r>
        <w:rPr>
          <w:rFonts w:ascii="Arial" w:cs="Arial" w:eastAsia="Arial" w:hAnsi="Arial"/>
          <w:sz w:val="18"/>
          <w:szCs w:val="18"/>
          <w:color w:val="auto"/>
        </w:rPr>
        <w:t xml:space="preserve"> make funds available to the Administrative Agent for the account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80" w:right="239" w:bottom="1440" w:gutter="0" w:footer="0" w:header="0"/>
        </w:sectPr>
      </w:pPr>
    </w:p>
    <w:bookmarkStart w:id="35" w:name="page36"/>
    <w:bookmarkEnd w:id="35"/>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of the L/C Issuer at the Administrative Agent’s Office in an amount equal to its Pro Rata Share of the Unreimbursed Amount not later than 1:00 p.m., New York time, on the Business Day specified in such notice by the Administrative Agent, whereupon, subject to the provisions of </w:t>
      </w:r>
      <w:r>
        <w:rPr>
          <w:rFonts w:ascii="Arial" w:cs="Arial" w:eastAsia="Arial" w:hAnsi="Arial"/>
          <w:sz w:val="18"/>
          <w:szCs w:val="18"/>
          <w:b w:val="1"/>
          <w:bCs w:val="1"/>
          <w:i w:val="1"/>
          <w:iCs w:val="1"/>
          <w:color w:val="auto"/>
        </w:rPr>
        <w:t>Section 2.02(c)(iii)</w:t>
      </w:r>
      <w:r>
        <w:rPr>
          <w:rFonts w:ascii="Arial" w:cs="Arial" w:eastAsia="Arial" w:hAnsi="Arial"/>
          <w:sz w:val="18"/>
          <w:szCs w:val="18"/>
          <w:color w:val="auto"/>
        </w:rPr>
        <w:t>, each Lender that so makes funds available shall be deemed to have made a Base Rate Loan to the Borrower in such amount. The Administrative Agent shall remit the funds so received to the L/C Issuer.</w:t>
      </w:r>
    </w:p>
    <w:p>
      <w:pPr>
        <w:spacing w:after="0" w:line="62" w:lineRule="exact"/>
        <w:rPr>
          <w:sz w:val="20"/>
          <w:szCs w:val="20"/>
          <w:color w:val="auto"/>
        </w:rPr>
      </w:pPr>
    </w:p>
    <w:p>
      <w:pPr>
        <w:ind w:firstLine="443"/>
        <w:spacing w:after="0" w:line="291" w:lineRule="auto"/>
        <w:tabs>
          <w:tab w:leader="none" w:pos="742"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With respect to any Unreimbursed Amount that is not fully refinanced by a Borrowing of Base Rate Loans because the conditions set forth in </w:t>
      </w:r>
      <w:r>
        <w:rPr>
          <w:rFonts w:ascii="Arial" w:cs="Arial" w:eastAsia="Arial" w:hAnsi="Arial"/>
          <w:sz w:val="16"/>
          <w:szCs w:val="16"/>
          <w:b w:val="1"/>
          <w:bCs w:val="1"/>
          <w:i w:val="1"/>
          <w:iCs w:val="1"/>
          <w:color w:val="auto"/>
        </w:rPr>
        <w:t xml:space="preserve">Section 4.02 </w:t>
      </w:r>
      <w:r>
        <w:rPr>
          <w:rFonts w:ascii="Arial" w:cs="Arial" w:eastAsia="Arial" w:hAnsi="Arial"/>
          <w:sz w:val="16"/>
          <w:szCs w:val="16"/>
          <w:color w:val="auto"/>
        </w:rPr>
        <w:t>cannot be satisfied or for any other reason, the Borrower shall be deemed to have incurred from the L/C Issuer an L/C Borrowing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Arial" w:cs="Arial" w:eastAsia="Arial" w:hAnsi="Arial"/>
          <w:sz w:val="16"/>
          <w:szCs w:val="16"/>
          <w:b w:val="1"/>
          <w:bCs w:val="1"/>
          <w:i w:val="1"/>
          <w:iCs w:val="1"/>
          <w:color w:val="auto"/>
        </w:rPr>
        <w:t xml:space="preserve">Section 2.02(c)(ii) </w:t>
      </w:r>
      <w:r>
        <w:rPr>
          <w:rFonts w:ascii="Arial" w:cs="Arial" w:eastAsia="Arial" w:hAnsi="Arial"/>
          <w:sz w:val="16"/>
          <w:szCs w:val="16"/>
          <w:color w:val="auto"/>
        </w:rPr>
        <w:t>shall be deemed payment in respect of its participation in such L/C Borrowing and shall constitute an L/C Advance from such Lender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satisfaction of its participation obligation under this </w:t>
      </w:r>
      <w:r>
        <w:rPr>
          <w:rFonts w:ascii="Arial" w:cs="Arial" w:eastAsia="Arial" w:hAnsi="Arial"/>
          <w:sz w:val="16"/>
          <w:szCs w:val="16"/>
          <w:b w:val="1"/>
          <w:bCs w:val="1"/>
          <w:i w:val="1"/>
          <w:iCs w:val="1"/>
          <w:color w:val="auto"/>
        </w:rPr>
        <w:t>Section 2.02</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ind w:right="140" w:firstLine="443"/>
        <w:spacing w:after="0" w:line="332" w:lineRule="auto"/>
        <w:tabs>
          <w:tab w:leader="none" w:pos="736"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Until each Lender funds its Loan or L/C Advance pursuant to this </w:t>
      </w:r>
      <w:r>
        <w:rPr>
          <w:rFonts w:ascii="Arial" w:cs="Arial" w:eastAsia="Arial" w:hAnsi="Arial"/>
          <w:sz w:val="16"/>
          <w:szCs w:val="16"/>
          <w:b w:val="1"/>
          <w:bCs w:val="1"/>
          <w:i w:val="1"/>
          <w:iCs w:val="1"/>
          <w:color w:val="auto"/>
        </w:rPr>
        <w:t>Section 2.02(c)</w:t>
      </w:r>
      <w:r>
        <w:rPr>
          <w:rFonts w:ascii="Arial" w:cs="Arial" w:eastAsia="Arial" w:hAnsi="Arial"/>
          <w:sz w:val="16"/>
          <w:szCs w:val="16"/>
          <w:color w:val="auto"/>
        </w:rPr>
        <w:t xml:space="preserve"> to reimburse the L/C Issuer for any amount drawn under any Letter of Credit, interest in respect of such Lender’s Pro Rata Share of such amount shall be solely for the account of the L/C Issuer.</w:t>
      </w:r>
    </w:p>
    <w:p>
      <w:pPr>
        <w:spacing w:after="0" w:line="4" w:lineRule="exact"/>
        <w:rPr>
          <w:rFonts w:ascii="Arial" w:cs="Arial" w:eastAsia="Arial" w:hAnsi="Arial"/>
          <w:sz w:val="16"/>
          <w:szCs w:val="16"/>
          <w:color w:val="auto"/>
        </w:rPr>
      </w:pPr>
    </w:p>
    <w:p>
      <w:pPr>
        <w:ind w:right="140" w:firstLine="443"/>
        <w:spacing w:after="0" w:line="291" w:lineRule="auto"/>
        <w:tabs>
          <w:tab w:leader="none" w:pos="687"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Each Lender’s obligation to make Loans or L/C Advances to reimburse the L/C Issuer for amounts drawn under Letters of Credit, as contemplated by this </w:t>
      </w:r>
      <w:r>
        <w:rPr>
          <w:rFonts w:ascii="Arial" w:cs="Arial" w:eastAsia="Arial" w:hAnsi="Arial"/>
          <w:sz w:val="16"/>
          <w:szCs w:val="16"/>
          <w:b w:val="1"/>
          <w:bCs w:val="1"/>
          <w:i w:val="1"/>
          <w:iCs w:val="1"/>
          <w:color w:val="auto"/>
        </w:rPr>
        <w:t>Section 2.02(c)</w:t>
      </w:r>
      <w:r>
        <w:rPr>
          <w:rFonts w:ascii="Arial" w:cs="Arial" w:eastAsia="Arial" w:hAnsi="Arial"/>
          <w:sz w:val="16"/>
          <w:szCs w:val="16"/>
          <w:color w:val="auto"/>
        </w:rPr>
        <w:t>, shall be absolute and unconditional and shall not be affected by any circumstance, including (A) any set-off, counterclaim, recoupment, defense or other right which such Lender may have against the L/C Issuer, the Borrower or any other Person for any reason whatsoever; (B) the occurrence or continuance of a Default or Event of Default, or (C) any other occurrence, event or condition, whether or not similar to any of the foregoing. Any such reimbursement shall not relieve or otherwise impair the obligation of the Borrower to reimburse the L/C Issuer for the amount of any payment made by the L/C Issuer under any Letter of Credit, together with interest as provided herein.</w:t>
      </w:r>
    </w:p>
    <w:p>
      <w:pPr>
        <w:spacing w:after="0" w:line="39" w:lineRule="exact"/>
        <w:rPr>
          <w:rFonts w:ascii="Arial" w:cs="Arial" w:eastAsia="Arial" w:hAnsi="Arial"/>
          <w:sz w:val="16"/>
          <w:szCs w:val="16"/>
          <w:color w:val="auto"/>
        </w:rPr>
      </w:pPr>
    </w:p>
    <w:p>
      <w:pPr>
        <w:ind w:right="180" w:firstLine="443"/>
        <w:spacing w:after="0" w:line="291" w:lineRule="auto"/>
        <w:tabs>
          <w:tab w:leader="none" w:pos="736"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6"/>
          <w:szCs w:val="16"/>
          <w:b w:val="1"/>
          <w:bCs w:val="1"/>
          <w:i w:val="1"/>
          <w:iCs w:val="1"/>
          <w:color w:val="auto"/>
        </w:rPr>
        <w:t>Section 2.02(c)</w:t>
      </w:r>
      <w:r>
        <w:rPr>
          <w:rFonts w:ascii="Arial" w:cs="Arial" w:eastAsia="Arial" w:hAnsi="Arial"/>
          <w:sz w:val="16"/>
          <w:szCs w:val="16"/>
          <w:color w:val="auto"/>
        </w:rPr>
        <w:t xml:space="preserve"> by the time specified in </w:t>
      </w:r>
      <w:r>
        <w:rPr>
          <w:rFonts w:ascii="Arial" w:cs="Arial" w:eastAsia="Arial" w:hAnsi="Arial"/>
          <w:sz w:val="16"/>
          <w:szCs w:val="16"/>
          <w:b w:val="1"/>
          <w:bCs w:val="1"/>
          <w:i w:val="1"/>
          <w:iCs w:val="1"/>
          <w:color w:val="auto"/>
        </w:rPr>
        <w:t>Section 2.02(c)(ii),</w:t>
      </w:r>
      <w:r>
        <w:rPr>
          <w:rFonts w:ascii="Arial" w:cs="Arial" w:eastAsia="Arial" w:hAnsi="Arial"/>
          <w:sz w:val="16"/>
          <w:szCs w:val="16"/>
          <w:color w:val="auto"/>
        </w:rPr>
        <w:t xml:space="preserve">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Federal Funds Rate from time to time in effect. A certificate of the L/C Issuer submitted to any Lender (through the Administrative Agent) with respect to any amounts owing under this </w:t>
      </w:r>
      <w:r>
        <w:rPr>
          <w:rFonts w:ascii="Arial" w:cs="Arial" w:eastAsia="Arial" w:hAnsi="Arial"/>
          <w:sz w:val="16"/>
          <w:szCs w:val="16"/>
          <w:b w:val="1"/>
          <w:bCs w:val="1"/>
          <w:i w:val="1"/>
          <w:iCs w:val="1"/>
          <w:color w:val="auto"/>
        </w:rPr>
        <w:t xml:space="preserve">clause (vi) </w:t>
      </w:r>
      <w:r>
        <w:rPr>
          <w:rFonts w:ascii="Arial" w:cs="Arial" w:eastAsia="Arial" w:hAnsi="Arial"/>
          <w:sz w:val="16"/>
          <w:szCs w:val="16"/>
          <w:color w:val="auto"/>
        </w:rPr>
        <w:t>shall be conclusive absent manifest error.</w:t>
      </w:r>
    </w:p>
    <w:p>
      <w:pPr>
        <w:spacing w:after="0" w:line="120" w:lineRule="exact"/>
        <w:rPr>
          <w:rFonts w:ascii="Arial" w:cs="Arial" w:eastAsia="Arial" w:hAnsi="Arial"/>
          <w:sz w:val="16"/>
          <w:szCs w:val="16"/>
          <w:color w:val="auto"/>
        </w:rPr>
      </w:pPr>
    </w:p>
    <w:p>
      <w:pPr>
        <w:ind w:left="260" w:hanging="256"/>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443"/>
        <w:spacing w:after="0" w:line="255" w:lineRule="auto"/>
        <w:tabs>
          <w:tab w:leader="none" w:pos="6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8"/>
          <w:szCs w:val="18"/>
          <w:b w:val="1"/>
          <w:bCs w:val="1"/>
          <w:i w:val="1"/>
          <w:iCs w:val="1"/>
          <w:color w:val="auto"/>
        </w:rPr>
        <w:t>Section 2.02(c),</w:t>
      </w:r>
      <w:r>
        <w:rPr>
          <w:rFonts w:ascii="Arial" w:cs="Arial" w:eastAsia="Arial" w:hAnsi="Arial"/>
          <w:sz w:val="18"/>
          <w:szCs w:val="18"/>
          <w:color w:val="auto"/>
        </w:rPr>
        <w:t xml:space="preserve"> if the Administrative Agent receives for the account of the L/C Issuer any payment related to such Letter of Credit (whether directly from the Borrower or otherwise, including proceeds of Cash Collateral applied thereto by the Administrative Agent), or any payment of interest thereon, the Administrative Agent will distribute to such Lender its Pro Rata Share thereof in the same funds as those received by the Administrative Agent.</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700" w:top="280" w:right="279" w:bottom="1440" w:gutter="0" w:footer="0" w:header="0"/>
        </w:sectPr>
      </w:pPr>
    </w:p>
    <w:bookmarkStart w:id="36" w:name="page37"/>
    <w:bookmarkEnd w:id="36"/>
    <w:p>
      <w:pPr>
        <w:ind w:left="460" w:firstLine="443"/>
        <w:spacing w:after="0" w:line="256" w:lineRule="auto"/>
        <w:tabs>
          <w:tab w:leader="none" w:pos="1157" w:val="left"/>
        </w:tabs>
        <w:numPr>
          <w:ilvl w:val="1"/>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any payment received by the Administrative Agent for the account of the L/C Issuer pursuant to </w:t>
      </w:r>
      <w:r>
        <w:rPr>
          <w:rFonts w:ascii="Arial" w:cs="Arial" w:eastAsia="Arial" w:hAnsi="Arial"/>
          <w:sz w:val="18"/>
          <w:szCs w:val="18"/>
          <w:b w:val="1"/>
          <w:bCs w:val="1"/>
          <w:i w:val="1"/>
          <w:iCs w:val="1"/>
          <w:color w:val="auto"/>
        </w:rPr>
        <w:t>Section 2.02(c)(i)</w:t>
      </w:r>
      <w:r>
        <w:rPr>
          <w:rFonts w:ascii="Arial" w:cs="Arial" w:eastAsia="Arial" w:hAnsi="Arial"/>
          <w:sz w:val="18"/>
          <w:szCs w:val="18"/>
          <w:color w:val="auto"/>
        </w:rPr>
        <w:t xml:space="preserve"> is required to be returned, each Lender shall pay to the Administrative Agent for the account of the L/C Issuer its Pro Rata Share thereof on demand of the Administrative Agent, plus interest thereon from the date of such demand to the date such amount is returned by such Lender, at a rate per annum equal to the Federal Funds Rate from time to time in effect.</w:t>
      </w:r>
    </w:p>
    <w:p>
      <w:pPr>
        <w:spacing w:after="0" w:line="143" w:lineRule="exact"/>
        <w:rPr>
          <w:rFonts w:ascii="Arial" w:cs="Arial" w:eastAsia="Arial" w:hAnsi="Arial"/>
          <w:sz w:val="18"/>
          <w:szCs w:val="18"/>
          <w:color w:val="auto"/>
        </w:rPr>
      </w:pPr>
    </w:p>
    <w:p>
      <w:pPr>
        <w:ind w:right="140" w:firstLine="464"/>
        <w:spacing w:after="0" w:line="306"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obligation of the Borrower to reimburse the L/C Issuer for each drawing under each Letter of Credit, and to repay each L/C Borrowing and each drawing under a Letter of Credit that is refinanced by a Borrowing of Loans, shall be absolute, unconditional and irrevocable, and shall be paid strictly in accordance with the terms of this Agreement under all circumstances, including the following:</w:t>
      </w:r>
    </w:p>
    <w:p>
      <w:pPr>
        <w:spacing w:after="0" w:line="25" w:lineRule="exact"/>
        <w:rPr>
          <w:rFonts w:ascii="Arial" w:cs="Arial" w:eastAsia="Arial" w:hAnsi="Arial"/>
          <w:sz w:val="16"/>
          <w:szCs w:val="16"/>
          <w:color w:val="auto"/>
        </w:rPr>
      </w:pPr>
    </w:p>
    <w:p>
      <w:pPr>
        <w:ind w:left="1120" w:hanging="217"/>
        <w:spacing w:after="0"/>
        <w:tabs>
          <w:tab w:leader="none" w:pos="11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lack of validity or enforceability of such Letter of Credit, this Agreement, or any other agreement or instrument relating thereto;</w:t>
      </w:r>
    </w:p>
    <w:p>
      <w:pPr>
        <w:spacing w:after="0" w:line="113" w:lineRule="exact"/>
        <w:rPr>
          <w:sz w:val="20"/>
          <w:szCs w:val="20"/>
          <w:color w:val="auto"/>
        </w:rPr>
      </w:pPr>
    </w:p>
    <w:p>
      <w:pPr>
        <w:ind w:left="460" w:right="40" w:firstLine="443"/>
        <w:spacing w:after="0" w:line="256" w:lineRule="auto"/>
        <w:tabs>
          <w:tab w:leader="none" w:pos="115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62" w:lineRule="exact"/>
        <w:rPr>
          <w:rFonts w:ascii="Arial" w:cs="Arial" w:eastAsia="Arial" w:hAnsi="Arial"/>
          <w:sz w:val="18"/>
          <w:szCs w:val="18"/>
          <w:color w:val="auto"/>
        </w:rPr>
      </w:pPr>
    </w:p>
    <w:p>
      <w:pPr>
        <w:ind w:left="460" w:right="60" w:firstLine="443"/>
        <w:spacing w:after="0" w:line="259" w:lineRule="auto"/>
        <w:tabs>
          <w:tab w:leader="none" w:pos="12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59" w:lineRule="exact"/>
        <w:rPr>
          <w:rFonts w:ascii="Arial" w:cs="Arial" w:eastAsia="Arial" w:hAnsi="Arial"/>
          <w:sz w:val="18"/>
          <w:szCs w:val="18"/>
          <w:color w:val="auto"/>
        </w:rPr>
      </w:pPr>
    </w:p>
    <w:p>
      <w:pPr>
        <w:ind w:left="460" w:right="60" w:firstLine="443"/>
        <w:spacing w:after="0" w:line="298" w:lineRule="auto"/>
        <w:tabs>
          <w:tab w:leader="none" w:pos="1196"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31"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that might otherwise constitute a defense available to, or a discharge of, the Borrower.</w:t>
      </w:r>
    </w:p>
    <w:p>
      <w:pPr>
        <w:spacing w:after="0" w:line="132"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07" w:lineRule="exact"/>
        <w:rPr>
          <w:sz w:val="20"/>
          <w:szCs w:val="20"/>
          <w:color w:val="auto"/>
        </w:rPr>
      </w:pPr>
    </w:p>
    <w:p>
      <w:pPr>
        <w:ind w:right="140" w:firstLine="464"/>
        <w:spacing w:after="0" w:line="256" w:lineRule="auto"/>
        <w:tabs>
          <w:tab w:leader="none" w:pos="67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Role of L/C Issuer</w:t>
      </w:r>
      <w:r>
        <w:rPr>
          <w:rFonts w:ascii="Arial" w:cs="Arial" w:eastAsia="Arial" w:hAnsi="Arial"/>
          <w:sz w:val="18"/>
          <w:szCs w:val="18"/>
          <w:color w:val="auto"/>
        </w:rPr>
        <w:t>. Each Lender and the Borrower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Neither the L/C Issuer, nor any of the respective Affiliates,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7" w:name="page38"/>
    <w:bookmarkEnd w:id="37"/>
    <w:p>
      <w:pPr>
        <w:jc w:val="both"/>
        <w:ind w:right="4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correspondents, participants or assignees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Letter of Credit Application.</w:t>
      </w:r>
    </w:p>
    <w:p>
      <w:pPr>
        <w:spacing w:after="0" w:line="1"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 xml:space="preserve">The Borrower hereby assumes all risks of the acts or omissions of any beneficiary or transferee with respect to its use of any Letter of Credit;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this assumption is not intended to, and shall not, preclude the Borrower’s pursuing such rights and remedies as it may have against the beneficiary or transferee at law or under any other agreement. Neither the L/C Issuer, nor any of the respective Affiliates, correspondents, participants or assignees of the L/C Issuer, shall be liable or responsible for any of the matters described in </w:t>
      </w:r>
      <w:r>
        <w:rPr>
          <w:rFonts w:ascii="Arial" w:cs="Arial" w:eastAsia="Arial" w:hAnsi="Arial"/>
          <w:sz w:val="15"/>
          <w:szCs w:val="15"/>
          <w:b w:val="1"/>
          <w:bCs w:val="1"/>
          <w:i w:val="1"/>
          <w:iCs w:val="1"/>
          <w:color w:val="auto"/>
        </w:rPr>
        <w:t>clauses (e)(i)</w:t>
      </w:r>
      <w:r>
        <w:rPr>
          <w:rFonts w:ascii="Arial" w:cs="Arial" w:eastAsia="Arial" w:hAnsi="Arial"/>
          <w:sz w:val="15"/>
          <w:szCs w:val="15"/>
          <w:color w:val="auto"/>
        </w:rPr>
        <w:t xml:space="preserve"> through </w:t>
      </w:r>
      <w:r>
        <w:rPr>
          <w:rFonts w:ascii="Arial" w:cs="Arial" w:eastAsia="Arial" w:hAnsi="Arial"/>
          <w:sz w:val="15"/>
          <w:szCs w:val="15"/>
          <w:b w:val="1"/>
          <w:bCs w:val="1"/>
          <w:i w:val="1"/>
          <w:iCs w:val="1"/>
          <w:color w:val="auto"/>
        </w:rPr>
        <w:t>(e)(v)</w:t>
      </w:r>
      <w:r>
        <w:rPr>
          <w:rFonts w:ascii="Arial" w:cs="Arial" w:eastAsia="Arial" w:hAnsi="Arial"/>
          <w:sz w:val="15"/>
          <w:szCs w:val="15"/>
          <w:color w:val="auto"/>
        </w:rPr>
        <w:t xml:space="preserve"> of </w:t>
      </w:r>
      <w:r>
        <w:rPr>
          <w:rFonts w:ascii="Arial" w:cs="Arial" w:eastAsia="Arial" w:hAnsi="Arial"/>
          <w:sz w:val="15"/>
          <w:szCs w:val="15"/>
          <w:b w:val="1"/>
          <w:bCs w:val="1"/>
          <w:i w:val="1"/>
          <w:iCs w:val="1"/>
          <w:color w:val="auto"/>
        </w:rPr>
        <w:t>Section 2.02(e)</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14" w:lineRule="exact"/>
        <w:rPr>
          <w:sz w:val="20"/>
          <w:szCs w:val="20"/>
          <w:color w:val="auto"/>
        </w:rPr>
      </w:pPr>
    </w:p>
    <w:p>
      <w:pPr>
        <w:ind w:right="100" w:firstLine="464"/>
        <w:spacing w:after="0" w:line="253"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Upon the request of the Administrative Agent, (i) if the L/C Issuer has honored any full or partial drawing request under any Letter of Credit and such drawing has resulted in an L/C Borrowing, or (ii) if, as of the Letter of Credit Expiration Date, any Letter of Credit may for any reason remain outstanding and partially or wholly undrawn, the Borrower shall immediately Cash Collateralize the then Outstanding Amount of all L/C Obligations (in an amount equal to such Outstanding Amount). In addition, </w:t>
      </w:r>
      <w:r>
        <w:rPr>
          <w:rFonts w:ascii="Arial" w:cs="Arial" w:eastAsia="Arial" w:hAnsi="Arial"/>
          <w:sz w:val="18"/>
          <w:szCs w:val="18"/>
          <w:b w:val="1"/>
          <w:bCs w:val="1"/>
          <w:i w:val="1"/>
          <w:iCs w:val="1"/>
          <w:color w:val="auto"/>
        </w:rPr>
        <w:t>Sections 2.04(b)</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8.02</w:t>
      </w:r>
      <w:r>
        <w:rPr>
          <w:rFonts w:ascii="Arial" w:cs="Arial" w:eastAsia="Arial" w:hAnsi="Arial"/>
          <w:sz w:val="18"/>
          <w:szCs w:val="18"/>
          <w:color w:val="auto"/>
        </w:rPr>
        <w:t xml:space="preserve"> set forth certain requirements to Cash Collateralize under the circumstances therein described. The Borrower hereby grants to the Administrative Agent, for the benefit of the L/C Issuer and the Lenders, a security interest in all such cash, deposit accounts and all balances therein and all proceeds of the foregoing. Cash collateral shall be maintained in blocked interest bearing deposit accounts at the Administrative Agent.</w:t>
      </w:r>
    </w:p>
    <w:p>
      <w:pPr>
        <w:spacing w:after="0" w:line="147" w:lineRule="exact"/>
        <w:rPr>
          <w:rFonts w:ascii="Arial" w:cs="Arial" w:eastAsia="Arial" w:hAnsi="Arial"/>
          <w:sz w:val="18"/>
          <w:szCs w:val="18"/>
          <w:color w:val="auto"/>
        </w:rPr>
      </w:pPr>
    </w:p>
    <w:p>
      <w:pPr>
        <w:ind w:firstLine="464"/>
        <w:spacing w:after="0" w:line="255"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Applicability of ISP98 and UCP</w:t>
      </w:r>
      <w:r>
        <w:rPr>
          <w:rFonts w:ascii="Arial" w:cs="Arial" w:eastAsia="Arial" w:hAnsi="Arial"/>
          <w:sz w:val="18"/>
          <w:szCs w:val="18"/>
          <w:color w:val="auto"/>
        </w:rPr>
        <w:t>. Unless otherwise expressly agreed by the L/C Issuer and the Borrower when a Letter of Credit is issued (including any such agreement applicable to an Existing Letter of Credit), the rules of the “</w:t>
      </w:r>
      <w:r>
        <w:rPr>
          <w:rFonts w:ascii="Arial" w:cs="Arial" w:eastAsia="Arial" w:hAnsi="Arial"/>
          <w:sz w:val="18"/>
          <w:szCs w:val="18"/>
          <w:i w:val="1"/>
          <w:iCs w:val="1"/>
          <w:color w:val="auto"/>
        </w:rPr>
        <w:t>International Standby Practices 1998</w:t>
      </w:r>
      <w:r>
        <w:rPr>
          <w:rFonts w:ascii="Arial" w:cs="Arial" w:eastAsia="Arial" w:hAnsi="Arial"/>
          <w:sz w:val="18"/>
          <w:szCs w:val="18"/>
          <w:color w:val="auto"/>
        </w:rPr>
        <w:t>” published by the Institute of International Banking Law &amp; Practice (or such later version thereof as may be in effect at the time of issuance) shall apply to each standby Letter of Credit, and the rules of the Uniform Customs and Practice for Documentary Credits, as most recently published by the International Chamber of Commerce at the time of issuance, shall apply to each commercial Letter of Credit.</w:t>
      </w:r>
    </w:p>
    <w:p>
      <w:pPr>
        <w:spacing w:after="0" w:line="142" w:lineRule="exact"/>
        <w:rPr>
          <w:rFonts w:ascii="Arial" w:cs="Arial" w:eastAsia="Arial" w:hAnsi="Arial"/>
          <w:sz w:val="18"/>
          <w:szCs w:val="18"/>
          <w:color w:val="auto"/>
        </w:rPr>
      </w:pPr>
    </w:p>
    <w:p>
      <w:pPr>
        <w:ind w:right="60" w:firstLine="464"/>
        <w:spacing w:after="0" w:line="254" w:lineRule="auto"/>
        <w:tabs>
          <w:tab w:leader="none" w:pos="66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xml:space="preserve">. The Borrower shall pay to the Administrative Agent for the account of each Lender in accordance with its Pro Rata Share a Letter of Credit fee for each Letter of Credit issued equal to the Applicable Rate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actual daily undrawn amount under each Letter of Credit. Such fee for each Letter of Credit shall be due and payable on the last Business Day of each March, June, September and December, commencing with the first such date to occur after the issuance of such Letter of Credit, and on the Letter of Credit Expiration Date. If there is any change in the Applicable Rate during any quarter, the actual daily undrawn amount of each Letter of Credit shall be computed and multiplied by the Applicable Rate separately for each period during such quarter that such Applicable Rate was in effect.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8" w:name="page39"/>
    <w:bookmarkEnd w:id="38"/>
    <w:p>
      <w:pPr>
        <w:ind w:left="-8" w:right="20" w:firstLine="464"/>
        <w:spacing w:after="0" w:line="291" w:lineRule="auto"/>
        <w:tabs>
          <w:tab w:leader="none" w:pos="65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Fronting Fee and Documentary and Processing Charges Payable to L/C Issuer</w:t>
      </w:r>
      <w:r>
        <w:rPr>
          <w:rFonts w:ascii="Arial" w:cs="Arial" w:eastAsia="Arial" w:hAnsi="Arial"/>
          <w:sz w:val="16"/>
          <w:szCs w:val="16"/>
          <w:color w:val="auto"/>
        </w:rPr>
        <w:t>. The Borrower shall pay directly to the L/C Issuer for its own account a fronting fee in an amount with respect to each Letter of Credit issued equal to 1/8 of 1% per annum on the daily undrawn amount thereunder, due and payable quarterly in arrears on the last Business Day of each March, June, September and December, commencing with the first such date to occur after the issuance of such Letter of Credit, and on the Letter of Credit Expiration Date. In addition, the Borrower shall pay directly to the L/C Issuer for its own account the customary issuance, presentation, amendment and other processing fees, and other standard costs and charges, of the L/C Issuer relating to letters of credit as from time to time in effect. Such fees and charges are due and payable on demand and are nonrefundable.</w:t>
      </w:r>
    </w:p>
    <w:p>
      <w:pPr>
        <w:spacing w:after="0" w:line="120" w:lineRule="exact"/>
        <w:rPr>
          <w:rFonts w:ascii="Arial" w:cs="Arial" w:eastAsia="Arial" w:hAnsi="Arial"/>
          <w:sz w:val="16"/>
          <w:szCs w:val="16"/>
          <w:color w:val="auto"/>
        </w:rPr>
      </w:pPr>
    </w:p>
    <w:p>
      <w:pPr>
        <w:ind w:left="-8" w:right="140" w:firstLine="464"/>
        <w:spacing w:after="0" w:line="268" w:lineRule="auto"/>
        <w:tabs>
          <w:tab w:leader="none" w:pos="69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Conflict with Letter of Credit Application</w:t>
      </w:r>
      <w:r>
        <w:rPr>
          <w:rFonts w:ascii="Arial" w:cs="Arial" w:eastAsia="Arial" w:hAnsi="Arial"/>
          <w:sz w:val="18"/>
          <w:szCs w:val="18"/>
          <w:color w:val="auto"/>
        </w:rPr>
        <w:t>. In the event of any conflict between the terms hereof and the terms of any Letter of Credit Application, the terms hereof shall control.</w:t>
      </w:r>
    </w:p>
    <w:p>
      <w:pPr>
        <w:spacing w:after="0" w:line="126"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2.03 Borrowings, Conversions and Continuations of Committed Loans.</w:t>
      </w:r>
    </w:p>
    <w:p>
      <w:pPr>
        <w:spacing w:after="0" w:line="96" w:lineRule="exact"/>
        <w:rPr>
          <w:sz w:val="20"/>
          <w:szCs w:val="20"/>
          <w:color w:val="auto"/>
        </w:rPr>
      </w:pPr>
    </w:p>
    <w:p>
      <w:pPr>
        <w:ind w:left="-8" w:right="40" w:firstLine="464"/>
        <w:spacing w:after="0" w:line="301" w:lineRule="auto"/>
        <w:tabs>
          <w:tab w:leader="none" w:pos="687" w:val="left"/>
        </w:tabs>
        <w:numPr>
          <w:ilvl w:val="1"/>
          <w:numId w:val="37"/>
        </w:numPr>
        <w:rPr>
          <w:rFonts w:ascii="Arial" w:cs="Arial" w:eastAsia="Arial" w:hAnsi="Arial"/>
          <w:sz w:val="15"/>
          <w:szCs w:val="15"/>
          <w:color w:val="auto"/>
        </w:rPr>
      </w:pPr>
      <w:r>
        <w:rPr>
          <w:rFonts w:ascii="Arial" w:cs="Arial" w:eastAsia="Arial" w:hAnsi="Arial"/>
          <w:sz w:val="15"/>
          <w:szCs w:val="15"/>
          <w:color w:val="auto"/>
        </w:rPr>
        <w:t>Each Borrowing of Committed Loans, each conversion of Committed Loans from one Type to the other, and each continuation of Committed Loans as the same Type shall be made upon the Borrower’s irrevocable notice to the Administrative Agent, which may be given by telephone. Each such notice must be received by the Administrative Agent not later than 11:00 a.m., New York time, (i) three Business Days prior to the requested date of any Borrowing of, conversion to or continuation of Eurodollar Rate Loans, (ii) one Business Day prior to the conversion of Eurodollar Rate Loans to Base Rate Loans, and (iii) on the requested date of any Borrowing of Base Rate Loans. Each such telephonic notice must be confirmed promptly by delivery to the Administrative Agent of a written Borrowing Notice, appropriately completed and signed by an authorized officer of the Borrower. Each Borrowing of, conversion to or continuation of Eurodollar Rate Loans shall be in a principal amount of $500,000 or a whole multiple of $500,000 in excess thereof. Each Borrowing of or conversion to Base Rate Loans shall be in a principal amount of $500,000 or a whole multiple of $100,000 in excess thereof. Each Borrowing Notice (whether telephonic or written) shall specify (i) whether the Borrower is requesting a Borrowing, a conversion of Committed Loans from one Type to the other, or a continuation of Loans as the same Type, (ii) the requested date of the Borrowing, conversion or continuation, as the case may be (which shall be a Business Day), (iii) the principal amount of Loans to be borrowed, converted or continued, (iv) the Type of Committed Loans to be borrowed or to which existing Committed Loans are to be converted, and</w:t>
      </w:r>
    </w:p>
    <w:p>
      <w:pPr>
        <w:spacing w:after="0" w:line="3" w:lineRule="exact"/>
        <w:rPr>
          <w:rFonts w:ascii="Arial" w:cs="Arial" w:eastAsia="Arial" w:hAnsi="Arial"/>
          <w:sz w:val="15"/>
          <w:szCs w:val="15"/>
          <w:color w:val="auto"/>
        </w:rPr>
      </w:pPr>
    </w:p>
    <w:p>
      <w:pPr>
        <w:ind w:left="-8" w:right="200" w:firstLine="8"/>
        <w:spacing w:after="0" w:line="292" w:lineRule="auto"/>
        <w:tabs>
          <w:tab w:leader="none" w:pos="2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applicable, the duration of the Interest Period with respect thereto. If the Borrower fails to specify a Type of Committed Loan in a Borrowing Notice or if the Borrower fails to give a timely notice requesting a conversion or continuation, then the applicable Committed Loans shall be made or continued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Borrowing Notice, but fails to specify an Interest Period, it will be deemed to have specified an Interest Period of one month.</w:t>
      </w:r>
    </w:p>
    <w:p>
      <w:pPr>
        <w:spacing w:after="0" w:line="116" w:lineRule="exact"/>
        <w:rPr>
          <w:rFonts w:ascii="Arial" w:cs="Arial" w:eastAsia="Arial" w:hAnsi="Arial"/>
          <w:sz w:val="16"/>
          <w:szCs w:val="16"/>
          <w:color w:val="auto"/>
        </w:rPr>
      </w:pPr>
    </w:p>
    <w:p>
      <w:pPr>
        <w:ind w:left="-8" w:firstLine="464"/>
        <w:spacing w:after="0" w:line="253" w:lineRule="auto"/>
        <w:tabs>
          <w:tab w:leader="none" w:pos="6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Following receipt of a Borrowing Notice with respect to Committed Loans, the Administrative Agent shall promptly notify each Lender of its Pro Rata Share of the applicable Committed Loans, and if no timely notice of a conversion or continuation is provided by the Borrower, the Administrative Agent shall notify each Lender of the details of any automatic conversion to Base Rate Loans described in the preceding subsection. In the case of a Borrowing of Committed Loans, each Lender shall make the amount of its Committed Loan available to the Administrative Agent in immediately available funds at the Administrative Agent’s Office not later than 1:00 p.m., New York time, on the Business Day specified in the applicable Borrowing Notice. Upon satisfaction of the applicable conditions set forth in </w:t>
      </w:r>
      <w:r>
        <w:rPr>
          <w:rFonts w:ascii="Arial" w:cs="Arial" w:eastAsia="Arial" w:hAnsi="Arial"/>
          <w:sz w:val="18"/>
          <w:szCs w:val="18"/>
          <w:b w:val="1"/>
          <w:bCs w:val="1"/>
          <w:i w:val="1"/>
          <w:iCs w:val="1"/>
          <w:color w:val="auto"/>
        </w:rPr>
        <w:t>Section 4.02</w:t>
      </w:r>
      <w:r>
        <w:rPr>
          <w:rFonts w:ascii="Arial" w:cs="Arial" w:eastAsia="Arial" w:hAnsi="Arial"/>
          <w:sz w:val="18"/>
          <w:szCs w:val="18"/>
          <w:color w:val="auto"/>
        </w:rPr>
        <w:t xml:space="preserve"> (and, if such Borrowing is the initial Borrowing, </w:t>
      </w:r>
      <w:r>
        <w:rPr>
          <w:rFonts w:ascii="Arial" w:cs="Arial" w:eastAsia="Arial" w:hAnsi="Arial"/>
          <w:sz w:val="18"/>
          <w:szCs w:val="18"/>
          <w:b w:val="1"/>
          <w:bCs w:val="1"/>
          <w:i w:val="1"/>
          <w:iCs w:val="1"/>
          <w:color w:val="auto"/>
        </w:rPr>
        <w:t>Section 4.01</w:t>
      </w:r>
      <w:r>
        <w:rPr>
          <w:rFonts w:ascii="Arial" w:cs="Arial" w:eastAsia="Arial" w:hAnsi="Arial"/>
          <w:sz w:val="18"/>
          <w:szCs w:val="18"/>
          <w:color w:val="auto"/>
        </w:rPr>
        <w:t>), the Administrative Agent shall make all funds so received available to the Borrower in like</w:t>
      </w:r>
    </w:p>
    <w:p>
      <w:pPr>
        <w:spacing w:after="0" w:line="13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72"/>
          </w:cols>
          <w:pgMar w:left="248" w:top="280" w:right="27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funds as received by the Administrative Agent either by (i) crediting the account of the Borrower on the books of Citibank with the amount of such funds or</w:t>
      </w:r>
    </w:p>
    <w:p>
      <w:pPr>
        <w:spacing w:after="0" w:line="38" w:lineRule="exact"/>
        <w:rPr>
          <w:sz w:val="20"/>
          <w:szCs w:val="20"/>
          <w:color w:val="auto"/>
        </w:rPr>
      </w:pPr>
    </w:p>
    <w:p>
      <w:pPr>
        <w:ind w:right="80" w:firstLine="8"/>
        <w:spacing w:after="0" w:line="255" w:lineRule="auto"/>
        <w:tabs>
          <w:tab w:leader="none" w:pos="2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wire transfer of such funds, in each case in accordance with instructions provided to the Administrative Agent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on the date of the Borrowing there are L/C Borrowings outstanding, then the proceeds of such Borrowing shall be applied,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in full of any such L/C Borrowings, and </w:t>
      </w:r>
      <w:r>
        <w:rPr>
          <w:rFonts w:ascii="Arial" w:cs="Arial" w:eastAsia="Arial" w:hAnsi="Arial"/>
          <w:sz w:val="18"/>
          <w:szCs w:val="18"/>
          <w:i w:val="1"/>
          <w:iCs w:val="1"/>
          <w:color w:val="auto"/>
        </w:rPr>
        <w:t>second</w:t>
      </w:r>
      <w:r>
        <w:rPr>
          <w:rFonts w:ascii="Arial" w:cs="Arial" w:eastAsia="Arial" w:hAnsi="Arial"/>
          <w:sz w:val="18"/>
          <w:szCs w:val="18"/>
          <w:color w:val="auto"/>
        </w:rPr>
        <w:t>, to the Borrower as provided above.</w:t>
      </w:r>
    </w:p>
    <w:p>
      <w:pPr>
        <w:spacing w:after="0" w:line="144" w:lineRule="exact"/>
        <w:rPr>
          <w:rFonts w:ascii="Arial" w:cs="Arial" w:eastAsia="Arial" w:hAnsi="Arial"/>
          <w:sz w:val="18"/>
          <w:szCs w:val="18"/>
          <w:color w:val="auto"/>
        </w:rPr>
      </w:pPr>
    </w:p>
    <w:p>
      <w:pPr>
        <w:ind w:right="100" w:firstLine="464"/>
        <w:spacing w:after="0" w:line="256" w:lineRule="auto"/>
        <w:tabs>
          <w:tab w:leader="none" w:pos="6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the Interest Period for such Eurodollar Rate Loan. During the existence of a Default or Event of Default, no Committed Loans may be requested as, converted to or continued as Eurodollar Rate Loans without the consent of the Required Lenders, and the Required Lenders may demand that any or all of the then outstanding Eurodollar Rate Loans be converted immediately to Base Rate Loans.</w:t>
      </w:r>
    </w:p>
    <w:p>
      <w:pPr>
        <w:spacing w:after="0" w:line="143" w:lineRule="exact"/>
        <w:rPr>
          <w:rFonts w:ascii="Arial" w:cs="Arial" w:eastAsia="Arial" w:hAnsi="Arial"/>
          <w:sz w:val="18"/>
          <w:szCs w:val="18"/>
          <w:color w:val="auto"/>
        </w:rPr>
      </w:pPr>
    </w:p>
    <w:p>
      <w:pPr>
        <w:ind w:right="300" w:firstLine="464"/>
        <w:spacing w:after="0" w:line="332" w:lineRule="auto"/>
        <w:tabs>
          <w:tab w:leader="none" w:pos="705"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Borrower and the Lenders of the interest rate applicable to any Eurodollar Rate Loan upon determination of such interest rate. The determination of the Eurodollar Rate by the Administrative Agent shall be conclusive in the absence of manifest error.</w:t>
      </w:r>
    </w:p>
    <w:p>
      <w:pPr>
        <w:spacing w:after="0" w:line="85" w:lineRule="exact"/>
        <w:rPr>
          <w:rFonts w:ascii="Arial" w:cs="Arial" w:eastAsia="Arial" w:hAnsi="Arial"/>
          <w:sz w:val="16"/>
          <w:szCs w:val="16"/>
          <w:color w:val="auto"/>
        </w:rPr>
      </w:pPr>
    </w:p>
    <w:p>
      <w:pPr>
        <w:ind w:right="80" w:firstLine="464"/>
        <w:spacing w:after="0" w:line="332" w:lineRule="auto"/>
        <w:tabs>
          <w:tab w:leader="none" w:pos="695" w:val="left"/>
        </w:tabs>
        <w:numPr>
          <w:ilvl w:val="1"/>
          <w:numId w:val="39"/>
        </w:numPr>
        <w:rPr>
          <w:rFonts w:ascii="Arial" w:cs="Arial" w:eastAsia="Arial" w:hAnsi="Arial"/>
          <w:sz w:val="16"/>
          <w:szCs w:val="16"/>
          <w:color w:val="auto"/>
        </w:rPr>
      </w:pPr>
      <w:r>
        <w:rPr>
          <w:rFonts w:ascii="Arial" w:cs="Arial" w:eastAsia="Arial" w:hAnsi="Arial"/>
          <w:sz w:val="16"/>
          <w:szCs w:val="16"/>
          <w:color w:val="auto"/>
        </w:rPr>
        <w:t>After giving effect to all Borrowings, all conversions of Committed Loans from one Type to the other, and all continuations of Committed Loans as the same Type, there shall not be more than ten (10) Interest Periods in effect at any given time with respect to Committed Loans.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2.04 Prepayments</w:t>
      </w:r>
      <w:r>
        <w:rPr>
          <w:rFonts w:ascii="Arial" w:cs="Arial" w:eastAsia="Arial" w:hAnsi="Arial"/>
          <w:sz w:val="18"/>
          <w:szCs w:val="18"/>
          <w:color w:val="auto"/>
        </w:rPr>
        <w:t>.</w:t>
      </w:r>
    </w:p>
    <w:p>
      <w:pPr>
        <w:spacing w:after="0" w:line="96" w:lineRule="exact"/>
        <w:rPr>
          <w:sz w:val="20"/>
          <w:szCs w:val="20"/>
          <w:color w:val="auto"/>
        </w:rPr>
      </w:pPr>
    </w:p>
    <w:p>
      <w:pPr>
        <w:ind w:left="700" w:hanging="23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Borrower may, upon notice to the Administrative Agent, at any time or from time to time voluntarily prepay in whole or in part the</w:t>
      </w:r>
    </w:p>
    <w:p>
      <w:pPr>
        <w:spacing w:after="0" w:line="38" w:lineRule="exact"/>
        <w:rPr>
          <w:rFonts w:ascii="Arial" w:cs="Arial" w:eastAsia="Arial" w:hAnsi="Arial"/>
          <w:sz w:val="16"/>
          <w:szCs w:val="16"/>
          <w:color w:val="auto"/>
        </w:rPr>
      </w:pPr>
    </w:p>
    <w:p>
      <w:pPr>
        <w:ind w:left="460" w:right="16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Committed Loans without premium or penalty;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 such notice must be received by the Administrative Agent not later than 11:00 a.m., New York time, (A) three Business Days prior to any date of prepayment of Eurodollar Rate Loans, and (B) on the date of prepayment of Base Rate Loans;</w:t>
      </w:r>
    </w:p>
    <w:p>
      <w:pPr>
        <w:spacing w:after="0" w:line="1" w:lineRule="exact"/>
        <w:rPr>
          <w:rFonts w:ascii="Arial" w:cs="Arial" w:eastAsia="Arial" w:hAnsi="Arial"/>
          <w:sz w:val="16"/>
          <w:szCs w:val="16"/>
          <w:color w:val="auto"/>
        </w:rPr>
      </w:pPr>
    </w:p>
    <w:p>
      <w:pPr>
        <w:ind w:left="460" w:right="120" w:firstLine="4"/>
        <w:spacing w:after="0" w:line="288" w:lineRule="auto"/>
        <w:tabs>
          <w:tab w:leader="none" w:pos="719"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any prepayment of Eurodollar Rate Loans shall be in a principal amount of $500,000 or a whole multiple of $500,000 in excess thereof; and (iii) any prepayment of Base Rate Loans shall be in a principal amount of $500,000 or a whole multiple of $100,000 in excess thereof. Each such notice shall specify the date and amount of such prepayment and the Type(s) of Committed Loans to be prepaid. The Administrative Agent will promptly notify each Lender of its receipt of each such notice, and of such Lender’s Pro Rata Share of such prepayment. If such notice is given by the Borrower, the Borrower shall make such prepayment and the payment amount specified in such notice shall be due and payable on the date specified therein. Any prepayment of a Eurodollar Rate Loan shall be accompanied by all accrued interest thereon, together with any additional amounts required pursuant to </w:t>
      </w:r>
      <w:r>
        <w:rPr>
          <w:rFonts w:ascii="Arial" w:cs="Arial" w:eastAsia="Arial" w:hAnsi="Arial"/>
          <w:sz w:val="16"/>
          <w:szCs w:val="16"/>
          <w:b w:val="1"/>
          <w:bCs w:val="1"/>
          <w:i w:val="1"/>
          <w:iCs w:val="1"/>
          <w:color w:val="auto"/>
        </w:rPr>
        <w:t>Section 3.05</w:t>
      </w:r>
      <w:r>
        <w:rPr>
          <w:rFonts w:ascii="Arial" w:cs="Arial" w:eastAsia="Arial" w:hAnsi="Arial"/>
          <w:sz w:val="16"/>
          <w:szCs w:val="16"/>
          <w:color w:val="auto"/>
        </w:rPr>
        <w:t>. Each such prepayment shall be applied to the Committed Loans of the Lenders in accordance with their respective Pro Rata Shares.</w:t>
      </w:r>
    </w:p>
    <w:p>
      <w:pPr>
        <w:spacing w:after="0" w:line="41" w:lineRule="exact"/>
        <w:rPr>
          <w:rFonts w:ascii="Arial" w:cs="Arial" w:eastAsia="Arial" w:hAnsi="Arial"/>
          <w:sz w:val="16"/>
          <w:szCs w:val="16"/>
          <w:color w:val="auto"/>
        </w:rPr>
      </w:pPr>
    </w:p>
    <w:p>
      <w:pPr>
        <w:ind w:left="460" w:firstLine="443"/>
        <w:spacing w:after="0" w:line="294" w:lineRule="auto"/>
        <w:tabs>
          <w:tab w:leader="none" w:pos="1157"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The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Swing Line Lender and the Administrative Agent not later than 1:00 p.m. on the date of the prepayment, and (ii) any such prepayment shall be in a minimum principal amount of $100,000.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40" w:name="page41"/>
    <w:bookmarkEnd w:id="40"/>
    <w:p>
      <w:pPr>
        <w:ind w:left="460" w:right="120" w:firstLine="443"/>
        <w:spacing w:after="0" w:line="268" w:lineRule="auto"/>
        <w:tabs>
          <w:tab w:leader="none" w:pos="1205" w:val="left"/>
        </w:tabs>
        <w:numPr>
          <w:ilvl w:val="1"/>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a Default or Event of Default has occurred and is continuing or would arise as a result thereof, any payment or prepayment of the Loans may be reborrowed by Borrower, subject to the terms and conditions hereof.</w:t>
      </w:r>
    </w:p>
    <w:p>
      <w:pPr>
        <w:spacing w:after="0" w:line="131" w:lineRule="exact"/>
        <w:rPr>
          <w:rFonts w:ascii="Arial" w:cs="Arial" w:eastAsia="Arial" w:hAnsi="Arial"/>
          <w:sz w:val="18"/>
          <w:szCs w:val="18"/>
          <w:color w:val="auto"/>
        </w:rPr>
      </w:pPr>
    </w:p>
    <w:p>
      <w:pPr>
        <w:ind w:right="260" w:firstLine="464"/>
        <w:spacing w:after="0" w:line="335" w:lineRule="auto"/>
        <w:tabs>
          <w:tab w:leader="none" w:pos="705" w:val="left"/>
        </w:tabs>
        <w:numPr>
          <w:ilvl w:val="0"/>
          <w:numId w:val="43"/>
        </w:numPr>
        <w:rPr>
          <w:rFonts w:ascii="Arial" w:cs="Arial" w:eastAsia="Arial" w:hAnsi="Arial"/>
          <w:sz w:val="15"/>
          <w:szCs w:val="15"/>
          <w:color w:val="auto"/>
        </w:rPr>
      </w:pPr>
      <w:r>
        <w:rPr>
          <w:rFonts w:ascii="Arial" w:cs="Arial" w:eastAsia="Arial" w:hAnsi="Arial"/>
          <w:sz w:val="15"/>
          <w:szCs w:val="15"/>
          <w:u w:val="single" w:color="auto"/>
          <w:color w:val="auto"/>
        </w:rPr>
        <w:t>Mandatory Payments/Reductions</w:t>
      </w:r>
      <w:r>
        <w:rPr>
          <w:rFonts w:ascii="Arial" w:cs="Arial" w:eastAsia="Arial" w:hAnsi="Arial"/>
          <w:sz w:val="15"/>
          <w:szCs w:val="15"/>
          <w:color w:val="auto"/>
        </w:rPr>
        <w:t>. If for any reason the Outstanding Amount of all Loans and L/C Obligations at any time exceeds the Aggregate Commitments then in effect, the Borrower shall immediately prepay Loans in an aggregate amount equal to such excess, and if, after prepayment of all Loans, any such excess remains, the Borrower shall immediately Cash Collateralize the L/C Obligations in an aggregate amount equal to such remaining excess.</w:t>
      </w:r>
    </w:p>
    <w:p>
      <w:pPr>
        <w:spacing w:after="0" w:line="88" w:lineRule="exact"/>
        <w:rPr>
          <w:rFonts w:ascii="Arial" w:cs="Arial" w:eastAsia="Arial" w:hAnsi="Arial"/>
          <w:sz w:val="15"/>
          <w:szCs w:val="15"/>
          <w:color w:val="auto"/>
        </w:rPr>
      </w:pPr>
    </w:p>
    <w:p>
      <w:pPr>
        <w:ind w:right="100" w:firstLine="464"/>
        <w:spacing w:after="0" w:line="268"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Mandatory Prepayments: Interest/Consequential Loss</w:t>
      </w:r>
      <w:r>
        <w:rPr>
          <w:rFonts w:ascii="Arial" w:cs="Arial" w:eastAsia="Arial" w:hAnsi="Arial"/>
          <w:sz w:val="18"/>
          <w:szCs w:val="18"/>
          <w:color w:val="auto"/>
        </w:rPr>
        <w:t xml:space="preserve">. All prepayments under this </w:t>
      </w:r>
      <w:r>
        <w:rPr>
          <w:rFonts w:ascii="Arial" w:cs="Arial" w:eastAsia="Arial" w:hAnsi="Arial"/>
          <w:sz w:val="18"/>
          <w:szCs w:val="18"/>
          <w:b w:val="1"/>
          <w:bCs w:val="1"/>
          <w:i w:val="1"/>
          <w:iCs w:val="1"/>
          <w:color w:val="auto"/>
        </w:rPr>
        <w:t>Section 2.04</w:t>
      </w:r>
      <w:r>
        <w:rPr>
          <w:rFonts w:ascii="Arial" w:cs="Arial" w:eastAsia="Arial" w:hAnsi="Arial"/>
          <w:sz w:val="18"/>
          <w:szCs w:val="18"/>
          <w:color w:val="auto"/>
        </w:rPr>
        <w:t xml:space="preserve"> shall be made </w:t>
      </w:r>
      <w:r>
        <w:rPr>
          <w:rFonts w:ascii="Arial" w:cs="Arial" w:eastAsia="Arial" w:hAnsi="Arial"/>
          <w:sz w:val="18"/>
          <w:szCs w:val="18"/>
          <w:i w:val="1"/>
          <w:iCs w:val="1"/>
          <w:color w:val="auto"/>
        </w:rPr>
        <w:t>together with</w:t>
      </w:r>
      <w:r>
        <w:rPr>
          <w:rFonts w:ascii="Arial" w:cs="Arial" w:eastAsia="Arial" w:hAnsi="Arial"/>
          <w:sz w:val="18"/>
          <w:szCs w:val="18"/>
          <w:color w:val="auto"/>
        </w:rPr>
        <w:t xml:space="preserve"> accrued interest to the date of such prepayment on the principal amount prepaid and any amounts due under </w:t>
      </w:r>
      <w:r>
        <w:rPr>
          <w:rFonts w:ascii="Arial" w:cs="Arial" w:eastAsia="Arial" w:hAnsi="Arial"/>
          <w:sz w:val="18"/>
          <w:szCs w:val="18"/>
          <w:b w:val="1"/>
          <w:bCs w:val="1"/>
          <w:i w:val="1"/>
          <w:iCs w:val="1"/>
          <w:color w:val="auto"/>
        </w:rPr>
        <w:t>Section 3.05</w:t>
      </w:r>
      <w:r>
        <w:rPr>
          <w:rFonts w:ascii="Arial" w:cs="Arial" w:eastAsia="Arial" w:hAnsi="Arial"/>
          <w:sz w:val="18"/>
          <w:szCs w:val="18"/>
          <w:color w:val="auto"/>
        </w:rPr>
        <w:t>.</w:t>
      </w:r>
    </w:p>
    <w:p>
      <w:pPr>
        <w:spacing w:after="0" w:line="12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b w:val="1"/>
          <w:bCs w:val="1"/>
          <w:color w:val="auto"/>
        </w:rPr>
        <w:t>2.05 Reduction or Termination of Commitments</w:t>
      </w:r>
      <w:r>
        <w:rPr>
          <w:rFonts w:ascii="Arial" w:cs="Arial" w:eastAsia="Arial" w:hAnsi="Arial"/>
          <w:sz w:val="16"/>
          <w:szCs w:val="16"/>
          <w:color w:val="auto"/>
        </w:rPr>
        <w:t>. The Borrower may, upon notice to the Administrative Agent, terminate the Aggregate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permanently reduce the Aggregate Commitments to an amount not less than the then Outstanding Amount of all Loans and L/C Obligations; </w:t>
      </w:r>
      <w:r>
        <w:rPr>
          <w:rFonts w:ascii="Arial" w:cs="Arial" w:eastAsia="Arial" w:hAnsi="Arial"/>
          <w:sz w:val="16"/>
          <w:szCs w:val="16"/>
          <w:i w:val="1"/>
          <w:iCs w:val="1"/>
          <w:color w:val="auto"/>
        </w:rPr>
        <w:t>provided that</w:t>
      </w:r>
    </w:p>
    <w:p>
      <w:pPr>
        <w:spacing w:after="0" w:line="1"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such notice shall be received by the Administrative Agent not later than 11:00 a.m., five Business Days prior to the date of termination or reduction, and</w:t>
      </w:r>
    </w:p>
    <w:p>
      <w:pPr>
        <w:spacing w:after="0" w:line="32" w:lineRule="exact"/>
        <w:rPr>
          <w:rFonts w:ascii="Arial" w:cs="Arial" w:eastAsia="Arial" w:hAnsi="Arial"/>
          <w:sz w:val="16"/>
          <w:szCs w:val="16"/>
          <w:color w:val="auto"/>
        </w:rPr>
      </w:pPr>
    </w:p>
    <w:p>
      <w:pPr>
        <w:ind w:right="240" w:firstLine="8"/>
        <w:spacing w:after="0" w:line="253" w:lineRule="auto"/>
        <w:tabs>
          <w:tab w:leader="none" w:pos="2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such partial reduction shall be in an aggregate amount of $5,000,000 or any whole multiple of $1,000,000 in excess thereof. The Administrative Agent shall promptly notify the Lenders of any such notice of reduction or termination. Once reduced in accordance with this Section, the Commitments may not be increased. Any reduction of the Aggregate Commitments shall be applied to the Aggregate Commitments of each Lender according to its Pro Rata Share. All facility fees on the portion of the Commitment so terminated which have accrued to the effective date of any termination of Commitments shall be paid on the effective date of such termination.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2.06 Repayment of Loans</w:t>
      </w:r>
      <w:r>
        <w:rPr>
          <w:rFonts w:ascii="Arial" w:cs="Arial" w:eastAsia="Arial" w:hAnsi="Arial"/>
          <w:sz w:val="18"/>
          <w:szCs w:val="18"/>
          <w:color w:val="auto"/>
        </w:rPr>
        <w:t>.</w:t>
      </w:r>
    </w:p>
    <w:p>
      <w:pPr>
        <w:spacing w:after="0" w:line="96" w:lineRule="exact"/>
        <w:rPr>
          <w:sz w:val="20"/>
          <w:szCs w:val="20"/>
          <w:color w:val="auto"/>
        </w:rPr>
      </w:pPr>
    </w:p>
    <w:p>
      <w:pPr>
        <w:ind w:right="780" w:firstLine="464"/>
        <w:spacing w:after="0" w:line="268"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Borrower shall repay to each Lender on such Lender’s Maturity Date the aggregate principal amount of such Lender’s Committed Loans outstanding on such date.</w:t>
      </w:r>
    </w:p>
    <w:p>
      <w:pPr>
        <w:spacing w:after="0" w:line="131"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Borrower shall repay to the Swing Line Lender on such Lender’s Maturity Date the aggregate principal amount of Swing Line Loans outstanding on such date.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2.07 Interest.</w:t>
      </w:r>
    </w:p>
    <w:p>
      <w:pPr>
        <w:spacing w:after="0" w:line="96" w:lineRule="exact"/>
        <w:rPr>
          <w:sz w:val="20"/>
          <w:szCs w:val="20"/>
          <w:color w:val="auto"/>
        </w:rPr>
      </w:pPr>
    </w:p>
    <w:p>
      <w:pPr>
        <w:ind w:firstLine="464"/>
        <w:spacing w:after="0" w:line="255"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b w:val="1"/>
          <w:bCs w:val="1"/>
          <w:i w:val="1"/>
          <w:iCs w:val="1"/>
          <w:color w:val="auto"/>
        </w:rPr>
        <w:t>subsection (b)</w:t>
      </w:r>
      <w:r>
        <w:rPr>
          <w:rFonts w:ascii="Arial" w:cs="Arial" w:eastAsia="Arial" w:hAnsi="Arial"/>
          <w:sz w:val="18"/>
          <w:szCs w:val="18"/>
          <w:color w:val="auto"/>
        </w:rPr>
        <w:t xml:space="preserve"> below, (i) each Eurodollar Rate Loan shall bear interest on the outstanding principal amount thereof for each Interest Period at a rate per annum equal to the Eurodollar Rate for such Interest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 and (ii) each Base Rate Loan shall bear interest on the outstanding principal amount thereof from the applicable borrowing date at a rate per annum equal to the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 and (iii) each Swing Line Loan shall bear interest on the outstanding principal amount thereof from the applicable borrowing date at a rate per annum equal to the Federal Funds Rate plus the Applicable Rate.</w:t>
      </w:r>
    </w:p>
    <w:p>
      <w:pPr>
        <w:spacing w:after="0" w:line="142" w:lineRule="exact"/>
        <w:rPr>
          <w:rFonts w:ascii="Arial" w:cs="Arial" w:eastAsia="Arial" w:hAnsi="Arial"/>
          <w:sz w:val="18"/>
          <w:szCs w:val="18"/>
          <w:color w:val="auto"/>
        </w:rPr>
      </w:pPr>
    </w:p>
    <w:p>
      <w:pPr>
        <w:ind w:right="140" w:firstLine="464"/>
        <w:spacing w:after="0" w:line="259"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While any Event of Default exists or after acceleration, (i) the Borrower shall pay interest on the principal amount of all outstanding Obligations at a fluctuating interest rate per annum at all times equal to the Default Rate to the fullest extent permitted by applicable Law, and (ii) accrued and unpaid interest on past due amounts (including interest on past due interest) shall be due and payable upon demand.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41" w:name="page42"/>
    <w:bookmarkEnd w:id="41"/>
    <w:p>
      <w:pPr>
        <w:ind w:left="-20" w:firstLine="464"/>
        <w:spacing w:after="0" w:line="259" w:lineRule="auto"/>
        <w:tabs>
          <w:tab w:leader="none" w:pos="675"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40" w:lineRule="exact"/>
        <w:rPr>
          <w:rFonts w:ascii="Arial" w:cs="Arial" w:eastAsia="Arial" w:hAnsi="Arial"/>
          <w:sz w:val="18"/>
          <w:szCs w:val="18"/>
          <w:color w:val="auto"/>
        </w:rPr>
      </w:pPr>
    </w:p>
    <w:p>
      <w:pPr>
        <w:ind w:left="-20" w:firstLine="464"/>
        <w:spacing w:after="0" w:line="289" w:lineRule="auto"/>
        <w:tabs>
          <w:tab w:leader="none" w:pos="685"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designated rate applicable to any Borrowing exceeds the Maximum Rate, the rate of interest on such Borrowing shall be limited to the Maximum Rate, but any subsequent reductions in such designated rate shall not reduce the rate of interest thereon below the Maximum Rate until the total amount of interest accrued thereon equals the amount of interest which would have accrued thereon if such designated rate had at all times been in effect. In the event that at maturity (stated or by acceleration), or at final payment of the Outstanding Amount of any Loans or L/C Obligations, the total amount of interest paid or accrued is less than the amount of interest which would have accrued if such designated rates had at all times been in effect, then, at such time and to the extent permitted by Law, the Borrower shall pay an amount equal to the difference between (a) the lesser of the amount of interest which would have accrued if such designated rates had at all times been in effect and the amount of interest which would have accrued if the Maximum Rate had at all times been in effect, and (b) the amount of interest actually paid or accrued on such Outstanding Amount.</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2.08 Fees</w:t>
      </w:r>
      <w:r>
        <w:rPr>
          <w:rFonts w:ascii="Arial" w:cs="Arial" w:eastAsia="Arial" w:hAnsi="Arial"/>
          <w:sz w:val="18"/>
          <w:szCs w:val="18"/>
          <w:color w:val="auto"/>
        </w:rPr>
        <w:t>.</w:t>
      </w:r>
    </w:p>
    <w:p>
      <w:pPr>
        <w:spacing w:after="0" w:line="96" w:lineRule="exact"/>
        <w:rPr>
          <w:sz w:val="20"/>
          <w:szCs w:val="20"/>
          <w:color w:val="auto"/>
        </w:rPr>
      </w:pPr>
    </w:p>
    <w:p>
      <w:pPr>
        <w:ind w:left="-20" w:right="20" w:firstLine="464"/>
        <w:spacing w:after="0" w:line="290" w:lineRule="auto"/>
        <w:tabs>
          <w:tab w:leader="none" w:pos="67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Facility Fee</w:t>
      </w:r>
      <w:r>
        <w:rPr>
          <w:rFonts w:ascii="Arial" w:cs="Arial" w:eastAsia="Arial" w:hAnsi="Arial"/>
          <w:sz w:val="16"/>
          <w:szCs w:val="16"/>
          <w:color w:val="auto"/>
        </w:rPr>
        <w:t xml:space="preserve">. The Borrower shall pay to the Administrative Agent for the account of each Lender in accordance with its Pro Rata Share, a facility fee equal to the Applicable Rate </w:t>
      </w:r>
      <w:r>
        <w:rPr>
          <w:rFonts w:ascii="Arial" w:cs="Arial" w:eastAsia="Arial" w:hAnsi="Arial"/>
          <w:sz w:val="16"/>
          <w:szCs w:val="16"/>
          <w:i w:val="1"/>
          <w:iCs w:val="1"/>
          <w:color w:val="auto"/>
        </w:rPr>
        <w:t>times</w:t>
      </w:r>
      <w:r>
        <w:rPr>
          <w:rFonts w:ascii="Arial" w:cs="Arial" w:eastAsia="Arial" w:hAnsi="Arial"/>
          <w:sz w:val="16"/>
          <w:szCs w:val="16"/>
          <w:color w:val="auto"/>
        </w:rPr>
        <w:t xml:space="preserve"> the actual daily amount of the Aggregate Commitments, regardless of usage. The facility fee payable to each Lender shall accrue at all times from the Closing Date until the Maturity Date for such Lender and shall be due and payable quarterly in arrears on the last Business Day of each March, June, September and December, commencing with the first such date to occur after the Closing Date, and on the Maturity Date for such Lender.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The facility fee shall accrue at all times from and after the Closing Date, including at any time during which one or more of the conditions in </w:t>
      </w:r>
      <w:r>
        <w:rPr>
          <w:rFonts w:ascii="Arial" w:cs="Arial" w:eastAsia="Arial" w:hAnsi="Arial"/>
          <w:sz w:val="16"/>
          <w:szCs w:val="16"/>
          <w:b w:val="1"/>
          <w:bCs w:val="1"/>
          <w:i w:val="1"/>
          <w:iCs w:val="1"/>
          <w:color w:val="auto"/>
        </w:rPr>
        <w:t>Article IV</w:t>
      </w:r>
      <w:r>
        <w:rPr>
          <w:rFonts w:ascii="Arial" w:cs="Arial" w:eastAsia="Arial" w:hAnsi="Arial"/>
          <w:sz w:val="16"/>
          <w:szCs w:val="16"/>
          <w:color w:val="auto"/>
        </w:rPr>
        <w:t xml:space="preserve"> is not met.</w:t>
      </w:r>
    </w:p>
    <w:p>
      <w:pPr>
        <w:spacing w:after="0" w:line="118" w:lineRule="exact"/>
        <w:rPr>
          <w:rFonts w:ascii="Arial" w:cs="Arial" w:eastAsia="Arial" w:hAnsi="Arial"/>
          <w:sz w:val="16"/>
          <w:szCs w:val="16"/>
          <w:color w:val="auto"/>
        </w:rPr>
      </w:pPr>
    </w:p>
    <w:p>
      <w:pPr>
        <w:ind w:left="-20" w:right="40" w:firstLine="464"/>
        <w:spacing w:after="0" w:line="254" w:lineRule="auto"/>
        <w:tabs>
          <w:tab w:leader="none" w:pos="68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Utilization Fee</w:t>
      </w:r>
      <w:r>
        <w:rPr>
          <w:rFonts w:ascii="Arial" w:cs="Arial" w:eastAsia="Arial" w:hAnsi="Arial"/>
          <w:sz w:val="18"/>
          <w:szCs w:val="18"/>
          <w:color w:val="auto"/>
        </w:rPr>
        <w:t xml:space="preserve">. The Borrower shall pay to the Administrative Agent for the account of each Lender in accordance with its Pro Rata Share, a utilization fee equal to the Applicable Rate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actual daily aggregate Outstanding Amount of Loans and L/C Obligations on each day that such aggregate Outstanding Amount exceeds 50% of the Aggregate Commitments. The utilization fee payable to each Lender shall be due and payable quarterly in arrears on the last Business Day of each March, June, September and December, commencing with the first such date to occur after the Closing Date, and on the Maturity Date for such Lender. The utilization fee shall be calculated quarterly in arrears. The utilization fee shall accrue at all times, including at any time during which one or more of the conditions in </w:t>
      </w:r>
      <w:r>
        <w:rPr>
          <w:rFonts w:ascii="Arial" w:cs="Arial" w:eastAsia="Arial" w:hAnsi="Arial"/>
          <w:sz w:val="18"/>
          <w:szCs w:val="18"/>
          <w:b w:val="1"/>
          <w:bCs w:val="1"/>
          <w:i w:val="1"/>
          <w:iCs w:val="1"/>
          <w:color w:val="auto"/>
        </w:rPr>
        <w:t>Article IV</w:t>
      </w:r>
      <w:r>
        <w:rPr>
          <w:rFonts w:ascii="Arial" w:cs="Arial" w:eastAsia="Arial" w:hAnsi="Arial"/>
          <w:sz w:val="18"/>
          <w:szCs w:val="18"/>
          <w:color w:val="auto"/>
        </w:rPr>
        <w:t xml:space="preserve"> is not met.</w:t>
      </w:r>
    </w:p>
    <w:p>
      <w:pPr>
        <w:spacing w:after="0" w:line="144" w:lineRule="exact"/>
        <w:rPr>
          <w:rFonts w:ascii="Arial" w:cs="Arial" w:eastAsia="Arial" w:hAnsi="Arial"/>
          <w:sz w:val="18"/>
          <w:szCs w:val="18"/>
          <w:color w:val="auto"/>
        </w:rPr>
      </w:pPr>
    </w:p>
    <w:p>
      <w:pPr>
        <w:ind w:left="-20" w:right="60" w:firstLine="464"/>
        <w:spacing w:after="0" w:line="256" w:lineRule="auto"/>
        <w:tabs>
          <w:tab w:leader="none" w:pos="67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Arranger’s and Agency Fees</w:t>
      </w:r>
      <w:r>
        <w:rPr>
          <w:rFonts w:ascii="Arial" w:cs="Arial" w:eastAsia="Arial" w:hAnsi="Arial"/>
          <w:sz w:val="18"/>
          <w:szCs w:val="18"/>
          <w:color w:val="auto"/>
        </w:rPr>
        <w:t>. The Borrower shall pay certain fees to each Arranger for such Arranger’s own account, and shall pay an agency fee to the Administrative Agent for the Administrative Agent’s own account, in the amounts and at the times specified in the letter agreement, dated July 16, 2007 (the “</w:t>
      </w:r>
      <w:r>
        <w:rPr>
          <w:rFonts w:ascii="Arial" w:cs="Arial" w:eastAsia="Arial" w:hAnsi="Arial"/>
          <w:sz w:val="18"/>
          <w:szCs w:val="18"/>
          <w:b w:val="1"/>
          <w:bCs w:val="1"/>
          <w:i w:val="1"/>
          <w:iCs w:val="1"/>
          <w:color w:val="auto"/>
        </w:rPr>
        <w:t>Agent/Arranger Fee Letter</w:t>
      </w:r>
      <w:r>
        <w:rPr>
          <w:rFonts w:ascii="Arial" w:cs="Arial" w:eastAsia="Arial" w:hAnsi="Arial"/>
          <w:sz w:val="18"/>
          <w:szCs w:val="18"/>
          <w:color w:val="auto"/>
        </w:rPr>
        <w:t>”), between the Borrower, the Arrangers and the Administrative Agent. Such fees shall be fully earned when paid and shall be nonrefundable for any reason whatsoever.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60" w:top="280" w:right="259" w:bottom="1440" w:gutter="0" w:footer="0" w:header="0"/>
        </w:sectPr>
      </w:pPr>
    </w:p>
    <w:bookmarkStart w:id="42" w:name="page43"/>
    <w:bookmarkEnd w:id="42"/>
    <w:p>
      <w:pPr>
        <w:jc w:val="both"/>
        <w:ind w:firstLine="464"/>
        <w:spacing w:after="0" w:line="256" w:lineRule="auto"/>
        <w:tabs>
          <w:tab w:leader="none" w:pos="70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Lenders’ Upfront Fee</w:t>
      </w:r>
      <w:r>
        <w:rPr>
          <w:rFonts w:ascii="Arial" w:cs="Arial" w:eastAsia="Arial" w:hAnsi="Arial"/>
          <w:sz w:val="18"/>
          <w:szCs w:val="18"/>
          <w:color w:val="auto"/>
        </w:rPr>
        <w:t>. On the Closing Date, the Borrower shall pay to the Administrative Agent, for the account of the Lenders in accordance with their respective Pro Rata Shares, an upfront fee in the agreed amount in accordance with the Agent/Arranger Fee Letter. Such upfront fees are for the credit facilities by the Lenders under this Agreement and are fully earned on the date paid. The upfront fee paid to each Lender is solely for its own account and is nonrefundable for any reason whatsoever.</w:t>
      </w:r>
    </w:p>
    <w:p>
      <w:pPr>
        <w:spacing w:after="0" w:line="137"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2.09 Computation of Interest and Fees</w:t>
      </w:r>
      <w:r>
        <w:rPr>
          <w:rFonts w:ascii="Arial" w:cs="Arial" w:eastAsia="Arial" w:hAnsi="Arial"/>
          <w:sz w:val="16"/>
          <w:szCs w:val="16"/>
          <w:color w:val="auto"/>
        </w:rPr>
        <w:t>. Computation of interest on Base Rate Loans shall be calculated on the basis of a year of 365 or 366 days,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case may be, and the actual number of days elapsed. Computation of all other types of interest and all fees shall be calculated on the basis of a year of 360 days and the actual number of days elapsed, which results in a higher yield to the payee thereof than a method based on a year of 365 or 366 days. Interest shall accrue on each Loan for the day on which the Loan is made, and shall not accrue on a Loan, or any portion thereof, for the day on which the Loan or such portion is paid,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any Loan that is repaid on the same day on which it is made shall bear interest for one day.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2.10 Evidence of Debt</w:t>
      </w:r>
      <w:r>
        <w:rPr>
          <w:rFonts w:ascii="Arial" w:cs="Arial" w:eastAsia="Arial" w:hAnsi="Arial"/>
          <w:sz w:val="18"/>
          <w:szCs w:val="18"/>
          <w:color w:val="auto"/>
        </w:rPr>
        <w:t>.</w:t>
      </w:r>
    </w:p>
    <w:p>
      <w:pPr>
        <w:spacing w:after="0" w:line="96" w:lineRule="exact"/>
        <w:rPr>
          <w:sz w:val="20"/>
          <w:szCs w:val="20"/>
          <w:color w:val="auto"/>
        </w:rPr>
      </w:pPr>
    </w:p>
    <w:p>
      <w:pPr>
        <w:ind w:right="20" w:firstLine="464"/>
        <w:spacing w:after="0" w:line="289" w:lineRule="auto"/>
        <w:tabs>
          <w:tab w:leader="none" w:pos="69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Loans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Loans made by the Lenders to the Borrower and the interest and payments thereon. Any failure so to record or any error in doing so shall not, however, limit or otherwise affect the obligation of the Borrower hereunder to pay any amount owing with respect to the Loans or the L/C Obligations. In the event of any conflict between the accounts and records maintained by any Lender and the accounts and records of the Administrative Agent in respect of such matters, the accounts and records of such Lender shall control. Upon the request of any Lender made through the Administrative Agent, such Lender’s Loans may be evidenced by one or more Notes. Each Lender may attach schedules to its Note(s) and endorse thereon the date, Type (if applicable), amount and maturity of the applicable Loans and payments with respect thereto.</w:t>
      </w:r>
    </w:p>
    <w:p>
      <w:pPr>
        <w:spacing w:after="0" w:line="118" w:lineRule="exact"/>
        <w:rPr>
          <w:rFonts w:ascii="Arial" w:cs="Arial" w:eastAsia="Arial" w:hAnsi="Arial"/>
          <w:sz w:val="16"/>
          <w:szCs w:val="16"/>
          <w:color w:val="auto"/>
        </w:rPr>
      </w:pPr>
    </w:p>
    <w:p>
      <w:pPr>
        <w:ind w:right="60" w:firstLine="464"/>
        <w:spacing w:after="0" w:line="256"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In addition to the accounts and records referred to in </w:t>
      </w:r>
      <w:r>
        <w:rPr>
          <w:rFonts w:ascii="Arial" w:cs="Arial" w:eastAsia="Arial" w:hAnsi="Arial"/>
          <w:sz w:val="18"/>
          <w:szCs w:val="18"/>
          <w:b w:val="1"/>
          <w:bCs w:val="1"/>
          <w:i w:val="1"/>
          <w:iCs w:val="1"/>
          <w:color w:val="auto"/>
        </w:rPr>
        <w:t>subsection (a)</w:t>
      </w:r>
      <w:r>
        <w:rPr>
          <w:rFonts w:ascii="Arial" w:cs="Arial" w:eastAsia="Arial" w:hAnsi="Arial"/>
          <w:sz w:val="18"/>
          <w:szCs w:val="18"/>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Payments Generally</w:t>
      </w:r>
      <w:r>
        <w:rPr>
          <w:rFonts w:ascii="Arial" w:cs="Arial" w:eastAsia="Arial" w:hAnsi="Arial"/>
          <w:sz w:val="18"/>
          <w:szCs w:val="18"/>
          <w:color w:val="auto"/>
        </w:rPr>
        <w:t>.</w:t>
      </w:r>
    </w:p>
    <w:p>
      <w:pPr>
        <w:spacing w:after="0" w:line="96" w:lineRule="exact"/>
        <w:rPr>
          <w:sz w:val="20"/>
          <w:szCs w:val="20"/>
          <w:color w:val="auto"/>
        </w:rPr>
      </w:pPr>
    </w:p>
    <w:p>
      <w:pPr>
        <w:ind w:right="80" w:firstLine="464"/>
        <w:spacing w:after="0" w:line="291" w:lineRule="auto"/>
        <w:tabs>
          <w:tab w:leader="none" w:pos="69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12:00 noon, New York time, on the date specified herein. The Administrative Agent will promptly distribute to each Lender its Pro Rata Share (or other applicable share as provided herein) of such payment in like funds as received by wire transfer to such Lender’s Lending Office. All payments received by the Administrative Agent after 12:00 noon, New York time, shall be deemed received on the next succeeding Business Day and any applicable interest or fee shall continue to accrue.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43" w:name="page44"/>
    <w:bookmarkEnd w:id="43"/>
    <w:p>
      <w:pPr>
        <w:ind w:left="-120" w:firstLine="464"/>
        <w:spacing w:after="0" w:line="332" w:lineRule="auto"/>
        <w:tabs>
          <w:tab w:leader="none" w:pos="585"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definition of “</w:t>
      </w:r>
      <w:r>
        <w:rPr>
          <w:rFonts w:ascii="Arial" w:cs="Arial" w:eastAsia="Arial" w:hAnsi="Arial"/>
          <w:sz w:val="16"/>
          <w:szCs w:val="16"/>
          <w:b w:val="1"/>
          <w:bCs w:val="1"/>
          <w:i w:val="1"/>
          <w:iCs w:val="1"/>
          <w:color w:val="auto"/>
        </w:rPr>
        <w:t>Interest Period</w:t>
      </w:r>
      <w:r>
        <w:rPr>
          <w:rFonts w:ascii="Arial" w:cs="Arial" w:eastAsia="Arial" w:hAnsi="Arial"/>
          <w:sz w:val="16"/>
          <w:szCs w:val="16"/>
          <w:color w:val="auto"/>
        </w:rPr>
        <w: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85" w:lineRule="exact"/>
        <w:rPr>
          <w:rFonts w:ascii="Arial" w:cs="Arial" w:eastAsia="Arial" w:hAnsi="Arial"/>
          <w:sz w:val="16"/>
          <w:szCs w:val="16"/>
          <w:color w:val="auto"/>
        </w:rPr>
      </w:pPr>
    </w:p>
    <w:p>
      <w:pPr>
        <w:jc w:val="both"/>
        <w:ind w:left="-120" w:right="60" w:firstLine="464"/>
        <w:spacing w:after="0" w:line="259" w:lineRule="auto"/>
        <w:tabs>
          <w:tab w:leader="none" w:pos="5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no Default or Event of Default exists and if no order of application is otherwise specified in the Loan Documents, payments and prepayments of the Obligations shall be applied first to fees, second to accrued interest then due and payable on the Outstanding Amount of Loans and L/C Obligations, and then to the remaining Obligations in the order and manner as Borrower may direct.</w:t>
      </w:r>
    </w:p>
    <w:p>
      <w:pPr>
        <w:spacing w:after="0" w:line="140" w:lineRule="exact"/>
        <w:rPr>
          <w:rFonts w:ascii="Arial" w:cs="Arial" w:eastAsia="Arial" w:hAnsi="Arial"/>
          <w:sz w:val="18"/>
          <w:szCs w:val="18"/>
          <w:color w:val="auto"/>
        </w:rPr>
      </w:pPr>
    </w:p>
    <w:p>
      <w:pPr>
        <w:ind w:left="-120" w:right="20" w:firstLine="464"/>
        <w:spacing w:after="0" w:line="286" w:lineRule="auto"/>
        <w:tabs>
          <w:tab w:leader="none" w:pos="585"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If at any time insufficient funds are received by and available to the Administrative Agent to pay fully the Obligations, or if a Default or Event of Default exists, any payment or prepayment shall be applied in the following order: (i) to the payment of enforcement expenses incurred by the Administrative Agent, including Attorney Costs; (ii) to the ratable payment of all other fees, expenses, and indemnities for which the Administrative Agent or Lenders have not been paid or reimbursed in accordance with the Loan Documents (as used in this </w:t>
      </w:r>
      <w:r>
        <w:rPr>
          <w:rFonts w:ascii="Arial" w:cs="Arial" w:eastAsia="Arial" w:hAnsi="Arial"/>
          <w:sz w:val="16"/>
          <w:szCs w:val="16"/>
          <w:b w:val="1"/>
          <w:bCs w:val="1"/>
          <w:i w:val="1"/>
          <w:iCs w:val="1"/>
          <w:color w:val="auto"/>
        </w:rPr>
        <w:t>Section 2.11(d))(ii)</w:t>
      </w:r>
      <w:r>
        <w:rPr>
          <w:rFonts w:ascii="Arial" w:cs="Arial" w:eastAsia="Arial" w:hAnsi="Arial"/>
          <w:sz w:val="16"/>
          <w:szCs w:val="16"/>
          <w:color w:val="auto"/>
        </w:rPr>
        <w:t>, a “</w:t>
      </w:r>
      <w:r>
        <w:rPr>
          <w:rFonts w:ascii="Arial" w:cs="Arial" w:eastAsia="Arial" w:hAnsi="Arial"/>
          <w:sz w:val="16"/>
          <w:szCs w:val="16"/>
          <w:i w:val="1"/>
          <w:iCs w:val="1"/>
          <w:color w:val="auto"/>
        </w:rPr>
        <w:t>ratable payment</w:t>
      </w:r>
      <w:r>
        <w:rPr>
          <w:rFonts w:ascii="Arial" w:cs="Arial" w:eastAsia="Arial" w:hAnsi="Arial"/>
          <w:sz w:val="16"/>
          <w:szCs w:val="16"/>
          <w:color w:val="auto"/>
        </w:rPr>
        <w:t xml:space="preserve">” for any Lender or the Administrative Agent shall be, on any date of determination, that proportion which the portion of the total fees, expenses, and indemnities owed to such Lender or the Administrative Agent bears to the total aggregate fees and indemnities owed to all Lenders and the Administrative Agent on such date of determination); (iii) to the ratable payment of accrued and unpaid interest on the Outstanding Amount of Loans and L/C Borrowings (as used in this </w:t>
      </w:r>
      <w:r>
        <w:rPr>
          <w:rFonts w:ascii="Arial" w:cs="Arial" w:eastAsia="Arial" w:hAnsi="Arial"/>
          <w:sz w:val="16"/>
          <w:szCs w:val="16"/>
          <w:b w:val="1"/>
          <w:bCs w:val="1"/>
          <w:i w:val="1"/>
          <w:iCs w:val="1"/>
          <w:color w:val="auto"/>
        </w:rPr>
        <w:t>Section 2.11(d)(iii)</w:t>
      </w:r>
      <w:r>
        <w:rPr>
          <w:rFonts w:ascii="Arial" w:cs="Arial" w:eastAsia="Arial" w:hAnsi="Arial"/>
          <w:sz w:val="16"/>
          <w:szCs w:val="16"/>
          <w:color w:val="auto"/>
        </w:rPr>
        <w:t>, “</w:t>
      </w:r>
      <w:r>
        <w:rPr>
          <w:rFonts w:ascii="Arial" w:cs="Arial" w:eastAsia="Arial" w:hAnsi="Arial"/>
          <w:sz w:val="16"/>
          <w:szCs w:val="16"/>
          <w:i w:val="1"/>
          <w:iCs w:val="1"/>
          <w:color w:val="auto"/>
        </w:rPr>
        <w:t>ratable</w:t>
      </w:r>
      <w:r>
        <w:rPr>
          <w:rFonts w:ascii="Arial" w:cs="Arial" w:eastAsia="Arial" w:hAnsi="Arial"/>
          <w:sz w:val="16"/>
          <w:szCs w:val="16"/>
          <w:color w:val="auto"/>
        </w:rPr>
        <w:t xml:space="preserve"> </w:t>
      </w:r>
      <w:r>
        <w:rPr>
          <w:rFonts w:ascii="Arial" w:cs="Arial" w:eastAsia="Arial" w:hAnsi="Arial"/>
          <w:sz w:val="16"/>
          <w:szCs w:val="16"/>
          <w:i w:val="1"/>
          <w:iCs w:val="1"/>
          <w:color w:val="auto"/>
        </w:rPr>
        <w:t>payment</w:t>
      </w:r>
      <w:r>
        <w:rPr>
          <w:rFonts w:ascii="Arial" w:cs="Arial" w:eastAsia="Arial" w:hAnsi="Arial"/>
          <w:sz w:val="16"/>
          <w:szCs w:val="16"/>
          <w:color w:val="auto"/>
        </w:rPr>
        <w:t>” means, for any Lender, on any date of determination, that proportion which the accrued and unpaid interest on the Outstanding Amount of Loans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L/C Borrowings owed to such Lender bears to the total accrued and unpaid interest on the Outstanding Amount of Loans and L/C Borrowings owed to all Lenders); (iv) to the ratable payment of the Outstanding Amount of Loans and L/C Borrowings (as used in this </w:t>
      </w:r>
      <w:r>
        <w:rPr>
          <w:rFonts w:ascii="Arial" w:cs="Arial" w:eastAsia="Arial" w:hAnsi="Arial"/>
          <w:sz w:val="16"/>
          <w:szCs w:val="16"/>
          <w:b w:val="1"/>
          <w:bCs w:val="1"/>
          <w:i w:val="1"/>
          <w:iCs w:val="1"/>
          <w:color w:val="auto"/>
        </w:rPr>
        <w:t>Section 2.11(d)(iv)</w:t>
      </w:r>
      <w:r>
        <w:rPr>
          <w:rFonts w:ascii="Arial" w:cs="Arial" w:eastAsia="Arial" w:hAnsi="Arial"/>
          <w:sz w:val="16"/>
          <w:szCs w:val="16"/>
          <w:color w:val="auto"/>
        </w:rPr>
        <w:t>, “</w:t>
      </w:r>
      <w:r>
        <w:rPr>
          <w:rFonts w:ascii="Arial" w:cs="Arial" w:eastAsia="Arial" w:hAnsi="Arial"/>
          <w:sz w:val="16"/>
          <w:szCs w:val="16"/>
          <w:i w:val="1"/>
          <w:iCs w:val="1"/>
          <w:color w:val="auto"/>
        </w:rPr>
        <w:t>ratable payment</w:t>
      </w:r>
      <w:r>
        <w:rPr>
          <w:rFonts w:ascii="Arial" w:cs="Arial" w:eastAsia="Arial" w:hAnsi="Arial"/>
          <w:sz w:val="16"/>
          <w:szCs w:val="16"/>
          <w:color w:val="auto"/>
        </w:rPr>
        <w:t>” means for any Lender, on any date of determination, that proportion which the Outstanding Amount of Loans and L/C Borrowings owed to such Lender bears to the Outstanding Amount of Loans and L/C Borrowings owed to all Lenders); (v) to Cash Collateralize Letters of Credit; and (vi) to the payment of the remaining Obligations, if any, in the order and manner Required Lenders deem appropriate.</w:t>
      </w:r>
    </w:p>
    <w:p>
      <w:pPr>
        <w:spacing w:after="0" w:line="120" w:lineRule="exact"/>
        <w:rPr>
          <w:rFonts w:ascii="Arial" w:cs="Arial" w:eastAsia="Arial" w:hAnsi="Arial"/>
          <w:sz w:val="16"/>
          <w:szCs w:val="16"/>
          <w:color w:val="auto"/>
        </w:rPr>
      </w:pPr>
    </w:p>
    <w:p>
      <w:pPr>
        <w:ind w:left="-120" w:right="340" w:firstLine="464"/>
        <w:spacing w:after="0" w:line="254" w:lineRule="auto"/>
        <w:tabs>
          <w:tab w:leader="none" w:pos="5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Unless the Borrower or any Lender has notified the Administrative Agent prior to the date any payment is required to be made by it to the Administrative Agent hereunder (or, in the case of a Lender’s notice associated with a Base Rate Loan, prior to 1:00 p.m., New York time, on the date of the funding of such Loan)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immediately available funds, then:</w:t>
      </w:r>
    </w:p>
    <w:p>
      <w:pPr>
        <w:spacing w:after="0" w:line="63" w:lineRule="exact"/>
        <w:rPr>
          <w:rFonts w:ascii="Arial" w:cs="Arial" w:eastAsia="Arial" w:hAnsi="Arial"/>
          <w:sz w:val="18"/>
          <w:szCs w:val="18"/>
          <w:color w:val="auto"/>
        </w:rPr>
      </w:pPr>
    </w:p>
    <w:p>
      <w:pPr>
        <w:ind w:left="340" w:right="160" w:firstLine="443"/>
        <w:spacing w:after="0" w:line="298" w:lineRule="auto"/>
        <w:tabs>
          <w:tab w:leader="none" w:pos="988" w:val="left"/>
        </w:tabs>
        <w:numPr>
          <w:ilvl w:val="1"/>
          <w:numId w:val="52"/>
        </w:numPr>
        <w:rPr>
          <w:rFonts w:ascii="Arial" w:cs="Arial" w:eastAsia="Arial" w:hAnsi="Arial"/>
          <w:sz w:val="16"/>
          <w:szCs w:val="16"/>
          <w:color w:val="auto"/>
        </w:rPr>
      </w:pPr>
      <w:r>
        <w:rPr>
          <w:rFonts w:ascii="Arial" w:cs="Arial" w:eastAsia="Arial" w:hAnsi="Arial"/>
          <w:sz w:val="16"/>
          <w:szCs w:val="16"/>
          <w:color w:val="auto"/>
        </w:rPr>
        <w:t>if the Borrower failed to make such payment, each Lender shall forthwith on demand repay to the Administrative Agent the portion of such assumed payment that was made available to such Lender in immediately available funds, together with interest thereon in respect of each day from and including the date such amount was made available by the Administrative Agent to such Lender to the date such amount is repaid to the Administrative Agent in immediately available funds, at the Federal Funds Rate from time to time in effect; and</w:t>
      </w:r>
    </w:p>
    <w:p>
      <w:pPr>
        <w:spacing w:after="0" w:line="31" w:lineRule="exact"/>
        <w:rPr>
          <w:rFonts w:ascii="Arial" w:cs="Arial" w:eastAsia="Arial" w:hAnsi="Arial"/>
          <w:sz w:val="16"/>
          <w:szCs w:val="16"/>
          <w:color w:val="auto"/>
        </w:rPr>
      </w:pPr>
    </w:p>
    <w:p>
      <w:pPr>
        <w:ind w:left="340" w:right="160" w:firstLine="443"/>
        <w:spacing w:after="0" w:line="259" w:lineRule="auto"/>
        <w:tabs>
          <w:tab w:leader="none" w:pos="1037"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any Lender failed to make such payment, such Lender shall forthwith on demand pay to the Administrative Agent the amount thereof in immediately available funds, together with interest thereon for the period from the date such amount was made available by the Administrative Agent to the Borrower to the date such amount is recovered by the Administrative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60" w:top="280" w:right="339" w:bottom="1440" w:gutter="0" w:footer="0" w:header="0"/>
        </w:sectPr>
      </w:pPr>
    </w:p>
    <w:bookmarkStart w:id="44" w:name="page45"/>
    <w:bookmarkEnd w:id="44"/>
    <w:p>
      <w:pPr>
        <w:ind w:left="4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(the “</w:t>
      </w:r>
      <w:r>
        <w:rPr>
          <w:rFonts w:ascii="Arial" w:cs="Arial" w:eastAsia="Arial" w:hAnsi="Arial"/>
          <w:sz w:val="18"/>
          <w:szCs w:val="18"/>
          <w:b w:val="1"/>
          <w:bCs w:val="1"/>
          <w:i w:val="1"/>
          <w:iCs w:val="1"/>
          <w:color w:val="auto"/>
        </w:rPr>
        <w:t>Compensation Period</w:t>
      </w:r>
      <w:r>
        <w:rPr>
          <w:rFonts w:ascii="Arial" w:cs="Arial" w:eastAsia="Arial" w:hAnsi="Arial"/>
          <w:sz w:val="18"/>
          <w:szCs w:val="18"/>
          <w:color w:val="auto"/>
        </w:rPr>
        <w:t>”) at a rate per annum equal to the Federal Funds Rate from time to time in effect. If such Lender pays such amount to the Administrative Agent, then such amount shall constitute such Lender’s Committed Loan, included in the applicable Borrowing. If such Lender does not pay such amount forthwith upon the Administrative Agent’s demand therefor, the Administrative Agent may make a demand therefor upon the Borrower, and the Borrower shall pay such amount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which the Administrative Agent or the Borrower may have against any Lender as a result of any default by such Lender hereunder.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notice of the Administrative Agent to any Lender with respect to any amount owing under this </w:t>
      </w:r>
      <w:r>
        <w:rPr>
          <w:rFonts w:ascii="Arial" w:cs="Arial" w:eastAsia="Arial" w:hAnsi="Arial"/>
          <w:sz w:val="16"/>
          <w:szCs w:val="16"/>
          <w:b w:val="1"/>
          <w:bCs w:val="1"/>
          <w:i w:val="1"/>
          <w:iCs w:val="1"/>
          <w:color w:val="auto"/>
        </w:rPr>
        <w:t>subsection (e)</w:t>
      </w:r>
      <w:r>
        <w:rPr>
          <w:rFonts w:ascii="Arial" w:cs="Arial" w:eastAsia="Arial" w:hAnsi="Arial"/>
          <w:sz w:val="16"/>
          <w:szCs w:val="16"/>
          <w:color w:val="auto"/>
        </w:rPr>
        <w:t xml:space="preserve"> shall be conclusive, absent manifest error.</w:t>
      </w:r>
    </w:p>
    <w:p>
      <w:pPr>
        <w:spacing w:after="0" w:line="194" w:lineRule="exact"/>
        <w:rPr>
          <w:sz w:val="20"/>
          <w:szCs w:val="20"/>
          <w:color w:val="auto"/>
        </w:rPr>
      </w:pPr>
    </w:p>
    <w:p>
      <w:pPr>
        <w:ind w:right="20" w:firstLine="464"/>
        <w:spacing w:after="0" w:line="306" w:lineRule="auto"/>
        <w:tabs>
          <w:tab w:leader="none" w:pos="676"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If any Lender makes available to the Administrative Agent funds for any Committed Loan to be made by such Lender as provided in the foregoing provisions of this </w:t>
      </w:r>
      <w:r>
        <w:rPr>
          <w:rFonts w:ascii="Arial" w:cs="Arial" w:eastAsia="Arial" w:hAnsi="Arial"/>
          <w:sz w:val="16"/>
          <w:szCs w:val="16"/>
          <w:b w:val="1"/>
          <w:bCs w:val="1"/>
          <w:i w:val="1"/>
          <w:iCs w:val="1"/>
          <w:color w:val="auto"/>
        </w:rPr>
        <w:t>Article II</w:t>
      </w:r>
      <w:r>
        <w:rPr>
          <w:rFonts w:ascii="Arial" w:cs="Arial" w:eastAsia="Arial" w:hAnsi="Arial"/>
          <w:sz w:val="16"/>
          <w:szCs w:val="16"/>
          <w:color w:val="auto"/>
        </w:rPr>
        <w:t xml:space="preserve">, and the conditions to the applicable Borrowing set forth in </w:t>
      </w:r>
      <w:r>
        <w:rPr>
          <w:rFonts w:ascii="Arial" w:cs="Arial" w:eastAsia="Arial" w:hAnsi="Arial"/>
          <w:sz w:val="16"/>
          <w:szCs w:val="16"/>
          <w:b w:val="1"/>
          <w:bCs w:val="1"/>
          <w:i w:val="1"/>
          <w:iCs w:val="1"/>
          <w:color w:val="auto"/>
        </w:rPr>
        <w:t>Article IV</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Lender) to such Lender, without interest.</w:t>
      </w:r>
    </w:p>
    <w:p>
      <w:pPr>
        <w:spacing w:after="0" w:line="106" w:lineRule="exact"/>
        <w:rPr>
          <w:rFonts w:ascii="Arial" w:cs="Arial" w:eastAsia="Arial" w:hAnsi="Arial"/>
          <w:sz w:val="16"/>
          <w:szCs w:val="16"/>
          <w:color w:val="auto"/>
        </w:rPr>
      </w:pPr>
    </w:p>
    <w:p>
      <w:pPr>
        <w:ind w:firstLine="464"/>
        <w:spacing w:after="0" w:line="323" w:lineRule="auto"/>
        <w:tabs>
          <w:tab w:leader="none" w:pos="705" w:val="left"/>
        </w:tabs>
        <w:numPr>
          <w:ilvl w:val="0"/>
          <w:numId w:val="53"/>
        </w:numPr>
        <w:rPr>
          <w:rFonts w:ascii="Arial" w:cs="Arial" w:eastAsia="Arial" w:hAnsi="Arial"/>
          <w:sz w:val="15"/>
          <w:szCs w:val="15"/>
          <w:color w:val="auto"/>
        </w:rPr>
      </w:pPr>
      <w:r>
        <w:rPr>
          <w:rFonts w:ascii="Arial" w:cs="Arial" w:eastAsia="Arial" w:hAnsi="Arial"/>
          <w:sz w:val="15"/>
          <w:szCs w:val="15"/>
          <w:color w:val="auto"/>
        </w:rPr>
        <w:t xml:space="preserve">The obligations of the Lenders hereunder to make Committed Loans, to fund participations in Letters of Credit and Swing Line Loans and to make payments pursuant to </w:t>
      </w:r>
      <w:r>
        <w:rPr>
          <w:rFonts w:ascii="Arial" w:cs="Arial" w:eastAsia="Arial" w:hAnsi="Arial"/>
          <w:sz w:val="15"/>
          <w:szCs w:val="15"/>
          <w:b w:val="1"/>
          <w:bCs w:val="1"/>
          <w:i w:val="1"/>
          <w:iCs w:val="1"/>
          <w:color w:val="auto"/>
        </w:rPr>
        <w:t>Section 9.08</w:t>
      </w:r>
      <w:r>
        <w:rPr>
          <w:rFonts w:ascii="Arial" w:cs="Arial" w:eastAsia="Arial" w:hAnsi="Arial"/>
          <w:sz w:val="15"/>
          <w:szCs w:val="15"/>
          <w:color w:val="auto"/>
        </w:rPr>
        <w:t xml:space="preserve"> are several and not joint. The failure of any Lender to make any Committed Loan, fund any participation or make any payment pursuant to </w:t>
      </w:r>
      <w:r>
        <w:rPr>
          <w:rFonts w:ascii="Arial" w:cs="Arial" w:eastAsia="Arial" w:hAnsi="Arial"/>
          <w:sz w:val="15"/>
          <w:szCs w:val="15"/>
          <w:b w:val="1"/>
          <w:bCs w:val="1"/>
          <w:i w:val="1"/>
          <w:iCs w:val="1"/>
          <w:color w:val="auto"/>
        </w:rPr>
        <w:t>Section 9.08</w:t>
      </w:r>
      <w:r>
        <w:rPr>
          <w:rFonts w:ascii="Arial" w:cs="Arial" w:eastAsia="Arial" w:hAnsi="Arial"/>
          <w:sz w:val="15"/>
          <w:szCs w:val="15"/>
          <w:color w:val="auto"/>
        </w:rPr>
        <w:t xml:space="preserve"> on any date required hereunder shall not relieve any other Lender of its corresponding obligation to do so on such date, and no Lender shall be responsible for the failure of any other Lender to so make its Committed Loan, purchase its participation or to make its payment pursuant to </w:t>
      </w:r>
      <w:r>
        <w:rPr>
          <w:rFonts w:ascii="Arial" w:cs="Arial" w:eastAsia="Arial" w:hAnsi="Arial"/>
          <w:sz w:val="15"/>
          <w:szCs w:val="15"/>
          <w:b w:val="1"/>
          <w:bCs w:val="1"/>
          <w:i w:val="1"/>
          <w:iCs w:val="1"/>
          <w:color w:val="auto"/>
        </w:rPr>
        <w:t>Section 9.08</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920" w:firstLine="464"/>
        <w:spacing w:after="0" w:line="332" w:lineRule="auto"/>
        <w:tabs>
          <w:tab w:leader="none" w:pos="705"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79"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b w:val="1"/>
          <w:bCs w:val="1"/>
          <w:color w:val="auto"/>
        </w:rPr>
        <w:t>2.12 Sharing of Payments</w:t>
      </w:r>
      <w:r>
        <w:rPr>
          <w:rFonts w:ascii="Arial" w:cs="Arial" w:eastAsia="Arial" w:hAnsi="Arial"/>
          <w:sz w:val="16"/>
          <w:szCs w:val="16"/>
          <w:color w:val="auto"/>
        </w:rPr>
        <w:t>. If any Lender shall, by exercising any right of setoff or counterclaim or otherwise, obtain payment in respect of any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of or interest on any Committed Loans made by it, or the participations in L/C Obligations or in Swing Line Loans held by it resulting in such Lender’s receiving payment of a proportion of the aggregate amount of its Committed Loans or participations and accrued interest thereon or other such obligations greater than its Pro Rata Share thereof as provided herein, then the Lender receiving such greater proportion shall (a) notify the Administrative Agent of such fact, and</w:t>
      </w:r>
    </w:p>
    <w:p>
      <w:pPr>
        <w:spacing w:after="0" w:line="3" w:lineRule="exact"/>
        <w:rPr>
          <w:sz w:val="20"/>
          <w:szCs w:val="20"/>
          <w:color w:val="auto"/>
        </w:rPr>
      </w:pPr>
    </w:p>
    <w:p>
      <w:pPr>
        <w:ind w:firstLine="8"/>
        <w:spacing w:after="0" w:line="302" w:lineRule="auto"/>
        <w:tabs>
          <w:tab w:leader="none" w:pos="2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purchase (for cash at face value) participations in Committed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provided that:</w:t>
      </w:r>
    </w:p>
    <w:p>
      <w:pPr>
        <w:spacing w:after="0" w:line="28" w:lineRule="exact"/>
        <w:rPr>
          <w:rFonts w:ascii="Arial" w:cs="Arial" w:eastAsia="Arial" w:hAnsi="Arial"/>
          <w:sz w:val="16"/>
          <w:szCs w:val="16"/>
          <w:color w:val="auto"/>
        </w:rPr>
      </w:pPr>
    </w:p>
    <w:p>
      <w:pPr>
        <w:ind w:left="460" w:right="780" w:firstLine="443"/>
        <w:spacing w:after="0" w:line="332" w:lineRule="auto"/>
        <w:tabs>
          <w:tab w:leader="none" w:pos="1108" w:val="left"/>
        </w:tabs>
        <w:numPr>
          <w:ilvl w:val="1"/>
          <w:numId w:val="54"/>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shall be rescinded and the purchase price restored to the extent of such recovery, without interest; and</w:t>
      </w:r>
    </w:p>
    <w:p>
      <w:pPr>
        <w:spacing w:after="0" w:line="4" w:lineRule="exact"/>
        <w:rPr>
          <w:rFonts w:ascii="Arial" w:cs="Arial" w:eastAsia="Arial" w:hAnsi="Arial"/>
          <w:sz w:val="16"/>
          <w:szCs w:val="16"/>
          <w:color w:val="auto"/>
        </w:rPr>
      </w:pPr>
    </w:p>
    <w:p>
      <w:pPr>
        <w:ind w:left="460" w:right="80" w:firstLine="443"/>
        <w:spacing w:after="0" w:line="268" w:lineRule="auto"/>
        <w:tabs>
          <w:tab w:leader="none" w:pos="1157"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provisions of this paragraph shall not be construed to apply to (x) any payment made by the Borrower pursuant to and in accordance with the express terms of this Agreement or (y) any payment obtained by a Lender as consideration for the assignment of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45" w:name="page46"/>
    <w:bookmarkEnd w:id="45"/>
    <w:p>
      <w:pPr>
        <w:ind w:left="460"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 of a participation in any of its Committed Loans or subparticipations in L/C Obligations and Swing Line Loans to any assignee or participant, other than to the Borrower or any Subsidiary thereof (as to which the provisions of this paragraph shall apply).</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2.13 Increase in Aggregate Committed Sum</w:t>
      </w:r>
      <w:r>
        <w:rPr>
          <w:rFonts w:ascii="Arial" w:cs="Arial" w:eastAsia="Arial" w:hAnsi="Arial"/>
          <w:sz w:val="18"/>
          <w:szCs w:val="18"/>
          <w:color w:val="auto"/>
        </w:rPr>
        <w:t>.</w:t>
      </w:r>
    </w:p>
    <w:p>
      <w:pPr>
        <w:spacing w:after="0" w:line="96" w:lineRule="exact"/>
        <w:rPr>
          <w:sz w:val="20"/>
          <w:szCs w:val="20"/>
          <w:color w:val="auto"/>
        </w:rPr>
      </w:pPr>
    </w:p>
    <w:p>
      <w:pPr>
        <w:ind w:firstLine="464"/>
        <w:spacing w:after="0" w:line="291" w:lineRule="auto"/>
        <w:tabs>
          <w:tab w:leader="none" w:pos="695"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Provided there exists no Default or Event of Default, the Borrower may from time to time provide notice to the Administrative Agent (who shall promptly notify the Lenders) that (i) one or more Lenders has or have agreed to increase its (or their) Committed Sum under the Credit Agreement, or (ii) one or more Eligible Assignees (other than a Lender) has or have agreed to become Lender(s) pursuant a joinder agreement in form and substance satisfactory to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(i) the Borrower shall be required to obtain the prior written consent of each L/C Issuer to the addition of any new Lender and to the increase in the Committed Sum of any existing Lender, (ii) the minimum Committed Sum of any new Lender shall be $5,000,000, and (iii) the Aggregate Committed Sum may at no time exceed $700,000,000. No Lender is obligated to increase its Committed Sum at any time pursuant to this </w:t>
      </w:r>
      <w:r>
        <w:rPr>
          <w:rFonts w:ascii="Arial" w:cs="Arial" w:eastAsia="Arial" w:hAnsi="Arial"/>
          <w:sz w:val="16"/>
          <w:szCs w:val="16"/>
          <w:b w:val="1"/>
          <w:bCs w:val="1"/>
          <w:i w:val="1"/>
          <w:iCs w:val="1"/>
          <w:color w:val="auto"/>
        </w:rPr>
        <w:t>Section 2.13</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firstLine="464"/>
        <w:spacing w:after="0" w:line="286" w:lineRule="auto"/>
        <w:tabs>
          <w:tab w:leader="none" w:pos="7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If the Aggregate Committed Sum is increased in accordance with this </w:t>
      </w:r>
      <w:r>
        <w:rPr>
          <w:rFonts w:ascii="Arial" w:cs="Arial" w:eastAsia="Arial" w:hAnsi="Arial"/>
          <w:sz w:val="16"/>
          <w:szCs w:val="16"/>
          <w:b w:val="1"/>
          <w:bCs w:val="1"/>
          <w:i w:val="1"/>
          <w:iCs w:val="1"/>
          <w:color w:val="auto"/>
        </w:rPr>
        <w:t>Section 2.13</w:t>
      </w:r>
      <w:r>
        <w:rPr>
          <w:rFonts w:ascii="Arial" w:cs="Arial" w:eastAsia="Arial" w:hAnsi="Arial"/>
          <w:sz w:val="16"/>
          <w:szCs w:val="16"/>
          <w:color w:val="auto"/>
        </w:rPr>
        <w:t>, the Administrative Agent and the Borrower shall determine the effective date (the “</w:t>
      </w:r>
      <w:r>
        <w:rPr>
          <w:rFonts w:ascii="Arial" w:cs="Arial" w:eastAsia="Arial" w:hAnsi="Arial"/>
          <w:sz w:val="16"/>
          <w:szCs w:val="16"/>
          <w:b w:val="1"/>
          <w:bCs w:val="1"/>
          <w:i w:val="1"/>
          <w:iCs w:val="1"/>
          <w:color w:val="auto"/>
        </w:rPr>
        <w:t>Increase Effective Date</w:t>
      </w:r>
      <w:r>
        <w:rPr>
          <w:rFonts w:ascii="Arial" w:cs="Arial" w:eastAsia="Arial" w:hAnsi="Arial"/>
          <w:sz w:val="16"/>
          <w:szCs w:val="16"/>
          <w:color w:val="auto"/>
        </w:rPr>
        <w:t xml:space="preserve">”) of such increase. The Administrative Agent shall promptly notify the Borrower and the Lenders of such increase and the Increase Effective Date. As a condition precedent to such increase, the Borrower shall deliver to the Administrative Agent a certificate of the Borrower and of the Guarantor dated as of the Increase Effective Date signed by a Responsible Officer of each such Loan Party (i) certifying and attaching the resolutions adopted by such Loan Party approving or consenting to such increase, and (ii) in the case of the Borrower, certifying that, before and after giving effect to such increase, (A) the representations and warranties contained in </w:t>
      </w:r>
      <w:r>
        <w:rPr>
          <w:rFonts w:ascii="Arial" w:cs="Arial" w:eastAsia="Arial" w:hAnsi="Arial"/>
          <w:sz w:val="16"/>
          <w:szCs w:val="16"/>
          <w:b w:val="1"/>
          <w:bCs w:val="1"/>
          <w:i w:val="1"/>
          <w:iCs w:val="1"/>
          <w:color w:val="auto"/>
        </w:rPr>
        <w:t>Article V</w:t>
      </w:r>
      <w:r>
        <w:rPr>
          <w:rFonts w:ascii="Arial" w:cs="Arial" w:eastAsia="Arial" w:hAnsi="Arial"/>
          <w:sz w:val="16"/>
          <w:szCs w:val="16"/>
          <w:color w:val="auto"/>
        </w:rPr>
        <w:t xml:space="preserve"> of the Credit Agreement and the other Loan Documents are true and correct on and as of the Increase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6"/>
          <w:szCs w:val="16"/>
          <w:b w:val="1"/>
          <w:bCs w:val="1"/>
          <w:i w:val="1"/>
          <w:iCs w:val="1"/>
          <w:color w:val="auto"/>
        </w:rPr>
        <w:t>Section 2.13</w:t>
      </w:r>
      <w:r>
        <w:rPr>
          <w:rFonts w:ascii="Arial" w:cs="Arial" w:eastAsia="Arial" w:hAnsi="Arial"/>
          <w:sz w:val="16"/>
          <w:szCs w:val="16"/>
          <w:color w:val="auto"/>
        </w:rPr>
        <w:t xml:space="preserve">, the representations and warranties contained in </w:t>
      </w:r>
      <w:r>
        <w:rPr>
          <w:rFonts w:ascii="Arial" w:cs="Arial" w:eastAsia="Arial" w:hAnsi="Arial"/>
          <w:sz w:val="16"/>
          <w:szCs w:val="16"/>
          <w:b w:val="1"/>
          <w:bCs w:val="1"/>
          <w:i w:val="1"/>
          <w:iCs w:val="1"/>
          <w:color w:val="auto"/>
        </w:rPr>
        <w:t>Sections 5.05(a)</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5.05(b)</w:t>
      </w:r>
      <w:r>
        <w:rPr>
          <w:rFonts w:ascii="Arial" w:cs="Arial" w:eastAsia="Arial" w:hAnsi="Arial"/>
          <w:sz w:val="16"/>
          <w:szCs w:val="16"/>
          <w:color w:val="auto"/>
        </w:rPr>
        <w:t xml:space="preserve"> shall be deemed to refer to the most recent financial statements furnished pursuant to </w:t>
      </w:r>
      <w:r>
        <w:rPr>
          <w:rFonts w:ascii="Arial" w:cs="Arial" w:eastAsia="Arial" w:hAnsi="Arial"/>
          <w:sz w:val="16"/>
          <w:szCs w:val="16"/>
          <w:b w:val="1"/>
          <w:bCs w:val="1"/>
          <w:i w:val="1"/>
          <w:iCs w:val="1"/>
          <w:color w:val="auto"/>
        </w:rPr>
        <w:t>subsections (a)</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(b)</w:t>
      </w:r>
      <w:r>
        <w:rPr>
          <w:rFonts w:ascii="Arial" w:cs="Arial" w:eastAsia="Arial" w:hAnsi="Arial"/>
          <w:sz w:val="16"/>
          <w:szCs w:val="16"/>
          <w:color w:val="auto"/>
        </w:rPr>
        <w:t xml:space="preserve">, respectively, of </w:t>
      </w:r>
      <w:r>
        <w:rPr>
          <w:rFonts w:ascii="Arial" w:cs="Arial" w:eastAsia="Arial" w:hAnsi="Arial"/>
          <w:sz w:val="16"/>
          <w:szCs w:val="16"/>
          <w:b w:val="1"/>
          <w:bCs w:val="1"/>
          <w:i w:val="1"/>
          <w:iCs w:val="1"/>
          <w:color w:val="auto"/>
        </w:rPr>
        <w:t>Section 6.01</w:t>
      </w:r>
      <w:r>
        <w:rPr>
          <w:rFonts w:ascii="Arial" w:cs="Arial" w:eastAsia="Arial" w:hAnsi="Arial"/>
          <w:sz w:val="16"/>
          <w:szCs w:val="16"/>
          <w:color w:val="auto"/>
        </w:rPr>
        <w:t xml:space="preserve">, and (B) no Default or Event of Default exists. The Borrower shall prepay any Loans outstanding on the Increase Effective Date (and pay any additional amounts required pursuant to </w:t>
      </w:r>
      <w:r>
        <w:rPr>
          <w:rFonts w:ascii="Arial" w:cs="Arial" w:eastAsia="Arial" w:hAnsi="Arial"/>
          <w:sz w:val="16"/>
          <w:szCs w:val="16"/>
          <w:b w:val="1"/>
          <w:bCs w:val="1"/>
          <w:i w:val="1"/>
          <w:iCs w:val="1"/>
          <w:color w:val="auto"/>
        </w:rPr>
        <w:t>Section 3.05</w:t>
      </w:r>
      <w:r>
        <w:rPr>
          <w:rFonts w:ascii="Arial" w:cs="Arial" w:eastAsia="Arial" w:hAnsi="Arial"/>
          <w:sz w:val="16"/>
          <w:szCs w:val="16"/>
          <w:color w:val="auto"/>
        </w:rPr>
        <w:t>) to the extent necessary to keep the outstanding Loans ratable with any revised Pro Rata Shares arising from any nonratable increase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Aggregate Committed Sum under this </w:t>
      </w:r>
      <w:r>
        <w:rPr>
          <w:rFonts w:ascii="Arial" w:cs="Arial" w:eastAsia="Arial" w:hAnsi="Arial"/>
          <w:sz w:val="16"/>
          <w:szCs w:val="16"/>
          <w:b w:val="1"/>
          <w:bCs w:val="1"/>
          <w:i w:val="1"/>
          <w:iCs w:val="1"/>
          <w:color w:val="auto"/>
        </w:rPr>
        <w:t>Section 2.13</w:t>
      </w:r>
      <w:r>
        <w:rPr>
          <w:rFonts w:ascii="Arial" w:cs="Arial" w:eastAsia="Arial" w:hAnsi="Arial"/>
          <w:sz w:val="16"/>
          <w:szCs w:val="16"/>
          <w:color w:val="auto"/>
        </w:rPr>
        <w:t>.</w:t>
      </w:r>
    </w:p>
    <w:p>
      <w:pPr>
        <w:spacing w:after="0" w:line="124" w:lineRule="exact"/>
        <w:rPr>
          <w:rFonts w:ascii="Arial" w:cs="Arial" w:eastAsia="Arial" w:hAnsi="Arial"/>
          <w:sz w:val="16"/>
          <w:szCs w:val="16"/>
          <w:color w:val="auto"/>
        </w:rPr>
      </w:pPr>
    </w:p>
    <w:p>
      <w:pPr>
        <w:ind w:left="700" w:hanging="23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b w:val="1"/>
          <w:bCs w:val="1"/>
          <w:i w:val="1"/>
          <w:iCs w:val="1"/>
          <w:color w:val="auto"/>
        </w:rPr>
        <w:t>Section 2.13</w:t>
      </w:r>
      <w:r>
        <w:rPr>
          <w:rFonts w:ascii="Arial" w:cs="Arial" w:eastAsia="Arial" w:hAnsi="Arial"/>
          <w:sz w:val="18"/>
          <w:szCs w:val="18"/>
          <w:color w:val="auto"/>
        </w:rPr>
        <w:t xml:space="preserve"> shall supersede any provisions in </w:t>
      </w:r>
      <w:r>
        <w:rPr>
          <w:rFonts w:ascii="Arial" w:cs="Arial" w:eastAsia="Arial" w:hAnsi="Arial"/>
          <w:sz w:val="18"/>
          <w:szCs w:val="18"/>
          <w:b w:val="1"/>
          <w:bCs w:val="1"/>
          <w:i w:val="1"/>
          <w:iCs w:val="1"/>
          <w:color w:val="auto"/>
        </w:rPr>
        <w:t>Sections 2.12</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10.01</w:t>
      </w:r>
      <w:r>
        <w:rPr>
          <w:rFonts w:ascii="Arial" w:cs="Arial" w:eastAsia="Arial" w:hAnsi="Arial"/>
          <w:sz w:val="18"/>
          <w:szCs w:val="18"/>
          <w:color w:val="auto"/>
        </w:rPr>
        <w:t xml:space="preserve"> to the contrary.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 Extension of Stated Maturity Date</w:t>
      </w:r>
      <w:r>
        <w:rPr>
          <w:rFonts w:ascii="Arial" w:cs="Arial" w:eastAsia="Arial" w:hAnsi="Arial"/>
          <w:sz w:val="18"/>
          <w:szCs w:val="18"/>
          <w:color w:val="auto"/>
        </w:rPr>
        <w:t>.</w:t>
      </w:r>
    </w:p>
    <w:p>
      <w:pPr>
        <w:spacing w:after="0" w:line="96" w:lineRule="exact"/>
        <w:rPr>
          <w:sz w:val="20"/>
          <w:szCs w:val="20"/>
          <w:color w:val="auto"/>
        </w:rPr>
      </w:pPr>
    </w:p>
    <w:p>
      <w:pPr>
        <w:jc w:val="both"/>
        <w:ind w:right="20" w:firstLine="464"/>
        <w:spacing w:after="0" w:line="256"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xml:space="preserve">. The Borrower may, by notice to the Administrative Agent (who shall promptly notify the Lenders) not earlier than 60 days and not later than 30 days prior to each Anniversary Date (hereinafter defined), request that each Lender extend such Lender’s Stated Maturity Date to the date that is one year after the last occurring Stated Maturity Date then in effect for such Lender (the </w:t>
      </w:r>
      <w:r>
        <w:rPr>
          <w:rFonts w:ascii="Arial" w:cs="Arial" w:eastAsia="Arial" w:hAnsi="Arial"/>
          <w:sz w:val="18"/>
          <w:szCs w:val="18"/>
          <w:b w:val="1"/>
          <w:bCs w:val="1"/>
          <w:i w:val="1"/>
          <w:iCs w:val="1"/>
          <w:color w:val="auto"/>
        </w:rPr>
        <w:t>“Existing Stated Maturity Date”</w:t>
      </w:r>
      <w:r>
        <w:rPr>
          <w:rFonts w:ascii="Arial" w:cs="Arial" w:eastAsia="Arial" w:hAnsi="Arial"/>
          <w:sz w:val="18"/>
          <w:szCs w:val="18"/>
          <w:color w:val="auto"/>
        </w:rPr>
        <w:t>); provided, however, after giving effect to an extension,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46" w:name="page47"/>
    <w:bookmarkEnd w:id="46"/>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Stated Maturity Date which takes effect on an Anniversary Date may not be more than five years after such Anniversary Date. “</w:t>
      </w:r>
      <w:r>
        <w:rPr>
          <w:rFonts w:ascii="Arial" w:cs="Arial" w:eastAsia="Arial" w:hAnsi="Arial"/>
          <w:sz w:val="18"/>
          <w:szCs w:val="18"/>
          <w:b w:val="1"/>
          <w:bCs w:val="1"/>
          <w:i w:val="1"/>
          <w:iCs w:val="1"/>
          <w:color w:val="auto"/>
        </w:rPr>
        <w:t>Anniversary Date</w:t>
      </w:r>
      <w:r>
        <w:rPr>
          <w:rFonts w:ascii="Arial" w:cs="Arial" w:eastAsia="Arial" w:hAnsi="Arial"/>
          <w:sz w:val="18"/>
          <w:szCs w:val="18"/>
          <w:color w:val="auto"/>
        </w:rPr>
        <w:t>” means November 22, 2008 and November 22 of each calendar year thereafter.</w:t>
      </w:r>
    </w:p>
    <w:p>
      <w:pPr>
        <w:spacing w:after="0" w:line="132" w:lineRule="exact"/>
        <w:rPr>
          <w:sz w:val="20"/>
          <w:szCs w:val="20"/>
          <w:color w:val="auto"/>
        </w:rPr>
      </w:pPr>
    </w:p>
    <w:p>
      <w:pPr>
        <w:ind w:right="40" w:firstLine="464"/>
        <w:spacing w:after="0" w:line="253" w:lineRule="auto"/>
        <w:tabs>
          <w:tab w:leader="none" w:pos="70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Lender Elections to Extend</w:t>
      </w:r>
      <w:r>
        <w:rPr>
          <w:rFonts w:ascii="Arial" w:cs="Arial" w:eastAsia="Arial" w:hAnsi="Arial"/>
          <w:sz w:val="18"/>
          <w:szCs w:val="18"/>
          <w:color w:val="auto"/>
        </w:rPr>
        <w:t xml:space="preserve">. Each Lender, acting in its sole and individual discretion, shall, by notice to the Administrative Agent given not earlier than 30 days prior to the applicable Anniversary Date and not later than the date that is 20 days prior to the applicable Anniversary Date (the </w:t>
      </w:r>
      <w:r>
        <w:rPr>
          <w:rFonts w:ascii="Arial" w:cs="Arial" w:eastAsia="Arial" w:hAnsi="Arial"/>
          <w:sz w:val="18"/>
          <w:szCs w:val="18"/>
          <w:b w:val="1"/>
          <w:bCs w:val="1"/>
          <w:i w:val="1"/>
          <w:iCs w:val="1"/>
          <w:color w:val="auto"/>
        </w:rPr>
        <w:t>“Notice Date”</w:t>
      </w:r>
      <w:r>
        <w:rPr>
          <w:rFonts w:ascii="Arial" w:cs="Arial" w:eastAsia="Arial" w:hAnsi="Arial"/>
          <w:sz w:val="18"/>
          <w:szCs w:val="18"/>
          <w:color w:val="auto"/>
        </w:rPr>
        <w:t xml:space="preserve">), advise the Administrative Agent whether or not such Lender agrees to such extension (each Lender that determines to so extend its Stated Maturity Date, an </w:t>
      </w:r>
      <w:r>
        <w:rPr>
          <w:rFonts w:ascii="Arial" w:cs="Arial" w:eastAsia="Arial" w:hAnsi="Arial"/>
          <w:sz w:val="18"/>
          <w:szCs w:val="18"/>
          <w:b w:val="1"/>
          <w:bCs w:val="1"/>
          <w:i w:val="1"/>
          <w:iCs w:val="1"/>
          <w:color w:val="auto"/>
        </w:rPr>
        <w:t>“Extending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 Each Lender that determines not to so extend its Stated Maturity Date (a</w:t>
      </w:r>
      <w:r>
        <w:rPr>
          <w:rFonts w:ascii="Arial" w:cs="Arial" w:eastAsia="Arial" w:hAnsi="Arial"/>
          <w:sz w:val="18"/>
          <w:szCs w:val="18"/>
          <w:b w:val="1"/>
          <w:bCs w:val="1"/>
          <w:i w:val="1"/>
          <w:iCs w:val="1"/>
          <w:color w:val="auto"/>
        </w:rPr>
        <w:t xml:space="preserve"> “Non-Extending Lender”</w:t>
      </w:r>
      <w:r>
        <w:rPr>
          <w:rFonts w:ascii="Arial" w:cs="Arial" w:eastAsia="Arial" w:hAnsi="Arial"/>
          <w:sz w:val="18"/>
          <w:szCs w:val="18"/>
          <w:color w:val="auto"/>
        </w:rPr>
        <w:t>) shall notify the Administrative Agent of such fact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spacing w:after="0" w:line="147" w:lineRule="exact"/>
        <w:rPr>
          <w:rFonts w:ascii="Arial" w:cs="Arial" w:eastAsia="Arial" w:hAnsi="Arial"/>
          <w:sz w:val="18"/>
          <w:szCs w:val="18"/>
          <w:color w:val="auto"/>
        </w:rPr>
      </w:pPr>
    </w:p>
    <w:p>
      <w:pPr>
        <w:ind w:left="700" w:hanging="236"/>
        <w:spacing w:after="0"/>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Notification by Administrative Agent</w:t>
      </w:r>
      <w:r>
        <w:rPr>
          <w:rFonts w:ascii="Arial" w:cs="Arial" w:eastAsia="Arial" w:hAnsi="Arial"/>
          <w:sz w:val="16"/>
          <w:szCs w:val="16"/>
          <w:color w:val="auto"/>
        </w:rPr>
        <w:t>. The Administrative Agent shall notify the Borrower of each Lender’s determination under this Section.</w:t>
      </w:r>
    </w:p>
    <w:p>
      <w:pPr>
        <w:spacing w:after="0" w:line="194" w:lineRule="exact"/>
        <w:rPr>
          <w:rFonts w:ascii="Arial" w:cs="Arial" w:eastAsia="Arial" w:hAnsi="Arial"/>
          <w:sz w:val="16"/>
          <w:szCs w:val="16"/>
          <w:color w:val="auto"/>
        </w:rPr>
      </w:pPr>
    </w:p>
    <w:p>
      <w:pPr>
        <w:ind w:right="100" w:firstLine="464"/>
        <w:spacing w:after="0" w:line="289"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Replacement of Non-Extending Lenders</w:t>
      </w:r>
      <w:r>
        <w:rPr>
          <w:rFonts w:ascii="Arial" w:cs="Arial" w:eastAsia="Arial" w:hAnsi="Arial"/>
          <w:sz w:val="16"/>
          <w:szCs w:val="16"/>
          <w:color w:val="auto"/>
        </w:rPr>
        <w:t xml:space="preserve">. On or before the applicable Anniversary Date the Borrower may require a Non-Extending Lender to assign, without recourse (in accordance with and subject to the restrictions contained in, and consents required by, </w:t>
      </w:r>
      <w:r>
        <w:rPr>
          <w:rFonts w:ascii="Arial" w:cs="Arial" w:eastAsia="Arial" w:hAnsi="Arial"/>
          <w:sz w:val="16"/>
          <w:szCs w:val="16"/>
          <w:b w:val="1"/>
          <w:bCs w:val="1"/>
          <w:i w:val="1"/>
          <w:iCs w:val="1"/>
          <w:color w:val="auto"/>
        </w:rPr>
        <w:t>Section 10.07</w:t>
      </w:r>
      <w:r>
        <w:rPr>
          <w:rFonts w:ascii="Arial" w:cs="Arial" w:eastAsia="Arial" w:hAnsi="Arial"/>
          <w:sz w:val="16"/>
          <w:szCs w:val="16"/>
          <w:color w:val="auto"/>
        </w:rPr>
        <w:t>, and pursuant to an Assignment and Assumption or other form satisfactory to the Administrative Agent), all of its interests, rights and obligations under this Agreement and the related Loan Documents to an Eligible Assignee (each, an “</w:t>
      </w:r>
      <w:r>
        <w:rPr>
          <w:rFonts w:ascii="Arial" w:cs="Arial" w:eastAsia="Arial" w:hAnsi="Arial"/>
          <w:sz w:val="16"/>
          <w:szCs w:val="16"/>
          <w:b w:val="1"/>
          <w:bCs w:val="1"/>
          <w:i w:val="1"/>
          <w:iCs w:val="1"/>
          <w:color w:val="auto"/>
        </w:rPr>
        <w:t>Additional Commitment Lender</w:t>
      </w:r>
      <w:r>
        <w:rPr>
          <w:rFonts w:ascii="Arial" w:cs="Arial" w:eastAsia="Arial" w:hAnsi="Arial"/>
          <w:sz w:val="16"/>
          <w:szCs w:val="16"/>
          <w:color w:val="auto"/>
        </w:rPr>
        <w:t xml:space="preserve">”) that shall assume such obligations (which assignee may be another Lender, if a Lender accepts such assignment) effective as of the applicable Anniversary Date,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the Borrower shall have paid to the Administrative Agent the assignment fee specified in </w:t>
      </w:r>
      <w:r>
        <w:rPr>
          <w:rFonts w:ascii="Arial" w:cs="Arial" w:eastAsia="Arial" w:hAnsi="Arial"/>
          <w:sz w:val="16"/>
          <w:szCs w:val="16"/>
          <w:b w:val="1"/>
          <w:bCs w:val="1"/>
          <w:i w:val="1"/>
          <w:iCs w:val="1"/>
          <w:color w:val="auto"/>
        </w:rPr>
        <w:t>Section 10.07(b)</w:t>
      </w:r>
      <w:r>
        <w:rPr>
          <w:rFonts w:ascii="Arial" w:cs="Arial" w:eastAsia="Arial" w:hAnsi="Arial"/>
          <w:sz w:val="16"/>
          <w:szCs w:val="16"/>
          <w:color w:val="auto"/>
        </w:rPr>
        <w:t xml:space="preserve">; (ii) such Non-Extending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6"/>
          <w:szCs w:val="16"/>
          <w:b w:val="1"/>
          <w:bCs w:val="1"/>
          <w:i w:val="1"/>
          <w:iCs w:val="1"/>
          <w:color w:val="auto"/>
        </w:rPr>
        <w:t>Section 3.05</w:t>
      </w:r>
      <w:r>
        <w:rPr>
          <w:rFonts w:ascii="Arial" w:cs="Arial" w:eastAsia="Arial" w:hAnsi="Arial"/>
          <w:sz w:val="16"/>
          <w:szCs w:val="16"/>
          <w:color w:val="auto"/>
        </w:rPr>
        <w:t>) from the assignee or the Borrower; and (iii) such assignment does not conflict with applicable Laws.</w:t>
      </w:r>
    </w:p>
    <w:p>
      <w:pPr>
        <w:spacing w:after="0" w:line="118" w:lineRule="exact"/>
        <w:rPr>
          <w:rFonts w:ascii="Arial" w:cs="Arial" w:eastAsia="Arial" w:hAnsi="Arial"/>
          <w:sz w:val="16"/>
          <w:szCs w:val="16"/>
          <w:color w:val="auto"/>
        </w:rPr>
      </w:pPr>
    </w:p>
    <w:p>
      <w:pPr>
        <w:ind w:right="40" w:firstLine="464"/>
        <w:spacing w:after="0" w:line="291" w:lineRule="auto"/>
        <w:tabs>
          <w:tab w:leader="none" w:pos="69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Minimum Extension Requirement</w:t>
      </w:r>
      <w:r>
        <w:rPr>
          <w:rFonts w:ascii="Arial" w:cs="Arial" w:eastAsia="Arial" w:hAnsi="Arial"/>
          <w:sz w:val="16"/>
          <w:szCs w:val="16"/>
          <w:color w:val="auto"/>
        </w:rPr>
        <w:t xml:space="preserve">. If (and only if) the total of the Commitments of the Lenders that have agreed so to extend their Stated Maturity Date (without regard to the new or increased Commitment of any Additional Commitment Lender) shall be more than 51% of the aggregate amount of the Commitments in effect immediately prior to the applicable Anniversary Date, then, effective as of the applicable Anniversary Date, the Stated Maturity Date of each Extending Lender and of each Additional Commitment Lender shall be extended to the date that is one year after the Existing Stated Maturity Date (except that, if such date is not a Business Day, such Stated Maturity Date as so extended shall be the next preceding Business Day) and each Additional Commitment Lender shall thereupon become a </w:t>
      </w:r>
      <w:r>
        <w:rPr>
          <w:rFonts w:ascii="Arial" w:cs="Arial" w:eastAsia="Arial" w:hAnsi="Arial"/>
          <w:sz w:val="16"/>
          <w:szCs w:val="16"/>
          <w:b w:val="1"/>
          <w:bCs w:val="1"/>
          <w:i w:val="1"/>
          <w:iCs w:val="1"/>
          <w:color w:val="auto"/>
        </w:rPr>
        <w:t>“Lender”</w:t>
      </w:r>
      <w:r>
        <w:rPr>
          <w:rFonts w:ascii="Arial" w:cs="Arial" w:eastAsia="Arial" w:hAnsi="Arial"/>
          <w:sz w:val="16"/>
          <w:szCs w:val="16"/>
          <w:color w:val="auto"/>
        </w:rPr>
        <w:t xml:space="preserve"> for all purposes of this Agreement.</w:t>
      </w:r>
    </w:p>
    <w:p>
      <w:pPr>
        <w:spacing w:after="0" w:line="120" w:lineRule="exact"/>
        <w:rPr>
          <w:rFonts w:ascii="Arial" w:cs="Arial" w:eastAsia="Arial" w:hAnsi="Arial"/>
          <w:sz w:val="16"/>
          <w:szCs w:val="16"/>
          <w:color w:val="auto"/>
        </w:rPr>
      </w:pPr>
    </w:p>
    <w:p>
      <w:pPr>
        <w:ind w:right="100" w:firstLine="464"/>
        <w:spacing w:after="0" w:line="268" w:lineRule="auto"/>
        <w:tabs>
          <w:tab w:leader="none" w:pos="67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Extension</w:t>
      </w:r>
      <w:r>
        <w:rPr>
          <w:rFonts w:ascii="Arial" w:cs="Arial" w:eastAsia="Arial" w:hAnsi="Arial"/>
          <w:sz w:val="18"/>
          <w:szCs w:val="18"/>
          <w:color w:val="auto"/>
        </w:rPr>
        <w:t xml:space="preserve">. Notwithstanding the foregoing, any extension of any Stated Maturity Date pursuant to this </w:t>
      </w:r>
      <w:r>
        <w:rPr>
          <w:rFonts w:ascii="Arial" w:cs="Arial" w:eastAsia="Arial" w:hAnsi="Arial"/>
          <w:sz w:val="18"/>
          <w:szCs w:val="18"/>
          <w:b w:val="1"/>
          <w:bCs w:val="1"/>
          <w:i w:val="1"/>
          <w:iCs w:val="1"/>
          <w:color w:val="auto"/>
        </w:rPr>
        <w:t>Section 2.14</w:t>
      </w:r>
      <w:r>
        <w:rPr>
          <w:rFonts w:ascii="Arial" w:cs="Arial" w:eastAsia="Arial" w:hAnsi="Arial"/>
          <w:sz w:val="18"/>
          <w:szCs w:val="18"/>
          <w:color w:val="auto"/>
        </w:rPr>
        <w:t xml:space="preserve"> shall not be effective with respect to any Lender unless:</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on the applicable Anniversary Date and after giving effect thereto;</w:t>
      </w:r>
    </w:p>
    <w:p>
      <w:pPr>
        <w:spacing w:after="0" w:line="113" w:lineRule="exact"/>
        <w:rPr>
          <w:rFonts w:ascii="Arial" w:cs="Arial" w:eastAsia="Arial" w:hAnsi="Arial"/>
          <w:sz w:val="16"/>
          <w:szCs w:val="16"/>
          <w:color w:val="auto"/>
        </w:rPr>
      </w:pPr>
    </w:p>
    <w:p>
      <w:pPr>
        <w:jc w:val="both"/>
        <w:ind w:left="460" w:firstLine="443"/>
        <w:spacing w:after="0" w:line="259" w:lineRule="auto"/>
        <w:tabs>
          <w:tab w:leader="none" w:pos="1157"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b w:val="1"/>
          <w:bCs w:val="1"/>
          <w:i w:val="1"/>
          <w:iCs w:val="1"/>
          <w:color w:val="auto"/>
        </w:rPr>
        <w:t>Article V</w:t>
      </w:r>
      <w:r>
        <w:rPr>
          <w:rFonts w:ascii="Arial" w:cs="Arial" w:eastAsia="Arial" w:hAnsi="Arial"/>
          <w:sz w:val="18"/>
          <w:szCs w:val="18"/>
          <w:color w:val="auto"/>
        </w:rPr>
        <w:t xml:space="preserve"> are true and correct in all material respects on and as of the applicable Anniversary Date and after giving effect thereto, as though made on and as of such date (or, if any such representation or warranty is expressly stated to have been made as of an earlier date, as of such earlier date);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47" w:name="page48"/>
    <w:bookmarkEnd w:id="47"/>
    <w:p>
      <w:pPr>
        <w:ind w:left="420" w:right="180" w:firstLine="443"/>
        <w:spacing w:after="0" w:line="268" w:lineRule="auto"/>
        <w:tabs>
          <w:tab w:leader="none" w:pos="1165" w:val="left"/>
        </w:tabs>
        <w:numPr>
          <w:ilvl w:val="1"/>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Responsible Officer of the Borrower and a Responsible Officer of the MLP deliver to the Administrative Agent a certificate certifying as the matters set forth in the foregoing clauses (i) and (ii).</w:t>
      </w:r>
    </w:p>
    <w:p>
      <w:pPr>
        <w:spacing w:after="0" w:line="131" w:lineRule="exact"/>
        <w:rPr>
          <w:rFonts w:ascii="Arial" w:cs="Arial" w:eastAsia="Arial" w:hAnsi="Arial"/>
          <w:sz w:val="18"/>
          <w:szCs w:val="18"/>
          <w:color w:val="auto"/>
        </w:rPr>
      </w:pPr>
    </w:p>
    <w:p>
      <w:pPr>
        <w:ind w:left="680" w:hanging="256"/>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b w:val="1"/>
          <w:bCs w:val="1"/>
          <w:i w:val="1"/>
          <w:iCs w:val="1"/>
          <w:color w:val="auto"/>
        </w:rPr>
        <w:t>Section 2.12</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10.01</w:t>
      </w:r>
      <w:r>
        <w:rPr>
          <w:rFonts w:ascii="Arial" w:cs="Arial" w:eastAsia="Arial" w:hAnsi="Arial"/>
          <w:sz w:val="18"/>
          <w:szCs w:val="18"/>
          <w:color w:val="auto"/>
        </w:rPr>
        <w:t xml:space="preserve"> to the contrary.</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2.15 Swing Line Loans</w:t>
      </w:r>
      <w:r>
        <w:rPr>
          <w:rFonts w:ascii="Arial" w:cs="Arial" w:eastAsia="Arial" w:hAnsi="Arial"/>
          <w:sz w:val="18"/>
          <w:szCs w:val="18"/>
          <w:color w:val="auto"/>
        </w:rPr>
        <w:t>.</w:t>
      </w:r>
    </w:p>
    <w:p>
      <w:pPr>
        <w:spacing w:after="0" w:line="96" w:lineRule="exact"/>
        <w:rPr>
          <w:sz w:val="20"/>
          <w:szCs w:val="20"/>
          <w:color w:val="auto"/>
        </w:rPr>
      </w:pPr>
    </w:p>
    <w:p>
      <w:pPr>
        <w:ind w:left="-40" w:right="80" w:firstLine="464"/>
        <w:spacing w:after="0" w:line="286"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The Swing Line</w:t>
      </w:r>
      <w:r>
        <w:rPr>
          <w:rFonts w:ascii="Arial" w:cs="Arial" w:eastAsia="Arial" w:hAnsi="Arial"/>
          <w:sz w:val="16"/>
          <w:szCs w:val="16"/>
          <w:color w:val="auto"/>
        </w:rPr>
        <w:t xml:space="preserve">. Subject to the terms and conditions set forth herein, the Swing Line Lender agrees, in reliance upon the agreements of the other Lenders set forth in this </w:t>
      </w:r>
      <w:r>
        <w:rPr>
          <w:rFonts w:ascii="Arial" w:cs="Arial" w:eastAsia="Arial" w:hAnsi="Arial"/>
          <w:sz w:val="16"/>
          <w:szCs w:val="16"/>
          <w:b w:val="1"/>
          <w:bCs w:val="1"/>
          <w:i w:val="1"/>
          <w:iCs w:val="1"/>
          <w:color w:val="auto"/>
        </w:rPr>
        <w:t>Section 2.15</w:t>
      </w:r>
      <w:r>
        <w:rPr>
          <w:rFonts w:ascii="Arial" w:cs="Arial" w:eastAsia="Arial" w:hAnsi="Arial"/>
          <w:sz w:val="16"/>
          <w:szCs w:val="16"/>
          <w:color w:val="auto"/>
        </w:rPr>
        <w:t>, to make loans (each such loan, a “</w:t>
      </w:r>
      <w:r>
        <w:rPr>
          <w:rFonts w:ascii="Arial" w:cs="Arial" w:eastAsia="Arial" w:hAnsi="Arial"/>
          <w:sz w:val="16"/>
          <w:szCs w:val="16"/>
          <w:b w:val="1"/>
          <w:bCs w:val="1"/>
          <w:i w:val="1"/>
          <w:iCs w:val="1"/>
          <w:color w:val="auto"/>
        </w:rPr>
        <w:t>Swing Line Loan</w:t>
      </w:r>
      <w:r>
        <w:rPr>
          <w:rFonts w:ascii="Arial" w:cs="Arial" w:eastAsia="Arial" w:hAnsi="Arial"/>
          <w:sz w:val="16"/>
          <w:szCs w:val="16"/>
          <w:color w:val="auto"/>
        </w:rPr>
        <w:t xml:space="preserve">”) to the Borrower from time to time on any Business Day during the period from the Closing Date to the Swing Line Lender’s Maturity Date in an aggregate amount not to exceed at any time outstanding the amount of the Swing Line Sublimit, notwithstanding the fact that such Swing Line Loans, when aggregated with the Pro Rata Share of the Outstanding Amount of Committed Loans and L/C Obligations of the Lender acting as Swing Line Lender, may exceed the amount of such Lender’s Committed Sum;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Swing Line Loan, (i) the Outstanding Amount of all L/C Obligations and all Loans shall not exceed the Aggregate Commitments, and (ii) the aggregate Outstanding Amount of the Committed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Pro Rata Share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Pro Rata Share of the Outstanding Amount of all Swing Line Loans shall not exceed such Lender’s Committed Sum,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Borrower shall not use the proceeds of any Swing Line Loan to refinance any outstanding Swing Line Loan. Within the foregoing limits, and subject to the other terms and conditions hereof, the Borrower may borrow under this </w:t>
      </w:r>
      <w:r>
        <w:rPr>
          <w:rFonts w:ascii="Arial" w:cs="Arial" w:eastAsia="Arial" w:hAnsi="Arial"/>
          <w:sz w:val="16"/>
          <w:szCs w:val="16"/>
          <w:b w:val="1"/>
          <w:bCs w:val="1"/>
          <w:i w:val="1"/>
          <w:iCs w:val="1"/>
          <w:color w:val="auto"/>
        </w:rPr>
        <w:t>Section 2.15</w:t>
      </w:r>
      <w:r>
        <w:rPr>
          <w:rFonts w:ascii="Arial" w:cs="Arial" w:eastAsia="Arial" w:hAnsi="Arial"/>
          <w:sz w:val="16"/>
          <w:szCs w:val="16"/>
          <w:color w:val="auto"/>
        </w:rPr>
        <w:t xml:space="preserve">, prepay under </w:t>
      </w:r>
      <w:r>
        <w:rPr>
          <w:rFonts w:ascii="Arial" w:cs="Arial" w:eastAsia="Arial" w:hAnsi="Arial"/>
          <w:sz w:val="16"/>
          <w:szCs w:val="16"/>
          <w:b w:val="1"/>
          <w:bCs w:val="1"/>
          <w:i w:val="1"/>
          <w:iCs w:val="1"/>
          <w:color w:val="auto"/>
        </w:rPr>
        <w:t>Section 2.04</w:t>
      </w:r>
      <w:r>
        <w:rPr>
          <w:rFonts w:ascii="Arial" w:cs="Arial" w:eastAsia="Arial" w:hAnsi="Arial"/>
          <w:sz w:val="16"/>
          <w:szCs w:val="16"/>
          <w:color w:val="auto"/>
        </w:rPr>
        <w:t xml:space="preserve">, and reborrow under this </w:t>
      </w:r>
      <w:r>
        <w:rPr>
          <w:rFonts w:ascii="Arial" w:cs="Arial" w:eastAsia="Arial" w:hAnsi="Arial"/>
          <w:sz w:val="16"/>
          <w:szCs w:val="16"/>
          <w:b w:val="1"/>
          <w:bCs w:val="1"/>
          <w:i w:val="1"/>
          <w:iCs w:val="1"/>
          <w:color w:val="auto"/>
        </w:rPr>
        <w:t>Section 2.15</w:t>
      </w:r>
      <w:r>
        <w:rPr>
          <w:rFonts w:ascii="Arial" w:cs="Arial" w:eastAsia="Arial" w:hAnsi="Arial"/>
          <w:sz w:val="16"/>
          <w:szCs w:val="16"/>
          <w:color w:val="auto"/>
        </w:rPr>
        <w:t xml:space="preserve">. Each Swing Line Loan shall bear interest at the Federal Funds Rate plus the Applicable Rate. Immediately upon the making of a Swing Line Loan, each Lender shall be deemed to, and hereby irrevocably and unconditionally agrees to, purchase from the Swing Line Lender a risk participation in such Swing Line Loan in an amount equal to the product of such Lender’s Pro Rata Share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Swing Line Loan.</w:t>
      </w:r>
    </w:p>
    <w:p>
      <w:pPr>
        <w:spacing w:after="0" w:line="120" w:lineRule="exact"/>
        <w:rPr>
          <w:rFonts w:ascii="Arial" w:cs="Arial" w:eastAsia="Arial" w:hAnsi="Arial"/>
          <w:sz w:val="16"/>
          <w:szCs w:val="16"/>
          <w:color w:val="auto"/>
        </w:rPr>
      </w:pPr>
    </w:p>
    <w:p>
      <w:pPr>
        <w:ind w:left="-40" w:firstLine="464"/>
        <w:spacing w:after="0" w:line="286" w:lineRule="auto"/>
        <w:tabs>
          <w:tab w:leader="none" w:pos="66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Swing Line Borrowing shall be made upon the Borrower’s irrevocable notice to the Swing Line Lender and the Administrative Agent in the form of </w:t>
      </w:r>
      <w:r>
        <w:rPr>
          <w:rFonts w:ascii="Arial" w:cs="Arial" w:eastAsia="Arial" w:hAnsi="Arial"/>
          <w:sz w:val="16"/>
          <w:szCs w:val="16"/>
          <w:b w:val="1"/>
          <w:bCs w:val="1"/>
          <w:i w:val="1"/>
          <w:iCs w:val="1"/>
          <w:color w:val="auto"/>
        </w:rPr>
        <w:t>Exhibit A-3</w:t>
      </w:r>
      <w:r>
        <w:rPr>
          <w:rFonts w:ascii="Arial" w:cs="Arial" w:eastAsia="Arial" w:hAnsi="Arial"/>
          <w:sz w:val="16"/>
          <w:szCs w:val="16"/>
          <w:color w:val="auto"/>
        </w:rPr>
        <w:t xml:space="preserve">, which may be given by telephone. Each such notice must be received by the Swing Line Lender and the Administrative Agent not later than 3:00 p.m., New York time, on the requested borrowing date, and shall specify (i) the amount to be borrowed, which shall be a minimum of $500,000, and (ii) the requested borrowing date, which shall be a Business Day. Each such telephonic notice must be confirmed promptly by delivery to the Swing Line Lender and the Administrative Agent of a written Borrowing Notice, appropriately completed and signed by a Responsible Officer of the Borrower. Promptly after receipt by the Swing Line Lender of any telephonic Borrowing Notice, the Swing Line Lender will confirm with the Administrative Agent (by telephone or in writing) that the Administrative Agent has also received such Borrowing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4:00 p.m., New York time, on the date of the proposed Swing Line Borrowing that one or more of the applicable conditions specified in </w:t>
      </w:r>
      <w:r>
        <w:rPr>
          <w:rFonts w:ascii="Arial" w:cs="Arial" w:eastAsia="Arial" w:hAnsi="Arial"/>
          <w:sz w:val="16"/>
          <w:szCs w:val="16"/>
          <w:b w:val="1"/>
          <w:bCs w:val="1"/>
          <w:i w:val="1"/>
          <w:iCs w:val="1"/>
          <w:color w:val="auto"/>
        </w:rPr>
        <w:t>Article IV</w:t>
      </w:r>
      <w:r>
        <w:rPr>
          <w:rFonts w:ascii="Arial" w:cs="Arial" w:eastAsia="Arial" w:hAnsi="Arial"/>
          <w:sz w:val="16"/>
          <w:szCs w:val="16"/>
          <w:color w:val="auto"/>
        </w:rPr>
        <w:t xml:space="preserve"> is not then satisfied, then, subject to the terms and conditions hereof, the Swing Line Lender will, not later than 4:00 p.m., New York time, on the borrowing date specified in such Borrowing Notice, make the amount of its Swing Line Loan available to the Borrower at its office by crediting the account of the Borrower on the books of the Swing Line Lender in immediately available funds.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80" w:top="280" w:right="279" w:bottom="1440" w:gutter="0" w:footer="0" w:header="0"/>
        </w:sectPr>
      </w:pPr>
    </w:p>
    <w:bookmarkStart w:id="48" w:name="page49"/>
    <w:bookmarkEnd w:id="48"/>
    <w:p>
      <w:pPr>
        <w:ind w:left="240" w:hanging="236"/>
        <w:spacing w:after="0"/>
        <w:tabs>
          <w:tab w:leader="none" w:pos="2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Refinancing of Swing Line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86" w:lineRule="auto"/>
        <w:tabs>
          <w:tab w:leader="none" w:pos="648"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and absolute discretion may request, on behalf of the Borrower (which hereby irrevocably authorizes the Swing Line Lender to so request on its behalf), that each Lender make a Base Rate Loan in an amount equal to such Lender’s Pro Rata Share of the amount of Swing Line Loans then outstanding. Such request shall be made in writing (which written request shall be deemed to be a Borrowing Notice with respect to Committed Loans for purposes hereof) and in accordance with the requirements of </w:t>
      </w:r>
      <w:r>
        <w:rPr>
          <w:rFonts w:ascii="Arial" w:cs="Arial" w:eastAsia="Arial" w:hAnsi="Arial"/>
          <w:sz w:val="16"/>
          <w:szCs w:val="16"/>
          <w:b w:val="1"/>
          <w:bCs w:val="1"/>
          <w:i w:val="1"/>
          <w:iCs w:val="1"/>
          <w:color w:val="auto"/>
        </w:rPr>
        <w:t>Section 2.03</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Aggregate Commitments and the conditions set forth in </w:t>
      </w:r>
      <w:r>
        <w:rPr>
          <w:rFonts w:ascii="Arial" w:cs="Arial" w:eastAsia="Arial" w:hAnsi="Arial"/>
          <w:sz w:val="16"/>
          <w:szCs w:val="16"/>
          <w:b w:val="1"/>
          <w:bCs w:val="1"/>
          <w:i w:val="1"/>
          <w:iCs w:val="1"/>
          <w:color w:val="auto"/>
        </w:rPr>
        <w:t>Section 4.02</w:t>
      </w:r>
      <w:r>
        <w:rPr>
          <w:rFonts w:ascii="Arial" w:cs="Arial" w:eastAsia="Arial" w:hAnsi="Arial"/>
          <w:sz w:val="16"/>
          <w:szCs w:val="16"/>
          <w:color w:val="auto"/>
        </w:rPr>
        <w:t xml:space="preserve">. The Swing Line Lender shall furnish the Borrower with a copy of the applicable Borrowing Notice promptly after delivering such notice to the Administrative Agent. Each Lender shall make an amount equal to its Pro Rata Share of the amount specified in such Borrowing Notice available to the Administrative Agent in immediately available funds for the account of the Swing Line Lender at the Administrative Agent’s Office not later than 1:00 p.m. on the day specified in such Borrowing Notice, whereupon, subject to </w:t>
      </w:r>
      <w:r>
        <w:rPr>
          <w:rFonts w:ascii="Arial" w:cs="Arial" w:eastAsia="Arial" w:hAnsi="Arial"/>
          <w:sz w:val="16"/>
          <w:szCs w:val="16"/>
          <w:b w:val="1"/>
          <w:bCs w:val="1"/>
          <w:i w:val="1"/>
          <w:iCs w:val="1"/>
          <w:color w:val="auto"/>
        </w:rPr>
        <w:t>Section 2.15(c)(ii)</w:t>
      </w:r>
      <w:r>
        <w:rPr>
          <w:rFonts w:ascii="Arial" w:cs="Arial" w:eastAsia="Arial" w:hAnsi="Arial"/>
          <w:sz w:val="16"/>
          <w:szCs w:val="16"/>
          <w:color w:val="auto"/>
        </w:rPr>
        <w:t>, each Lender that so makes funds available shall be deemed to have made a Base Rate Loan to the Borrower in such amount. The Administrative Agent shall remit the funds so received to the Swing Line Lender.</w:t>
      </w:r>
    </w:p>
    <w:p>
      <w:pPr>
        <w:spacing w:after="0" w:line="46" w:lineRule="exact"/>
        <w:rPr>
          <w:rFonts w:ascii="Arial" w:cs="Arial" w:eastAsia="Arial" w:hAnsi="Arial"/>
          <w:sz w:val="16"/>
          <w:szCs w:val="16"/>
          <w:color w:val="auto"/>
        </w:rPr>
      </w:pPr>
    </w:p>
    <w:p>
      <w:pPr>
        <w:jc w:val="both"/>
        <w:ind w:right="40" w:firstLine="443"/>
        <w:spacing w:after="0" w:line="298" w:lineRule="auto"/>
        <w:tabs>
          <w:tab w:leader="none" w:pos="697"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Borrowing of Committed Loans in accordance with </w:t>
      </w:r>
      <w:r>
        <w:rPr>
          <w:rFonts w:ascii="Arial" w:cs="Arial" w:eastAsia="Arial" w:hAnsi="Arial"/>
          <w:sz w:val="16"/>
          <w:szCs w:val="16"/>
          <w:b w:val="1"/>
          <w:bCs w:val="1"/>
          <w:i w:val="1"/>
          <w:iCs w:val="1"/>
          <w:color w:val="auto"/>
        </w:rPr>
        <w:t>Section 2.15(c)(i)</w:t>
      </w:r>
      <w:r>
        <w:rPr>
          <w:rFonts w:ascii="Arial" w:cs="Arial" w:eastAsia="Arial" w:hAnsi="Arial"/>
          <w:sz w:val="16"/>
          <w:szCs w:val="16"/>
          <w:color w:val="auto"/>
        </w:rPr>
        <w:t xml:space="preserve">, the request for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6"/>
          <w:szCs w:val="16"/>
          <w:b w:val="1"/>
          <w:bCs w:val="1"/>
          <w:i w:val="1"/>
          <w:iCs w:val="1"/>
          <w:color w:val="auto"/>
        </w:rPr>
        <w:t>Section 2.15(c)(i)</w:t>
      </w:r>
      <w:r>
        <w:rPr>
          <w:rFonts w:ascii="Arial" w:cs="Arial" w:eastAsia="Arial" w:hAnsi="Arial"/>
          <w:sz w:val="16"/>
          <w:szCs w:val="16"/>
          <w:color w:val="auto"/>
        </w:rPr>
        <w:t xml:space="preserve"> shall be deemed payment in respect of such participation.</w:t>
      </w:r>
    </w:p>
    <w:p>
      <w:pPr>
        <w:spacing w:after="0" w:line="31" w:lineRule="exact"/>
        <w:rPr>
          <w:rFonts w:ascii="Arial" w:cs="Arial" w:eastAsia="Arial" w:hAnsi="Arial"/>
          <w:sz w:val="16"/>
          <w:szCs w:val="16"/>
          <w:color w:val="auto"/>
        </w:rPr>
      </w:pPr>
    </w:p>
    <w:p>
      <w:pPr>
        <w:ind w:right="20" w:firstLine="443"/>
        <w:spacing w:after="0" w:line="288" w:lineRule="auto"/>
        <w:tabs>
          <w:tab w:leader="none" w:pos="745"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6"/>
          <w:szCs w:val="16"/>
          <w:b w:val="1"/>
          <w:bCs w:val="1"/>
          <w:i w:val="1"/>
          <w:iCs w:val="1"/>
          <w:color w:val="auto"/>
        </w:rPr>
        <w:t>Section 2.15(c)</w:t>
      </w:r>
      <w:r>
        <w:rPr>
          <w:rFonts w:ascii="Arial" w:cs="Arial" w:eastAsia="Arial" w:hAnsi="Arial"/>
          <w:sz w:val="16"/>
          <w:szCs w:val="16"/>
          <w:color w:val="auto"/>
        </w:rPr>
        <w:t xml:space="preserve"> by the time specified in </w:t>
      </w:r>
      <w:r>
        <w:rPr>
          <w:rFonts w:ascii="Arial" w:cs="Arial" w:eastAsia="Arial" w:hAnsi="Arial"/>
          <w:sz w:val="16"/>
          <w:szCs w:val="16"/>
          <w:b w:val="1"/>
          <w:bCs w:val="1"/>
          <w:i w:val="1"/>
          <w:iCs w:val="1"/>
          <w:color w:val="auto"/>
        </w:rPr>
        <w:t>Section 2.15(c)(i)</w:t>
      </w:r>
      <w:r>
        <w:rPr>
          <w:rFonts w:ascii="Arial" w:cs="Arial" w:eastAsia="Arial" w:hAnsi="Arial"/>
          <w:sz w:val="16"/>
          <w:szCs w:val="16"/>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Committed Loan included in the relevant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38" w:lineRule="exact"/>
        <w:rPr>
          <w:rFonts w:ascii="Arial" w:cs="Arial" w:eastAsia="Arial" w:hAnsi="Arial"/>
          <w:sz w:val="16"/>
          <w:szCs w:val="16"/>
          <w:color w:val="auto"/>
        </w:rPr>
      </w:pPr>
    </w:p>
    <w:p>
      <w:pPr>
        <w:ind w:left="740" w:hanging="297"/>
        <w:spacing w:after="0"/>
        <w:tabs>
          <w:tab w:leader="none" w:pos="7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Each Lender’s obligation to make Committed Loans or to purchase and fund risk participations in Swing Line Loans pursuant to this</w:t>
      </w:r>
    </w:p>
    <w:p>
      <w:pPr>
        <w:spacing w:after="0" w:line="3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b w:val="1"/>
          <w:bCs w:val="1"/>
          <w:i w:val="1"/>
          <w:iCs w:val="1"/>
          <w:color w:val="auto"/>
        </w:rPr>
        <w:t xml:space="preserve">Section 2.15(c) </w:t>
      </w:r>
      <w:r>
        <w:rPr>
          <w:rFonts w:ascii="Arial" w:cs="Arial" w:eastAsia="Arial" w:hAnsi="Arial"/>
          <w:sz w:val="18"/>
          <w:szCs w:val="18"/>
          <w:color w:val="auto"/>
        </w:rPr>
        <w:t>shall be absolute and unconditional and shall not be affected by any circumstance, including (A) any setoff, counterclaim, recoupment,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defense or other right which such Lender may have against the Swing Line Lender, the Borrower or any other Person for any reason whatsoever, (B) the occurrence or</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700" w:top="280" w:right="259" w:bottom="1440" w:gutter="0" w:footer="0" w:header="0"/>
        </w:sectPr>
      </w:pPr>
    </w:p>
    <w:bookmarkStart w:id="49" w:name="page50"/>
    <w:bookmarkEnd w:id="49"/>
    <w:p>
      <w:pPr>
        <w:ind w:left="4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continuance of a Default or an Event of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Lender’s obligation to make Committed Loans pursuant to this </w:t>
      </w:r>
      <w:r>
        <w:rPr>
          <w:rFonts w:ascii="Arial" w:cs="Arial" w:eastAsia="Arial" w:hAnsi="Arial"/>
          <w:sz w:val="18"/>
          <w:szCs w:val="18"/>
          <w:b w:val="1"/>
          <w:bCs w:val="1"/>
          <w:i w:val="1"/>
          <w:iCs w:val="1"/>
          <w:color w:val="auto"/>
        </w:rPr>
        <w:t>Section 2.15(c))</w:t>
      </w:r>
      <w:r>
        <w:rPr>
          <w:rFonts w:ascii="Arial" w:cs="Arial" w:eastAsia="Arial" w:hAnsi="Arial"/>
          <w:sz w:val="18"/>
          <w:szCs w:val="18"/>
          <w:color w:val="auto"/>
        </w:rPr>
        <w:t xml:space="preserve"> is subject to the conditions set forth in </w:t>
      </w:r>
      <w:r>
        <w:rPr>
          <w:rFonts w:ascii="Arial" w:cs="Arial" w:eastAsia="Arial" w:hAnsi="Arial"/>
          <w:sz w:val="18"/>
          <w:szCs w:val="18"/>
          <w:b w:val="1"/>
          <w:bCs w:val="1"/>
          <w:i w:val="1"/>
          <w:iCs w:val="1"/>
          <w:color w:val="auto"/>
        </w:rPr>
        <w:t>Section 4.02</w:t>
      </w:r>
      <w:r>
        <w:rPr>
          <w:rFonts w:ascii="Arial" w:cs="Arial" w:eastAsia="Arial" w:hAnsi="Arial"/>
          <w:sz w:val="18"/>
          <w:szCs w:val="18"/>
          <w:color w:val="auto"/>
        </w:rPr>
        <w:t>. No such funding of risk participations shall relieve or otherwise impair the obligation of the Borrower to repay Swing Line Loans, together with interest as provided herein.</w:t>
      </w:r>
    </w:p>
    <w:p>
      <w:pPr>
        <w:spacing w:after="0" w:line="143" w:lineRule="exact"/>
        <w:rPr>
          <w:sz w:val="20"/>
          <w:szCs w:val="20"/>
          <w:color w:val="auto"/>
        </w:rPr>
      </w:pPr>
    </w:p>
    <w:p>
      <w:pPr>
        <w:ind w:left="680" w:hanging="256"/>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20" w:right="20" w:firstLine="443"/>
        <w:spacing w:after="0" w:line="259" w:lineRule="auto"/>
        <w:tabs>
          <w:tab w:leader="none" w:pos="10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Pro Rata Share thereof in the same funds as those received by the Swing Line Lender.</w:t>
      </w:r>
    </w:p>
    <w:p>
      <w:pPr>
        <w:spacing w:after="0" w:line="59" w:lineRule="exact"/>
        <w:rPr>
          <w:rFonts w:ascii="Arial" w:cs="Arial" w:eastAsia="Arial" w:hAnsi="Arial"/>
          <w:sz w:val="18"/>
          <w:szCs w:val="18"/>
          <w:color w:val="auto"/>
        </w:rPr>
      </w:pPr>
    </w:p>
    <w:p>
      <w:pPr>
        <w:ind w:left="420" w:firstLine="443"/>
        <w:spacing w:after="0" w:line="291" w:lineRule="auto"/>
        <w:tabs>
          <w:tab w:leader="none" w:pos="1117"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6"/>
          <w:szCs w:val="16"/>
          <w:b w:val="1"/>
          <w:bCs w:val="1"/>
          <w:i w:val="1"/>
          <w:iCs w:val="1"/>
          <w:color w:val="auto"/>
        </w:rPr>
        <w:t>Section 10.06</w:t>
      </w:r>
      <w:r>
        <w:rPr>
          <w:rFonts w:ascii="Arial" w:cs="Arial" w:eastAsia="Arial" w:hAnsi="Arial"/>
          <w:sz w:val="16"/>
          <w:szCs w:val="16"/>
          <w:color w:val="auto"/>
        </w:rPr>
        <w:t xml:space="preserve"> (including pursuant to any settlement entered into by the Swing Line Lender in its discretion), each Lender shall pay to the Swing Line Lender its Pro Rata Share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120" w:lineRule="exact"/>
        <w:rPr>
          <w:rFonts w:ascii="Arial" w:cs="Arial" w:eastAsia="Arial" w:hAnsi="Arial"/>
          <w:sz w:val="16"/>
          <w:szCs w:val="16"/>
          <w:color w:val="auto"/>
        </w:rPr>
      </w:pPr>
    </w:p>
    <w:p>
      <w:pPr>
        <w:ind w:left="-40" w:right="320" w:firstLine="464"/>
        <w:spacing w:after="0" w:line="306"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Interest for Account of Swing Line Lender</w:t>
      </w:r>
      <w:r>
        <w:rPr>
          <w:rFonts w:ascii="Arial" w:cs="Arial" w:eastAsia="Arial" w:hAnsi="Arial"/>
          <w:sz w:val="16"/>
          <w:szCs w:val="16"/>
          <w:color w:val="auto"/>
        </w:rPr>
        <w:t xml:space="preserve">. The Swing Line Lender shall be responsible for invoicing the Borrower for interest on the Swing Line Loans. Until each Lender funds its Base Rate Loan or risk participation pursuant to this </w:t>
      </w:r>
      <w:r>
        <w:rPr>
          <w:rFonts w:ascii="Arial" w:cs="Arial" w:eastAsia="Arial" w:hAnsi="Arial"/>
          <w:sz w:val="16"/>
          <w:szCs w:val="16"/>
          <w:b w:val="1"/>
          <w:bCs w:val="1"/>
          <w:i w:val="1"/>
          <w:iCs w:val="1"/>
          <w:color w:val="auto"/>
        </w:rPr>
        <w:t>Section 2.15</w:t>
      </w:r>
      <w:r>
        <w:rPr>
          <w:rFonts w:ascii="Arial" w:cs="Arial" w:eastAsia="Arial" w:hAnsi="Arial"/>
          <w:sz w:val="16"/>
          <w:szCs w:val="16"/>
          <w:color w:val="auto"/>
        </w:rPr>
        <w:t xml:space="preserve"> to refinance such Lender’s Pro Rata Share of any Swing Line Loan, interest in respect of such Pro Rata Share shall be solely for the account of the Swing Line Lender.</w:t>
      </w:r>
    </w:p>
    <w:p>
      <w:pPr>
        <w:spacing w:after="0" w:line="106" w:lineRule="exact"/>
        <w:rPr>
          <w:rFonts w:ascii="Arial" w:cs="Arial" w:eastAsia="Arial" w:hAnsi="Arial"/>
          <w:sz w:val="16"/>
          <w:szCs w:val="16"/>
          <w:color w:val="auto"/>
        </w:rPr>
      </w:pPr>
    </w:p>
    <w:p>
      <w:pPr>
        <w:ind w:left="-40" w:right="20" w:firstLine="464"/>
        <w:spacing w:after="0" w:line="268" w:lineRule="auto"/>
        <w:tabs>
          <w:tab w:leader="none" w:pos="63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 shall make all payments of principal and interest in respect of the Swing Line Loans directly to the Swing Line Lender.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3.01 Taxes</w:t>
      </w:r>
      <w:r>
        <w:rPr>
          <w:rFonts w:ascii="Arial" w:cs="Arial" w:eastAsia="Arial" w:hAnsi="Arial"/>
          <w:sz w:val="18"/>
          <w:szCs w:val="18"/>
          <w:color w:val="auto"/>
        </w:rPr>
        <w:t>.</w:t>
      </w:r>
    </w:p>
    <w:p>
      <w:pPr>
        <w:spacing w:after="0" w:line="96" w:lineRule="exact"/>
        <w:rPr>
          <w:sz w:val="20"/>
          <w:szCs w:val="20"/>
          <w:color w:val="auto"/>
        </w:rPr>
      </w:pPr>
    </w:p>
    <w:p>
      <w:pPr>
        <w:ind w:left="-40" w:firstLine="464"/>
        <w:spacing w:after="0" w:line="290" w:lineRule="auto"/>
        <w:tabs>
          <w:tab w:leader="none" w:pos="65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xml:space="preserve">. Any and all payments by or on account of any obligation of the Borrower hereunder or under any other Loan Document shall be made free and clear of and without reduction or withholding for any Indemnified Taxes or Other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or the Guarantor shall be required by applicable law to deduct any Indemnified Taxes (including any Other Taxes) from such payments made by it, then (i) the sum payable shall be increased as necessary so that after making all required deductions (including deductions applicable to additional sums payable under this Section) the Administrative Agent, Lender(s) or L/C Issuer, as the case may be, receives an amount equal to the sum it would have received had no such deductions been made, (ii) the Borrower (or the Guarantor, as applicable) shall make such deductions and (iii) the Borrower (or the Guarantor, as applicable) shall timely pay the full amount deducted to the relevant Governmental Authority in accordance with applicable law.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80" w:top="280" w:right="279" w:bottom="1440" w:gutter="0" w:footer="0" w:header="0"/>
        </w:sectPr>
      </w:pPr>
    </w:p>
    <w:bookmarkStart w:id="50" w:name="page51"/>
    <w:bookmarkEnd w:id="50"/>
    <w:p>
      <w:pPr>
        <w:ind w:right="60" w:firstLine="464"/>
        <w:spacing w:after="0" w:line="268"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of Other Taxes by the Borrower</w:t>
      </w:r>
      <w:r>
        <w:rPr>
          <w:rFonts w:ascii="Arial" w:cs="Arial" w:eastAsia="Arial" w:hAnsi="Arial"/>
          <w:sz w:val="18"/>
          <w:szCs w:val="18"/>
          <w:color w:val="auto"/>
        </w:rPr>
        <w:t>. Without limiting the provisions of paragraph (a) above, the Borrower shall timely pay any Other Taxes to the relevant Governmental Authority in accordance with applicable law.</w:t>
      </w:r>
    </w:p>
    <w:p>
      <w:pPr>
        <w:spacing w:after="0" w:line="131" w:lineRule="exact"/>
        <w:rPr>
          <w:rFonts w:ascii="Arial" w:cs="Arial" w:eastAsia="Arial" w:hAnsi="Arial"/>
          <w:sz w:val="18"/>
          <w:szCs w:val="18"/>
          <w:color w:val="auto"/>
        </w:rPr>
      </w:pPr>
    </w:p>
    <w:p>
      <w:pPr>
        <w:ind w:right="20" w:firstLine="464"/>
        <w:spacing w:after="0" w:line="253"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the Administrative Agent, each Lender and the L/C Issuer, within 10 days after demand therefor, for the full amount of any Indemnified Taxes or Other Taxes (including Indemnified Taxes or Other Taxes imposed or asserted on or attributable to amounts payable under this Section) paid by the Administrative Agent, such Lender or the L/C Issuer, as the case may be,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w:t>
      </w:r>
    </w:p>
    <w:p>
      <w:pPr>
        <w:spacing w:after="0" w:line="147" w:lineRule="exact"/>
        <w:rPr>
          <w:rFonts w:ascii="Arial" w:cs="Arial" w:eastAsia="Arial" w:hAnsi="Arial"/>
          <w:sz w:val="18"/>
          <w:szCs w:val="18"/>
          <w:color w:val="auto"/>
        </w:rPr>
      </w:pPr>
    </w:p>
    <w:p>
      <w:pPr>
        <w:ind w:firstLine="464"/>
        <w:spacing w:after="0" w:line="256"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Indemnified Taxes or Other Taxes by the Borrower (or the Guarantor, as applicable) to a Governmental Authority, the Borrower (or the Guarantor, as applicable)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43" w:lineRule="exact"/>
        <w:rPr>
          <w:rFonts w:ascii="Arial" w:cs="Arial" w:eastAsia="Arial" w:hAnsi="Arial"/>
          <w:sz w:val="18"/>
          <w:szCs w:val="18"/>
          <w:color w:val="auto"/>
        </w:rPr>
      </w:pPr>
    </w:p>
    <w:p>
      <w:pPr>
        <w:ind w:right="40" w:firstLine="464"/>
        <w:spacing w:after="0" w:line="290" w:lineRule="auto"/>
        <w:tabs>
          <w:tab w:leader="none" w:pos="69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Status of Lenders</w:t>
      </w:r>
      <w:r>
        <w:rPr>
          <w:rFonts w:ascii="Arial" w:cs="Arial" w:eastAsia="Arial" w:hAnsi="Arial"/>
          <w:sz w:val="16"/>
          <w:szCs w:val="16"/>
          <w:color w:val="auto"/>
        </w:rPr>
        <w:t>. Any Foreign Lender that is entitled to an exemption from or reduction of withholding tax under the law of the jurisdiction in which the Borrower is resident for tax purposes, or any treaty to which such jurisdiction is a party, with respect to payments hereunder or under any other Loan Document shall deliver to the Borrower (with a copy to the Administrative Agent), at the time or times prescribed by applicable law or reasonably requested by the Borrower or the Administrative Agent, such properly completed and executed documentation prescribed by applicable law as will permit such payments to be made without withholding or at a reduced rate of withholding.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spacing w:after="0" w:line="11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Without limiting the generality of the foregoing, in the event that the Borrower is resident for tax purposes in the United States of America, any Foreign Lender shall deliver to the Borrower and the Administrative Agent (in such number of copies as shall be requested by the recipient)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w:t>
      </w:r>
    </w:p>
    <w:p>
      <w:pPr>
        <w:spacing w:after="0" w:line="32" w:lineRule="exact"/>
        <w:rPr>
          <w:sz w:val="20"/>
          <w:szCs w:val="20"/>
          <w:color w:val="auto"/>
        </w:rPr>
      </w:pPr>
    </w:p>
    <w:p>
      <w:pPr>
        <w:ind w:left="460" w:right="240" w:firstLine="443"/>
        <w:spacing w:after="0" w:line="268" w:lineRule="auto"/>
        <w:tabs>
          <w:tab w:leader="none" w:pos="11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duly completed copies of Internal Revenue Service Form W-8BEN claiming eligibility for benefits of an income tax treaty to which the United States of America is a party,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duly completed copies of Internal Revenue Service Form W-8ECI,</w:t>
      </w:r>
    </w:p>
    <w:p>
      <w:pPr>
        <w:spacing w:after="0" w:line="90" w:lineRule="exact"/>
        <w:rPr>
          <w:rFonts w:ascii="Arial" w:cs="Arial" w:eastAsia="Arial" w:hAnsi="Arial"/>
          <w:sz w:val="18"/>
          <w:szCs w:val="18"/>
          <w:color w:val="auto"/>
        </w:rPr>
      </w:pPr>
    </w:p>
    <w:p>
      <w:pPr>
        <w:ind w:left="460" w:right="100" w:firstLine="443"/>
        <w:spacing w:after="0" w:line="256" w:lineRule="auto"/>
        <w:tabs>
          <w:tab w:leader="none" w:pos="12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 within the meaning of section 881(c)(3)(B) of the Code, or (C) a “controlled foreign corporation” described in section 881(c)(3)(C) of the Code and (y) duly completed copies of Internal Revenue Service Form W-8BEN, 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51" w:name="page52"/>
    <w:bookmarkEnd w:id="51"/>
    <w:p>
      <w:pPr>
        <w:ind w:left="460" w:right="80" w:firstLine="443"/>
        <w:spacing w:after="0" w:line="259" w:lineRule="auto"/>
        <w:tabs>
          <w:tab w:leader="none" w:pos="1196" w:val="left"/>
        </w:tabs>
        <w:numPr>
          <w:ilvl w:val="1"/>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form prescribed by applicable law as a basis for claiming exemption from or a reduction in United States Federal withholding tax duly completed together with such supplementary documentation as may be prescribed by applicable law to permit the Borrower to determine the withholding or deduction required to be made.</w:t>
      </w:r>
    </w:p>
    <w:p>
      <w:pPr>
        <w:spacing w:after="0" w:line="140" w:lineRule="exact"/>
        <w:rPr>
          <w:rFonts w:ascii="Arial" w:cs="Arial" w:eastAsia="Arial" w:hAnsi="Arial"/>
          <w:sz w:val="18"/>
          <w:szCs w:val="18"/>
          <w:color w:val="auto"/>
        </w:rPr>
      </w:pPr>
    </w:p>
    <w:p>
      <w:pPr>
        <w:ind w:firstLine="464"/>
        <w:spacing w:after="0" w:line="286" w:lineRule="auto"/>
        <w:tabs>
          <w:tab w:leader="none" w:pos="676"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a Lender or the L/C Issuer determines, in its sole discretion, that it has received a refund of any Taxes or Other Taxes as to which it has been indemnified by the Borrower (or the Guarantor, as applicable) or with respect to which the Borrower has paid additional amounts pursuant to this Section, it shall pay to the Borrower (or the Guarantor, as applicable) an amount equal to such refund (but only to the extent of indemnity payments made, or additional amounts paid, by the Borrower (or the Guarantor, as applicable) under this Section with respect to the Taxes or Other Taxes giving rise to such refund), net of all out-of-pocket expenses of the Administrative Agent, such Lender or the L/C Issuer,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(or the Guarantor, as applicable), upon the request of the Administrative Agent, such Lender or the L/C Issuer, agrees to repay the amount paid over to the Borrower (or the Guarantor, as applicable) (plus any penalties, interest or other charges imposed by the relevant Governmental Authority) to the Administrative Agent, such Lender or the L/C Issuer in the event the Administrative Agent, such Lender or the L/C Issuer is required to repay such refund to such Governmental Authority. This paragraph shall not be construed to require the Administrative Agent, any Lender or the L/C Issuer to make available its tax returns (or any other information relating to its taxes that it deems confidential) to the Borrower or any other Person.</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3.02 Illegality</w:t>
      </w:r>
      <w:r>
        <w:rPr>
          <w:rFonts w:ascii="Arial" w:cs="Arial" w:eastAsia="Arial" w:hAnsi="Arial"/>
          <w:sz w:val="16"/>
          <w:szCs w:val="16"/>
          <w:color w:val="auto"/>
        </w:rPr>
        <w:t>. If any Lender determines that any Law has made it unlawful, or that any Governmental Authority has asserted that it is unlawful,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or its applicable Lending Office to make, maintain or fund Eurodollar Rate Loans, or materially restricts the authority of such Lender to purchase or sell, or to take deposits of, Dollars in the applicable offshore Dollar market, or to determine or charge interest rates based upon the Eurodollar Rate, then, on notice thereof by such Lender to the Borrower through the Administrative Agent, any obligation of such Lender to make or continue Eurodollar Rate Loans or to convert Base Rate Loans to Eurodollar Rate Loans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convert all Eurodollar Rate Loans of such Lender to Base Rate Loans, either on the last day of the Interest Period thereof, if such Lender may lawfully continue to maintain such Eurodollar Rate Loans to such day, or immediately, if such Lender may not lawfully continue to maintain such Eurodollar Rate Loans. Upon any such prepayment or conversion, the Borrower shall also pay interest on the amount so prepaid or converted. Each Lender agrees to designate a different Lending Office if such designation will avoid the need for such notice and will not, in the reasonable judgment of such Lender, otherwise be materially disadvantageous to such Lender.</w:t>
      </w:r>
    </w:p>
    <w:p>
      <w:pPr>
        <w:spacing w:after="0" w:line="119"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3.03 Inability to Determine Rates</w:t>
      </w:r>
      <w:r>
        <w:rPr>
          <w:rFonts w:ascii="Arial" w:cs="Arial" w:eastAsia="Arial" w:hAnsi="Arial"/>
          <w:sz w:val="16"/>
          <w:szCs w:val="16"/>
          <w:color w:val="auto"/>
        </w:rPr>
        <w:t>. If the Administrative Agent determines in connection with any request for a Eurodollar Rate Loan or a conversion to</w:t>
      </w:r>
      <w:r>
        <w:rPr>
          <w:rFonts w:ascii="Arial" w:cs="Arial" w:eastAsia="Arial" w:hAnsi="Arial"/>
          <w:sz w:val="16"/>
          <w:szCs w:val="16"/>
          <w:b w:val="1"/>
          <w:bCs w:val="1"/>
          <w:color w:val="auto"/>
        </w:rPr>
        <w:t xml:space="preserve"> </w:t>
      </w:r>
      <w:r>
        <w:rPr>
          <w:rFonts w:ascii="Arial" w:cs="Arial" w:eastAsia="Arial" w:hAnsi="Arial"/>
          <w:sz w:val="16"/>
          <w:szCs w:val="16"/>
          <w:color w:val="auto"/>
        </w:rPr>
        <w:t>or continuation thereof that (a) Dollar deposits are not being offered to banks in the applicable offshore Dollar market for the applicable amount and Interest Period of such Eurodollar Rate Loan, or adequate and reasonable means do not exist for determining the Eurodollar Rate for such Eurodollar Rate Loan, or (b) if the Required Lenders determine and notify the Administrative Agent that the Eurodollar Rate for such Eurodollar Rate Loan does not adequately and fairly reflect the cost to the Lenders of funding such Eurodollar Rate Loan, then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52" w:name="page53"/>
    <w:bookmarkEnd w:id="52"/>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Administrative Agent will promptly notify the Borrower and all Lenders. Thereafter, the obligation of the Lenders to make or maintain Eurodollar Rate Loans shall be suspended until the Administrative Agent revokes such notice. Upon receipt of such notice, the Borrower may revoke any pending request for a Borrowing, conversion or continuation of Eurodollar Rate Loans or, failing that, will be deemed to have converted such request into a request for a Borrowing of Base Rate Loans in the amount specified therein.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3.04 Increased Cost; Reserves on Eurodollar Rate Loans</w:t>
      </w:r>
      <w:r>
        <w:rPr>
          <w:rFonts w:ascii="Arial" w:cs="Arial" w:eastAsia="Arial" w:hAnsi="Arial"/>
          <w:sz w:val="18"/>
          <w:szCs w:val="18"/>
          <w:color w:val="auto"/>
        </w:rPr>
        <w:t>.</w:t>
      </w:r>
    </w:p>
    <w:p>
      <w:pPr>
        <w:spacing w:after="0" w:line="96" w:lineRule="exact"/>
        <w:rPr>
          <w:sz w:val="20"/>
          <w:szCs w:val="20"/>
          <w:color w:val="auto"/>
        </w:rPr>
      </w:pPr>
    </w:p>
    <w:p>
      <w:pPr>
        <w:ind w:left="700" w:hanging="23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or L/C Issuer;</w:t>
      </w:r>
    </w:p>
    <w:p>
      <w:pPr>
        <w:spacing w:after="0" w:line="50" w:lineRule="exact"/>
        <w:rPr>
          <w:rFonts w:ascii="Arial" w:cs="Arial" w:eastAsia="Arial" w:hAnsi="Arial"/>
          <w:sz w:val="18"/>
          <w:szCs w:val="18"/>
          <w:color w:val="auto"/>
        </w:rPr>
      </w:pPr>
    </w:p>
    <w:p>
      <w:pPr>
        <w:ind w:left="460" w:firstLine="443"/>
        <w:spacing w:after="0" w:line="256" w:lineRule="auto"/>
        <w:tabs>
          <w:tab w:leader="none" w:pos="1157"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subject any Lender or L/C Issuer to any tax of any kind whatsoever with respect to this Agreement, any Letter of Credit, any participation in a Letter of Credit or any Eurodollar Rate Loan made by it, or change the basis of taxation of payments to such Lender or L/C Issuer in respect thereof (except for Indemnified Taxes or Other Taxes covered by </w:t>
      </w:r>
      <w:r>
        <w:rPr>
          <w:rFonts w:ascii="Arial" w:cs="Arial" w:eastAsia="Arial" w:hAnsi="Arial"/>
          <w:sz w:val="18"/>
          <w:szCs w:val="18"/>
          <w:b w:val="1"/>
          <w:bCs w:val="1"/>
          <w:i w:val="1"/>
          <w:iCs w:val="1"/>
          <w:color w:val="auto"/>
        </w:rPr>
        <w:t>Section 3.01</w:t>
      </w:r>
      <w:r>
        <w:rPr>
          <w:rFonts w:ascii="Arial" w:cs="Arial" w:eastAsia="Arial" w:hAnsi="Arial"/>
          <w:sz w:val="18"/>
          <w:szCs w:val="18"/>
          <w:color w:val="auto"/>
        </w:rPr>
        <w:t xml:space="preserve"> and the imposition of, or any change in the rate of, any Excluded Tax payable by such Lender or L/C Issuer); or</w:t>
      </w:r>
    </w:p>
    <w:p>
      <w:pPr>
        <w:spacing w:after="0" w:line="62" w:lineRule="exact"/>
        <w:rPr>
          <w:rFonts w:ascii="Arial" w:cs="Arial" w:eastAsia="Arial" w:hAnsi="Arial"/>
          <w:sz w:val="18"/>
          <w:szCs w:val="18"/>
          <w:color w:val="auto"/>
        </w:rPr>
      </w:pPr>
    </w:p>
    <w:p>
      <w:pPr>
        <w:ind w:left="460" w:right="60" w:firstLine="443"/>
        <w:spacing w:after="0" w:line="268" w:lineRule="auto"/>
        <w:tabs>
          <w:tab w:leader="none" w:pos="1205" w:val="left"/>
        </w:tabs>
        <w:numPr>
          <w:ilvl w:val="1"/>
          <w:numId w:val="68"/>
        </w:numPr>
        <w:rPr>
          <w:rFonts w:ascii="Arial" w:cs="Arial" w:eastAsia="Arial" w:hAnsi="Arial"/>
          <w:sz w:val="18"/>
          <w:szCs w:val="18"/>
          <w:color w:val="auto"/>
        </w:rPr>
      </w:pPr>
      <w:r>
        <w:rPr>
          <w:rFonts w:ascii="Arial" w:cs="Arial" w:eastAsia="Arial" w:hAnsi="Arial"/>
          <w:sz w:val="18"/>
          <w:szCs w:val="18"/>
          <w:color w:val="auto"/>
        </w:rPr>
        <w:t>impose on any Lender or L/C Issuer or the London interbank market any other condition, cost or expense affecting this Agreement or Eurodollar Rate Loans made by such Lender or any Letter of Credit or participation therein;</w:t>
      </w:r>
    </w:p>
    <w:p>
      <w:pPr>
        <w:spacing w:after="0" w:line="13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Eurodollar Rate Loan (or of maintaining its obligation to make any such Loan), or to increase the cost to such Lender or L/C Issuer of participating in, issuing or maintaining any Letter of Credit (or of maintaining its obligation to participate in or to issue any Letter of Credit), or to reduce the amount of any sum received or receivable by such Lender or L/C Issuer hereunder (whether of principal, interest or any other amount) then, upon request of such Lender or L/C Issuer, the Borrower will pay to such Lender or L/C Issuer, as the case may be, such additional amount or amounts as will compensate such Lender or L/C Issuer, as the case may be, for such additional costs incurred or reduction suffered.</w:t>
      </w:r>
    </w:p>
    <w:p>
      <w:pPr>
        <w:spacing w:after="0" w:line="144" w:lineRule="exact"/>
        <w:rPr>
          <w:sz w:val="20"/>
          <w:szCs w:val="20"/>
          <w:color w:val="auto"/>
        </w:rPr>
      </w:pPr>
    </w:p>
    <w:p>
      <w:pPr>
        <w:ind w:right="40" w:firstLine="464"/>
        <w:spacing w:after="0" w:line="289" w:lineRule="auto"/>
        <w:tabs>
          <w:tab w:leader="none" w:pos="70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L/C Issuer determines that any Change in Law affecting such Lender or L/C Issuer or any Lending Office of such Lender or such Lender’s or L/C Issuer’s holding company, if any, regarding capital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held by, such Lender, or the Letters of Credit issued by such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the Borrower will pay to such Lender or L/C Issuer, as the case may be, such additional amount or amounts as will compensate such Lender or L/C Issuer or such Lender’s or L/C Issuer’s holding company for any such reduction suffered.</w:t>
      </w:r>
    </w:p>
    <w:p>
      <w:pPr>
        <w:spacing w:after="0" w:line="118" w:lineRule="exact"/>
        <w:rPr>
          <w:rFonts w:ascii="Arial" w:cs="Arial" w:eastAsia="Arial" w:hAnsi="Arial"/>
          <w:sz w:val="16"/>
          <w:szCs w:val="16"/>
          <w:color w:val="auto"/>
        </w:rPr>
      </w:pPr>
    </w:p>
    <w:p>
      <w:pPr>
        <w:ind w:right="380" w:firstLine="464"/>
        <w:spacing w:after="0" w:line="259"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Failure or delay on the part of any Lender or L/C Issuer to demand compensation pursuant to this Section shall not constitute a waiver of such Lender’s or L/C Issuer’s right to demand such compensation, provided that the Borrower shall not be required to compensate a Lender or L/C Issuer pursuant to this Section for any increased costs incurred or reductions suffered more than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53" w:name="page54"/>
    <w:bookmarkEnd w:id="53"/>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nine months prior to the date that such Lender or L/C Issuer, as the case may be, notifies the Borrower of the Change in Law giving rise to such increased costs or reductions and of such Lender’s or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07" w:lineRule="exact"/>
        <w:rPr>
          <w:sz w:val="20"/>
          <w:szCs w:val="20"/>
          <w:color w:val="auto"/>
        </w:rPr>
      </w:pPr>
    </w:p>
    <w:p>
      <w:pPr>
        <w:ind w:right="20" w:firstLine="464"/>
        <w:spacing w:after="0" w:line="291" w:lineRule="auto"/>
        <w:tabs>
          <w:tab w:leader="none" w:pos="70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Borrower shall pay to each Lender, as long as such Lender shall be required under regulations of the Board to maintain reserves with respect to liabilities or assets consisting of or including Eurocurrency funds or deposits (currently known as “Eurocurrency liabilities”), additional costs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provided the Borrower shall have received at least 15 days’ prior notice (with a copy to the Administrative Agent) of such additional interest from such Lender. If a Lender fails to give notice 15 days prior to the relevant Interest Payment Date, such additional interest shall be due and payable 15 days from receipt of such notice.</w:t>
      </w:r>
    </w:p>
    <w:p>
      <w:pPr>
        <w:spacing w:after="0" w:line="11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3.05 Funding Losses</w:t>
      </w:r>
      <w:r>
        <w:rPr>
          <w:rFonts w:ascii="Arial" w:cs="Arial" w:eastAsia="Arial" w:hAnsi="Arial"/>
          <w:sz w:val="18"/>
          <w:szCs w:val="18"/>
          <w:color w:val="auto"/>
        </w:rPr>
        <w:t>. Upon demand of any Lender (with a copy to the Administrative Agent) from time to time, the Borrower shall promptly compensate</w:t>
      </w:r>
      <w:r>
        <w:rPr>
          <w:rFonts w:ascii="Arial" w:cs="Arial" w:eastAsia="Arial" w:hAnsi="Arial"/>
          <w:sz w:val="18"/>
          <w:szCs w:val="18"/>
          <w:b w:val="1"/>
          <w:bCs w:val="1"/>
          <w:color w:val="auto"/>
        </w:rPr>
        <w:t xml:space="preserve"> </w:t>
      </w:r>
      <w:r>
        <w:rPr>
          <w:rFonts w:ascii="Arial" w:cs="Arial" w:eastAsia="Arial" w:hAnsi="Arial"/>
          <w:sz w:val="18"/>
          <w:szCs w:val="18"/>
          <w:color w:val="auto"/>
        </w:rPr>
        <w:t>such Lender for and hold such Lender harmless from any loss, cost or expense incurred by it as a result of:</w:t>
      </w:r>
    </w:p>
    <w:p>
      <w:pPr>
        <w:spacing w:after="0" w:line="45" w:lineRule="exact"/>
        <w:rPr>
          <w:sz w:val="20"/>
          <w:szCs w:val="20"/>
          <w:color w:val="auto"/>
        </w:rPr>
      </w:pPr>
    </w:p>
    <w:p>
      <w:pPr>
        <w:ind w:right="460" w:firstLine="464"/>
        <w:spacing w:after="0" w:line="268"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Committed Loan other than a Base Rate Loan on a day other than the last day of the Interest Period for such Loan (whether voluntary, mandatory, automatic, by reason of acceleration, or otherwise); or</w:t>
      </w:r>
    </w:p>
    <w:p>
      <w:pPr>
        <w:spacing w:after="0" w:line="13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Committed Loan other than a Base Rate Loan on the date or in the amount notified by the Borrower.</w:t>
      </w:r>
    </w:p>
    <w:p>
      <w:pPr>
        <w:spacing w:after="0" w:line="1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 xml:space="preserve">For purposes of calculating amounts payable by the Borrower to the Lenders under this </w:t>
      </w:r>
      <w:r>
        <w:rPr>
          <w:rFonts w:ascii="Arial" w:cs="Arial" w:eastAsia="Arial" w:hAnsi="Arial"/>
          <w:sz w:val="16"/>
          <w:szCs w:val="16"/>
          <w:b w:val="1"/>
          <w:bCs w:val="1"/>
          <w:i w:val="1"/>
          <w:iCs w:val="1"/>
          <w:color w:val="auto"/>
        </w:rPr>
        <w:t>Section 3.05</w:t>
      </w:r>
      <w:r>
        <w:rPr>
          <w:rFonts w:ascii="Arial" w:cs="Arial" w:eastAsia="Arial" w:hAnsi="Arial"/>
          <w:sz w:val="16"/>
          <w:szCs w:val="16"/>
          <w:color w:val="auto"/>
        </w:rPr>
        <w:t>, each Lender shall be deemed to have funded each Eurodollar Rate Loan made by it at the Eurodollar Rate for such Loan by a matching deposit or other borrowing in the applicable offshore Dollar interbank market for a comparable amount and for a comparable period, whether or not such Eurodollar Rate Loan was in fact so funded.</w:t>
      </w:r>
    </w:p>
    <w:p>
      <w:pPr>
        <w:spacing w:after="0" w:line="101"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b w:val="1"/>
          <w:bCs w:val="1"/>
          <w:color w:val="auto"/>
        </w:rPr>
        <w:t>3.06 Matters Applicable to all Requests for Compensation</w:t>
      </w:r>
      <w:r>
        <w:rPr>
          <w:rFonts w:ascii="Arial" w:cs="Arial" w:eastAsia="Arial" w:hAnsi="Arial"/>
          <w:sz w:val="16"/>
          <w:szCs w:val="16"/>
          <w:color w:val="auto"/>
        </w:rPr>
        <w:t>. A certificate of the Administrative Agent or any Lender claiming compensation under this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Article III </w:t>
      </w:r>
      <w:r>
        <w:rPr>
          <w:rFonts w:ascii="Arial" w:cs="Arial" w:eastAsia="Arial" w:hAnsi="Arial"/>
          <w:sz w:val="16"/>
          <w:szCs w:val="16"/>
          <w:color w:val="auto"/>
        </w:rPr>
        <w:t>and setting forth the additional amount or amounts to be paid to it hereunder shall be conclusive in the absence of manifest error. In determining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the Administrative Agent or such Lender may use any reasonable averaging and attribution methods.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3.07 Mitigation Obligations; Replacement of Lenders</w:t>
      </w:r>
      <w:r>
        <w:rPr>
          <w:rFonts w:ascii="Arial" w:cs="Arial" w:eastAsia="Arial" w:hAnsi="Arial"/>
          <w:sz w:val="18"/>
          <w:szCs w:val="18"/>
          <w:color w:val="auto"/>
        </w:rPr>
        <w:t>.</w:t>
      </w:r>
    </w:p>
    <w:p>
      <w:pPr>
        <w:spacing w:after="0" w:line="96" w:lineRule="exact"/>
        <w:rPr>
          <w:sz w:val="20"/>
          <w:szCs w:val="20"/>
          <w:color w:val="auto"/>
        </w:rPr>
      </w:pPr>
    </w:p>
    <w:p>
      <w:pPr>
        <w:ind w:right="320" w:firstLine="464"/>
        <w:spacing w:after="0" w:line="254"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b w:val="1"/>
          <w:bCs w:val="1"/>
          <w:i w:val="1"/>
          <w:iCs w:val="1"/>
          <w:color w:val="auto"/>
        </w:rPr>
        <w:t>Section 3.04</w:t>
      </w:r>
      <w:r>
        <w:rPr>
          <w:rFonts w:ascii="Arial" w:cs="Arial" w:eastAsia="Arial" w:hAnsi="Arial"/>
          <w:sz w:val="18"/>
          <w:szCs w:val="18"/>
          <w:color w:val="auto"/>
        </w:rPr>
        <w:t xml:space="preserve">, or requires the Borrower to pay any additional amount to any Lender or any Governmental Authority for the account of any Lender pursuant to </w:t>
      </w:r>
      <w:r>
        <w:rPr>
          <w:rFonts w:ascii="Arial" w:cs="Arial" w:eastAsia="Arial" w:hAnsi="Arial"/>
          <w:sz w:val="18"/>
          <w:szCs w:val="18"/>
          <w:b w:val="1"/>
          <w:bCs w:val="1"/>
          <w:i w:val="1"/>
          <w:iCs w:val="1"/>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b w:val="1"/>
          <w:bCs w:val="1"/>
          <w:i w:val="1"/>
          <w:iCs w:val="1"/>
          <w:color w:val="auto"/>
        </w:rPr>
        <w:t>Section 3.02</w:t>
      </w:r>
      <w:r>
        <w:rPr>
          <w:rFonts w:ascii="Arial" w:cs="Arial" w:eastAsia="Arial" w:hAnsi="Arial"/>
          <w:sz w:val="18"/>
          <w:szCs w:val="18"/>
          <w:color w:val="auto"/>
        </w:rPr>
        <w:t>, then such Lender shall use reasonable efforts to designate a different Lending Office for funding or booking its Loans hereunder or to assign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b w:val="1"/>
          <w:bCs w:val="1"/>
          <w:i w:val="1"/>
          <w:iCs w:val="1"/>
          <w:color w:val="auto"/>
        </w:rPr>
        <w:t>Section 3.01</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3.04</w:t>
      </w:r>
      <w:r>
        <w:rPr>
          <w:rFonts w:ascii="Arial" w:cs="Arial" w:eastAsia="Arial" w:hAnsi="Arial"/>
          <w:sz w:val="18"/>
          <w:szCs w:val="18"/>
          <w:color w:val="auto"/>
        </w:rPr>
        <w:t xml:space="preserve">, as the case may be, or eliminate the need for the notice pursuant to </w:t>
      </w:r>
      <w:r>
        <w:rPr>
          <w:rFonts w:ascii="Arial" w:cs="Arial" w:eastAsia="Arial" w:hAnsi="Arial"/>
          <w:sz w:val="18"/>
          <w:szCs w:val="18"/>
          <w:b w:val="1"/>
          <w:bCs w:val="1"/>
          <w:i w:val="1"/>
          <w:iCs w:val="1"/>
          <w:color w:val="auto"/>
        </w:rPr>
        <w:t>Section 3.02</w:t>
      </w:r>
      <w:r>
        <w:rPr>
          <w:rFonts w:ascii="Arial" w:cs="Arial" w:eastAsia="Arial" w:hAnsi="Arial"/>
          <w:sz w:val="18"/>
          <w:szCs w:val="18"/>
          <w:color w:val="auto"/>
        </w:rPr>
        <w:t>, as applicable and (ii) in each case, would not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54" w:name="page55"/>
    <w:bookmarkEnd w:id="54"/>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32" w:lineRule="exact"/>
        <w:rPr>
          <w:sz w:val="20"/>
          <w:szCs w:val="20"/>
          <w:color w:val="auto"/>
        </w:rPr>
      </w:pPr>
    </w:p>
    <w:p>
      <w:pPr>
        <w:ind w:right="20" w:firstLine="464"/>
        <w:spacing w:after="0" w:line="291" w:lineRule="auto"/>
        <w:tabs>
          <w:tab w:leader="none" w:pos="70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b w:val="1"/>
          <w:bCs w:val="1"/>
          <w:i w:val="1"/>
          <w:iCs w:val="1"/>
          <w:color w:val="auto"/>
        </w:rPr>
        <w:t>Section 3.04</w:t>
      </w:r>
      <w:r>
        <w:rPr>
          <w:rFonts w:ascii="Arial" w:cs="Arial" w:eastAsia="Arial" w:hAnsi="Arial"/>
          <w:sz w:val="16"/>
          <w:szCs w:val="16"/>
          <w:color w:val="auto"/>
        </w:rPr>
        <w:t xml:space="preserve">, or if the Borrower is required to pay any additional amount to any Lender or any Governmental Authority for the account of any Lender pursuant to </w:t>
      </w:r>
      <w:r>
        <w:rPr>
          <w:rFonts w:ascii="Arial" w:cs="Arial" w:eastAsia="Arial" w:hAnsi="Arial"/>
          <w:sz w:val="16"/>
          <w:szCs w:val="16"/>
          <w:b w:val="1"/>
          <w:bCs w:val="1"/>
          <w:i w:val="1"/>
          <w:iCs w:val="1"/>
          <w:color w:val="auto"/>
        </w:rPr>
        <w:t>Section 3.01</w:t>
      </w:r>
      <w:r>
        <w:rPr>
          <w:rFonts w:ascii="Arial" w:cs="Arial" w:eastAsia="Arial" w:hAnsi="Arial"/>
          <w:sz w:val="16"/>
          <w:szCs w:val="16"/>
          <w:color w:val="auto"/>
        </w:rPr>
        <w:t xml:space="preserve">, or if any Lender defaults in its obligation to fund Loans hereunder,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b w:val="1"/>
          <w:bCs w:val="1"/>
          <w:i w:val="1"/>
          <w:iCs w:val="1"/>
          <w:color w:val="auto"/>
        </w:rPr>
        <w:t>Section 10.07</w:t>
      </w:r>
      <w:r>
        <w:rPr>
          <w:rFonts w:ascii="Arial" w:cs="Arial" w:eastAsia="Arial" w:hAnsi="Arial"/>
          <w:sz w:val="16"/>
          <w:szCs w:val="16"/>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9" w:lineRule="exact"/>
        <w:rPr>
          <w:rFonts w:ascii="Arial" w:cs="Arial" w:eastAsia="Arial" w:hAnsi="Arial"/>
          <w:sz w:val="16"/>
          <w:szCs w:val="16"/>
          <w:color w:val="auto"/>
        </w:rPr>
      </w:pPr>
    </w:p>
    <w:p>
      <w:pPr>
        <w:ind w:left="1120" w:hanging="217"/>
        <w:spacing w:after="0"/>
        <w:tabs>
          <w:tab w:leader="none" w:pos="11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b w:val="1"/>
          <w:bCs w:val="1"/>
          <w:i w:val="1"/>
          <w:iCs w:val="1"/>
          <w:color w:val="auto"/>
        </w:rPr>
        <w:t>Section 10.07(b)</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306" w:lineRule="auto"/>
        <w:tabs>
          <w:tab w:leader="none" w:pos="1157"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6"/>
          <w:szCs w:val="16"/>
          <w:b w:val="1"/>
          <w:bCs w:val="1"/>
          <w:i w:val="1"/>
          <w:iCs w:val="1"/>
          <w:color w:val="auto"/>
        </w:rPr>
        <w:t>Section 3.05</w:t>
      </w:r>
      <w:r>
        <w:rPr>
          <w:rFonts w:ascii="Arial" w:cs="Arial" w:eastAsia="Arial" w:hAnsi="Arial"/>
          <w:sz w:val="16"/>
          <w:szCs w:val="16"/>
          <w:color w:val="auto"/>
        </w:rPr>
        <w:t>) from the assignee (to the extent of such outstanding principal and accrued interest and fees) or the Borrower (in the case of all other amounts);</w:t>
      </w:r>
    </w:p>
    <w:p>
      <w:pPr>
        <w:spacing w:after="0" w:line="25" w:lineRule="exact"/>
        <w:rPr>
          <w:rFonts w:ascii="Arial" w:cs="Arial" w:eastAsia="Arial" w:hAnsi="Arial"/>
          <w:sz w:val="16"/>
          <w:szCs w:val="16"/>
          <w:color w:val="auto"/>
        </w:rPr>
      </w:pPr>
    </w:p>
    <w:p>
      <w:pPr>
        <w:ind w:left="460" w:right="280" w:firstLine="443"/>
        <w:spacing w:after="0" w:line="268" w:lineRule="auto"/>
        <w:tabs>
          <w:tab w:leader="none" w:pos="1205"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b w:val="1"/>
          <w:bCs w:val="1"/>
          <w:i w:val="1"/>
          <w:iCs w:val="1"/>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b w:val="1"/>
          <w:bCs w:val="1"/>
          <w:i w:val="1"/>
          <w:iCs w:val="1"/>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26"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3.08 Survival</w:t>
      </w:r>
      <w:r>
        <w:rPr>
          <w:rFonts w:ascii="Arial" w:cs="Arial" w:eastAsia="Arial" w:hAnsi="Arial"/>
          <w:sz w:val="18"/>
          <w:szCs w:val="18"/>
          <w:color w:val="auto"/>
        </w:rPr>
        <w:t>. All of the Borrower’s obligations under this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Commitments and payment in full of all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CONDITIONS PRECEDENT TO BORROWINGS</w:t>
      </w:r>
    </w:p>
    <w:p>
      <w:pPr>
        <w:spacing w:after="0" w:line="159"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b w:val="1"/>
          <w:bCs w:val="1"/>
          <w:color w:val="auto"/>
        </w:rPr>
        <w:t>4.01 Conditions to Credit Extension</w:t>
      </w:r>
      <w:r>
        <w:rPr>
          <w:rFonts w:ascii="Arial" w:cs="Arial" w:eastAsia="Arial" w:hAnsi="Arial"/>
          <w:sz w:val="18"/>
          <w:szCs w:val="18"/>
          <w:color w:val="auto"/>
        </w:rPr>
        <w:t>. The obligation of each Lender to make its initial Credit Extension hereunder is subject to satisfaction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 precedent:</w:t>
      </w:r>
    </w:p>
    <w:p>
      <w:pPr>
        <w:spacing w:after="0" w:line="45" w:lineRule="exact"/>
        <w:rPr>
          <w:sz w:val="20"/>
          <w:szCs w:val="20"/>
          <w:color w:val="auto"/>
        </w:rPr>
      </w:pPr>
    </w:p>
    <w:p>
      <w:pPr>
        <w:ind w:right="400" w:firstLine="464"/>
        <w:spacing w:after="0" w:line="306" w:lineRule="auto"/>
        <w:tabs>
          <w:tab w:leader="none" w:pos="695"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Administrative Agent’s receipt of the following, each of which shall be originals or facsimiles (followed promptly by originals) and unless otherwise specified, each properly executed by an authorized officer of the signing Loan Party, each dated the Closing Date (or, in the case of certificates of governmental officials, a recent date before the Closing Date) and each in form and substance reasonably satisfactory to the Administrative Agent:</w:t>
      </w:r>
    </w:p>
    <w:p>
      <w:pPr>
        <w:spacing w:after="0" w:line="25" w:lineRule="exact"/>
        <w:rPr>
          <w:rFonts w:ascii="Arial" w:cs="Arial" w:eastAsia="Arial" w:hAnsi="Arial"/>
          <w:sz w:val="16"/>
          <w:szCs w:val="16"/>
          <w:color w:val="auto"/>
        </w:rPr>
      </w:pPr>
    </w:p>
    <w:p>
      <w:pPr>
        <w:ind w:left="1120" w:hanging="217"/>
        <w:spacing w:after="0"/>
        <w:tabs>
          <w:tab w:leader="none" w:pos="11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executed counterparts of this Agreement and the Guaranty, each dated as of the Closing Date;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280" w:right="319" w:bottom="1440" w:gutter="0" w:footer="0" w:header="0"/>
        </w:sectPr>
      </w:pPr>
    </w:p>
    <w:bookmarkStart w:id="55" w:name="page56"/>
    <w:bookmarkEnd w:id="55"/>
    <w:p>
      <w:pPr>
        <w:ind w:left="700" w:hanging="257"/>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executed by the Borrower in favor of each Lender requesting such Notes, each dated as of the Closing Date;</w:t>
      </w:r>
    </w:p>
    <w:p>
      <w:pPr>
        <w:spacing w:after="0" w:line="90" w:lineRule="exact"/>
        <w:rPr>
          <w:rFonts w:ascii="Arial" w:cs="Arial" w:eastAsia="Arial" w:hAnsi="Arial"/>
          <w:sz w:val="18"/>
          <w:szCs w:val="18"/>
          <w:color w:val="auto"/>
        </w:rPr>
      </w:pPr>
    </w:p>
    <w:p>
      <w:pPr>
        <w:ind w:right="140" w:firstLine="443"/>
        <w:spacing w:after="0" w:line="259" w:lineRule="auto"/>
        <w:tabs>
          <w:tab w:leader="none" w:pos="7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officers of each Loan Party as the Administrative Agent may require to establish the identities of and verify the authority and capacity of each officer thereof authorized to act in connection with this Agreement and the other Loan Documents to which such Loan Party is a party;</w:t>
      </w:r>
    </w:p>
    <w:p>
      <w:pPr>
        <w:spacing w:after="0" w:line="59" w:lineRule="exact"/>
        <w:rPr>
          <w:rFonts w:ascii="Arial" w:cs="Arial" w:eastAsia="Arial" w:hAnsi="Arial"/>
          <w:sz w:val="18"/>
          <w:szCs w:val="18"/>
          <w:color w:val="auto"/>
        </w:rPr>
      </w:pPr>
    </w:p>
    <w:p>
      <w:pPr>
        <w:ind w:right="240" w:firstLine="443"/>
        <w:spacing w:after="0" w:line="268" w:lineRule="auto"/>
        <w:tabs>
          <w:tab w:leader="none" w:pos="7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evidence as the Administrative Agent may reasonably require to verify that each Loan Party and the General Partner is duly organized or formed, validly existing, in good standing in the jurisdiction of its organization;</w:t>
      </w:r>
    </w:p>
    <w:p>
      <w:pPr>
        <w:spacing w:after="0" w:line="50" w:lineRule="exact"/>
        <w:rPr>
          <w:rFonts w:ascii="Arial" w:cs="Arial" w:eastAsia="Arial" w:hAnsi="Arial"/>
          <w:sz w:val="18"/>
          <w:szCs w:val="18"/>
          <w:color w:val="auto"/>
        </w:rPr>
      </w:pPr>
    </w:p>
    <w:p>
      <w:pPr>
        <w:ind w:firstLine="443"/>
        <w:spacing w:after="0" w:line="286" w:lineRule="auto"/>
        <w:tabs>
          <w:tab w:leader="none" w:pos="687"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a certificate signed by an a Responsible Officer of the Borrower certifying (A) that the representations and warranties contained in </w:t>
      </w:r>
      <w:r>
        <w:rPr>
          <w:rFonts w:ascii="Arial" w:cs="Arial" w:eastAsia="Arial" w:hAnsi="Arial"/>
          <w:sz w:val="16"/>
          <w:szCs w:val="16"/>
          <w:b w:val="1"/>
          <w:bCs w:val="1"/>
          <w:i w:val="1"/>
          <w:iCs w:val="1"/>
          <w:color w:val="auto"/>
        </w:rPr>
        <w:t>Article V</w:t>
      </w:r>
      <w:r>
        <w:rPr>
          <w:rFonts w:ascii="Arial" w:cs="Arial" w:eastAsia="Arial" w:hAnsi="Arial"/>
          <w:sz w:val="16"/>
          <w:szCs w:val="16"/>
          <w:color w:val="auto"/>
        </w:rPr>
        <w:t xml:space="preserve"> are true and correct in all respects on and as of such date, (B) no Default or Event of Default has occurred and is continuing as of such date, (C) since December 31, 2006 there has occurred no material adverse change in the business, assets, liabilities (actual or contingent), operations, condition (financial or otherwise) or prospects of the Borrower, and its Subsidiaries taken as a whole, or of any Borrower Affiliate, (D) there is no litigation, investigation or proceeding known to and affecting the Borrower or any Borrower Affiliate for which the Borrower is required to give notice pursuant to </w:t>
      </w:r>
      <w:r>
        <w:rPr>
          <w:rFonts w:ascii="Arial" w:cs="Arial" w:eastAsia="Arial" w:hAnsi="Arial"/>
          <w:sz w:val="16"/>
          <w:szCs w:val="16"/>
          <w:b w:val="1"/>
          <w:bCs w:val="1"/>
          <w:i w:val="1"/>
          <w:iCs w:val="1"/>
          <w:color w:val="auto"/>
        </w:rPr>
        <w:t>Section 6.03(c)</w:t>
      </w:r>
      <w:r>
        <w:rPr>
          <w:rFonts w:ascii="Arial" w:cs="Arial" w:eastAsia="Arial" w:hAnsi="Arial"/>
          <w:sz w:val="16"/>
          <w:szCs w:val="16"/>
          <w:color w:val="auto"/>
        </w:rPr>
        <w:t xml:space="preserve"> (or, if there is any such litigation, investigation or proceeding, then a notice containing the information required by </w:t>
      </w:r>
      <w:r>
        <w:rPr>
          <w:rFonts w:ascii="Arial" w:cs="Arial" w:eastAsia="Arial" w:hAnsi="Arial"/>
          <w:sz w:val="16"/>
          <w:szCs w:val="16"/>
          <w:b w:val="1"/>
          <w:bCs w:val="1"/>
          <w:i w:val="1"/>
          <w:iCs w:val="1"/>
          <w:color w:val="auto"/>
        </w:rPr>
        <w:t>Section 6.03(c)</w:t>
      </w:r>
      <w:r>
        <w:rPr>
          <w:rFonts w:ascii="Arial" w:cs="Arial" w:eastAsia="Arial" w:hAnsi="Arial"/>
          <w:sz w:val="16"/>
          <w:szCs w:val="16"/>
          <w:color w:val="auto"/>
        </w:rPr>
        <w:t xml:space="preserve"> shall be given concurrently with the delivery of the certificate given pursuant to this </w:t>
      </w:r>
      <w:r>
        <w:rPr>
          <w:rFonts w:ascii="Arial" w:cs="Arial" w:eastAsia="Arial" w:hAnsi="Arial"/>
          <w:sz w:val="16"/>
          <w:szCs w:val="16"/>
          <w:b w:val="1"/>
          <w:bCs w:val="1"/>
          <w:i w:val="1"/>
          <w:iCs w:val="1"/>
          <w:color w:val="auto"/>
        </w:rPr>
        <w:t>clause (v)</w:t>
      </w:r>
      <w:r>
        <w:rPr>
          <w:rFonts w:ascii="Arial" w:cs="Arial" w:eastAsia="Arial" w:hAnsi="Arial"/>
          <w:sz w:val="16"/>
          <w:szCs w:val="16"/>
          <w:color w:val="auto"/>
        </w:rPr>
        <w:t>), (E) no action, suit, investigation or proceeding is pending or threatened in any court or before any arbitrator or Governmental Authority by or against the Borrower or any Borrower Affiliate, or any of their respective properties, that (1) could reasonably be expected to materially and adversely affect the Borrower, any Borrower Affiliate, or the Guarantor, or (2) seeks to affect any transaction contemplated hereby or the ability of the Borrower or the Guarantor to perform its obligations under the Loan Documents, and (F) (1) that attached thereto are true and correct copies of the notices to be delivered to the respective trustees under the Senior Note Indentures required pursuant to the terms of the Senior Note Indentures in order to effectuate the release of the Senior Note Subsidiary Guarantees, and (2) that such notices have been, or are being, delivered to such trustees on the Closing Date;</w:t>
      </w:r>
    </w:p>
    <w:p>
      <w:pPr>
        <w:spacing w:after="0" w:line="39" w:lineRule="exact"/>
        <w:rPr>
          <w:rFonts w:ascii="Arial" w:cs="Arial" w:eastAsia="Arial" w:hAnsi="Arial"/>
          <w:sz w:val="16"/>
          <w:szCs w:val="16"/>
          <w:color w:val="auto"/>
        </w:rPr>
      </w:pPr>
    </w:p>
    <w:p>
      <w:pPr>
        <w:ind w:right="220" w:firstLine="443"/>
        <w:spacing w:after="0" w:line="268" w:lineRule="auto"/>
        <w:tabs>
          <w:tab w:leader="none" w:pos="7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receipt of audited financial statements of the MLP as of December 31, 2006, unaudited financial statements of the MLP as of March 31, 2007, and such other financial information as the Administrative Agent may reasonably request;</w:t>
      </w:r>
    </w:p>
    <w:p>
      <w:pPr>
        <w:spacing w:after="0" w:line="50" w:lineRule="exact"/>
        <w:rPr>
          <w:rFonts w:ascii="Arial" w:cs="Arial" w:eastAsia="Arial" w:hAnsi="Arial"/>
          <w:sz w:val="18"/>
          <w:szCs w:val="18"/>
          <w:color w:val="auto"/>
        </w:rPr>
      </w:pPr>
    </w:p>
    <w:p>
      <w:pPr>
        <w:ind w:right="380" w:firstLine="443"/>
        <w:spacing w:after="0" w:line="332" w:lineRule="auto"/>
        <w:tabs>
          <w:tab w:leader="none" w:pos="784"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opinions from (i) Ballard Spahr Andrews &amp; Ingersoll, LLP, counsel to each Loan Party and the General Partner, substantially in the form of </w:t>
      </w:r>
      <w:r>
        <w:rPr>
          <w:rFonts w:ascii="Arial" w:cs="Arial" w:eastAsia="Arial" w:hAnsi="Arial"/>
          <w:sz w:val="16"/>
          <w:szCs w:val="16"/>
          <w:b w:val="1"/>
          <w:bCs w:val="1"/>
          <w:i w:val="1"/>
          <w:iCs w:val="1"/>
          <w:color w:val="auto"/>
        </w:rPr>
        <w:t xml:space="preserve">Exhibit E-1 </w:t>
      </w:r>
      <w:r>
        <w:rPr>
          <w:rFonts w:ascii="Arial" w:cs="Arial" w:eastAsia="Arial" w:hAnsi="Arial"/>
          <w:sz w:val="16"/>
          <w:szCs w:val="16"/>
          <w:color w:val="auto"/>
        </w:rPr>
        <w:t>hereto, and (ii) Bruce Davis, Esq., counsel to each Loan Party and the General Partner, substantially in the form of</w:t>
      </w:r>
      <w:r>
        <w:rPr>
          <w:rFonts w:ascii="Arial" w:cs="Arial" w:eastAsia="Arial" w:hAnsi="Arial"/>
          <w:sz w:val="16"/>
          <w:szCs w:val="16"/>
          <w:b w:val="1"/>
          <w:bCs w:val="1"/>
          <w:i w:val="1"/>
          <w:iCs w:val="1"/>
          <w:color w:val="auto"/>
        </w:rPr>
        <w:t xml:space="preserve"> Exhibit E-2 </w:t>
      </w:r>
      <w:r>
        <w:rPr>
          <w:rFonts w:ascii="Arial" w:cs="Arial" w:eastAsia="Arial" w:hAnsi="Arial"/>
          <w:sz w:val="16"/>
          <w:szCs w:val="16"/>
          <w:color w:val="auto"/>
        </w:rPr>
        <w:t>hereto;</w:t>
      </w:r>
    </w:p>
    <w:p>
      <w:pPr>
        <w:spacing w:after="0" w:line="4" w:lineRule="exact"/>
        <w:rPr>
          <w:rFonts w:ascii="Arial" w:cs="Arial" w:eastAsia="Arial" w:hAnsi="Arial"/>
          <w:sz w:val="16"/>
          <w:szCs w:val="16"/>
          <w:color w:val="auto"/>
        </w:rPr>
      </w:pPr>
    </w:p>
    <w:p>
      <w:pPr>
        <w:ind w:left="840" w:hanging="397"/>
        <w:spacing w:after="0"/>
        <w:tabs>
          <w:tab w:leader="none" w:pos="8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evidence of termination of the Commitments as defined in Existing Credit Agreement and repayment or refinancing of all loans thereunder; and</w:t>
      </w:r>
    </w:p>
    <w:p>
      <w:pPr>
        <w:spacing w:after="0" w:line="113" w:lineRule="exact"/>
        <w:rPr>
          <w:rFonts w:ascii="Arial" w:cs="Arial" w:eastAsia="Arial" w:hAnsi="Arial"/>
          <w:sz w:val="16"/>
          <w:szCs w:val="16"/>
          <w:color w:val="auto"/>
        </w:rPr>
      </w:pPr>
    </w:p>
    <w:p>
      <w:pPr>
        <w:ind w:right="580" w:firstLine="443"/>
        <w:spacing w:after="0" w:line="268" w:lineRule="auto"/>
        <w:tabs>
          <w:tab w:leader="none" w:pos="7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Administrative Agent, the L/C Issuer, or the Required Lenders reasonably may require.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 Any fees due and payable at the Closing Date shall have been paid.</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700" w:top="280" w:right="239" w:bottom="1440" w:gutter="0" w:footer="0" w:header="0"/>
        </w:sectPr>
      </w:pPr>
    </w:p>
    <w:bookmarkStart w:id="56" w:name="page57"/>
    <w:bookmarkEnd w:id="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The Borrower shall have paid Attorney Costs of the Administrative Agent to the extent invoiced prior to, or on, the Closing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Administrative Agent shall notify the Borrower and the Lenders of the Closing Date, and such notice shall be conclusive and binding.</w:t>
      </w:r>
    </w:p>
    <w:p>
      <w:pPr>
        <w:spacing w:after="0" w:line="165"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4.02 Conditions to all Loans and L/C Credit Extensions</w:t>
      </w:r>
      <w:r>
        <w:rPr>
          <w:rFonts w:ascii="Arial" w:cs="Arial" w:eastAsia="Arial" w:hAnsi="Arial"/>
          <w:sz w:val="18"/>
          <w:szCs w:val="18"/>
          <w:color w:val="auto"/>
        </w:rPr>
        <w:t>. The obligation of each Lender to honor any Borrowing Notice with respect to Committed</w:t>
      </w:r>
      <w:r>
        <w:rPr>
          <w:rFonts w:ascii="Arial" w:cs="Arial" w:eastAsia="Arial" w:hAnsi="Arial"/>
          <w:sz w:val="18"/>
          <w:szCs w:val="18"/>
          <w:b w:val="1"/>
          <w:bCs w:val="1"/>
          <w:color w:val="auto"/>
        </w:rPr>
        <w:t xml:space="preserve"> </w:t>
      </w:r>
      <w:r>
        <w:rPr>
          <w:rFonts w:ascii="Arial" w:cs="Arial" w:eastAsia="Arial" w:hAnsi="Arial"/>
          <w:sz w:val="18"/>
          <w:szCs w:val="18"/>
          <w:color w:val="auto"/>
        </w:rPr>
        <w:t>Loans (other than a Borrowing Notice requesting only a conversion of Committed Loans to the other Type, or a continuation of Committed Loans as the same Type) and the obligation of the L/C Issuer to issue any Letter of Credit and the obligation of the Swing Line Lender to honor any Borrowing Notice with respect to Swing Line Loans is subject to the following conditions precedent:</w:t>
      </w:r>
    </w:p>
    <w:p>
      <w:pPr>
        <w:spacing w:after="0" w:line="61" w:lineRule="exact"/>
        <w:rPr>
          <w:sz w:val="20"/>
          <w:szCs w:val="20"/>
          <w:color w:val="auto"/>
        </w:rPr>
      </w:pPr>
    </w:p>
    <w:p>
      <w:pPr>
        <w:ind w:right="20" w:firstLine="464"/>
        <w:spacing w:after="0" w:line="294"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Loan Parties contained in </w:t>
      </w:r>
      <w:r>
        <w:rPr>
          <w:rFonts w:ascii="Arial" w:cs="Arial" w:eastAsia="Arial" w:hAnsi="Arial"/>
          <w:sz w:val="16"/>
          <w:szCs w:val="16"/>
          <w:b w:val="1"/>
          <w:bCs w:val="1"/>
          <w:i w:val="1"/>
          <w:iCs w:val="1"/>
          <w:color w:val="auto"/>
        </w:rPr>
        <w:t>Article V</w:t>
      </w:r>
      <w:r>
        <w:rPr>
          <w:rFonts w:ascii="Arial" w:cs="Arial" w:eastAsia="Arial" w:hAnsi="Arial"/>
          <w:sz w:val="16"/>
          <w:szCs w:val="16"/>
          <w:color w:val="auto"/>
        </w:rPr>
        <w:t xml:space="preserve"> (other than </w:t>
      </w:r>
      <w:r>
        <w:rPr>
          <w:rFonts w:ascii="Arial" w:cs="Arial" w:eastAsia="Arial" w:hAnsi="Arial"/>
          <w:sz w:val="16"/>
          <w:szCs w:val="16"/>
          <w:b w:val="1"/>
          <w:bCs w:val="1"/>
          <w:i w:val="1"/>
          <w:iCs w:val="1"/>
          <w:color w:val="auto"/>
        </w:rPr>
        <w:t>Section 5.05(c)</w:t>
      </w:r>
      <w:r>
        <w:rPr>
          <w:rFonts w:ascii="Arial" w:cs="Arial" w:eastAsia="Arial" w:hAnsi="Arial"/>
          <w:sz w:val="16"/>
          <w:szCs w:val="16"/>
          <w:color w:val="auto"/>
        </w:rPr>
        <w:t xml:space="preserve">), or which are contained in any document furnished at any time under or in connection herewith, shall be true and correct on and as of the date of such Request for Credit Extension,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6"/>
          <w:szCs w:val="16"/>
          <w:b w:val="1"/>
          <w:bCs w:val="1"/>
          <w:i w:val="1"/>
          <w:iCs w:val="1"/>
          <w:color w:val="auto"/>
        </w:rPr>
        <w:t>Section 4.02</w:t>
      </w:r>
      <w:r>
        <w:rPr>
          <w:rFonts w:ascii="Arial" w:cs="Arial" w:eastAsia="Arial" w:hAnsi="Arial"/>
          <w:sz w:val="16"/>
          <w:szCs w:val="16"/>
          <w:color w:val="auto"/>
        </w:rPr>
        <w:t xml:space="preserve">, the representations and warranties contained in </w:t>
      </w:r>
      <w:r>
        <w:rPr>
          <w:rFonts w:ascii="Arial" w:cs="Arial" w:eastAsia="Arial" w:hAnsi="Arial"/>
          <w:sz w:val="16"/>
          <w:szCs w:val="16"/>
          <w:b w:val="1"/>
          <w:bCs w:val="1"/>
          <w:i w:val="1"/>
          <w:iCs w:val="1"/>
          <w:color w:val="auto"/>
        </w:rPr>
        <w:t>subsections (a)</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(b)</w:t>
      </w:r>
      <w:r>
        <w:rPr>
          <w:rFonts w:ascii="Arial" w:cs="Arial" w:eastAsia="Arial" w:hAnsi="Arial"/>
          <w:sz w:val="16"/>
          <w:szCs w:val="16"/>
          <w:color w:val="auto"/>
        </w:rPr>
        <w:t xml:space="preserve"> of </w:t>
      </w:r>
      <w:r>
        <w:rPr>
          <w:rFonts w:ascii="Arial" w:cs="Arial" w:eastAsia="Arial" w:hAnsi="Arial"/>
          <w:sz w:val="16"/>
          <w:szCs w:val="16"/>
          <w:b w:val="1"/>
          <w:bCs w:val="1"/>
          <w:i w:val="1"/>
          <w:iCs w:val="1"/>
          <w:color w:val="auto"/>
        </w:rPr>
        <w:t>Section 5.05</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b w:val="1"/>
          <w:bCs w:val="1"/>
          <w:i w:val="1"/>
          <w:iCs w:val="1"/>
          <w:color w:val="auto"/>
        </w:rPr>
        <w:t>clauses (a)</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(b)</w:t>
      </w:r>
      <w:r>
        <w:rPr>
          <w:rFonts w:ascii="Arial" w:cs="Arial" w:eastAsia="Arial" w:hAnsi="Arial"/>
          <w:sz w:val="16"/>
          <w:szCs w:val="16"/>
          <w:color w:val="auto"/>
        </w:rPr>
        <w:t xml:space="preserve">, respectively, of </w:t>
      </w:r>
      <w:r>
        <w:rPr>
          <w:rFonts w:ascii="Arial" w:cs="Arial" w:eastAsia="Arial" w:hAnsi="Arial"/>
          <w:sz w:val="16"/>
          <w:szCs w:val="16"/>
          <w:b w:val="1"/>
          <w:bCs w:val="1"/>
          <w:i w:val="1"/>
          <w:iCs w:val="1"/>
          <w:color w:val="auto"/>
        </w:rPr>
        <w:t>Section 6.01</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Default or Event of Default shall exist or would result from such proposed Request for Credit Extension.</w:t>
      </w:r>
    </w:p>
    <w:p>
      <w:pPr>
        <w:spacing w:after="0" w:line="171" w:lineRule="exact"/>
        <w:rPr>
          <w:rFonts w:ascii="Arial" w:cs="Arial" w:eastAsia="Arial" w:hAnsi="Arial"/>
          <w:sz w:val="18"/>
          <w:szCs w:val="18"/>
          <w:color w:val="auto"/>
        </w:rPr>
      </w:pPr>
    </w:p>
    <w:p>
      <w:pPr>
        <w:ind w:right="480" w:firstLine="464"/>
        <w:spacing w:after="0" w:line="268"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or the Swing Line Lender, shall have received a Request for Credit Extension and, if applicable, a Letter of Credit Application in accordance with the requirements hereof.</w:t>
      </w:r>
    </w:p>
    <w:p>
      <w:pPr>
        <w:spacing w:after="0" w:line="131" w:lineRule="exact"/>
        <w:rPr>
          <w:rFonts w:ascii="Arial" w:cs="Arial" w:eastAsia="Arial" w:hAnsi="Arial"/>
          <w:sz w:val="18"/>
          <w:szCs w:val="18"/>
          <w:color w:val="auto"/>
        </w:rPr>
      </w:pPr>
    </w:p>
    <w:p>
      <w:pPr>
        <w:ind w:right="320" w:firstLine="464"/>
        <w:spacing w:after="0" w:line="268"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Administrative Agent shall have received, in form and substance reasonably satisfactory to it, such other assurances, certificates, documents or consents related to the foregoing as the Administrative Agent or the Required Lenders reasonably may require.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Each Request for Credit Extension (other than a Borrowing Notice requesting only a conversion of Committed Loans to the other Type or a continuation of Committed Loans as the same Type) submitted by the Borrower shall be deemed to be a representation and warranty that the conditions specified in </w:t>
      </w:r>
      <w:r>
        <w:rPr>
          <w:rFonts w:ascii="Arial" w:cs="Arial" w:eastAsia="Arial" w:hAnsi="Arial"/>
          <w:sz w:val="18"/>
          <w:szCs w:val="18"/>
          <w:b w:val="1"/>
          <w:bCs w:val="1"/>
          <w:i w:val="1"/>
          <w:iCs w:val="1"/>
          <w:color w:val="auto"/>
        </w:rPr>
        <w:t>Sections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4.02(a)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(b) </w:t>
      </w:r>
      <w:r>
        <w:rPr>
          <w:rFonts w:ascii="Arial" w:cs="Arial" w:eastAsia="Arial" w:hAnsi="Arial"/>
          <w:sz w:val="18"/>
          <w:szCs w:val="18"/>
          <w:color w:val="auto"/>
        </w:rPr>
        <w:t>have been satisfied on and as of the date of the applicable Credit Extension.</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Borrower and the MLP represents and warrants to the Administrative Agent and the Lenders that:</w:t>
      </w:r>
    </w:p>
    <w:p>
      <w:pPr>
        <w:spacing w:after="0" w:line="84"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5.01 Existence; Qualification and Power; Compliance with Laws</w:t>
      </w:r>
      <w:r>
        <w:rPr>
          <w:rFonts w:ascii="Arial" w:cs="Arial" w:eastAsia="Arial" w:hAnsi="Arial"/>
          <w:sz w:val="16"/>
          <w:szCs w:val="16"/>
          <w:color w:val="auto"/>
        </w:rPr>
        <w:t>. As of the Closing Date, the General Partner shall be the sole general partner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All of the limited partner interests in the Borrower, which shall constitute 99.99% of the partner interests of the Borrower, are owned by the MLP. The General Partner and each Loan Party and the respective Subsidiaries of the foregoing (a) is a corporation, partnership or limited liability company duly organized or formed, validly existing and in good standing under the Laws of the jurisdiction of its incorporation or organization, (b) has all requisite power and authority and all governmental licenses, authorizations, consents and approvals to own its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80" w:right="279" w:bottom="1440" w:gutter="0" w:footer="0" w:header="0"/>
        </w:sectPr>
      </w:pPr>
    </w:p>
    <w:bookmarkStart w:id="57" w:name="page58"/>
    <w:bookmarkEnd w:id="5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assets, carry on its business and to execute, deliver, and perform its obligations under the Loan Documents to which it is a party, (c) is duly qualified and is licensed and in good standing under the Laws of each jurisdiction where its ownership, lease or operation of properties or the conduct of its business requires such qualification or license, and (d) is in compliance with all Laws, except in each case referred to in </w:t>
      </w:r>
      <w:r>
        <w:rPr>
          <w:rFonts w:ascii="Arial" w:cs="Arial" w:eastAsia="Arial" w:hAnsi="Arial"/>
          <w:sz w:val="18"/>
          <w:szCs w:val="18"/>
          <w:b w:val="1"/>
          <w:bCs w:val="1"/>
          <w:i w:val="1"/>
          <w:iCs w:val="1"/>
          <w:color w:val="auto"/>
        </w:rPr>
        <w:t>clause (c)</w:t>
      </w:r>
      <w:r>
        <w:rPr>
          <w:rFonts w:ascii="Arial" w:cs="Arial" w:eastAsia="Arial" w:hAnsi="Arial"/>
          <w:sz w:val="18"/>
          <w:szCs w:val="18"/>
          <w:color w:val="auto"/>
        </w:rPr>
        <w:t xml:space="preserve"> or this </w:t>
      </w:r>
      <w:r>
        <w:rPr>
          <w:rFonts w:ascii="Arial" w:cs="Arial" w:eastAsia="Arial" w:hAnsi="Arial"/>
          <w:sz w:val="18"/>
          <w:szCs w:val="18"/>
          <w:b w:val="1"/>
          <w:bCs w:val="1"/>
          <w:i w:val="1"/>
          <w:iCs w:val="1"/>
          <w:color w:val="auto"/>
        </w:rPr>
        <w:t>clause (d)</w:t>
      </w:r>
      <w:r>
        <w:rPr>
          <w:rFonts w:ascii="Arial" w:cs="Arial" w:eastAsia="Arial" w:hAnsi="Arial"/>
          <w:sz w:val="18"/>
          <w:szCs w:val="18"/>
          <w:color w:val="auto"/>
        </w:rPr>
        <w:t>, to the extent that failure to do so could not reasonably be expected to have a Material Adverse Effect.</w:t>
      </w:r>
    </w:p>
    <w:p>
      <w:pPr>
        <w:spacing w:after="0" w:line="137" w:lineRule="exact"/>
        <w:rPr>
          <w:sz w:val="20"/>
          <w:szCs w:val="20"/>
          <w:color w:val="auto"/>
        </w:rPr>
      </w:pPr>
    </w:p>
    <w:p>
      <w:pPr>
        <w:ind w:firstLine="456"/>
        <w:spacing w:after="0" w:line="326" w:lineRule="auto"/>
        <w:rPr>
          <w:sz w:val="20"/>
          <w:szCs w:val="20"/>
          <w:color w:val="auto"/>
        </w:rPr>
      </w:pPr>
      <w:r>
        <w:rPr>
          <w:rFonts w:ascii="Arial" w:cs="Arial" w:eastAsia="Arial" w:hAnsi="Arial"/>
          <w:sz w:val="15"/>
          <w:szCs w:val="15"/>
          <w:b w:val="1"/>
          <w:bCs w:val="1"/>
          <w:color w:val="auto"/>
        </w:rPr>
        <w:t>5.02 Authorization; No Contravention</w:t>
      </w:r>
      <w:r>
        <w:rPr>
          <w:rFonts w:ascii="Arial" w:cs="Arial" w:eastAsia="Arial" w:hAnsi="Arial"/>
          <w:sz w:val="15"/>
          <w:szCs w:val="15"/>
          <w:color w:val="auto"/>
        </w:rPr>
        <w:t>. The execution, delivery and performance by each Loan Party of each Loan Document to which such Person is</w:t>
      </w:r>
      <w:r>
        <w:rPr>
          <w:rFonts w:ascii="Arial" w:cs="Arial" w:eastAsia="Arial" w:hAnsi="Arial"/>
          <w:sz w:val="15"/>
          <w:szCs w:val="15"/>
          <w:b w:val="1"/>
          <w:bCs w:val="1"/>
          <w:color w:val="auto"/>
        </w:rPr>
        <w:t xml:space="preserve"> </w:t>
      </w:r>
      <w:r>
        <w:rPr>
          <w:rFonts w:ascii="Arial" w:cs="Arial" w:eastAsia="Arial" w:hAnsi="Arial"/>
          <w:sz w:val="15"/>
          <w:szCs w:val="15"/>
          <w:color w:val="auto"/>
        </w:rPr>
        <w:t>party, have been duly authorized by all necessary corporate or other organizational action, and do not and will not (a) contravene the terms of any of such Person’s Organization Documents; (b) conflict with or result in any breach or contravention of, or the creation of any Lien under, any Contractual Obligation to which such Person is a party or any order, injunction, writ or decree of any Governmental Authority to which such Person or its property is subject; or (c) violate any Law.</w:t>
      </w:r>
    </w:p>
    <w:p>
      <w:pPr>
        <w:spacing w:after="0" w:line="89"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5.03 Governmental Authorization</w:t>
      </w:r>
      <w:r>
        <w:rPr>
          <w:rFonts w:ascii="Arial" w:cs="Arial" w:eastAsia="Arial" w:hAnsi="Arial"/>
          <w:sz w:val="16"/>
          <w:szCs w:val="16"/>
          <w:color w:val="auto"/>
        </w:rPr>
        <w:t>. No approval, consent, exemption, authorization, or other action by, or notice to, or filing with, any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is necessary or required in connection with the execution, delivery or performance by any Loan Party of this Agreement or any other Loan Document.</w:t>
      </w:r>
    </w:p>
    <w:p>
      <w:pPr>
        <w:spacing w:after="0" w:line="74"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5.04 Binding Effect</w:t>
      </w:r>
      <w:r>
        <w:rPr>
          <w:rFonts w:ascii="Arial" w:cs="Arial" w:eastAsia="Arial" w:hAnsi="Arial"/>
          <w:sz w:val="16"/>
          <w:szCs w:val="16"/>
          <w:color w:val="auto"/>
        </w:rPr>
        <w:t>. This Agreement has been, and each other Loan Document, when delivered hereunder, will have been duly executed and delivered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Party that is party thereto. This Agreement constitutes, and each other Loan Document when so delivered will constitute, a legal, valid and binding obligation of such Loan Party, enforceable against each Loan Party that is party thereto in accordance with its terms except to the extent that such enforceability may be limited by any applicable bankruptcy, insolvency, reorganization, moratorium or other similar laws affecting creditors’ rights generally from time to time in effect and may be subject to the discretion of courts with respect to the granting of equitable remedies.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5.05 Financial Statements; No Material Adverse Effect</w:t>
      </w:r>
      <w:r>
        <w:rPr>
          <w:rFonts w:ascii="Arial" w:cs="Arial" w:eastAsia="Arial" w:hAnsi="Arial"/>
          <w:sz w:val="18"/>
          <w:szCs w:val="18"/>
          <w:color w:val="auto"/>
        </w:rPr>
        <w:t>.</w:t>
      </w:r>
    </w:p>
    <w:p>
      <w:pPr>
        <w:spacing w:after="0" w:line="96" w:lineRule="exact"/>
        <w:rPr>
          <w:sz w:val="20"/>
          <w:szCs w:val="20"/>
          <w:color w:val="auto"/>
        </w:rPr>
      </w:pPr>
    </w:p>
    <w:p>
      <w:pPr>
        <w:ind w:right="80" w:firstLine="464"/>
        <w:spacing w:after="0" w:line="254"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Audited Financial Statements were prepared in accordance with GAAP consistently applied throughout the period covered thereby, except as otherwise expressly noted therein. The Audited Financial Statements (i) fairly present the financial condition of the MLP and its Subsidiaries as of the date thereof and their results of operations for the period covered thereby in accordance in all material respects with GAAP consistently applied throughout the period covered thereby, except as otherwise expressly noted therein; and (ii) show all material indebtedness and other liabilities, direct or contingent, of the MLP and its Subsidiaries as of the date thereof, including liabilities for taxes, material commitments and Indebtedness in accordance with GAAP consistently applied throughout the period covered thereby.</w:t>
      </w:r>
    </w:p>
    <w:p>
      <w:pPr>
        <w:spacing w:after="0" w:line="144" w:lineRule="exact"/>
        <w:rPr>
          <w:rFonts w:ascii="Arial" w:cs="Arial" w:eastAsia="Arial" w:hAnsi="Arial"/>
          <w:sz w:val="18"/>
          <w:szCs w:val="18"/>
          <w:color w:val="auto"/>
        </w:rPr>
      </w:pPr>
    </w:p>
    <w:p>
      <w:pPr>
        <w:ind w:right="20" w:firstLine="464"/>
        <w:spacing w:after="0" w:line="254"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unaudited consolidated financial statements of the MLP and its Subsidiaries dated March 31, 2007 (i) were prepared in accordance with GAAP consistently applied throughout the period covered thereby, except as otherwise expressly noted therein, (ii) fairly present the financial condition of the MLP and its Subsidiaries as of the date thereof and their results of operations for the period covered thereby in accordance in all material respects with GAAP consistently applied throughout the period covered thereby, and (iii) show all material indebtedness and other liabilities, direct or contingent, of the MLP and its Subsidiaries as of the date thereof, including liabilities for taxes, material commitments and Indebtedness in accordance with GAAP consistently applied throughout the period covered thereby.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58" w:name="page59"/>
    <w:bookmarkEnd w:id="5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Since December 31, 2006, there has been no event or circumstance that has or could reasonably be expected to have a Material Adverse Effect.</w:t>
      </w:r>
    </w:p>
    <w:p>
      <w:pPr>
        <w:spacing w:after="0" w:line="188"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5.06 Litigation</w:t>
      </w:r>
      <w:r>
        <w:rPr>
          <w:rFonts w:ascii="Arial" w:cs="Arial" w:eastAsia="Arial" w:hAnsi="Arial"/>
          <w:sz w:val="18"/>
          <w:szCs w:val="18"/>
          <w:color w:val="auto"/>
        </w:rPr>
        <w:t>. There are no actions, suits, proceedings, investigations, claims or disputes pending or, to the knowledge of the MLP or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threatened or contemplated in writing, at law, in equity, in arbitration or before any Governmental Authority, by or against any Company or against any of their properties or revenues which (a) seek to affect or pertain to this Agreement or any other Loan Document, or any of the transactions contemplated hereby, or (b) could reasonably be expected to have a Material Adverse Effect.</w:t>
      </w:r>
    </w:p>
    <w:p>
      <w:pPr>
        <w:spacing w:after="0" w:line="136"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5.07 Ownership of Property; Liens</w:t>
      </w:r>
      <w:r>
        <w:rPr>
          <w:rFonts w:ascii="Arial" w:cs="Arial" w:eastAsia="Arial" w:hAnsi="Arial"/>
          <w:sz w:val="18"/>
          <w:szCs w:val="18"/>
          <w:color w:val="auto"/>
        </w:rPr>
        <w:t>. Each Company has good title to, or valid leasehold interests in, all its real and personal property necessary or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ordinary conduct of its business, except for such defects in title as would not, individually or in the aggregate, have a Material Adverse Effect, and the property of the Borrower and its Subsidiaries is subject to no Liens, other than Permitted Liens.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5.08 Environmental Compliance</w:t>
      </w:r>
      <w:r>
        <w:rPr>
          <w:rFonts w:ascii="Arial" w:cs="Arial" w:eastAsia="Arial" w:hAnsi="Arial"/>
          <w:sz w:val="18"/>
          <w:szCs w:val="18"/>
          <w:color w:val="auto"/>
        </w:rPr>
        <w:t>. The MLP and the Borrower have reasonably concluded that (a) there are no claims alleging potential liability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for violation of any Environmental Law except any such claims that could not, individually or in the aggregate, reasonably be expected to have a Material Adverse Effect, (b) there is no environmental condition or circumstance, such as the presence or Release of any Hazardous Substance, on any property owned, operated or used by any Company that could reasonably be expected to have a Material Adverse Effect, and (c) there is no violation of or by any Company of any Environmental Law, except for such violations as could not, individually or in the aggregate, reasonably be expected to have a Material Adverse Effect.</w:t>
      </w:r>
    </w:p>
    <w:p>
      <w:pPr>
        <w:spacing w:after="0" w:line="13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5.09 Insurance</w:t>
      </w:r>
      <w:r>
        <w:rPr>
          <w:rFonts w:ascii="Arial" w:cs="Arial" w:eastAsia="Arial" w:hAnsi="Arial"/>
          <w:sz w:val="18"/>
          <w:szCs w:val="18"/>
          <w:color w:val="auto"/>
        </w:rPr>
        <w:t>. The Companies maintain insurance providing Customary Coverage provided by Independent Insurers, or the Companies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are covered by coverage provided by Independent Insurers to Sunoco and its Affiliates, and Sunoco provides such contractual coverage to the Companies with respect to paying or otherwise satisfying deductible requirements such that the Required Lenders are satisfied that the effect of such arrangement is to provide the Companies with the equivalent of Customary Coverage.</w:t>
      </w:r>
    </w:p>
    <w:p>
      <w:pPr>
        <w:spacing w:after="0" w:line="136" w:lineRule="exact"/>
        <w:rPr>
          <w:sz w:val="20"/>
          <w:szCs w:val="20"/>
          <w:color w:val="auto"/>
        </w:rPr>
      </w:pPr>
    </w:p>
    <w:p>
      <w:pPr>
        <w:ind w:right="60" w:firstLine="456"/>
        <w:spacing w:after="0" w:line="326" w:lineRule="auto"/>
        <w:rPr>
          <w:sz w:val="20"/>
          <w:szCs w:val="20"/>
          <w:color w:val="auto"/>
        </w:rPr>
      </w:pPr>
      <w:r>
        <w:rPr>
          <w:rFonts w:ascii="Arial" w:cs="Arial" w:eastAsia="Arial" w:hAnsi="Arial"/>
          <w:sz w:val="15"/>
          <w:szCs w:val="15"/>
          <w:b w:val="1"/>
          <w:bCs w:val="1"/>
          <w:color w:val="auto"/>
        </w:rPr>
        <w:t>5.10 Taxes</w:t>
      </w:r>
      <w:r>
        <w:rPr>
          <w:rFonts w:ascii="Arial" w:cs="Arial" w:eastAsia="Arial" w:hAnsi="Arial"/>
          <w:sz w:val="15"/>
          <w:szCs w:val="15"/>
          <w:color w:val="auto"/>
        </w:rPr>
        <w:t>. The MLP, the Borrower and their respective Subsidiaries have filed all federal, state and other material tax returns and reports required to be</w:t>
      </w:r>
      <w:r>
        <w:rPr>
          <w:rFonts w:ascii="Arial" w:cs="Arial" w:eastAsia="Arial" w:hAnsi="Arial"/>
          <w:sz w:val="15"/>
          <w:szCs w:val="15"/>
          <w:b w:val="1"/>
          <w:bCs w:val="1"/>
          <w:color w:val="auto"/>
        </w:rPr>
        <w:t xml:space="preserve"> </w:t>
      </w:r>
      <w:r>
        <w:rPr>
          <w:rFonts w:ascii="Arial" w:cs="Arial" w:eastAsia="Arial" w:hAnsi="Arial"/>
          <w:sz w:val="15"/>
          <w:szCs w:val="15"/>
          <w:color w:val="auto"/>
        </w:rPr>
        <w:t>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and for which adequate reserves have been provided in accordance with GAAP. There is no proposed tax assessment against any Company that would, if made, have a Material Adverse Effect.</w:t>
      </w:r>
    </w:p>
    <w:p>
      <w:pPr>
        <w:spacing w:after="0" w:line="89" w:lineRule="exact"/>
        <w:rPr>
          <w:sz w:val="20"/>
          <w:szCs w:val="20"/>
          <w:color w:val="auto"/>
        </w:rPr>
      </w:pPr>
    </w:p>
    <w:p>
      <w:pPr>
        <w:ind w:right="660" w:firstLine="456"/>
        <w:spacing w:after="0" w:line="275" w:lineRule="auto"/>
        <w:rPr>
          <w:sz w:val="20"/>
          <w:szCs w:val="20"/>
          <w:color w:val="auto"/>
        </w:rPr>
      </w:pPr>
      <w:r>
        <w:rPr>
          <w:rFonts w:ascii="Arial" w:cs="Arial" w:eastAsia="Arial" w:hAnsi="Arial"/>
          <w:sz w:val="18"/>
          <w:szCs w:val="18"/>
          <w:b w:val="1"/>
          <w:bCs w:val="1"/>
          <w:color w:val="auto"/>
        </w:rPr>
        <w:t>5.11 ERISA Compliance</w:t>
      </w:r>
      <w:r>
        <w:rPr>
          <w:rFonts w:ascii="Arial" w:cs="Arial" w:eastAsia="Arial" w:hAnsi="Arial"/>
          <w:sz w:val="18"/>
          <w:szCs w:val="18"/>
          <w:color w:val="auto"/>
        </w:rPr>
        <w:t>. The representations and warranties set forth in this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Section 5.11</w:t>
      </w:r>
      <w:r>
        <w:rPr>
          <w:rFonts w:ascii="Arial" w:cs="Arial" w:eastAsia="Arial" w:hAnsi="Arial"/>
          <w:sz w:val="18"/>
          <w:szCs w:val="18"/>
          <w:b w:val="1"/>
          <w:bCs w:val="1"/>
          <w:color w:val="auto"/>
        </w:rPr>
        <w:t xml:space="preserve"> </w:t>
      </w:r>
      <w:r>
        <w:rPr>
          <w:rFonts w:ascii="Arial" w:cs="Arial" w:eastAsia="Arial" w:hAnsi="Arial"/>
          <w:sz w:val="18"/>
          <w:szCs w:val="18"/>
          <w:color w:val="auto"/>
        </w:rPr>
        <w:t>shall apply only if the Borrower or an ERISA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establishes a Plan.</w:t>
      </w:r>
    </w:p>
    <w:p>
      <w:pPr>
        <w:spacing w:after="0" w:line="45" w:lineRule="exact"/>
        <w:rPr>
          <w:sz w:val="20"/>
          <w:szCs w:val="20"/>
          <w:color w:val="auto"/>
        </w:rPr>
      </w:pPr>
    </w:p>
    <w:p>
      <w:pPr>
        <w:ind w:right="60" w:firstLine="464"/>
        <w:spacing w:after="0" w:line="254"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Each Plan is in compliance in all material respects with the applicable provisions of ERISA, the Code and other federal or state Laws except to the extent that noncompliance could not reasonably be expected to have a Material Adverse Effect. Each Plan that is intended to qualify under </w:t>
      </w:r>
      <w:r>
        <w:rPr>
          <w:rFonts w:ascii="Arial" w:cs="Arial" w:eastAsia="Arial" w:hAnsi="Arial"/>
          <w:sz w:val="18"/>
          <w:szCs w:val="18"/>
          <w:i w:val="1"/>
          <w:iCs w:val="1"/>
          <w:color w:val="auto"/>
        </w:rPr>
        <w:t>Section 401(a)</w:t>
      </w:r>
      <w:r>
        <w:rPr>
          <w:rFonts w:ascii="Arial" w:cs="Arial" w:eastAsia="Arial" w:hAnsi="Arial"/>
          <w:sz w:val="18"/>
          <w:szCs w:val="18"/>
          <w:color w:val="auto"/>
        </w:rPr>
        <w:t xml:space="preserve"> of the Code has received a favorable determination letter from the IRS or an application for such a letter is currently being processed by the IRS with respect thereto and, to the best knowledge of the MLP and the Borrower, nothing has occurred which would prevent, or cause the loss of, such qualification, except to the extent that nonqualification could not reasonably be expected to have a Material Adverse Effect. The Borrower and each ERISA Affiliate have made all required contributions to</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80" w:right="279" w:bottom="1440" w:gutter="0" w:footer="0" w:header="0"/>
        </w:sectPr>
      </w:pPr>
    </w:p>
    <w:bookmarkStart w:id="59" w:name="page60"/>
    <w:bookmarkEnd w:id="59"/>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each Plan subject to </w:t>
      </w:r>
      <w:r>
        <w:rPr>
          <w:rFonts w:ascii="Arial" w:cs="Arial" w:eastAsia="Arial" w:hAnsi="Arial"/>
          <w:sz w:val="16"/>
          <w:szCs w:val="16"/>
          <w:i w:val="1"/>
          <w:iCs w:val="1"/>
          <w:color w:val="auto"/>
        </w:rPr>
        <w:t>Section 412</w:t>
      </w:r>
      <w:r>
        <w:rPr>
          <w:rFonts w:ascii="Arial" w:cs="Arial" w:eastAsia="Arial" w:hAnsi="Arial"/>
          <w:sz w:val="16"/>
          <w:szCs w:val="16"/>
          <w:color w:val="auto"/>
        </w:rPr>
        <w:t xml:space="preserve"> of the Code, and no application for a funding waiver or an extension of any amortization period pursuant to </w:t>
      </w:r>
      <w:r>
        <w:rPr>
          <w:rFonts w:ascii="Arial" w:cs="Arial" w:eastAsia="Arial" w:hAnsi="Arial"/>
          <w:sz w:val="16"/>
          <w:szCs w:val="16"/>
          <w:i w:val="1"/>
          <w:iCs w:val="1"/>
          <w:color w:val="auto"/>
        </w:rPr>
        <w:t>Section 412</w:t>
      </w:r>
      <w:r>
        <w:rPr>
          <w:rFonts w:ascii="Arial" w:cs="Arial" w:eastAsia="Arial" w:hAnsi="Arial"/>
          <w:sz w:val="16"/>
          <w:szCs w:val="16"/>
          <w:color w:val="auto"/>
        </w:rPr>
        <w:t xml:space="preserve"> of the Code has been made with respect to any Plan, except to the extent that nonpayment could not reasonably be expected to have a Material Adverse Effect.</w:t>
      </w:r>
    </w:p>
    <w:p>
      <w:pPr>
        <w:spacing w:after="0" w:line="85" w:lineRule="exact"/>
        <w:rPr>
          <w:sz w:val="20"/>
          <w:szCs w:val="20"/>
          <w:color w:val="auto"/>
        </w:rPr>
      </w:pPr>
    </w:p>
    <w:p>
      <w:pPr>
        <w:ind w:right="40" w:firstLine="464"/>
        <w:spacing w:after="0" w:line="255"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There are no pending or, to the best knowledge of the MLP or the Borrower, threatened claims, actions or lawsuits, or action by any Governmental Authority, with respect to any Plan that could reasonably be expected to have a Material Adverse Effect. Neither the MLP nor the Borrower nor any ERISA Affiliate has engaged in or knowingly permitted to occur and, to the Borrower’s and the MLP’s knowledge, no other party has engaged in or permitted to occur any prohibited transaction or violation of the fiduciary responsibility rules with respect to any Plan that has resulted or could reasonably be expected to result in a Material Adverse Effect.</w:t>
      </w:r>
    </w:p>
    <w:p>
      <w:pPr>
        <w:spacing w:after="0" w:line="142" w:lineRule="exact"/>
        <w:rPr>
          <w:rFonts w:ascii="Arial" w:cs="Arial" w:eastAsia="Arial" w:hAnsi="Arial"/>
          <w:sz w:val="18"/>
          <w:szCs w:val="18"/>
          <w:color w:val="auto"/>
        </w:rPr>
      </w:pPr>
    </w:p>
    <w:p>
      <w:pPr>
        <w:ind w:firstLine="464"/>
        <w:spacing w:after="0" w:line="256"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No ERISA Event has occurred or is reasonably expected to occur that could reasonably be expected to have a Material Adverse Effect; (ii) no Pension Plan has any Unfunded Pension Liability that (when aggregated with any other Unfunded Pension Liability) has resulted or could reasonably be expected to result in a Material Adverse Effect; and (iii) neither the Borrower nor any ERISA Affiliate has engaged in a transaction that could be subject to </w:t>
      </w:r>
      <w:r>
        <w:rPr>
          <w:rFonts w:ascii="Arial" w:cs="Arial" w:eastAsia="Arial" w:hAnsi="Arial"/>
          <w:sz w:val="18"/>
          <w:szCs w:val="18"/>
          <w:i w:val="1"/>
          <w:iCs w:val="1"/>
          <w:color w:val="auto"/>
        </w:rPr>
        <w:t>Sections 4069</w:t>
      </w:r>
      <w:r>
        <w:rPr>
          <w:rFonts w:ascii="Arial" w:cs="Arial" w:eastAsia="Arial" w:hAnsi="Arial"/>
          <w:sz w:val="18"/>
          <w:szCs w:val="18"/>
          <w:color w:val="auto"/>
        </w:rPr>
        <w:t xml:space="preserve"> or </w:t>
      </w:r>
      <w:r>
        <w:rPr>
          <w:rFonts w:ascii="Arial" w:cs="Arial" w:eastAsia="Arial" w:hAnsi="Arial"/>
          <w:sz w:val="18"/>
          <w:szCs w:val="18"/>
          <w:i w:val="1"/>
          <w:iCs w:val="1"/>
          <w:color w:val="auto"/>
        </w:rPr>
        <w:t xml:space="preserve">4212(c) </w:t>
      </w:r>
      <w:r>
        <w:rPr>
          <w:rFonts w:ascii="Arial" w:cs="Arial" w:eastAsia="Arial" w:hAnsi="Arial"/>
          <w:sz w:val="18"/>
          <w:szCs w:val="18"/>
          <w:color w:val="auto"/>
        </w:rPr>
        <w:t>of ERISA that could reasonably be expected to have a Material Adverse Effect.</w:t>
      </w:r>
    </w:p>
    <w:p>
      <w:pPr>
        <w:spacing w:after="0" w:line="137"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5.12 Subsidiaries and other Investments</w:t>
      </w:r>
      <w:r>
        <w:rPr>
          <w:rFonts w:ascii="Arial" w:cs="Arial" w:eastAsia="Arial" w:hAnsi="Arial"/>
          <w:sz w:val="16"/>
          <w:szCs w:val="16"/>
          <w:color w:val="auto"/>
        </w:rPr>
        <w:t>. As of the Closing Date the Borrower has no Subsidiaries other than those specifically disclosed in part (a) of</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Schedule 5.12</w:t>
      </w:r>
      <w:r>
        <w:rPr>
          <w:rFonts w:ascii="Arial" w:cs="Arial" w:eastAsia="Arial" w:hAnsi="Arial"/>
          <w:sz w:val="16"/>
          <w:szCs w:val="16"/>
          <w:color w:val="auto"/>
        </w:rPr>
        <w:t>, has no equity investment in any other corporation or other entity other than those specifically disclosed in part (b) of</w:t>
      </w:r>
      <w:r>
        <w:rPr>
          <w:rFonts w:ascii="Arial" w:cs="Arial" w:eastAsia="Arial" w:hAnsi="Arial"/>
          <w:sz w:val="16"/>
          <w:szCs w:val="16"/>
          <w:b w:val="1"/>
          <w:bCs w:val="1"/>
          <w:i w:val="1"/>
          <w:iCs w:val="1"/>
          <w:color w:val="auto"/>
        </w:rPr>
        <w:t xml:space="preserve"> Schedule 5.12</w:t>
      </w:r>
      <w:r>
        <w:rPr>
          <w:rFonts w:ascii="Arial" w:cs="Arial" w:eastAsia="Arial" w:hAnsi="Arial"/>
          <w:sz w:val="16"/>
          <w:szCs w:val="16"/>
          <w:color w:val="auto"/>
        </w:rPr>
        <w:t>, and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investments described in part (b) of </w:t>
      </w:r>
      <w:r>
        <w:rPr>
          <w:rFonts w:ascii="Arial" w:cs="Arial" w:eastAsia="Arial" w:hAnsi="Arial"/>
          <w:sz w:val="16"/>
          <w:szCs w:val="16"/>
          <w:b w:val="1"/>
          <w:bCs w:val="1"/>
          <w:i w:val="1"/>
          <w:iCs w:val="1"/>
          <w:color w:val="auto"/>
        </w:rPr>
        <w:t>Schedule 5.12</w:t>
      </w:r>
      <w:r>
        <w:rPr>
          <w:rFonts w:ascii="Arial" w:cs="Arial" w:eastAsia="Arial" w:hAnsi="Arial"/>
          <w:sz w:val="16"/>
          <w:szCs w:val="16"/>
          <w:color w:val="auto"/>
        </w:rPr>
        <w:t xml:space="preserve"> are in compliance with </w:t>
      </w:r>
      <w:r>
        <w:rPr>
          <w:rFonts w:ascii="Arial" w:cs="Arial" w:eastAsia="Arial" w:hAnsi="Arial"/>
          <w:sz w:val="16"/>
          <w:szCs w:val="16"/>
          <w:b w:val="1"/>
          <w:bCs w:val="1"/>
          <w:i w:val="1"/>
          <w:iCs w:val="1"/>
          <w:color w:val="auto"/>
        </w:rPr>
        <w:t>Section 7.02(c)</w:t>
      </w:r>
      <w:r>
        <w:rPr>
          <w:rFonts w:ascii="Arial" w:cs="Arial" w:eastAsia="Arial" w:hAnsi="Arial"/>
          <w:sz w:val="16"/>
          <w:szCs w:val="16"/>
          <w:color w:val="auto"/>
        </w:rPr>
        <w:t>. From and after the Closing Date the MLP will have no Subsidiaries other than the General Partner, the Borrower, and the Borrower’s Subsidiaries.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5.13 Margin Regulations; Investment Company Act; Public Utility Holding Company Act; Use of Proceeds.</w:t>
      </w:r>
    </w:p>
    <w:p>
      <w:pPr>
        <w:spacing w:after="0" w:line="96" w:lineRule="exact"/>
        <w:rPr>
          <w:sz w:val="20"/>
          <w:szCs w:val="20"/>
          <w:color w:val="auto"/>
        </w:rPr>
      </w:pPr>
    </w:p>
    <w:p>
      <w:pPr>
        <w:ind w:right="20" w:firstLine="464"/>
        <w:spacing w:after="0" w:line="306" w:lineRule="auto"/>
        <w:tabs>
          <w:tab w:leader="none" w:pos="695"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 Loan Party is engaged and no Loan Party will engage, principally or as one of their important activities, in the business of purchasing or carrying margin stock (within the meaning of Regulation U issued by the Board), or extending credit for the purpose of purchasing or carrying margin stock. Margin Stock constitutes less than 25% of those assets of each Loan Party which are subject to any limitation on a sale, pledge, or other restrictions hereunder.</w:t>
      </w:r>
    </w:p>
    <w:p>
      <w:pPr>
        <w:spacing w:after="0" w:line="106"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Loan Party, no Person controlling any Loan Party, or any Subsidiary of any Loan Party is or is required to be registered as an “</w:t>
      </w:r>
      <w:r>
        <w:rPr>
          <w:rFonts w:ascii="Arial" w:cs="Arial" w:eastAsia="Arial" w:hAnsi="Arial"/>
          <w:sz w:val="18"/>
          <w:szCs w:val="18"/>
          <w:i w:val="1"/>
          <w:iCs w:val="1"/>
          <w:color w:val="auto"/>
        </w:rPr>
        <w:t>investment company</w:t>
      </w:r>
      <w:r>
        <w:rPr>
          <w:rFonts w:ascii="Arial" w:cs="Arial" w:eastAsia="Arial" w:hAnsi="Arial"/>
          <w:sz w:val="18"/>
          <w:szCs w:val="18"/>
          <w:color w:val="auto"/>
        </w:rPr>
        <w:t>” under the Investment Company Act of 1940.</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Borrower will use all proceeds of Credit Extensions in the manner set forth in </w:t>
      </w:r>
      <w:r>
        <w:rPr>
          <w:rFonts w:ascii="Arial" w:cs="Arial" w:eastAsia="Arial" w:hAnsi="Arial"/>
          <w:sz w:val="18"/>
          <w:szCs w:val="18"/>
          <w:b w:val="1"/>
          <w:bCs w:val="1"/>
          <w:i w:val="1"/>
          <w:iCs w:val="1"/>
          <w:color w:val="auto"/>
        </w:rPr>
        <w:t>Section 6.12</w:t>
      </w:r>
      <w:r>
        <w:rPr>
          <w:rFonts w:ascii="Arial" w:cs="Arial" w:eastAsia="Arial" w:hAnsi="Arial"/>
          <w:sz w:val="18"/>
          <w:szCs w:val="18"/>
          <w:color w:val="auto"/>
        </w:rPr>
        <w:t>.</w:t>
      </w:r>
    </w:p>
    <w:p>
      <w:pPr>
        <w:spacing w:after="0" w:line="16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5.14 Disclosure</w:t>
      </w:r>
      <w:r>
        <w:rPr>
          <w:rFonts w:ascii="Arial" w:cs="Arial" w:eastAsia="Arial" w:hAnsi="Arial"/>
          <w:sz w:val="18"/>
          <w:szCs w:val="18"/>
          <w:color w:val="auto"/>
        </w:rPr>
        <w:t>. No statement, information, report, representation, or warranty made by any Loan Party in any Loan Document or furnished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or any Lender by or on behalf of any Loan Party in connection with any Loan Document contains any untrue statement of a material fact or omits any material fact required to be stated therein or necessary to make the statements therein, in light of the circumstances under which they were made, not misleading.</w:t>
      </w:r>
    </w:p>
    <w:p>
      <w:pPr>
        <w:spacing w:after="0" w:line="13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5.15 Labor Matters</w:t>
      </w:r>
      <w:r>
        <w:rPr>
          <w:rFonts w:ascii="Arial" w:cs="Arial" w:eastAsia="Arial" w:hAnsi="Arial"/>
          <w:sz w:val="18"/>
          <w:szCs w:val="18"/>
          <w:color w:val="auto"/>
        </w:rPr>
        <w:t>. To the Borrower’s and the MLP’s knowledge, there are no actual or threatened strikes, labor disputes, slowdowns, walkouts,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concerted interruptions of operations by the Servicing Employees that could reasonably be expected to have a Material Adverse Effect. As used in this Section, “</w:t>
      </w:r>
      <w:r>
        <w:rPr>
          <w:rFonts w:ascii="Arial" w:cs="Arial" w:eastAsia="Arial" w:hAnsi="Arial"/>
          <w:sz w:val="18"/>
          <w:szCs w:val="18"/>
          <w:b w:val="1"/>
          <w:bCs w:val="1"/>
          <w:i w:val="1"/>
          <w:iCs w:val="1"/>
          <w:color w:val="auto"/>
        </w:rPr>
        <w:t>Servicing Employees</w:t>
      </w:r>
      <w:r>
        <w:rPr>
          <w:rFonts w:ascii="Arial" w:cs="Arial" w:eastAsia="Arial" w:hAnsi="Arial"/>
          <w:sz w:val="18"/>
          <w:szCs w:val="18"/>
          <w:color w:val="auto"/>
        </w:rPr>
        <w:t>” means employees of the General Partner or other Affiliate of Sunoco who perform services in connection with Borrower’s and its Subsidiaries’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60" w:name="page61"/>
    <w:bookmarkEnd w:id="60"/>
    <w:p>
      <w:pPr>
        <w:ind w:right="140"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5.16 Compliance with Laws</w:t>
      </w:r>
      <w:r>
        <w:rPr>
          <w:rFonts w:ascii="Arial" w:cs="Arial" w:eastAsia="Arial" w:hAnsi="Arial"/>
          <w:sz w:val="16"/>
          <w:szCs w:val="16"/>
          <w:color w:val="auto"/>
        </w:rPr>
        <w:t>. No Company in violation of any Laws,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such violations which could not, individually or collectively,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expected to have a Material Adverse Effect. No Company has received notice alleging any noncompliance with any Laws, </w:t>
      </w:r>
      <w:r>
        <w:rPr>
          <w:rFonts w:ascii="Arial" w:cs="Arial" w:eastAsia="Arial" w:hAnsi="Arial"/>
          <w:sz w:val="16"/>
          <w:szCs w:val="16"/>
          <w:i w:val="1"/>
          <w:iCs w:val="1"/>
          <w:color w:val="auto"/>
        </w:rPr>
        <w:t>except</w:t>
      </w:r>
      <w:r>
        <w:rPr>
          <w:rFonts w:ascii="Arial" w:cs="Arial" w:eastAsia="Arial" w:hAnsi="Arial"/>
          <w:sz w:val="16"/>
          <w:szCs w:val="16"/>
          <w:color w:val="auto"/>
        </w:rPr>
        <w:t xml:space="preserve"> for such noncompliance which no longer exists, or which non-compliance could not reasonably be expected to have a Material Adverse Effect.</w:t>
      </w:r>
    </w:p>
    <w:p>
      <w:pPr>
        <w:spacing w:after="0" w:line="97"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5.17 Third Party Approvals</w:t>
      </w:r>
      <w:r>
        <w:rPr>
          <w:rFonts w:ascii="Arial" w:cs="Arial" w:eastAsia="Arial" w:hAnsi="Arial"/>
          <w:sz w:val="16"/>
          <w:szCs w:val="16"/>
          <w:color w:val="auto"/>
        </w:rPr>
        <w:t>. No approval, consent, exemption, authorization, or other action by, or notice to, or filing with, any party that is not a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Agreement is necessary or required in connection with the execution, delivery or performance by, or enforcement against, any Loan Party of this Agreement or any other Loan Document </w:t>
      </w:r>
      <w:r>
        <w:rPr>
          <w:rFonts w:ascii="Arial" w:cs="Arial" w:eastAsia="Arial" w:hAnsi="Arial"/>
          <w:sz w:val="16"/>
          <w:szCs w:val="16"/>
          <w:i w:val="1"/>
          <w:iCs w:val="1"/>
          <w:color w:val="auto"/>
        </w:rPr>
        <w:t>except</w:t>
      </w:r>
      <w:r>
        <w:rPr>
          <w:rFonts w:ascii="Arial" w:cs="Arial" w:eastAsia="Arial" w:hAnsi="Arial"/>
          <w:sz w:val="16"/>
          <w:szCs w:val="16"/>
          <w:color w:val="auto"/>
        </w:rPr>
        <w:t xml:space="preserve"> where obtained or where the failure to receive such approval, consent, exemption, authorization, or the failure to do such other action by, or provide such notice could not reasonably be expected to have a Material Adverse Effect.</w:t>
      </w:r>
    </w:p>
    <w:p>
      <w:pPr>
        <w:spacing w:after="0" w:line="103"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5.18 Solvency</w:t>
      </w:r>
      <w:r>
        <w:rPr>
          <w:rFonts w:ascii="Arial" w:cs="Arial" w:eastAsia="Arial" w:hAnsi="Arial"/>
          <w:sz w:val="16"/>
          <w:szCs w:val="16"/>
          <w:color w:val="auto"/>
        </w:rPr>
        <w:t>. Neither the Borrower and its Subsidiaries on a consolidated basis nor the MLP and its Subsidiaries on a consolidated basis are “</w:t>
      </w:r>
      <w:r>
        <w:rPr>
          <w:rFonts w:ascii="Arial" w:cs="Arial" w:eastAsia="Arial" w:hAnsi="Arial"/>
          <w:sz w:val="16"/>
          <w:szCs w:val="16"/>
          <w:i w:val="1"/>
          <w:iCs w:val="1"/>
          <w:color w:val="auto"/>
        </w:rPr>
        <w:t>insolvent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as such term is used and defined in (i) the United States Bankruptcy Code or (ii) the New York Fraudulent Conveyance Act, N.Y. Debt. &amp; Cred. Law §§ 270-281.</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AFFIRMATIVE COVENANTS</w:t>
      </w:r>
    </w:p>
    <w:p>
      <w:pPr>
        <w:spacing w:after="0" w:line="16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So long as any Lender shall have any Commitment hereunder, or any Loan or other Obligation shall remain unpaid or unsatisfied, or any Letter of Credit shall remain outstanding, each of the Borrower and the MLP shall, and shall (except in the case of the covenants set forth in </w:t>
      </w:r>
      <w:r>
        <w:rPr>
          <w:rFonts w:ascii="Arial" w:cs="Arial" w:eastAsia="Arial" w:hAnsi="Arial"/>
          <w:sz w:val="18"/>
          <w:szCs w:val="18"/>
          <w:b w:val="1"/>
          <w:bCs w:val="1"/>
          <w:i w:val="1"/>
          <w:iCs w:val="1"/>
          <w:color w:val="auto"/>
        </w:rPr>
        <w:t>Sections 6.01, 6.02, 6.03</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6.12</w:t>
      </w:r>
      <w:r>
        <w:rPr>
          <w:rFonts w:ascii="Arial" w:cs="Arial" w:eastAsia="Arial" w:hAnsi="Arial"/>
          <w:sz w:val="18"/>
          <w:szCs w:val="18"/>
          <w:color w:val="auto"/>
        </w:rPr>
        <w:t>) cause each of their Subsidiaries to:</w:t>
      </w:r>
    </w:p>
    <w:p>
      <w:pPr>
        <w:spacing w:after="0" w:line="53" w:lineRule="exact"/>
        <w:rPr>
          <w:sz w:val="20"/>
          <w:szCs w:val="20"/>
          <w:color w:val="auto"/>
        </w:rPr>
      </w:pPr>
    </w:p>
    <w:p>
      <w:pPr>
        <w:jc w:val="both"/>
        <w:ind w:right="180" w:firstLine="456"/>
        <w:spacing w:after="0" w:line="275" w:lineRule="auto"/>
        <w:rPr>
          <w:sz w:val="20"/>
          <w:szCs w:val="20"/>
          <w:color w:val="auto"/>
        </w:rPr>
      </w:pPr>
      <w:r>
        <w:rPr>
          <w:rFonts w:ascii="Arial" w:cs="Arial" w:eastAsia="Arial" w:hAnsi="Arial"/>
          <w:sz w:val="18"/>
          <w:szCs w:val="18"/>
          <w:b w:val="1"/>
          <w:bCs w:val="1"/>
          <w:color w:val="auto"/>
        </w:rPr>
        <w:t>6.01 Financial Statements</w:t>
      </w:r>
      <w:r>
        <w:rPr>
          <w:rFonts w:ascii="Arial" w:cs="Arial" w:eastAsia="Arial" w:hAnsi="Arial"/>
          <w:sz w:val="18"/>
          <w:szCs w:val="18"/>
          <w:color w:val="auto"/>
        </w:rPr>
        <w:t>. Deliver to the Administrative Agent and each Lender, in form and detail reasonably satisfactory to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Required Lenders:</w:t>
      </w:r>
    </w:p>
    <w:p>
      <w:pPr>
        <w:spacing w:after="0" w:line="45" w:lineRule="exact"/>
        <w:rPr>
          <w:sz w:val="20"/>
          <w:szCs w:val="20"/>
          <w:color w:val="auto"/>
        </w:rPr>
      </w:pPr>
    </w:p>
    <w:p>
      <w:pPr>
        <w:ind w:right="240" w:firstLine="464"/>
        <w:spacing w:after="0" w:line="291"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color w:val="auto"/>
        </w:rPr>
        <w:t>as soon as available, but in any event within 90 days after the end of each fiscal year of the MLP, consolidated balance sheets of the MLP and its Subsidiaries as at the end of such fiscal year, and the related statements of income and cash flows for such fiscal year, setting forth in each case in comparative form the figures for the previous fiscal year, all in reasonable detail, audited and accompanied by a report and opinion of Ernst &amp; Young LLP or other independent certified public accountant of nationally recognized standing reasonably acceptable to the Required Lenders, which report and opinion shall be prepared in accordance with GAAP and shall not be subject to any qualifications or exceptions as to the scope of the audit nor to any qualifications and exceptions not reasonably acceptable to the Required Lenders; and</w:t>
      </w:r>
    </w:p>
    <w:p>
      <w:pPr>
        <w:spacing w:after="0" w:line="120" w:lineRule="exact"/>
        <w:rPr>
          <w:rFonts w:ascii="Arial" w:cs="Arial" w:eastAsia="Arial" w:hAnsi="Arial"/>
          <w:sz w:val="16"/>
          <w:szCs w:val="16"/>
          <w:color w:val="auto"/>
        </w:rPr>
      </w:pPr>
    </w:p>
    <w:p>
      <w:pPr>
        <w:ind w:firstLine="464"/>
        <w:spacing w:after="0" w:line="291" w:lineRule="auto"/>
        <w:tabs>
          <w:tab w:leader="none" w:pos="705" w:val="left"/>
        </w:tabs>
        <w:numPr>
          <w:ilvl w:val="0"/>
          <w:numId w:val="81"/>
        </w:numPr>
        <w:rPr>
          <w:rFonts w:ascii="Arial" w:cs="Arial" w:eastAsia="Arial" w:hAnsi="Arial"/>
          <w:sz w:val="16"/>
          <w:szCs w:val="16"/>
          <w:color w:val="auto"/>
        </w:rPr>
      </w:pPr>
      <w:r>
        <w:rPr>
          <w:rFonts w:ascii="Arial" w:cs="Arial" w:eastAsia="Arial" w:hAnsi="Arial"/>
          <w:sz w:val="16"/>
          <w:szCs w:val="16"/>
          <w:color w:val="auto"/>
        </w:rPr>
        <w:t>as soon as available, but in any event within 45 days after the end of each of the first three fiscal quarters of each fiscal year of the MLP, a consolidated balance sheet of the MLP and its Subsidiaries as at the end of such fiscal quarter, and the related statements of income and cash flows for such fiscal quarter and for the portion of the MLP’s fiscal year then ended, setting forth in each case in comparative form the figures for the corresponding fiscal quarter of the previous fiscal year and the corresponding portion of the previous fiscal year, all in reasonable detail and certified by a Responsible Officer of the MLP as fairly presenting the financial condition, results of operations and cash flows of the MLP and its Subsidiaries in accordance with GAAP, subject only to normal year-end audit adjustments and the absence of footnotes;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74" w:right="279" w:bottom="1440" w:gutter="0" w:footer="0" w:header="0"/>
        </w:sectPr>
      </w:pPr>
    </w:p>
    <w:bookmarkStart w:id="61" w:name="page62"/>
    <w:bookmarkEnd w:id="61"/>
    <w:p>
      <w:pPr>
        <w:ind w:right="12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that</w:t>
      </w:r>
      <w:r>
        <w:rPr>
          <w:rFonts w:ascii="Arial" w:cs="Arial" w:eastAsia="Arial" w:hAnsi="Arial"/>
          <w:sz w:val="18"/>
          <w:szCs w:val="18"/>
          <w:color w:val="auto"/>
        </w:rPr>
        <w:t>, if any financial statement referred to in</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Section 6.01(a)</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(b)</w:t>
      </w:r>
      <w:r>
        <w:rPr>
          <w:rFonts w:ascii="Arial" w:cs="Arial" w:eastAsia="Arial" w:hAnsi="Arial"/>
          <w:sz w:val="18"/>
          <w:szCs w:val="18"/>
          <w:i w:val="1"/>
          <w:iCs w:val="1"/>
          <w:color w:val="auto"/>
        </w:rPr>
        <w:t xml:space="preserve"> </w:t>
      </w:r>
      <w:r>
        <w:rPr>
          <w:rFonts w:ascii="Arial" w:cs="Arial" w:eastAsia="Arial" w:hAnsi="Arial"/>
          <w:sz w:val="18"/>
          <w:szCs w:val="18"/>
          <w:color w:val="auto"/>
        </w:rPr>
        <w:t>is readily available on-line through EDGAR, in lieu of furnishing copies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 the Borrower may notify the Administrative Agent of the availability of such financial statements on EDGAR, and the Administrative Agent shall make such notice available to the Lenders.</w:t>
      </w:r>
    </w:p>
    <w:p>
      <w:pPr>
        <w:spacing w:after="0" w:line="134"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6.02 Certificates; Other Information</w:t>
      </w:r>
      <w:r>
        <w:rPr>
          <w:rFonts w:ascii="Arial" w:cs="Arial" w:eastAsia="Arial" w:hAnsi="Arial"/>
          <w:sz w:val="18"/>
          <w:szCs w:val="18"/>
          <w:color w:val="auto"/>
        </w:rPr>
        <w:t>. Deliver to the Administrative Agent and each Lender, in form and detail satisfactory to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Required Lenders:</w:t>
      </w:r>
    </w:p>
    <w:p>
      <w:pPr>
        <w:spacing w:after="0" w:line="45" w:lineRule="exact"/>
        <w:rPr>
          <w:sz w:val="20"/>
          <w:szCs w:val="20"/>
          <w:color w:val="auto"/>
        </w:rPr>
      </w:pPr>
    </w:p>
    <w:p>
      <w:pPr>
        <w:ind w:right="200" w:firstLine="464"/>
        <w:spacing w:after="0" w:line="298"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concurrently with the delivery of the financial statements referred to in </w:t>
      </w:r>
      <w:r>
        <w:rPr>
          <w:rFonts w:ascii="Arial" w:cs="Arial" w:eastAsia="Arial" w:hAnsi="Arial"/>
          <w:sz w:val="16"/>
          <w:szCs w:val="16"/>
          <w:b w:val="1"/>
          <w:bCs w:val="1"/>
          <w:i w:val="1"/>
          <w:iCs w:val="1"/>
          <w:color w:val="auto"/>
        </w:rPr>
        <w:t>Sections 6.01(a)</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6.01(b)</w:t>
      </w:r>
      <w:r>
        <w:rPr>
          <w:rFonts w:ascii="Arial" w:cs="Arial" w:eastAsia="Arial" w:hAnsi="Arial"/>
          <w:sz w:val="16"/>
          <w:szCs w:val="16"/>
          <w:color w:val="auto"/>
        </w:rPr>
        <w:t xml:space="preserve"> (or, if the Borrower’s obligation to deliver such financial statements is fulfilled by making them available on-line through EDGAR, then at the time or promptly after the time that such financial statements are made available on-line through EDGAR, but in any event not later than the 90-day and 45-day time periods set forth in </w:t>
      </w:r>
      <w:r>
        <w:rPr>
          <w:rFonts w:ascii="Arial" w:cs="Arial" w:eastAsia="Arial" w:hAnsi="Arial"/>
          <w:sz w:val="16"/>
          <w:szCs w:val="16"/>
          <w:b w:val="1"/>
          <w:bCs w:val="1"/>
          <w:i w:val="1"/>
          <w:iCs w:val="1"/>
          <w:color w:val="auto"/>
        </w:rPr>
        <w:t>Sections 6.01(a)</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6.01(b)</w:t>
      </w:r>
      <w:r>
        <w:rPr>
          <w:rFonts w:ascii="Arial" w:cs="Arial" w:eastAsia="Arial" w:hAnsi="Arial"/>
          <w:sz w:val="16"/>
          <w:szCs w:val="16"/>
          <w:color w:val="auto"/>
        </w:rPr>
        <w:t xml:space="preserve">), a duly completed Compliance Certificate in form of </w:t>
      </w:r>
      <w:r>
        <w:rPr>
          <w:rFonts w:ascii="Arial" w:cs="Arial" w:eastAsia="Arial" w:hAnsi="Arial"/>
          <w:sz w:val="16"/>
          <w:szCs w:val="16"/>
          <w:b w:val="1"/>
          <w:bCs w:val="1"/>
          <w:i w:val="1"/>
          <w:iCs w:val="1"/>
          <w:color w:val="auto"/>
        </w:rPr>
        <w:t>Exhibit C</w:t>
      </w:r>
      <w:r>
        <w:rPr>
          <w:rFonts w:ascii="Arial" w:cs="Arial" w:eastAsia="Arial" w:hAnsi="Arial"/>
          <w:sz w:val="16"/>
          <w:szCs w:val="16"/>
          <w:color w:val="auto"/>
        </w:rPr>
        <w:t xml:space="preserve"> signed by a Responsible Officer of the Borrower and a Responsible Officer of the MLP;</w:t>
      </w:r>
    </w:p>
    <w:p>
      <w:pPr>
        <w:spacing w:after="0" w:line="112" w:lineRule="exact"/>
        <w:rPr>
          <w:rFonts w:ascii="Arial" w:cs="Arial" w:eastAsia="Arial" w:hAnsi="Arial"/>
          <w:sz w:val="16"/>
          <w:szCs w:val="16"/>
          <w:color w:val="auto"/>
        </w:rPr>
      </w:pPr>
    </w:p>
    <w:p>
      <w:pPr>
        <w:ind w:firstLine="464"/>
        <w:spacing w:after="0" w:line="256" w:lineRule="auto"/>
        <w:tabs>
          <w:tab w:leader="none" w:pos="7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promptly after the same are available, copies of each annual report, proxy or financial statement or other report or written communication sent to the equity owners of the MLP, and copies of all annual, regular, periodic and special reports and registration statements which the MLP may file or be required to file with the Securities and Exchange Commission under </w:t>
      </w:r>
      <w:r>
        <w:rPr>
          <w:rFonts w:ascii="Arial" w:cs="Arial" w:eastAsia="Arial" w:hAnsi="Arial"/>
          <w:sz w:val="18"/>
          <w:szCs w:val="18"/>
          <w:i w:val="1"/>
          <w:iCs w:val="1"/>
          <w:color w:val="auto"/>
        </w:rPr>
        <w:t>Section 13</w:t>
      </w:r>
      <w:r>
        <w:rPr>
          <w:rFonts w:ascii="Arial" w:cs="Arial" w:eastAsia="Arial" w:hAnsi="Arial"/>
          <w:sz w:val="18"/>
          <w:szCs w:val="18"/>
          <w:color w:val="auto"/>
        </w:rPr>
        <w:t xml:space="preserve"> or </w:t>
      </w:r>
      <w:r>
        <w:rPr>
          <w:rFonts w:ascii="Arial" w:cs="Arial" w:eastAsia="Arial" w:hAnsi="Arial"/>
          <w:sz w:val="18"/>
          <w:szCs w:val="18"/>
          <w:i w:val="1"/>
          <w:iCs w:val="1"/>
          <w:color w:val="auto"/>
        </w:rPr>
        <w:t>15(d)</w:t>
      </w:r>
      <w:r>
        <w:rPr>
          <w:rFonts w:ascii="Arial" w:cs="Arial" w:eastAsia="Arial" w:hAnsi="Arial"/>
          <w:sz w:val="18"/>
          <w:szCs w:val="18"/>
          <w:color w:val="auto"/>
        </w:rPr>
        <w:t xml:space="preserve"> of the Securities Exchange Act of 1934, and not otherwise required to be delivered to the Administrative Agent pursuant hereto;</w:t>
      </w:r>
    </w:p>
    <w:p>
      <w:pPr>
        <w:spacing w:after="0" w:line="143" w:lineRule="exact"/>
        <w:rPr>
          <w:rFonts w:ascii="Arial" w:cs="Arial" w:eastAsia="Arial" w:hAnsi="Arial"/>
          <w:sz w:val="18"/>
          <w:szCs w:val="18"/>
          <w:color w:val="auto"/>
        </w:rPr>
      </w:pPr>
    </w:p>
    <w:p>
      <w:pPr>
        <w:ind w:right="760" w:firstLine="464"/>
        <w:spacing w:after="0" w:line="268"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promptly after execution thereof, copies of Material Agreements and any material amendment thereto;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any such agreement or amendment is available on-line through EDGAR, the Borrower shall not be obligated to furnish copies thereof; and</w:t>
      </w:r>
    </w:p>
    <w:p>
      <w:pPr>
        <w:spacing w:after="0" w:line="131" w:lineRule="exact"/>
        <w:rPr>
          <w:rFonts w:ascii="Arial" w:cs="Arial" w:eastAsia="Arial" w:hAnsi="Arial"/>
          <w:sz w:val="18"/>
          <w:szCs w:val="18"/>
          <w:color w:val="auto"/>
        </w:rPr>
      </w:pPr>
    </w:p>
    <w:p>
      <w:pPr>
        <w:ind w:right="540" w:firstLine="464"/>
        <w:spacing w:after="0" w:line="268" w:lineRule="auto"/>
        <w:tabs>
          <w:tab w:leader="none" w:pos="7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or corporate affairs of any Loan Party as the Administrative Agent, at the request of any Lender, may from time to time reasonably request.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6.03 Notices</w:t>
      </w:r>
      <w:r>
        <w:rPr>
          <w:rFonts w:ascii="Arial" w:cs="Arial" w:eastAsia="Arial" w:hAnsi="Arial"/>
          <w:sz w:val="18"/>
          <w:szCs w:val="18"/>
          <w:color w:val="auto"/>
        </w:rPr>
        <w:t>. Promptly notify the Administrative Agent and each Lender:</w:t>
      </w:r>
    </w:p>
    <w:p>
      <w:pPr>
        <w:spacing w:after="0" w:line="96" w:lineRule="exact"/>
        <w:rPr>
          <w:sz w:val="20"/>
          <w:szCs w:val="20"/>
          <w:color w:val="auto"/>
        </w:rPr>
      </w:pPr>
    </w:p>
    <w:p>
      <w:pPr>
        <w:ind w:left="700" w:hanging="236"/>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 as soon as possible but in any event within ten days after the occurrence thereof;</w:t>
      </w:r>
    </w:p>
    <w:p>
      <w:pPr>
        <w:spacing w:after="0" w:line="171" w:lineRule="exact"/>
        <w:rPr>
          <w:rFonts w:ascii="Arial" w:cs="Arial" w:eastAsia="Arial" w:hAnsi="Arial"/>
          <w:sz w:val="18"/>
          <w:szCs w:val="18"/>
          <w:color w:val="auto"/>
        </w:rPr>
      </w:pPr>
    </w:p>
    <w:p>
      <w:pPr>
        <w:jc w:val="both"/>
        <w:ind w:right="120" w:firstLine="464"/>
        <w:spacing w:after="0" w:line="298"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color w:val="auto"/>
        </w:rPr>
        <w:t>of any matter that has resulted or could reasonably be expected to result in a Material Adverse Effect, including any of the following events if such has resulted or could reasonably be expected to result in a Material Adverse Effect: (i) breach or non-performance of, or any default under, a Contractual Obligation of any Loan Party; (ii) any litigation, investigation by or required by a Governmental Authority or proceeding between any Loan Party and any Governmental Authority; or (iii) any litigation, investigation or proceeding involving any Loan Party related to any Environmental Law;</w:t>
      </w:r>
    </w:p>
    <w:p>
      <w:pPr>
        <w:spacing w:after="0" w:line="112" w:lineRule="exact"/>
        <w:rPr>
          <w:rFonts w:ascii="Arial" w:cs="Arial" w:eastAsia="Arial" w:hAnsi="Arial"/>
          <w:sz w:val="16"/>
          <w:szCs w:val="16"/>
          <w:color w:val="auto"/>
        </w:rPr>
      </w:pPr>
    </w:p>
    <w:p>
      <w:pPr>
        <w:ind w:right="160" w:firstLine="464"/>
        <w:spacing w:after="0" w:line="259"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of any litigation, investigation or proceeding known to and affecting the Borrower or any Borrower Affiliate in which (i) the amount involved exceeds (individually or collectively) $15,000,000, or (ii) injunctive relief or similar relief is sought, which could be reasonably expected to have a Material Adverse Effect; and</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of any announcement by Moody’s or S&amp;P of any change or possible change in a Debt Rating of the Borrower.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62" w:name="page63"/>
    <w:bookmarkEnd w:id="62"/>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the Borrower and the MLP shall exercise reasonable efforts to promptly notify the Administrative Agent of any material change in accounting policies or financial reporting practices by the Borrower or the MLP.</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Each notice pursuant to this Section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6"/>
          <w:szCs w:val="16"/>
          <w:b w:val="1"/>
          <w:bCs w:val="1"/>
          <w:i w:val="1"/>
          <w:iCs w:val="1"/>
          <w:color w:val="auto"/>
        </w:rPr>
        <w:t>Section 6.03(a)</w:t>
      </w:r>
      <w:r>
        <w:rPr>
          <w:rFonts w:ascii="Arial" w:cs="Arial" w:eastAsia="Arial" w:hAnsi="Arial"/>
          <w:sz w:val="16"/>
          <w:szCs w:val="16"/>
          <w:color w:val="auto"/>
        </w:rPr>
        <w:t xml:space="preserve"> shall describe with particularity any and all provisions of this Agreement or other Loan Document that have been breached.</w:t>
      </w:r>
    </w:p>
    <w:p>
      <w:pPr>
        <w:spacing w:after="0" w:line="101" w:lineRule="exact"/>
        <w:rPr>
          <w:sz w:val="20"/>
          <w:szCs w:val="20"/>
          <w:color w:val="auto"/>
        </w:rPr>
      </w:pPr>
    </w:p>
    <w:p>
      <w:pPr>
        <w:ind w:right="260" w:firstLine="456"/>
        <w:spacing w:after="0" w:line="287" w:lineRule="auto"/>
        <w:rPr>
          <w:sz w:val="20"/>
          <w:szCs w:val="20"/>
          <w:color w:val="auto"/>
        </w:rPr>
      </w:pPr>
      <w:r>
        <w:rPr>
          <w:rFonts w:ascii="Arial" w:cs="Arial" w:eastAsia="Arial" w:hAnsi="Arial"/>
          <w:sz w:val="16"/>
          <w:szCs w:val="16"/>
          <w:b w:val="1"/>
          <w:bCs w:val="1"/>
          <w:color w:val="auto"/>
        </w:rPr>
        <w:t>6.04 Payment of Obligations</w:t>
      </w:r>
      <w:r>
        <w:rPr>
          <w:rFonts w:ascii="Arial" w:cs="Arial" w:eastAsia="Arial" w:hAnsi="Arial"/>
          <w:sz w:val="16"/>
          <w:szCs w:val="16"/>
          <w:color w:val="auto"/>
        </w:rPr>
        <w:t>. Pay and discharge as the same shall become due and payable, all its obligations and liabilities, including (a) all tax</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liabilities, assessments and governmental charges or levies upon it or its properties or assets and (b) all lawful claims which, if unpaid, would by law become a Lien upon its property, except, in the case of </w:t>
      </w:r>
      <w:r>
        <w:rPr>
          <w:rFonts w:ascii="Arial" w:cs="Arial" w:eastAsia="Arial" w:hAnsi="Arial"/>
          <w:sz w:val="16"/>
          <w:szCs w:val="16"/>
          <w:b w:val="1"/>
          <w:bCs w:val="1"/>
          <w:i w:val="1"/>
          <w:iCs w:val="1"/>
          <w:color w:val="auto"/>
        </w:rPr>
        <w:t>clause (a)</w:t>
      </w:r>
      <w:r>
        <w:rPr>
          <w:rFonts w:ascii="Arial" w:cs="Arial" w:eastAsia="Arial" w:hAnsi="Arial"/>
          <w:sz w:val="16"/>
          <w:szCs w:val="16"/>
          <w:color w:val="auto"/>
        </w:rPr>
        <w:t xml:space="preserve"> or </w:t>
      </w:r>
      <w:r>
        <w:rPr>
          <w:rFonts w:ascii="Arial" w:cs="Arial" w:eastAsia="Arial" w:hAnsi="Arial"/>
          <w:sz w:val="16"/>
          <w:szCs w:val="16"/>
          <w:b w:val="1"/>
          <w:bCs w:val="1"/>
          <w:i w:val="1"/>
          <w:iCs w:val="1"/>
          <w:color w:val="auto"/>
        </w:rPr>
        <w:t>(b)</w:t>
      </w:r>
      <w:r>
        <w:rPr>
          <w:rFonts w:ascii="Arial" w:cs="Arial" w:eastAsia="Arial" w:hAnsi="Arial"/>
          <w:sz w:val="16"/>
          <w:szCs w:val="16"/>
          <w:color w:val="auto"/>
        </w:rPr>
        <w:t>, where (x) the validity thereof is being contested in good faith by appropriate proceedings,</w:t>
      </w:r>
    </w:p>
    <w:p>
      <w:pPr>
        <w:spacing w:after="0" w:line="1" w:lineRule="exact"/>
        <w:rPr>
          <w:sz w:val="20"/>
          <w:szCs w:val="20"/>
          <w:color w:val="auto"/>
        </w:rPr>
      </w:pPr>
    </w:p>
    <w:p>
      <w:pPr>
        <w:ind w:right="440" w:firstLine="8"/>
        <w:spacing w:after="0" w:line="261" w:lineRule="auto"/>
        <w:tabs>
          <w:tab w:leader="none" w:pos="249"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adequate reserves in accordance with GAAP are being maintained by the appropriate Loan Party, and (z) the failure to make such payment pending such contest could not reasonably be expected to result in a Material Adverse Effect.</w:t>
      </w:r>
    </w:p>
    <w:p>
      <w:pPr>
        <w:spacing w:after="0" w:line="132"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6.05 Preservation of Existence, Etc</w:t>
      </w:r>
      <w:r>
        <w:rPr>
          <w:rFonts w:ascii="Arial" w:cs="Arial" w:eastAsia="Arial" w:hAnsi="Arial"/>
          <w:sz w:val="16"/>
          <w:szCs w:val="16"/>
          <w:color w:val="auto"/>
        </w:rPr>
        <w:t>. (a) Preserve, renew and maintain in full force and effect its legal existence and good standing under the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jurisdiction of its organization, except in a transaction permitted by </w:t>
      </w:r>
      <w:r>
        <w:rPr>
          <w:rFonts w:ascii="Arial" w:cs="Arial" w:eastAsia="Arial" w:hAnsi="Arial"/>
          <w:sz w:val="16"/>
          <w:szCs w:val="16"/>
          <w:b w:val="1"/>
          <w:bCs w:val="1"/>
          <w:i w:val="1"/>
          <w:iCs w:val="1"/>
          <w:color w:val="auto"/>
        </w:rPr>
        <w:t>Sections 7.05</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7.06</w:t>
      </w:r>
      <w:r>
        <w:rPr>
          <w:rFonts w:ascii="Arial" w:cs="Arial" w:eastAsia="Arial" w:hAnsi="Arial"/>
          <w:sz w:val="16"/>
          <w:szCs w:val="16"/>
          <w:color w:val="auto"/>
        </w:rPr>
        <w:t xml:space="preserve">, and (b) take all reasonable action to maintain all rights, privileges, permits, licenses and franchises material to the conduct of its business, except in a transaction permitted by </w:t>
      </w:r>
      <w:r>
        <w:rPr>
          <w:rFonts w:ascii="Arial" w:cs="Arial" w:eastAsia="Arial" w:hAnsi="Arial"/>
          <w:sz w:val="16"/>
          <w:szCs w:val="16"/>
          <w:b w:val="1"/>
          <w:bCs w:val="1"/>
          <w:i w:val="1"/>
          <w:iCs w:val="1"/>
          <w:color w:val="auto"/>
        </w:rPr>
        <w:t>Sections 7.05</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7.06</w:t>
      </w:r>
      <w:r>
        <w:rPr>
          <w:rFonts w:ascii="Arial" w:cs="Arial" w:eastAsia="Arial" w:hAnsi="Arial"/>
          <w:sz w:val="16"/>
          <w:szCs w:val="16"/>
          <w:color w:val="auto"/>
        </w:rPr>
        <w:t>.</w:t>
      </w:r>
    </w:p>
    <w:p>
      <w:pPr>
        <w:spacing w:after="0" w:line="97"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6.06 Maintenance of Assets and Business</w:t>
      </w:r>
      <w:r>
        <w:rPr>
          <w:rFonts w:ascii="Arial" w:cs="Arial" w:eastAsia="Arial" w:hAnsi="Arial"/>
          <w:sz w:val="16"/>
          <w:szCs w:val="16"/>
          <w:color w:val="auto"/>
        </w:rPr>
        <w:t>. (a) Maintain all material licenses, permits, and franchises necessary for the normal business; (b) keep all of its</w:t>
      </w:r>
      <w:r>
        <w:rPr>
          <w:rFonts w:ascii="Arial" w:cs="Arial" w:eastAsia="Arial" w:hAnsi="Arial"/>
          <w:sz w:val="16"/>
          <w:szCs w:val="16"/>
          <w:b w:val="1"/>
          <w:bCs w:val="1"/>
          <w:color w:val="auto"/>
        </w:rPr>
        <w:t xml:space="preserve"> </w:t>
      </w:r>
      <w:r>
        <w:rPr>
          <w:rFonts w:ascii="Arial" w:cs="Arial" w:eastAsia="Arial" w:hAnsi="Arial"/>
          <w:sz w:val="16"/>
          <w:szCs w:val="16"/>
          <w:color w:val="auto"/>
        </w:rPr>
        <w:t>assets which are useful in and necessary to its business in good working order and condition (ordinary wear and tear excepted) and make all necessary repairs thereto and replacements thereof; and (c) do all things necessary to obtain, renew, extend, and continue in effect all Authorizations which may at any time and from time to time be necessary for the Borrower and its Subsidiaries to operate their businesses in compliance with applicable Law; except where the failure to so maintain, renew, extend, or continue in effect could not reasonably be expected to have a Material Adverse Effect.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6.07 Maintenance of Insurance</w:t>
      </w:r>
      <w:r>
        <w:rPr>
          <w:rFonts w:ascii="Arial" w:cs="Arial" w:eastAsia="Arial" w:hAnsi="Arial"/>
          <w:sz w:val="18"/>
          <w:szCs w:val="18"/>
          <w:color w:val="auto"/>
        </w:rPr>
        <w:t>. Maintain insurance with respect to its properties and business as described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Section 5.09</w:t>
      </w:r>
      <w:r>
        <w:rPr>
          <w:rFonts w:ascii="Arial" w:cs="Arial" w:eastAsia="Arial" w:hAnsi="Arial"/>
          <w:sz w:val="18"/>
          <w:szCs w:val="18"/>
          <w:color w:val="auto"/>
        </w:rPr>
        <w:t>.</w:t>
      </w:r>
    </w:p>
    <w:p>
      <w:pPr>
        <w:spacing w:after="0" w:line="171" w:lineRule="exact"/>
        <w:rPr>
          <w:sz w:val="20"/>
          <w:szCs w:val="20"/>
          <w:color w:val="auto"/>
        </w:rPr>
      </w:pPr>
    </w:p>
    <w:p>
      <w:pPr>
        <w:ind w:right="200" w:firstLine="456"/>
        <w:spacing w:after="0" w:line="310" w:lineRule="auto"/>
        <w:rPr>
          <w:sz w:val="20"/>
          <w:szCs w:val="20"/>
          <w:color w:val="auto"/>
        </w:rPr>
      </w:pPr>
      <w:r>
        <w:rPr>
          <w:rFonts w:ascii="Arial" w:cs="Arial" w:eastAsia="Arial" w:hAnsi="Arial"/>
          <w:sz w:val="16"/>
          <w:szCs w:val="16"/>
          <w:b w:val="1"/>
          <w:bCs w:val="1"/>
          <w:color w:val="auto"/>
        </w:rPr>
        <w:t>6.08 Compliance with Laws</w:t>
      </w:r>
      <w:r>
        <w:rPr>
          <w:rFonts w:ascii="Arial" w:cs="Arial" w:eastAsia="Arial" w:hAnsi="Arial"/>
          <w:sz w:val="16"/>
          <w:szCs w:val="16"/>
          <w:color w:val="auto"/>
        </w:rPr>
        <w:t>. Comply in all material respects with the requirements of all Laws (including Environmental Laws) applicable to it or to its</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or property, except in such instances in which (i) such requirement of Law is being contested in good faith or a bona fide dispute exists with respect thereto; or (ii) the failure to comply therewith could not be reasonably expected to have a Material Adverse Effect.</w:t>
      </w:r>
    </w:p>
    <w:p>
      <w:pPr>
        <w:spacing w:after="0" w:line="97"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6.09 Books and Records</w:t>
      </w:r>
      <w:r>
        <w:rPr>
          <w:rFonts w:ascii="Arial" w:cs="Arial" w:eastAsia="Arial" w:hAnsi="Arial"/>
          <w:sz w:val="16"/>
          <w:szCs w:val="16"/>
          <w:color w:val="auto"/>
        </w:rPr>
        <w:t>. Maintain proper books of record and account, in which full, true and correct entries in conformity with GAAP consistently</w:t>
      </w:r>
      <w:r>
        <w:rPr>
          <w:rFonts w:ascii="Arial" w:cs="Arial" w:eastAsia="Arial" w:hAnsi="Arial"/>
          <w:sz w:val="16"/>
          <w:szCs w:val="16"/>
          <w:b w:val="1"/>
          <w:bCs w:val="1"/>
          <w:color w:val="auto"/>
        </w:rPr>
        <w:t xml:space="preserve"> </w:t>
      </w:r>
      <w:r>
        <w:rPr>
          <w:rFonts w:ascii="Arial" w:cs="Arial" w:eastAsia="Arial" w:hAnsi="Arial"/>
          <w:sz w:val="16"/>
          <w:szCs w:val="16"/>
          <w:color w:val="auto"/>
        </w:rPr>
        <w:t>applied shall be made of all financial transactions and matters involving its assets and business; and (b) maintain such books of record and account in material conformity with all applicable requirements of any Governmental Authority having regulatory jurisdiction over it.</w:t>
      </w:r>
    </w:p>
    <w:p>
      <w:pPr>
        <w:spacing w:after="0" w:line="97" w:lineRule="exact"/>
        <w:rPr>
          <w:sz w:val="20"/>
          <w:szCs w:val="20"/>
          <w:color w:val="auto"/>
        </w:rPr>
      </w:pPr>
    </w:p>
    <w:p>
      <w:pPr>
        <w:ind w:right="340" w:firstLine="456"/>
        <w:spacing w:after="0" w:line="339" w:lineRule="auto"/>
        <w:rPr>
          <w:sz w:val="20"/>
          <w:szCs w:val="20"/>
          <w:color w:val="auto"/>
        </w:rPr>
      </w:pPr>
      <w:r>
        <w:rPr>
          <w:rFonts w:ascii="Arial" w:cs="Arial" w:eastAsia="Arial" w:hAnsi="Arial"/>
          <w:sz w:val="16"/>
          <w:szCs w:val="16"/>
          <w:b w:val="1"/>
          <w:bCs w:val="1"/>
          <w:color w:val="auto"/>
        </w:rPr>
        <w:t>6.10 Inspection Rights</w:t>
      </w:r>
      <w:r>
        <w:rPr>
          <w:rFonts w:ascii="Arial" w:cs="Arial" w:eastAsia="Arial" w:hAnsi="Arial"/>
          <w:sz w:val="16"/>
          <w:szCs w:val="16"/>
          <w:color w:val="auto"/>
        </w:rPr>
        <w:t>. Permit representatives and independent contractors of the Administrative Agent and each Lender to visit and inspect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properties, to examine its corporate, financial and operating records, and make copies thereof or abstracts therefrom, and to discuss its affairs,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63" w:name="page64"/>
    <w:bookmarkEnd w:id="63"/>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finances and accounts with its directors, officers, and independent public accountants, at such reasonable times during normal business hours and as often as may be reasonably desired, upon reasonable advance notice to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37"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6.11 Compliance with ERISA</w:t>
      </w:r>
      <w:r>
        <w:rPr>
          <w:rFonts w:ascii="Arial" w:cs="Arial" w:eastAsia="Arial" w:hAnsi="Arial"/>
          <w:sz w:val="16"/>
          <w:szCs w:val="16"/>
          <w:color w:val="auto"/>
        </w:rPr>
        <w:t>. With respect to each Plan maintained by a Company, do each of the following: (a) maintain each Plan in compliance in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material respects with the applicable provisions of ERISA, the Code and other federal or state Laws, (b) cause each Plan which is qualified under </w:t>
      </w:r>
      <w:r>
        <w:rPr>
          <w:rFonts w:ascii="Arial" w:cs="Arial" w:eastAsia="Arial" w:hAnsi="Arial"/>
          <w:sz w:val="16"/>
          <w:szCs w:val="16"/>
          <w:i w:val="1"/>
          <w:iCs w:val="1"/>
          <w:color w:val="auto"/>
        </w:rPr>
        <w:t>Section 401(a)</w:t>
      </w:r>
      <w:r>
        <w:rPr>
          <w:rFonts w:ascii="Arial" w:cs="Arial" w:eastAsia="Arial" w:hAnsi="Arial"/>
          <w:sz w:val="16"/>
          <w:szCs w:val="16"/>
          <w:color w:val="auto"/>
        </w:rPr>
        <w:t xml:space="preserve"> of the Code to maintain such qualification, and (c) make all required contributions to any Plan subject to </w:t>
      </w:r>
      <w:r>
        <w:rPr>
          <w:rFonts w:ascii="Arial" w:cs="Arial" w:eastAsia="Arial" w:hAnsi="Arial"/>
          <w:sz w:val="16"/>
          <w:szCs w:val="16"/>
          <w:i w:val="1"/>
          <w:iCs w:val="1"/>
          <w:color w:val="auto"/>
        </w:rPr>
        <w:t>Section 412</w:t>
      </w:r>
      <w:r>
        <w:rPr>
          <w:rFonts w:ascii="Arial" w:cs="Arial" w:eastAsia="Arial" w:hAnsi="Arial"/>
          <w:sz w:val="16"/>
          <w:szCs w:val="16"/>
          <w:color w:val="auto"/>
        </w:rPr>
        <w:t xml:space="preserve"> of the Code, except to the extent that noncompliance, with respect to each event listed above, could not be reasonably expected to have a Material Adverse Effect.</w:t>
      </w:r>
    </w:p>
    <w:p>
      <w:pPr>
        <w:spacing w:after="0" w:line="103" w:lineRule="exact"/>
        <w:rPr>
          <w:sz w:val="20"/>
          <w:szCs w:val="20"/>
          <w:color w:val="auto"/>
        </w:rPr>
      </w:pPr>
    </w:p>
    <w:p>
      <w:pPr>
        <w:jc w:val="both"/>
        <w:ind w:right="60" w:firstLine="456"/>
        <w:spacing w:after="0" w:line="301" w:lineRule="auto"/>
        <w:rPr>
          <w:sz w:val="20"/>
          <w:szCs w:val="20"/>
          <w:color w:val="auto"/>
        </w:rPr>
      </w:pPr>
      <w:r>
        <w:rPr>
          <w:rFonts w:ascii="Arial" w:cs="Arial" w:eastAsia="Arial" w:hAnsi="Arial"/>
          <w:sz w:val="16"/>
          <w:szCs w:val="16"/>
          <w:b w:val="1"/>
          <w:bCs w:val="1"/>
          <w:color w:val="auto"/>
        </w:rPr>
        <w:t>6.12 Use of Proceeds</w:t>
      </w:r>
      <w:r>
        <w:rPr>
          <w:rFonts w:ascii="Arial" w:cs="Arial" w:eastAsia="Arial" w:hAnsi="Arial"/>
          <w:sz w:val="16"/>
          <w:szCs w:val="16"/>
          <w:color w:val="auto"/>
        </w:rPr>
        <w:t>. Use the proceeds of the Credit Extensions only (a) to refinance loans under the Existing Credit Agreement, (b) for working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requirements of the Borrower and its Subsidiaries, (c) to finance Acquisitions by the Borrower and its Subsidiaries and to finance Investments in Permitted Joint Ventures subject in each case to compliance with this Agreement, including </w:t>
      </w:r>
      <w:r>
        <w:rPr>
          <w:rFonts w:ascii="Arial" w:cs="Arial" w:eastAsia="Arial" w:hAnsi="Arial"/>
          <w:sz w:val="16"/>
          <w:szCs w:val="16"/>
          <w:b w:val="1"/>
          <w:bCs w:val="1"/>
          <w:i w:val="1"/>
          <w:iCs w:val="1"/>
          <w:color w:val="auto"/>
        </w:rPr>
        <w:t>Sections 7.02</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7.09</w:t>
      </w:r>
      <w:r>
        <w:rPr>
          <w:rFonts w:ascii="Arial" w:cs="Arial" w:eastAsia="Arial" w:hAnsi="Arial"/>
          <w:sz w:val="16"/>
          <w:szCs w:val="16"/>
          <w:color w:val="auto"/>
        </w:rPr>
        <w:t xml:space="preserve">, (d) to fund Quarterly Distributions to the extent permitted by </w:t>
      </w:r>
      <w:r>
        <w:rPr>
          <w:rFonts w:ascii="Arial" w:cs="Arial" w:eastAsia="Arial" w:hAnsi="Arial"/>
          <w:sz w:val="16"/>
          <w:szCs w:val="16"/>
          <w:b w:val="1"/>
          <w:bCs w:val="1"/>
          <w:i w:val="1"/>
          <w:iCs w:val="1"/>
          <w:color w:val="auto"/>
        </w:rPr>
        <w:t>Section 7.07</w:t>
      </w:r>
      <w:r>
        <w:rPr>
          <w:rFonts w:ascii="Arial" w:cs="Arial" w:eastAsia="Arial" w:hAnsi="Arial"/>
          <w:sz w:val="16"/>
          <w:szCs w:val="16"/>
          <w:color w:val="auto"/>
        </w:rPr>
        <w:t>, (e) to finance Capital Expenditures including Material Projects, and (f) for other general company purposes.</w:t>
      </w:r>
    </w:p>
    <w:p>
      <w:pPr>
        <w:spacing w:after="0" w:line="103"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6.13 Material Agreements</w:t>
      </w:r>
      <w:r>
        <w:rPr>
          <w:rFonts w:ascii="Arial" w:cs="Arial" w:eastAsia="Arial" w:hAnsi="Arial"/>
          <w:sz w:val="18"/>
          <w:szCs w:val="18"/>
          <w:color w:val="auto"/>
        </w:rPr>
        <w:t>. Perform its obligations under the Material Agreements except where failure to do so could not reasonably be expected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a Material Adverse Effect; enforce the obligations of Sunoco contained in the indemnification provisions of the Omnibus Agreement, and enforce the other obligations of the Sunoco Contract Parties under the Borrower Operating Agreements to the same extent as they would enforce similar obligations of unrelated third parties.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6.14 Maintenance of Separateness</w:t>
      </w:r>
      <w:r>
        <w:rPr>
          <w:rFonts w:ascii="Arial" w:cs="Arial" w:eastAsia="Arial" w:hAnsi="Arial"/>
          <w:sz w:val="18"/>
          <w:szCs w:val="18"/>
          <w:color w:val="auto"/>
        </w:rPr>
        <w:t>.</w:t>
      </w:r>
    </w:p>
    <w:p>
      <w:pPr>
        <w:spacing w:after="0" w:line="96" w:lineRule="exact"/>
        <w:rPr>
          <w:sz w:val="20"/>
          <w:szCs w:val="20"/>
          <w:color w:val="auto"/>
        </w:rPr>
      </w:pPr>
    </w:p>
    <w:p>
      <w:pPr>
        <w:ind w:left="700" w:hanging="23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Maintain books and records separate from those of any other Person, including any Sunoco, Inc. Affiliate;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maintain its assets in such a manner that it is not more costly or difficult to segregate, identify or ascertain such assets;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observe all organizational formalities;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hold itself out to creditors and the public as separate and distinct from any other Person, including Sunoco, Inc. Affiliates;</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57"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conduct its business in its name or in business names or trade names of the Companies, and use stationary, invoices and checks separate from those of Sunoco, Inc. Affiliates;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not hold itself out as being available to satisfy the obligations of any other Person, including any Sunoco, Inc. Affiliate;</w:t>
      </w:r>
    </w:p>
    <w:p>
      <w:pPr>
        <w:spacing w:after="0" w:line="171" w:lineRule="exact"/>
        <w:rPr>
          <w:rFonts w:ascii="Arial" w:cs="Arial" w:eastAsia="Arial" w:hAnsi="Arial"/>
          <w:sz w:val="18"/>
          <w:szCs w:val="18"/>
          <w:color w:val="auto"/>
        </w:rPr>
      </w:pPr>
    </w:p>
    <w:p>
      <w:pPr>
        <w:ind w:firstLine="464"/>
        <w:spacing w:after="0" w:line="259"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the extent that any Company shares the same officers or other employees as any of its Affiliates (other than another Company), the salaries of and expenses relating to providing benefits to such officers and employees shall be fairly allocated among such entities, and each such entity shall bear its fair share of the salary and benefit costs associated with all such common officers and employees;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64" w:name="page65"/>
    <w:bookmarkEnd w:id="64"/>
    <w:p>
      <w:pPr>
        <w:ind w:firstLine="464"/>
        <w:spacing w:after="0" w:line="294" w:lineRule="auto"/>
        <w:tabs>
          <w:tab w:leader="none" w:pos="705" w:val="left"/>
        </w:tabs>
        <w:numPr>
          <w:ilvl w:val="0"/>
          <w:numId w:val="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that any Company jointly contracts with any of its Affiliates (other than another Company) to do business with vendors or service providers or to share overhead expenses, the costs incurred in doing so shall be allocated fairly among such entities and each such entity shall bear its fair share of such costs. To the extent that any Company contracts or does business with vendors or service providers where the goods and services are partially for the benefit of an Affiliate (other than another Company), the costs incurred in doing so shall be fairly allocated to or among such entities for whose benefit the goods and services are provided, and each such entity shall bear its fair share of such costs; and</w:t>
      </w:r>
    </w:p>
    <w:p>
      <w:pPr>
        <w:spacing w:after="0" w:line="115" w:lineRule="exact"/>
        <w:rPr>
          <w:rFonts w:ascii="Arial" w:cs="Arial" w:eastAsia="Arial" w:hAnsi="Arial"/>
          <w:sz w:val="16"/>
          <w:szCs w:val="16"/>
          <w:color w:val="auto"/>
        </w:rPr>
      </w:pPr>
    </w:p>
    <w:p>
      <w:pPr>
        <w:ind w:right="660" w:firstLine="464"/>
        <w:spacing w:after="0" w:line="332" w:lineRule="auto"/>
        <w:tabs>
          <w:tab w:leader="none" w:pos="69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the extent that any Company has officers in the same location as any of its Affiliates (other than another Company), there shall be a fair and appropriate allocation of overhead costs among them, and each such entity shall bear its fair share of such expenses.</w:t>
      </w:r>
    </w:p>
    <w:p>
      <w:pPr>
        <w:spacing w:after="0" w:line="79" w:lineRule="exact"/>
        <w:rPr>
          <w:sz w:val="20"/>
          <w:szCs w:val="20"/>
          <w:color w:val="auto"/>
        </w:rPr>
      </w:pPr>
    </w:p>
    <w:p>
      <w:pPr>
        <w:ind w:right="40" w:firstLine="456"/>
        <w:spacing w:after="0" w:line="326" w:lineRule="auto"/>
        <w:rPr>
          <w:sz w:val="20"/>
          <w:szCs w:val="20"/>
          <w:color w:val="auto"/>
        </w:rPr>
      </w:pPr>
      <w:r>
        <w:rPr>
          <w:rFonts w:ascii="Arial" w:cs="Arial" w:eastAsia="Arial" w:hAnsi="Arial"/>
          <w:sz w:val="15"/>
          <w:szCs w:val="15"/>
          <w:b w:val="1"/>
          <w:bCs w:val="1"/>
          <w:color w:val="auto"/>
        </w:rPr>
        <w:t>6.15 Confirmation of Release of Senior Note Subsidiary Guarantees</w:t>
      </w:r>
      <w:r>
        <w:rPr>
          <w:rFonts w:ascii="Arial" w:cs="Arial" w:eastAsia="Arial" w:hAnsi="Arial"/>
          <w:sz w:val="15"/>
          <w:szCs w:val="15"/>
          <w:color w:val="auto"/>
        </w:rPr>
        <w:t>. By no later than 90 days after the Closing Date (or such later date as may be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determined by the Administrative Agent in its sole discretion,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such date shall not exceed 180 days after the Closing Date), Borrower shall deliver to the Administrative Agent (a) the instrument received from the trustee under the 6.125% Senior Note Indenture evidencing the release of the 6.125% Senior Note Subsidiary Guarantees, and (b) the amendment to the 7.25% Senior Note Indenture confirming the termination of the 7.25% Senior Note Subsidiary Guarantees.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NEGATIVE COVENANTS</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So long as any Lender shall have any Commitment hereunder, or any Loan or other Obligations shall remain unpaid or unsatisfied, or any Letter of Credit shall remain outstanding, each of the MLP and the Borrower agree that they shall not, nor shall they permit any of their respective Subsidiaries to, directly or indirectly:</w:t>
      </w:r>
    </w:p>
    <w:p>
      <w:pPr>
        <w:spacing w:after="0" w:line="53"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7.01 Liens</w:t>
      </w:r>
      <w:r>
        <w:rPr>
          <w:rFonts w:ascii="Arial" w:cs="Arial" w:eastAsia="Arial" w:hAnsi="Arial"/>
          <w:sz w:val="18"/>
          <w:szCs w:val="18"/>
          <w:color w:val="auto"/>
        </w:rPr>
        <w:t>. Create, incur, assume or suffer to exist, any Lien upon any of its property, assets or revenues, whether now owned or hereafter acquired,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following:</w:t>
      </w:r>
    </w:p>
    <w:p>
      <w:pPr>
        <w:spacing w:after="0" w:line="45" w:lineRule="exact"/>
        <w:rPr>
          <w:sz w:val="20"/>
          <w:szCs w:val="20"/>
          <w:color w:val="auto"/>
        </w:rPr>
      </w:pPr>
    </w:p>
    <w:p>
      <w:pPr>
        <w:ind w:left="700" w:hanging="23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171" w:lineRule="exact"/>
        <w:rPr>
          <w:rFonts w:ascii="Arial" w:cs="Arial" w:eastAsia="Arial" w:hAnsi="Arial"/>
          <w:sz w:val="18"/>
          <w:szCs w:val="18"/>
          <w:color w:val="auto"/>
        </w:rPr>
      </w:pPr>
    </w:p>
    <w:p>
      <w:pPr>
        <w:jc w:val="both"/>
        <w:ind w:right="220" w:firstLine="464"/>
        <w:spacing w:after="0" w:line="259"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Liens existing on the Closing Date and listed on </w:t>
      </w:r>
      <w:r>
        <w:rPr>
          <w:rFonts w:ascii="Arial" w:cs="Arial" w:eastAsia="Arial" w:hAnsi="Arial"/>
          <w:sz w:val="18"/>
          <w:szCs w:val="18"/>
          <w:b w:val="1"/>
          <w:bCs w:val="1"/>
          <w:i w:val="1"/>
          <w:iCs w:val="1"/>
          <w:color w:val="auto"/>
        </w:rPr>
        <w:t>Schedule 7.01</w:t>
      </w:r>
      <w:r>
        <w:rPr>
          <w:rFonts w:ascii="Arial" w:cs="Arial" w:eastAsia="Arial" w:hAnsi="Arial"/>
          <w:sz w:val="18"/>
          <w:szCs w:val="18"/>
          <w:color w:val="auto"/>
        </w:rPr>
        <w:t xml:space="preserve"> and any renewals or extensions thereof,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property covered thereby is not increased, the amount of the Indebtedness secured thereby is not increased, and any renewal or extension of the obligations secured or benefited thereby is permitted under this Agreement;</w:t>
      </w:r>
    </w:p>
    <w:p>
      <w:pPr>
        <w:spacing w:after="0" w:line="140" w:lineRule="exact"/>
        <w:rPr>
          <w:rFonts w:ascii="Arial" w:cs="Arial" w:eastAsia="Arial" w:hAnsi="Arial"/>
          <w:sz w:val="18"/>
          <w:szCs w:val="18"/>
          <w:color w:val="auto"/>
        </w:rPr>
      </w:pPr>
    </w:p>
    <w:p>
      <w:pPr>
        <w:ind w:right="400" w:firstLine="464"/>
        <w:spacing w:after="0" w:line="268"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Liens for taxes not yet due or which are being contested in good faith and by appropriate proceedings, if adequate reserves with respect thereto are maintained on the books of the applicable Person in accordance with GAAP;</w:t>
      </w:r>
    </w:p>
    <w:p>
      <w:pPr>
        <w:spacing w:after="0" w:line="131"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which are not overdue for a period of more than 30 days or which are being contested in good faith and by appropriate proceedings, if adequate reserves with respect thereto are maintained on the books of the applicable Person;</w:t>
      </w:r>
    </w:p>
    <w:p>
      <w:pPr>
        <w:spacing w:after="0" w:line="140" w:lineRule="exact"/>
        <w:rPr>
          <w:rFonts w:ascii="Arial" w:cs="Arial" w:eastAsia="Arial" w:hAnsi="Arial"/>
          <w:sz w:val="18"/>
          <w:szCs w:val="18"/>
          <w:color w:val="auto"/>
        </w:rPr>
      </w:pPr>
    </w:p>
    <w:p>
      <w:pPr>
        <w:ind w:right="300" w:firstLine="464"/>
        <w:spacing w:after="0" w:line="268"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65" w:name="page66"/>
    <w:bookmarkEnd w:id="65"/>
    <w:p>
      <w:pPr>
        <w:ind w:right="400" w:firstLine="464"/>
        <w:spacing w:after="0" w:line="268" w:lineRule="auto"/>
        <w:tabs>
          <w:tab w:leader="none" w:pos="676"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deposits to secure the performance of bids, trade contracts (other than for borrowed money), leases, statutory obligations, surety and appeal bonds, performance bonds and other obligations of a like nature, in each case incurred in the ordinary course of business;</w:t>
      </w:r>
    </w:p>
    <w:p>
      <w:pPr>
        <w:spacing w:after="0" w:line="131"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do not in any case materially detract from the value of the property subject thereto or materially interfere with the ordinary conduct of the business of the applicable Person;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judgment Liens not giving rise to an Event of Default;</w:t>
      </w:r>
    </w:p>
    <w:p>
      <w:pPr>
        <w:spacing w:after="0" w:line="171" w:lineRule="exact"/>
        <w:rPr>
          <w:rFonts w:ascii="Arial" w:cs="Arial" w:eastAsia="Arial" w:hAnsi="Arial"/>
          <w:sz w:val="18"/>
          <w:szCs w:val="18"/>
          <w:color w:val="auto"/>
        </w:rPr>
      </w:pPr>
    </w:p>
    <w:p>
      <w:pPr>
        <w:ind w:firstLine="464"/>
        <w:spacing w:after="0" w:line="291" w:lineRule="auto"/>
        <w:tabs>
          <w:tab w:leader="none" w:pos="666"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of any Person that becomes a Subsidiary of the Borrower after the Closing Date prior to the time such Person becomes a Subsidiary;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 such Lien is not created in contemplation of or in connection with such Person becoming a Subsidiary, (ii) such Lien shall not apply to any other property or assets of the Borrower or any Subsidiary, (iii) such Lien shall secure only those obligations which it secures on the date such Person becomes a Subsidiary and any renewals, extensions and modifications (but not increases) thereof, (iv) the aggregate amount of indebtedness secured by Liens permitted by this subsection shall not at any time exceed the Incremental EBITDA of the acquired entity, and (v) the Borrower shall demonstrate pro forma compliance with this </w:t>
      </w:r>
      <w:r>
        <w:rPr>
          <w:rFonts w:ascii="Arial" w:cs="Arial" w:eastAsia="Arial" w:hAnsi="Arial"/>
          <w:sz w:val="16"/>
          <w:szCs w:val="16"/>
          <w:b w:val="1"/>
          <w:bCs w:val="1"/>
          <w:i w:val="1"/>
          <w:iCs w:val="1"/>
          <w:color w:val="auto"/>
        </w:rPr>
        <w:t>Section 7.01(i)</w:t>
      </w:r>
      <w:r>
        <w:rPr>
          <w:rFonts w:ascii="Arial" w:cs="Arial" w:eastAsia="Arial" w:hAnsi="Arial"/>
          <w:sz w:val="16"/>
          <w:szCs w:val="16"/>
          <w:color w:val="auto"/>
        </w:rPr>
        <w:t xml:space="preserve"> at the closing of such acquisition; and</w:t>
      </w:r>
    </w:p>
    <w:p>
      <w:pPr>
        <w:spacing w:after="0" w:line="120" w:lineRule="exact"/>
        <w:rPr>
          <w:rFonts w:ascii="Arial" w:cs="Arial" w:eastAsia="Arial" w:hAnsi="Arial"/>
          <w:sz w:val="16"/>
          <w:szCs w:val="16"/>
          <w:color w:val="auto"/>
        </w:rPr>
      </w:pPr>
    </w:p>
    <w:p>
      <w:pPr>
        <w:ind w:left="680" w:hanging="216"/>
        <w:spacing w:after="0"/>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Liens on assets of the Borrower or its Subsidiaries, not to exceed at any time $20,000,000 in the aggregate.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7.02 Investments</w:t>
      </w:r>
      <w:r>
        <w:rPr>
          <w:rFonts w:ascii="Arial" w:cs="Arial" w:eastAsia="Arial" w:hAnsi="Arial"/>
          <w:sz w:val="18"/>
          <w:szCs w:val="18"/>
          <w:color w:val="auto"/>
        </w:rPr>
        <w:t>. Make or own any Investments, except:</w:t>
      </w:r>
    </w:p>
    <w:p>
      <w:pPr>
        <w:spacing w:after="0" w:line="96" w:lineRule="exact"/>
        <w:rPr>
          <w:sz w:val="20"/>
          <w:szCs w:val="20"/>
          <w:color w:val="auto"/>
        </w:rPr>
      </w:pPr>
    </w:p>
    <w:p>
      <w:pPr>
        <w:ind w:left="700" w:hanging="23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17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by the Borrower and any Subsidiary of the Borrower in any Wholly-Owned Subsidiary and in any entity which becomes a Wholly-Owned Subsidiary as a result of such Investment;</w:t>
      </w:r>
    </w:p>
    <w:p>
      <w:pPr>
        <w:spacing w:after="0" w:line="131" w:lineRule="exact"/>
        <w:rPr>
          <w:rFonts w:ascii="Arial" w:cs="Arial" w:eastAsia="Arial" w:hAnsi="Arial"/>
          <w:sz w:val="18"/>
          <w:szCs w:val="18"/>
          <w:color w:val="auto"/>
        </w:rPr>
      </w:pPr>
    </w:p>
    <w:p>
      <w:pPr>
        <w:ind w:firstLine="464"/>
        <w:spacing w:after="0" w:line="268"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Investments in the dollar amount outstanding on the Closing Date in the entities listed in Section (c) of </w:t>
      </w:r>
      <w:r>
        <w:rPr>
          <w:rFonts w:ascii="Arial" w:cs="Arial" w:eastAsia="Arial" w:hAnsi="Arial"/>
          <w:sz w:val="18"/>
          <w:szCs w:val="18"/>
          <w:b w:val="1"/>
          <w:bCs w:val="1"/>
          <w:i w:val="1"/>
          <w:iCs w:val="1"/>
          <w:color w:val="auto"/>
        </w:rPr>
        <w:t>Schedule 5.12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entities satisfy the requirements set forth in the definition of Permitted Joint Ventures;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90" w:lineRule="exact"/>
        <w:rPr>
          <w:sz w:val="20"/>
          <w:szCs w:val="20"/>
          <w:color w:val="auto"/>
        </w:rPr>
      </w:pPr>
    </w:p>
    <w:p>
      <w:pPr>
        <w:ind w:left="460" w:right="320" w:firstLine="443"/>
        <w:spacing w:after="0" w:line="323" w:lineRule="auto"/>
        <w:tabs>
          <w:tab w:leader="none" w:pos="1108" w:val="left"/>
        </w:tabs>
        <w:numPr>
          <w:ilvl w:val="0"/>
          <w:numId w:val="90"/>
        </w:numPr>
        <w:rPr>
          <w:rFonts w:ascii="Arial" w:cs="Arial" w:eastAsia="Arial" w:hAnsi="Arial"/>
          <w:sz w:val="15"/>
          <w:szCs w:val="15"/>
          <w:color w:val="auto"/>
        </w:rPr>
      </w:pPr>
      <w:r>
        <w:rPr>
          <w:rFonts w:ascii="Arial" w:cs="Arial" w:eastAsia="Arial" w:hAnsi="Arial"/>
          <w:sz w:val="15"/>
          <w:szCs w:val="15"/>
          <w:color w:val="auto"/>
        </w:rPr>
        <w:t>Investments in Permitted Joint Ventures by the Borrower or a Subsidiary of the Borrower made during the 90-day period prior the issuance of equity by the MLP, in an amount equal to the net proceeds of such equity issuance, to the extent that the stated purpose of such equity issuance in the relevant prospectus is the making of such specifically identified Investments in such amounts</w:t>
      </w:r>
      <w:r>
        <w:rPr>
          <w:rFonts w:ascii="Arial" w:cs="Arial" w:eastAsia="Arial" w:hAnsi="Arial"/>
          <w:sz w:val="15"/>
          <w:szCs w:val="15"/>
          <w:i w:val="1"/>
          <w:iCs w:val="1"/>
          <w:color w:val="auto"/>
        </w:rPr>
        <w:t>, provided that</w:t>
      </w:r>
      <w:r>
        <w:rPr>
          <w:rFonts w:ascii="Arial" w:cs="Arial" w:eastAsia="Arial" w:hAnsi="Arial"/>
          <w:sz w:val="15"/>
          <w:szCs w:val="15"/>
          <w:color w:val="auto"/>
        </w:rPr>
        <w:t xml:space="preserve"> until such equity is issued and such net proceeds are received, such Investments shall not be permitted Investments under this </w:t>
      </w:r>
      <w:r>
        <w:rPr>
          <w:rFonts w:ascii="Arial" w:cs="Arial" w:eastAsia="Arial" w:hAnsi="Arial"/>
          <w:sz w:val="15"/>
          <w:szCs w:val="15"/>
          <w:b w:val="1"/>
          <w:bCs w:val="1"/>
          <w:i w:val="1"/>
          <w:iCs w:val="1"/>
          <w:color w:val="auto"/>
        </w:rPr>
        <w:t>clause (d(i))</w:t>
      </w:r>
      <w:r>
        <w:rPr>
          <w:rFonts w:ascii="Arial" w:cs="Arial" w:eastAsia="Arial" w:hAnsi="Arial"/>
          <w:sz w:val="15"/>
          <w:szCs w:val="15"/>
          <w:color w:val="auto"/>
        </w:rPr>
        <w:t xml:space="preserve"> (but may be permitted under </w:t>
      </w:r>
      <w:r>
        <w:rPr>
          <w:rFonts w:ascii="Arial" w:cs="Arial" w:eastAsia="Arial" w:hAnsi="Arial"/>
          <w:sz w:val="15"/>
          <w:szCs w:val="15"/>
          <w:b w:val="1"/>
          <w:bCs w:val="1"/>
          <w:i w:val="1"/>
          <w:iCs w:val="1"/>
          <w:color w:val="auto"/>
        </w:rPr>
        <w:t>clause (e)</w:t>
      </w:r>
      <w:r>
        <w:rPr>
          <w:rFonts w:ascii="Arial" w:cs="Arial" w:eastAsia="Arial" w:hAnsi="Arial"/>
          <w:sz w:val="15"/>
          <w:szCs w:val="15"/>
          <w:color w:val="auto"/>
        </w:rPr>
        <w:t xml:space="preserve"> below), and</w:t>
      </w:r>
    </w:p>
    <w:p>
      <w:pPr>
        <w:spacing w:after="0" w:line="16" w:lineRule="exact"/>
        <w:rPr>
          <w:rFonts w:ascii="Arial" w:cs="Arial" w:eastAsia="Arial" w:hAnsi="Arial"/>
          <w:sz w:val="15"/>
          <w:szCs w:val="15"/>
          <w:color w:val="auto"/>
        </w:rPr>
      </w:pPr>
    </w:p>
    <w:p>
      <w:pPr>
        <w:ind w:left="460" w:right="200" w:firstLine="443"/>
        <w:spacing w:after="0" w:line="259" w:lineRule="auto"/>
        <w:tabs>
          <w:tab w:leader="none" w:pos="1157"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in Permitted Joint Ventures by the Borrower or a Subsidiary of the Borrower made during the 120-day period after the issuance of equity by the MLP, in an amount equal to the net proceeds of such equity issuance, to the extent that the stated purpose of such equity issuance in the relevant prospectus is the making of such specifically identified Investments in such amounts,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in the case of</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clauses (d)(i)</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(ii)</w:t>
      </w:r>
      <w:r>
        <w:rPr>
          <w:rFonts w:ascii="Arial" w:cs="Arial" w:eastAsia="Arial" w:hAnsi="Arial"/>
          <w:sz w:val="18"/>
          <w:szCs w:val="18"/>
          <w:color w:val="auto"/>
        </w:rPr>
        <w:t>, such issuance of equity is done after the Closing Date;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80" w:right="279" w:bottom="1440" w:gutter="0" w:footer="0" w:header="0"/>
        </w:sectPr>
      </w:pPr>
    </w:p>
    <w:bookmarkStart w:id="66" w:name="page67"/>
    <w:bookmarkEnd w:id="66"/>
    <w:p>
      <w:pPr>
        <w:ind w:right="220" w:firstLine="464"/>
        <w:spacing w:after="0" w:line="332"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Investments made after the Closing Date by the Borrower or a Subsidiary of the Borrower in Permitted Joint Ventures and in Subsidiaries that are not Wholly-Owned Subsidiaries,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aggregate Investments made pursuant to this </w:t>
      </w:r>
      <w:r>
        <w:rPr>
          <w:rFonts w:ascii="Arial" w:cs="Arial" w:eastAsia="Arial" w:hAnsi="Arial"/>
          <w:sz w:val="16"/>
          <w:szCs w:val="16"/>
          <w:b w:val="1"/>
          <w:bCs w:val="1"/>
          <w:i w:val="1"/>
          <w:iCs w:val="1"/>
          <w:color w:val="auto"/>
        </w:rPr>
        <w:t>clause (e)</w:t>
      </w:r>
      <w:r>
        <w:rPr>
          <w:rFonts w:ascii="Arial" w:cs="Arial" w:eastAsia="Arial" w:hAnsi="Arial"/>
          <w:sz w:val="16"/>
          <w:szCs w:val="16"/>
          <w:color w:val="auto"/>
        </w:rPr>
        <w:t xml:space="preserve"> shall not exceed $150,000,000;</w:t>
      </w:r>
    </w:p>
    <w:p>
      <w:pPr>
        <w:spacing w:after="0" w:line="85" w:lineRule="exact"/>
        <w:rPr>
          <w:rFonts w:ascii="Arial" w:cs="Arial" w:eastAsia="Arial" w:hAnsi="Arial"/>
          <w:sz w:val="16"/>
          <w:szCs w:val="16"/>
          <w:color w:val="auto"/>
        </w:rPr>
      </w:pPr>
    </w:p>
    <w:p>
      <w:pPr>
        <w:ind w:left="680" w:hanging="216"/>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Investments by the MLP in the Borrower and the General Partner;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Trade accounts receivable which are for goods furnished or services rendered in the ordinary course of business;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Deposits of net cash receipts and cash disbursements pursuant to the Treasury Services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at the time of any Investment permitted by</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clauses (d)</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(e)</w:t>
      </w:r>
      <w:r>
        <w:rPr>
          <w:rFonts w:ascii="Arial" w:cs="Arial" w:eastAsia="Arial" w:hAnsi="Arial"/>
          <w:sz w:val="16"/>
          <w:szCs w:val="16"/>
          <w:i w:val="1"/>
          <w:iCs w:val="1"/>
          <w:color w:val="auto"/>
        </w:rPr>
        <w:t xml:space="preserve"> </w:t>
      </w:r>
      <w:r>
        <w:rPr>
          <w:rFonts w:ascii="Arial" w:cs="Arial" w:eastAsia="Arial" w:hAnsi="Arial"/>
          <w:sz w:val="16"/>
          <w:szCs w:val="16"/>
          <w:color w:val="auto"/>
        </w:rPr>
        <w:t>of this</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Section 7.02</w:t>
      </w:r>
      <w:r>
        <w:rPr>
          <w:rFonts w:ascii="Arial" w:cs="Arial" w:eastAsia="Arial" w:hAnsi="Arial"/>
          <w:sz w:val="16"/>
          <w:szCs w:val="16"/>
          <w:color w:val="auto"/>
        </w:rPr>
        <w:t>, prior to and after giving effect to the making of such Investment</w:t>
      </w:r>
    </w:p>
    <w:p>
      <w:pPr>
        <w:spacing w:after="0" w:line="38" w:lineRule="exact"/>
        <w:rPr>
          <w:sz w:val="20"/>
          <w:szCs w:val="20"/>
          <w:color w:val="auto"/>
        </w:rPr>
      </w:pPr>
    </w:p>
    <w:p>
      <w:pPr>
        <w:ind w:right="220" w:firstLine="8"/>
        <w:spacing w:after="0" w:line="255" w:lineRule="auto"/>
        <w:tabs>
          <w:tab w:leader="none" w:pos="288"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no Default or Event of Default shall have occurred and be continuing, (B) all representations and warranties set forth in </w:t>
      </w:r>
      <w:r>
        <w:rPr>
          <w:rFonts w:ascii="Arial" w:cs="Arial" w:eastAsia="Arial" w:hAnsi="Arial"/>
          <w:sz w:val="18"/>
          <w:szCs w:val="18"/>
          <w:b w:val="1"/>
          <w:bCs w:val="1"/>
          <w:i w:val="1"/>
          <w:iCs w:val="1"/>
          <w:color w:val="auto"/>
        </w:rPr>
        <w:t>Article V</w:t>
      </w:r>
      <w:r>
        <w:rPr>
          <w:rFonts w:ascii="Arial" w:cs="Arial" w:eastAsia="Arial" w:hAnsi="Arial"/>
          <w:sz w:val="18"/>
          <w:szCs w:val="18"/>
          <w:color w:val="auto"/>
        </w:rPr>
        <w:t xml:space="preserve"> of this Agreement (excluding </w:t>
      </w:r>
      <w:r>
        <w:rPr>
          <w:rFonts w:ascii="Arial" w:cs="Arial" w:eastAsia="Arial" w:hAnsi="Arial"/>
          <w:sz w:val="18"/>
          <w:szCs w:val="18"/>
          <w:b w:val="1"/>
          <w:bCs w:val="1"/>
          <w:i w:val="1"/>
          <w:iCs w:val="1"/>
          <w:color w:val="auto"/>
        </w:rPr>
        <w:t>Section 5.05(c)</w:t>
      </w:r>
      <w:r>
        <w:rPr>
          <w:rFonts w:ascii="Arial" w:cs="Arial" w:eastAsia="Arial" w:hAnsi="Arial"/>
          <w:sz w:val="18"/>
          <w:szCs w:val="18"/>
          <w:color w:val="auto"/>
        </w:rPr>
        <w:t xml:space="preserve">) shall be true and correct, and (C) the Borrower shall be in pro forma compliance with this </w:t>
      </w:r>
      <w:r>
        <w:rPr>
          <w:rFonts w:ascii="Arial" w:cs="Arial" w:eastAsia="Arial" w:hAnsi="Arial"/>
          <w:sz w:val="18"/>
          <w:szCs w:val="18"/>
          <w:b w:val="1"/>
          <w:bCs w:val="1"/>
          <w:i w:val="1"/>
          <w:iCs w:val="1"/>
          <w:color w:val="auto"/>
        </w:rPr>
        <w:t>Section 7.02</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Sections 7.01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7.04</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7.14</w:t>
      </w:r>
      <w:r>
        <w:rPr>
          <w:rFonts w:ascii="Arial" w:cs="Arial" w:eastAsia="Arial" w:hAnsi="Arial"/>
          <w:sz w:val="18"/>
          <w:szCs w:val="18"/>
          <w:color w:val="auto"/>
        </w:rPr>
        <w:t>.</w:t>
      </w:r>
    </w:p>
    <w:p>
      <w:pPr>
        <w:spacing w:after="0" w:line="138"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7.03 Hedging Agreements</w:t>
      </w:r>
      <w:r>
        <w:rPr>
          <w:rFonts w:ascii="Arial" w:cs="Arial" w:eastAsia="Arial" w:hAnsi="Arial"/>
          <w:sz w:val="18"/>
          <w:szCs w:val="18"/>
          <w:color w:val="auto"/>
        </w:rPr>
        <w:t>. Enter into any Swap Contracts other than in the ordinary course of business for the purpose of directly mitigating risks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Borrower or its Subsidiaries are exposed in the conduct of their business.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7.04 Indebtedness of Subsidiaries</w:t>
      </w:r>
      <w:r>
        <w:rPr>
          <w:rFonts w:ascii="Arial" w:cs="Arial" w:eastAsia="Arial" w:hAnsi="Arial"/>
          <w:sz w:val="18"/>
          <w:szCs w:val="18"/>
          <w:color w:val="auto"/>
        </w:rPr>
        <w:t>. Permit any Subsidiary of the Borrower to create</w:t>
      </w:r>
      <w:r>
        <w:rPr>
          <w:rFonts w:ascii="Arial" w:cs="Arial" w:eastAsia="Arial" w:hAnsi="Arial"/>
          <w:sz w:val="18"/>
          <w:szCs w:val="18"/>
          <w:b w:val="1"/>
          <w:bCs w:val="1"/>
          <w:color w:val="auto"/>
        </w:rPr>
        <w:t xml:space="preserve">, </w:t>
      </w:r>
      <w:r>
        <w:rPr>
          <w:rFonts w:ascii="Arial" w:cs="Arial" w:eastAsia="Arial" w:hAnsi="Arial"/>
          <w:sz w:val="18"/>
          <w:szCs w:val="18"/>
          <w:color w:val="auto"/>
        </w:rPr>
        <w:t>incur or assume any Indebtedness except:</w:t>
      </w:r>
    </w:p>
    <w:p>
      <w:pPr>
        <w:spacing w:after="0" w:line="96" w:lineRule="exact"/>
        <w:rPr>
          <w:sz w:val="20"/>
          <w:szCs w:val="20"/>
          <w:color w:val="auto"/>
        </w:rPr>
      </w:pPr>
    </w:p>
    <w:p>
      <w:pPr>
        <w:ind w:left="700" w:hanging="236"/>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Indebtedness owed to the Borrower, the MLP or a Wholly-Owned Subsidiary; and</w:t>
      </w:r>
    </w:p>
    <w:p>
      <w:pPr>
        <w:spacing w:after="0" w:line="171"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additional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(i) both before and after such Indebtedness is created, incurred or assumed, no Default or Event of Default shall exist, and (ii) the principal amount of such Indebtedness shall not exceed at any time an amount equal to 0.5 times Consolidated EBITDA for the most recent four fiscal quarters.</w:t>
      </w:r>
    </w:p>
    <w:p>
      <w:pPr>
        <w:spacing w:after="0" w:line="134"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7.05 Fundamental Changes</w:t>
      </w:r>
      <w:r>
        <w:rPr>
          <w:rFonts w:ascii="Arial" w:cs="Arial" w:eastAsia="Arial" w:hAnsi="Arial"/>
          <w:sz w:val="18"/>
          <w:szCs w:val="18"/>
          <w:color w:val="auto"/>
        </w:rPr>
        <w:t>. Merge, consolidate with or into, or convey, transfer, lease or otherwise dispose of (whether in one transaction or in a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all or substantially all of its assets (whether now owned or hereafter acquired) to or in favor of any Person, except that, so long as no Default or Event of Default exists or would result therefrom:</w:t>
      </w:r>
    </w:p>
    <w:p>
      <w:pPr>
        <w:spacing w:after="0" w:line="57" w:lineRule="exact"/>
        <w:rPr>
          <w:sz w:val="20"/>
          <w:szCs w:val="20"/>
          <w:color w:val="auto"/>
        </w:rPr>
      </w:pPr>
    </w:p>
    <w:p>
      <w:pPr>
        <w:ind w:firstLine="464"/>
        <w:spacing w:after="0" w:line="332" w:lineRule="auto"/>
        <w:tabs>
          <w:tab w:leader="none" w:pos="695"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mergers and consolidations are permitted,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 any merger or consolidation involving the Borrower, the Borrower is the surviving entity,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any merger or consolidation involving a Wholly-Owned Subsidiary shall be subject to</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Section 7.05(b)(ii)</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right="60" w:firstLine="464"/>
        <w:spacing w:after="0" w:line="259" w:lineRule="auto"/>
        <w:tabs>
          <w:tab w:leader="none" w:pos="7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any Subsidiary may merge or consolidate with (i) the Borrower,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Borrower shall be the continuing or surviving Person, or (ii) any one or more Subsidiaries,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when any Wholly-Owned Subsidiary is merging with another Subsidiary, a Wholly-Owned Subsidiary shall be the continuing or surviving Person; and</w:t>
      </w:r>
    </w:p>
    <w:p>
      <w:pPr>
        <w:spacing w:after="0" w:line="140" w:lineRule="exact"/>
        <w:rPr>
          <w:rFonts w:ascii="Arial" w:cs="Arial" w:eastAsia="Arial" w:hAnsi="Arial"/>
          <w:sz w:val="18"/>
          <w:szCs w:val="18"/>
          <w:color w:val="auto"/>
        </w:rPr>
      </w:pPr>
    </w:p>
    <w:p>
      <w:pPr>
        <w:ind w:right="120" w:firstLine="464"/>
        <w:spacing w:after="0" w:line="259"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any Subsidiary may sell or otherwise transfer all or substantially all of its assets (upon voluntary liquidation, dissolution or otherwise), to the Borrower or to another Subsidiary;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transferor in such a transaction is a Wholly-Owned Subsidiary, then the transferee must also be a Wholly-Owned Subsidiary.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67" w:name="page68"/>
    <w:bookmarkEnd w:id="67"/>
    <w:p>
      <w:pPr>
        <w:jc w:val="both"/>
        <w:ind w:right="20"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7.06 Sale-Leaseback</w:t>
      </w:r>
      <w:r>
        <w:rPr>
          <w:rFonts w:ascii="Arial" w:cs="Arial" w:eastAsia="Arial" w:hAnsi="Arial"/>
          <w:sz w:val="16"/>
          <w:szCs w:val="16"/>
          <w:color w:val="auto"/>
        </w:rPr>
        <w:t>. Make, or enter into an agreement to make, any Disposition pursuant to a sale-leaseback transaction, except for Dispositions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sale-leaseback transactions if at the time of and after giving effect to such Disposition, the aggregate fair market value of all assets Disposed of by the MLP, the Borrower and their respective Subsidiaries pursuant to sale-leaseback transactions does not exceed $10,000,000.</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7.07 Restricted Payments; Distributions and Redemptions; Payments on Excluded Affiliate Debt.</w:t>
      </w:r>
    </w:p>
    <w:p>
      <w:pPr>
        <w:spacing w:after="0" w:line="96" w:lineRule="exact"/>
        <w:rPr>
          <w:sz w:val="20"/>
          <w:szCs w:val="20"/>
          <w:color w:val="auto"/>
        </w:rPr>
      </w:pPr>
    </w:p>
    <w:p>
      <w:pPr>
        <w:ind w:left="700" w:hanging="236"/>
        <w:spacing w:after="0"/>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Declare or make, directly or indirectly, any Restricted Payment, or incur any obligation (contingent or otherwise) to do so, except that: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each Subsidiary may make Restricted Payments to the Borrower and to Wholly-Owned Subsidiaries of the Borrower;</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57"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the Borrower may declare and make Quarterly Distributions of Available Cash as defined in the Partnership Agreement (Borrower) and the Borrower may redeem or repurchase its partner interests to the extent such Quarterly Distributions, redemptions and repurchases in any fiscal quarter do not exceed in the aggregate Available Cash as defined in the Partnership Agreement (Borrower) for the immediately preceding fiscal quarter and are made in accordance with the Partnership Agreement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at the time each such Quarterly Distribution, redemption or repurchase is made no Default or Event of Default exists or would result therefrom; and</w:t>
      </w:r>
    </w:p>
    <w:p>
      <w:pPr>
        <w:spacing w:after="0" w:line="34" w:lineRule="exact"/>
        <w:rPr>
          <w:rFonts w:ascii="Arial" w:cs="Arial" w:eastAsia="Arial" w:hAnsi="Arial"/>
          <w:sz w:val="16"/>
          <w:szCs w:val="16"/>
          <w:color w:val="auto"/>
        </w:rPr>
      </w:pPr>
    </w:p>
    <w:p>
      <w:pPr>
        <w:ind w:left="460" w:right="20" w:firstLine="443"/>
        <w:spacing w:after="0" w:line="290" w:lineRule="auto"/>
        <w:tabs>
          <w:tab w:leader="none" w:pos="1205"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the MLP may (A) declare and make Quarterly Distributions of Available Cash as defined in the Partnership Agreement (MLP) and the MLP may redeem or repurchase its limited partnership units to the extent such Quarterly Distributions, redemptions and repurchases in any fiscal quarter do not exceed, in the aggregate Available Cash as defined in the Partnership Agreement (MLP) for the immediately preceding fiscal quarter and are made in accordance with the Partnership Agreement (MLP),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at the time each such Quarterly Distribution, redemption or repurchase is made no Default or Event of Default exists or would result therefrom; and (B) redeem Common Units with the proceeds received from a substantially concurrent issuance of new Common Units or other Parity Units, so long as each such redemption complies with the terms of the Partnership Agreement (MLP). As used in this paragraph, “</w:t>
      </w:r>
      <w:r>
        <w:rPr>
          <w:rFonts w:ascii="Arial" w:cs="Arial" w:eastAsia="Arial" w:hAnsi="Arial"/>
          <w:sz w:val="16"/>
          <w:szCs w:val="16"/>
          <w:i w:val="1"/>
          <w:iCs w:val="1"/>
          <w:color w:val="auto"/>
        </w:rPr>
        <w:t>Common Units</w:t>
      </w:r>
      <w:r>
        <w:rPr>
          <w:rFonts w:ascii="Arial" w:cs="Arial" w:eastAsia="Arial" w:hAnsi="Arial"/>
          <w:sz w:val="16"/>
          <w:szCs w:val="16"/>
          <w:color w:val="auto"/>
        </w:rPr>
        <w:t>” and “</w:t>
      </w:r>
      <w:r>
        <w:rPr>
          <w:rFonts w:ascii="Arial" w:cs="Arial" w:eastAsia="Arial" w:hAnsi="Arial"/>
          <w:sz w:val="16"/>
          <w:szCs w:val="16"/>
          <w:i w:val="1"/>
          <w:iCs w:val="1"/>
          <w:color w:val="auto"/>
        </w:rPr>
        <w:t>Parity Units</w:t>
      </w:r>
      <w:r>
        <w:rPr>
          <w:rFonts w:ascii="Arial" w:cs="Arial" w:eastAsia="Arial" w:hAnsi="Arial"/>
          <w:sz w:val="16"/>
          <w:szCs w:val="16"/>
          <w:color w:val="auto"/>
        </w:rPr>
        <w:t>” have the meaning given to them in the Partnership Agreement (MLP).</w:t>
      </w:r>
    </w:p>
    <w:p>
      <w:pPr>
        <w:spacing w:after="0" w:line="118" w:lineRule="exact"/>
        <w:rPr>
          <w:rFonts w:ascii="Arial" w:cs="Arial" w:eastAsia="Arial" w:hAnsi="Arial"/>
          <w:sz w:val="16"/>
          <w:szCs w:val="16"/>
          <w:color w:val="auto"/>
        </w:rPr>
      </w:pPr>
    </w:p>
    <w:p>
      <w:pPr>
        <w:ind w:right="40" w:firstLine="464"/>
        <w:spacing w:after="0" w:line="259"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Make or permit to be made by the Borrower or any Subsidiary of the Borrower any payments of principal or interest in respect of Excluded Affiliate Debt (i) if a Default or Event of Default exists at the time of such payment or would occur as a result of such payment, or (ii) if such payment would otherwise be prohibited by the terms of the subordination agreement applicable to such Excluded Affiliate Debt.</w:t>
      </w:r>
    </w:p>
    <w:p>
      <w:pPr>
        <w:spacing w:after="0" w:line="13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7.08 ERISA</w:t>
      </w:r>
      <w:r>
        <w:rPr>
          <w:rFonts w:ascii="Arial" w:cs="Arial" w:eastAsia="Arial" w:hAnsi="Arial"/>
          <w:sz w:val="18"/>
          <w:szCs w:val="18"/>
          <w:color w:val="auto"/>
        </w:rPr>
        <w:t>. At any time engage in a transaction which could be subject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Section 4069</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4212(c)</w:t>
      </w:r>
      <w:r>
        <w:rPr>
          <w:rFonts w:ascii="Arial" w:cs="Arial" w:eastAsia="Arial" w:hAnsi="Arial"/>
          <w:sz w:val="18"/>
          <w:szCs w:val="18"/>
          <w:b w:val="1"/>
          <w:bCs w:val="1"/>
          <w:color w:val="auto"/>
        </w:rPr>
        <w:t xml:space="preserve"> </w:t>
      </w:r>
      <w:r>
        <w:rPr>
          <w:rFonts w:ascii="Arial" w:cs="Arial" w:eastAsia="Arial" w:hAnsi="Arial"/>
          <w:sz w:val="18"/>
          <w:szCs w:val="18"/>
          <w:color w:val="auto"/>
        </w:rPr>
        <w:t>of ERISA, or permit any Plan maintained by a</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(a) engage in any non-exempt “</w:t>
      </w:r>
      <w:r>
        <w:rPr>
          <w:rFonts w:ascii="Arial" w:cs="Arial" w:eastAsia="Arial" w:hAnsi="Arial"/>
          <w:sz w:val="18"/>
          <w:szCs w:val="18"/>
          <w:i w:val="1"/>
          <w:iCs w:val="1"/>
          <w:color w:val="auto"/>
        </w:rPr>
        <w:t>prohibited transaction</w:t>
      </w:r>
      <w:r>
        <w:rPr>
          <w:rFonts w:ascii="Arial" w:cs="Arial" w:eastAsia="Arial" w:hAnsi="Arial"/>
          <w:sz w:val="18"/>
          <w:szCs w:val="18"/>
          <w:color w:val="auto"/>
        </w:rPr>
        <w:t xml:space="preserve">” (as defined in </w:t>
      </w:r>
      <w:r>
        <w:rPr>
          <w:rFonts w:ascii="Arial" w:cs="Arial" w:eastAsia="Arial" w:hAnsi="Arial"/>
          <w:sz w:val="18"/>
          <w:szCs w:val="18"/>
          <w:i w:val="1"/>
          <w:iCs w:val="1"/>
          <w:color w:val="auto"/>
        </w:rPr>
        <w:t>Section 4975</w:t>
      </w:r>
      <w:r>
        <w:rPr>
          <w:rFonts w:ascii="Arial" w:cs="Arial" w:eastAsia="Arial" w:hAnsi="Arial"/>
          <w:sz w:val="18"/>
          <w:szCs w:val="18"/>
          <w:color w:val="auto"/>
        </w:rPr>
        <w:t xml:space="preserve"> of the Code); (b) fail to comply with ERISA or any other applicable Laws; or (c) incur any material “</w:t>
      </w:r>
      <w:r>
        <w:rPr>
          <w:rFonts w:ascii="Arial" w:cs="Arial" w:eastAsia="Arial" w:hAnsi="Arial"/>
          <w:sz w:val="18"/>
          <w:szCs w:val="18"/>
          <w:i w:val="1"/>
          <w:iCs w:val="1"/>
          <w:color w:val="auto"/>
        </w:rPr>
        <w:t>accumulated funding deficiency</w:t>
      </w:r>
      <w:r>
        <w:rPr>
          <w:rFonts w:ascii="Arial" w:cs="Arial" w:eastAsia="Arial" w:hAnsi="Arial"/>
          <w:sz w:val="18"/>
          <w:szCs w:val="18"/>
          <w:color w:val="auto"/>
        </w:rPr>
        <w:t xml:space="preserve">” (as defined in </w:t>
      </w:r>
      <w:r>
        <w:rPr>
          <w:rFonts w:ascii="Arial" w:cs="Arial" w:eastAsia="Arial" w:hAnsi="Arial"/>
          <w:sz w:val="18"/>
          <w:szCs w:val="18"/>
          <w:i w:val="1"/>
          <w:iCs w:val="1"/>
          <w:color w:val="auto"/>
        </w:rPr>
        <w:t>Section 302</w:t>
      </w:r>
      <w:r>
        <w:rPr>
          <w:rFonts w:ascii="Arial" w:cs="Arial" w:eastAsia="Arial" w:hAnsi="Arial"/>
          <w:sz w:val="18"/>
          <w:szCs w:val="18"/>
          <w:color w:val="auto"/>
        </w:rPr>
        <w:t xml:space="preserve"> of ERISA), which, with respect to each event listed above, could be reasonably expected to have a Material Adverse Effect.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68" w:name="page69"/>
    <w:bookmarkEnd w:id="68"/>
    <w:p>
      <w:pPr>
        <w:ind w:right="80"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7.09 Nature of Business</w:t>
      </w:r>
      <w:r>
        <w:rPr>
          <w:rFonts w:ascii="Arial" w:cs="Arial" w:eastAsia="Arial" w:hAnsi="Arial"/>
          <w:sz w:val="18"/>
          <w:szCs w:val="18"/>
          <w:color w:val="auto"/>
        </w:rPr>
        <w:t>. Engage in any line of business other than (a) Present and Related Businesses, (b) any other business that generates gross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that constitutes “</w:t>
      </w:r>
      <w:r>
        <w:rPr>
          <w:rFonts w:ascii="Arial" w:cs="Arial" w:eastAsia="Arial" w:hAnsi="Arial"/>
          <w:sz w:val="18"/>
          <w:szCs w:val="18"/>
          <w:i w:val="1"/>
          <w:iCs w:val="1"/>
          <w:color w:val="auto"/>
        </w:rPr>
        <w:t>qualifying income</w:t>
      </w:r>
      <w:r>
        <w:rPr>
          <w:rFonts w:ascii="Arial" w:cs="Arial" w:eastAsia="Arial" w:hAnsi="Arial"/>
          <w:sz w:val="18"/>
          <w:szCs w:val="18"/>
          <w:color w:val="auto"/>
        </w:rPr>
        <w:t xml:space="preserve">” under </w:t>
      </w:r>
      <w:r>
        <w:rPr>
          <w:rFonts w:ascii="Arial" w:cs="Arial" w:eastAsia="Arial" w:hAnsi="Arial"/>
          <w:sz w:val="18"/>
          <w:szCs w:val="18"/>
          <w:i w:val="1"/>
          <w:iCs w:val="1"/>
          <w:color w:val="auto"/>
        </w:rPr>
        <w:t>Section 7704(d)</w:t>
      </w:r>
      <w:r>
        <w:rPr>
          <w:rFonts w:ascii="Arial" w:cs="Arial" w:eastAsia="Arial" w:hAnsi="Arial"/>
          <w:sz w:val="18"/>
          <w:szCs w:val="18"/>
          <w:color w:val="auto"/>
        </w:rPr>
        <w:t xml:space="preserve"> of the Internal Revenue Code (other than exploration and production), and (c) any other business ancillary or operating in relation to businesses permitted pursuant to the foregoing </w:t>
      </w:r>
      <w:r>
        <w:rPr>
          <w:rFonts w:ascii="Arial" w:cs="Arial" w:eastAsia="Arial" w:hAnsi="Arial"/>
          <w:sz w:val="18"/>
          <w:szCs w:val="18"/>
          <w:b w:val="1"/>
          <w:bCs w:val="1"/>
          <w:i w:val="1"/>
          <w:iCs w:val="1"/>
          <w:color w:val="auto"/>
        </w:rPr>
        <w:t>clause (b)</w:t>
      </w:r>
      <w:r>
        <w:rPr>
          <w:rFonts w:ascii="Arial" w:cs="Arial" w:eastAsia="Arial" w:hAnsi="Arial"/>
          <w:sz w:val="18"/>
          <w:szCs w:val="18"/>
          <w:color w:val="auto"/>
        </w:rPr>
        <w:t xml:space="preserve">; provided that, at least ninety percent (90%) of the gross income generated by all businesses permitted by the foregoing </w:t>
      </w:r>
      <w:r>
        <w:rPr>
          <w:rFonts w:ascii="Arial" w:cs="Arial" w:eastAsia="Arial" w:hAnsi="Arial"/>
          <w:sz w:val="18"/>
          <w:szCs w:val="18"/>
          <w:b w:val="1"/>
          <w:bCs w:val="1"/>
          <w:i w:val="1"/>
          <w:iCs w:val="1"/>
          <w:color w:val="auto"/>
        </w:rPr>
        <w:t>clauses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(c)</w:t>
      </w:r>
      <w:r>
        <w:rPr>
          <w:rFonts w:ascii="Arial" w:cs="Arial" w:eastAsia="Arial" w:hAnsi="Arial"/>
          <w:sz w:val="18"/>
          <w:szCs w:val="18"/>
          <w:color w:val="auto"/>
        </w:rPr>
        <w:t xml:space="preserve"> constitutes “</w:t>
      </w:r>
      <w:r>
        <w:rPr>
          <w:rFonts w:ascii="Arial" w:cs="Arial" w:eastAsia="Arial" w:hAnsi="Arial"/>
          <w:sz w:val="18"/>
          <w:szCs w:val="18"/>
          <w:i w:val="1"/>
          <w:iCs w:val="1"/>
          <w:color w:val="auto"/>
        </w:rPr>
        <w:t>qualifying income</w:t>
      </w:r>
      <w:r>
        <w:rPr>
          <w:rFonts w:ascii="Arial" w:cs="Arial" w:eastAsia="Arial" w:hAnsi="Arial"/>
          <w:sz w:val="18"/>
          <w:szCs w:val="18"/>
          <w:color w:val="auto"/>
        </w:rPr>
        <w:t xml:space="preserve">” under </w:t>
      </w:r>
      <w:r>
        <w:rPr>
          <w:rFonts w:ascii="Arial" w:cs="Arial" w:eastAsia="Arial" w:hAnsi="Arial"/>
          <w:sz w:val="18"/>
          <w:szCs w:val="18"/>
          <w:i w:val="1"/>
          <w:iCs w:val="1"/>
          <w:color w:val="auto"/>
        </w:rPr>
        <w:t>Section 7704(d)</w:t>
      </w:r>
      <w:r>
        <w:rPr>
          <w:rFonts w:ascii="Arial" w:cs="Arial" w:eastAsia="Arial" w:hAnsi="Arial"/>
          <w:sz w:val="18"/>
          <w:szCs w:val="18"/>
          <w:color w:val="auto"/>
        </w:rPr>
        <w:t xml:space="preserve"> of the Internal Revenue Code.</w:t>
      </w:r>
    </w:p>
    <w:p>
      <w:pPr>
        <w:spacing w:after="0" w:line="139"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7.10 Transactions with Affiliates</w:t>
      </w:r>
      <w:r>
        <w:rPr>
          <w:rFonts w:ascii="Arial" w:cs="Arial" w:eastAsia="Arial" w:hAnsi="Arial"/>
          <w:sz w:val="16"/>
          <w:szCs w:val="16"/>
          <w:color w:val="auto"/>
        </w:rPr>
        <w:t>. Sell, lease or otherwise transfer any property or assets to, or purchase, lease or otherwise acquire any property or assets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from, or otherwise engage in any other transactions with, any of its Affiliates, except (a) at prices and on terms and conditions not less favorable to the MLP, the Borrower or such Subsidiary, as applicable, than could be obtained on an arm’s length basis from unrelated third parties, (b) transactions between or among the Borrower and its Wholly-Owned Subsidiaries not involving any other Affiliate, and (c) any Restricted Payment permitted by </w:t>
      </w:r>
      <w:r>
        <w:rPr>
          <w:rFonts w:ascii="Arial" w:cs="Arial" w:eastAsia="Arial" w:hAnsi="Arial"/>
          <w:sz w:val="16"/>
          <w:szCs w:val="16"/>
          <w:b w:val="1"/>
          <w:bCs w:val="1"/>
          <w:i w:val="1"/>
          <w:iCs w:val="1"/>
          <w:color w:val="auto"/>
        </w:rPr>
        <w:t>Section 7.07</w:t>
      </w:r>
      <w:r>
        <w:rPr>
          <w:rFonts w:ascii="Arial" w:cs="Arial" w:eastAsia="Arial" w:hAnsi="Arial"/>
          <w:sz w:val="16"/>
          <w:szCs w:val="16"/>
          <w:color w:val="auto"/>
        </w:rPr>
        <w:t>.</w:t>
      </w:r>
    </w:p>
    <w:p>
      <w:pPr>
        <w:spacing w:after="0" w:line="103" w:lineRule="exact"/>
        <w:rPr>
          <w:sz w:val="20"/>
          <w:szCs w:val="20"/>
          <w:color w:val="auto"/>
        </w:rPr>
      </w:pPr>
    </w:p>
    <w:p>
      <w:pPr>
        <w:ind w:right="660" w:firstLine="456"/>
        <w:spacing w:after="0" w:line="275" w:lineRule="auto"/>
        <w:rPr>
          <w:sz w:val="20"/>
          <w:szCs w:val="20"/>
          <w:color w:val="auto"/>
        </w:rPr>
      </w:pPr>
      <w:r>
        <w:rPr>
          <w:rFonts w:ascii="Arial" w:cs="Arial" w:eastAsia="Arial" w:hAnsi="Arial"/>
          <w:sz w:val="18"/>
          <w:szCs w:val="18"/>
          <w:b w:val="1"/>
          <w:bCs w:val="1"/>
          <w:color w:val="auto"/>
        </w:rPr>
        <w:t>7.11 Burdensome Agreements</w:t>
      </w:r>
      <w:r>
        <w:rPr>
          <w:rFonts w:ascii="Arial" w:cs="Arial" w:eastAsia="Arial" w:hAnsi="Arial"/>
          <w:sz w:val="18"/>
          <w:szCs w:val="18"/>
          <w:color w:val="auto"/>
        </w:rPr>
        <w:t>. Enter into any Contractual Obligation that limits the ability of any Subsidiary to make Restricted Payments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to otherwise transfer property to the Borrower.</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7.12 Use of Proceeds</w:t>
      </w:r>
      <w:r>
        <w:rPr>
          <w:rFonts w:ascii="Arial" w:cs="Arial" w:eastAsia="Arial" w:hAnsi="Arial"/>
          <w:sz w:val="16"/>
          <w:szCs w:val="16"/>
          <w:color w:val="auto"/>
        </w:rPr>
        <w:t>. Use the proceeds of any Loan for purposes other than those permitted by</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Section 6.12</w:t>
      </w:r>
      <w:r>
        <w:rPr>
          <w:rFonts w:ascii="Arial" w:cs="Arial" w:eastAsia="Arial" w:hAnsi="Arial"/>
          <w:sz w:val="16"/>
          <w:szCs w:val="16"/>
          <w:color w:val="auto"/>
        </w:rPr>
        <w:t>, or use the proceeds of any Loan,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or indirectly, and whether immediately, incidentally or ultimately, to purchase or carry margin stock (within the meaning of Regulation U of the Board) or to extend credit to others for the purpose of purchasing or carrying margin stock or to refund indebtedness originally incurred for such purpose.</w:t>
      </w:r>
    </w:p>
    <w:p>
      <w:pPr>
        <w:spacing w:after="0" w:line="97"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7.13 Material Agreements</w:t>
      </w:r>
      <w:r>
        <w:rPr>
          <w:rFonts w:ascii="Arial" w:cs="Arial" w:eastAsia="Arial" w:hAnsi="Arial"/>
          <w:sz w:val="16"/>
          <w:szCs w:val="16"/>
          <w:color w:val="auto"/>
        </w:rPr>
        <w:t>. Permit any amendment to any Material Agreement or the Partnership Agreement (MLP) if such amendment could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be expected to materially adversely affect the Lenders; permit any assignment of any Material Agreement if such assignment could reasonably be expected to materially adversely affect the Lenders; or permit any Unauthorized Assignment of any Borrower Operating Agreement.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7.14 Leverage Ratio</w:t>
      </w:r>
      <w:r>
        <w:rPr>
          <w:rFonts w:ascii="Arial" w:cs="Arial" w:eastAsia="Arial" w:hAnsi="Arial"/>
          <w:sz w:val="16"/>
          <w:szCs w:val="16"/>
          <w:color w:val="auto"/>
        </w:rPr>
        <w:t>. Permit the Leverage Ratio to be greater than the ratio set forth below at any time during the applicable period set forth below:</w:t>
      </w:r>
    </w:p>
    <w:p>
      <w:pPr>
        <w:spacing w:after="0" w:line="119" w:lineRule="exact"/>
        <w:rPr>
          <w:sz w:val="20"/>
          <w:szCs w:val="20"/>
          <w:color w:val="auto"/>
        </w:rPr>
      </w:pPr>
    </w:p>
    <w:p>
      <w:pPr>
        <w:ind w:left="700" w:hanging="236"/>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During an Acquisition Period: 5.25 to 1.0</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than during an Acquisition Period: 4.75 to 1.0</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EVENTS OF DEFAULT AND REMEDIES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8.01 Events of Default</w:t>
      </w:r>
      <w:r>
        <w:rPr>
          <w:rFonts w:ascii="Arial" w:cs="Arial" w:eastAsia="Arial" w:hAnsi="Arial"/>
          <w:sz w:val="18"/>
          <w:szCs w:val="18"/>
          <w:color w:val="auto"/>
        </w:rPr>
        <w:t>. Any of the following shall constitute an Event of Default:</w:t>
      </w:r>
    </w:p>
    <w:p>
      <w:pPr>
        <w:spacing w:after="0" w:line="96" w:lineRule="exact"/>
        <w:rPr>
          <w:sz w:val="20"/>
          <w:szCs w:val="20"/>
          <w:color w:val="auto"/>
        </w:rPr>
      </w:pPr>
    </w:p>
    <w:p>
      <w:pPr>
        <w:ind w:left="700" w:hanging="236"/>
        <w:spacing w:after="0"/>
        <w:tabs>
          <w:tab w:leader="none" w:pos="70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Non-Payment</w:t>
      </w:r>
      <w:r>
        <w:rPr>
          <w:rFonts w:ascii="Arial" w:cs="Arial" w:eastAsia="Arial" w:hAnsi="Arial"/>
          <w:sz w:val="16"/>
          <w:szCs w:val="16"/>
          <w:color w:val="auto"/>
        </w:rPr>
        <w:t>. The Borrower fails to pay (i) when and as required to be paid herein, any amount of principal of any Loan or any L/C Obligation or</w:t>
      </w:r>
    </w:p>
    <w:p>
      <w:pPr>
        <w:spacing w:after="0" w:line="38" w:lineRule="exact"/>
        <w:rPr>
          <w:rFonts w:ascii="Arial" w:cs="Arial" w:eastAsia="Arial" w:hAnsi="Arial"/>
          <w:sz w:val="16"/>
          <w:szCs w:val="16"/>
          <w:color w:val="auto"/>
        </w:rPr>
      </w:pPr>
    </w:p>
    <w:p>
      <w:pPr>
        <w:ind w:right="260" w:firstLine="8"/>
        <w:spacing w:after="0" w:line="261" w:lineRule="auto"/>
        <w:tabs>
          <w:tab w:leader="none" w:pos="258"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within three Business Days after the same becomes due, any interest on any Loan, any L/C Obligation, any commitment or other fee due hereunder, or any other amount payable hereunder or under any other Loan Document; or</w:t>
      </w:r>
    </w:p>
    <w:p>
      <w:pPr>
        <w:spacing w:after="0" w:line="137" w:lineRule="exact"/>
        <w:rPr>
          <w:rFonts w:ascii="Arial" w:cs="Arial" w:eastAsia="Arial" w:hAnsi="Arial"/>
          <w:sz w:val="18"/>
          <w:szCs w:val="18"/>
          <w:color w:val="auto"/>
        </w:rPr>
      </w:pPr>
    </w:p>
    <w:p>
      <w:pPr>
        <w:ind w:right="100" w:firstLine="464"/>
        <w:spacing w:after="0" w:line="268" w:lineRule="auto"/>
        <w:tabs>
          <w:tab w:leader="none" w:pos="705"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The Borrower fails to perform or observe any term, covenant or agreement contained in any of </w:t>
      </w:r>
      <w:r>
        <w:rPr>
          <w:rFonts w:ascii="Arial" w:cs="Arial" w:eastAsia="Arial" w:hAnsi="Arial"/>
          <w:sz w:val="18"/>
          <w:szCs w:val="18"/>
          <w:b w:val="1"/>
          <w:bCs w:val="1"/>
          <w:i w:val="1"/>
          <w:iCs w:val="1"/>
          <w:color w:val="auto"/>
        </w:rPr>
        <w:t>Section 6.03(a)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6.05</w:t>
      </w:r>
      <w:r>
        <w:rPr>
          <w:rFonts w:ascii="Arial" w:cs="Arial" w:eastAsia="Arial" w:hAnsi="Arial"/>
          <w:sz w:val="18"/>
          <w:szCs w:val="18"/>
          <w:color w:val="auto"/>
        </w:rPr>
        <w:t xml:space="preserve"> (with respect to the Borrower’s existence), </w:t>
      </w:r>
      <w:r>
        <w:rPr>
          <w:rFonts w:ascii="Arial" w:cs="Arial" w:eastAsia="Arial" w:hAnsi="Arial"/>
          <w:sz w:val="18"/>
          <w:szCs w:val="18"/>
          <w:b w:val="1"/>
          <w:bCs w:val="1"/>
          <w:i w:val="1"/>
          <w:iCs w:val="1"/>
          <w:color w:val="auto"/>
        </w:rPr>
        <w:t>6.12</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Article VII</w:t>
      </w:r>
      <w:r>
        <w:rPr>
          <w:rFonts w:ascii="Arial" w:cs="Arial" w:eastAsia="Arial" w:hAnsi="Arial"/>
          <w:sz w:val="18"/>
          <w:szCs w:val="18"/>
          <w:b w:val="1"/>
          <w:bCs w:val="1"/>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4" w:right="259" w:bottom="1440" w:gutter="0" w:footer="0" w:header="0"/>
        </w:sectPr>
      </w:pPr>
    </w:p>
    <w:bookmarkStart w:id="69" w:name="page70"/>
    <w:bookmarkEnd w:id="69"/>
    <w:p>
      <w:pPr>
        <w:ind w:left="-20" w:right="100" w:firstLine="464"/>
        <w:spacing w:after="0" w:line="306" w:lineRule="auto"/>
        <w:tabs>
          <w:tab w:leader="none" w:pos="675"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Defaults</w:t>
      </w:r>
      <w:r>
        <w:rPr>
          <w:rFonts w:ascii="Arial" w:cs="Arial" w:eastAsia="Arial" w:hAnsi="Arial"/>
          <w:sz w:val="16"/>
          <w:szCs w:val="16"/>
          <w:color w:val="auto"/>
        </w:rPr>
        <w:t xml:space="preserve">. Any Loan Party fails to perform or observe any other covenant or agreement (not specified in </w:t>
      </w:r>
      <w:r>
        <w:rPr>
          <w:rFonts w:ascii="Arial" w:cs="Arial" w:eastAsia="Arial" w:hAnsi="Arial"/>
          <w:sz w:val="16"/>
          <w:szCs w:val="16"/>
          <w:b w:val="1"/>
          <w:bCs w:val="1"/>
          <w:i w:val="1"/>
          <w:iCs w:val="1"/>
          <w:color w:val="auto"/>
        </w:rPr>
        <w:t>subsection (a)</w:t>
      </w:r>
      <w:r>
        <w:rPr>
          <w:rFonts w:ascii="Arial" w:cs="Arial" w:eastAsia="Arial" w:hAnsi="Arial"/>
          <w:sz w:val="16"/>
          <w:szCs w:val="16"/>
          <w:color w:val="auto"/>
        </w:rPr>
        <w:t xml:space="preserve"> or </w:t>
      </w:r>
      <w:r>
        <w:rPr>
          <w:rFonts w:ascii="Arial" w:cs="Arial" w:eastAsia="Arial" w:hAnsi="Arial"/>
          <w:sz w:val="16"/>
          <w:szCs w:val="16"/>
          <w:b w:val="1"/>
          <w:bCs w:val="1"/>
          <w:i w:val="1"/>
          <w:iCs w:val="1"/>
          <w:color w:val="auto"/>
        </w:rPr>
        <w:t>(b)</w:t>
      </w:r>
      <w:r>
        <w:rPr>
          <w:rFonts w:ascii="Arial" w:cs="Arial" w:eastAsia="Arial" w:hAnsi="Arial"/>
          <w:sz w:val="16"/>
          <w:szCs w:val="16"/>
          <w:color w:val="auto"/>
        </w:rPr>
        <w:t xml:space="preserve"> above) contained in any Loan Document on its part to be performed or observed and such failure continues for 30 calendar days after the earlier of the date notice thereof shall have been given to the Borrower by the Administrative Agent or any Lender or the date the Borrower has knowledge of such failure; or</w:t>
      </w:r>
    </w:p>
    <w:p>
      <w:pPr>
        <w:spacing w:after="0" w:line="106" w:lineRule="exact"/>
        <w:rPr>
          <w:rFonts w:ascii="Arial" w:cs="Arial" w:eastAsia="Arial" w:hAnsi="Arial"/>
          <w:sz w:val="16"/>
          <w:szCs w:val="16"/>
          <w:color w:val="auto"/>
        </w:rPr>
      </w:pPr>
    </w:p>
    <w:p>
      <w:pPr>
        <w:jc w:val="both"/>
        <w:ind w:left="-20" w:right="200" w:firstLine="464"/>
        <w:spacing w:after="0" w:line="259" w:lineRule="auto"/>
        <w:tabs>
          <w:tab w:leader="none" w:pos="68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or warranty made or deemed made by the Borrower or any other Loan Party herein, in any other Loan Document, or in any document delivered in connection herewith or therewith proves to have been incorrect in any material respect when made or deemed made; or</w:t>
      </w:r>
    </w:p>
    <w:p>
      <w:pPr>
        <w:spacing w:after="0" w:line="140" w:lineRule="exact"/>
        <w:rPr>
          <w:rFonts w:ascii="Arial" w:cs="Arial" w:eastAsia="Arial" w:hAnsi="Arial"/>
          <w:sz w:val="18"/>
          <w:szCs w:val="18"/>
          <w:color w:val="auto"/>
        </w:rPr>
      </w:pPr>
    </w:p>
    <w:p>
      <w:pPr>
        <w:ind w:left="-20" w:firstLine="464"/>
        <w:spacing w:after="0" w:line="285" w:lineRule="auto"/>
        <w:tabs>
          <w:tab w:leader="none" w:pos="675"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The Borrower or any Borrower Affiliate (A) fails to make any payment when due (whether by scheduled maturity, required prepayment, acceleration, demand, or otherwise) in respect of any Indebtedness, Guaranty Obligation or Synthetic Lease Obligation having an aggregate principal amount (or, in the case of a Synthetic Lease Obligation, Attributable Principal) (including undrawn or available amounts and including amounts owing to all creditors under any combined or syndicated credit arrangement) of more than (individually or collectively) $10,000,000, or (B) fails to observe or perform any other agreement or condition relating to any such Indebtedness, Guaranty Obligation or Synthetic Lease Obligation or contained in any instrument or agreement evidencing, securing or relating thereto, or any other event occurs, the effect of which default or other event is to cause, or to permit the holder or holders of such Indebtedness, the lessor under such Synthetic Lease Obligation or the beneficiary or beneficiaries of such Guaranty Obligation (or a trustee or agent on behalf of such holder or holders or beneficiary or beneficiaries) to cause, with the giving of notice if required, such Indebtedness or Synthetic Lease Obligation to be demanded or to become due or to be repurchased or redeemed (automatically or otherwise) prior to its stated maturity, or such Guaranty Obligation to become payable or cash collateral in respect thereof to be demanded; or (ii) (A) there occurs under any Swap Contract an Early Termination Date (as defined in such Swap Contract) resulting from any event of default under such Swap Contract as to which the Borrower or any Borrower Affiliate is the Defaulting Party (as defined in such Swap Contract) and the Swap Termination Value owed by the Borrower or any Borrower Affiliate as a result thereof is greater than (individually or collectively) $10,000,000, or (B) there occurs under any Swap Contract an Early Termination Date (as defined in such Swap Contract) resulting from any Termination Event (as so defined) under such Swap Contract as to which the Borrower or any Borrower Affiliate is an Affected Party (as so defined) and the Swap Termination Value owed by the Borrower and Borrower Affiliate as a result thereof is greater than (individually or collectively) $10,000,000 and such amount is not paid when due under such Swap Contract; or</w:t>
      </w:r>
    </w:p>
    <w:p>
      <w:pPr>
        <w:spacing w:after="0" w:line="123" w:lineRule="exact"/>
        <w:rPr>
          <w:rFonts w:ascii="Arial" w:cs="Arial" w:eastAsia="Arial" w:hAnsi="Arial"/>
          <w:sz w:val="16"/>
          <w:szCs w:val="16"/>
          <w:color w:val="auto"/>
        </w:rPr>
      </w:pPr>
    </w:p>
    <w:p>
      <w:pPr>
        <w:ind w:left="-20" w:right="140" w:firstLine="464"/>
        <w:spacing w:after="0" w:line="253" w:lineRule="auto"/>
        <w:tabs>
          <w:tab w:leader="none" w:pos="65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xml:space="preserve"> (i) The Borrower or any Borrower Affiliate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takes any action to effect any of the foregoing; or (ii) any receiver, trustee, custodian, conservator, liquidator, rehabilitator or similar officer is appointed without the application or consent of such Person and the appointment continues undischarged or unstayed for 60 calendar days; or (iii) any proceeding under any Debtor Relief Law relating to any such Person or to all or any part of its property is instituted without the consent of such Person and continues undismissed or unstayed for 60 calendar days, or an order for relief is entered in any such proceeding; or</w:t>
      </w:r>
    </w:p>
    <w:p>
      <w:pPr>
        <w:spacing w:after="0" w:line="147" w:lineRule="exact"/>
        <w:rPr>
          <w:rFonts w:ascii="Arial" w:cs="Arial" w:eastAsia="Arial" w:hAnsi="Arial"/>
          <w:sz w:val="18"/>
          <w:szCs w:val="18"/>
          <w:color w:val="auto"/>
        </w:rPr>
      </w:pPr>
    </w:p>
    <w:p>
      <w:pPr>
        <w:ind w:left="-20" w:right="140" w:firstLine="464"/>
        <w:spacing w:after="0" w:line="306" w:lineRule="auto"/>
        <w:tabs>
          <w:tab w:leader="none" w:pos="685"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Inability to Pay Debts; Attachment</w:t>
      </w:r>
      <w:r>
        <w:rPr>
          <w:rFonts w:ascii="Arial" w:cs="Arial" w:eastAsia="Arial" w:hAnsi="Arial"/>
          <w:sz w:val="16"/>
          <w:szCs w:val="16"/>
          <w:color w:val="auto"/>
        </w:rPr>
        <w:t>. (i) The Borrower or any Borrower Affiliate becomes unable or admits in writing its inability or fails generally to pay its debts as they become due, or (ii) any writ or warrant of attachment or execution or similar process is issued or levied against property which is a material part of the property of the Borrower and its Subsidiaries taken as a whole, and is not released, vacated or fully bonded within 45 days after its issue or levy;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60" w:top="280" w:right="239" w:bottom="1440" w:gutter="0" w:footer="0" w:header="0"/>
        </w:sectPr>
      </w:pPr>
    </w:p>
    <w:bookmarkStart w:id="70" w:name="page71"/>
    <w:bookmarkEnd w:id="70"/>
    <w:p>
      <w:pPr>
        <w:ind w:firstLine="464"/>
        <w:spacing w:after="0" w:line="294" w:lineRule="auto"/>
        <w:tabs>
          <w:tab w:leader="none" w:pos="705"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Judgments</w:t>
      </w:r>
      <w:r>
        <w:rPr>
          <w:rFonts w:ascii="Arial" w:cs="Arial" w:eastAsia="Arial" w:hAnsi="Arial"/>
          <w:sz w:val="16"/>
          <w:szCs w:val="16"/>
          <w:color w:val="auto"/>
        </w:rPr>
        <w:t>. There is entered against the Borrower, any other Loan Party, any Subsidiary of a Loan Party or the General Partner (i) a final judgment or order for the payment of money in an aggregate amount exceeding (individually or collectively) $20,000,000 (to the extent not covered by third-party insurance as to which the insurer does not dispute coverage), or (ii) any non-monetary final judgment that has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15" w:lineRule="exact"/>
        <w:rPr>
          <w:rFonts w:ascii="Arial" w:cs="Arial" w:eastAsia="Arial" w:hAnsi="Arial"/>
          <w:sz w:val="16"/>
          <w:szCs w:val="16"/>
          <w:color w:val="auto"/>
        </w:rPr>
      </w:pPr>
    </w:p>
    <w:p>
      <w:pPr>
        <w:ind w:right="160" w:firstLine="464"/>
        <w:spacing w:after="0" w:line="294" w:lineRule="auto"/>
        <w:tabs>
          <w:tab w:leader="none" w:pos="666"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xml:space="preserve">. (i) If the Borrower or any ERISA Affiliate maintains any Pension Plan or any Multiemployer Plan, an ERISA Event occurs with respect to a Pension Plan or Multiemployer Plan which has resulted or could reasonably be expected to result in liability of the Borrower or any Subsidiary under </w:t>
      </w:r>
      <w:r>
        <w:rPr>
          <w:rFonts w:ascii="Arial" w:cs="Arial" w:eastAsia="Arial" w:hAnsi="Arial"/>
          <w:sz w:val="16"/>
          <w:szCs w:val="16"/>
          <w:i w:val="1"/>
          <w:iCs w:val="1"/>
          <w:color w:val="auto"/>
        </w:rPr>
        <w:t>Title IV</w:t>
      </w:r>
      <w:r>
        <w:rPr>
          <w:rFonts w:ascii="Arial" w:cs="Arial" w:eastAsia="Arial" w:hAnsi="Arial"/>
          <w:sz w:val="16"/>
          <w:szCs w:val="16"/>
          <w:color w:val="auto"/>
        </w:rPr>
        <w:t xml:space="preserve"> of ERISA to the Pension Plan, Multiemployer Plan or the PBGC in an aggregate amount in excess of $15,000,000, or (ii) if there is any Multiemployer Plan, the Borrower or any ERISA Affiliate fails to pay when due, after the expiration of any applicable grace period, any installment payment with respect to its withdrawal liability under </w:t>
      </w:r>
      <w:r>
        <w:rPr>
          <w:rFonts w:ascii="Arial" w:cs="Arial" w:eastAsia="Arial" w:hAnsi="Arial"/>
          <w:sz w:val="16"/>
          <w:szCs w:val="16"/>
          <w:i w:val="1"/>
          <w:iCs w:val="1"/>
          <w:color w:val="auto"/>
        </w:rPr>
        <w:t>Section 4201</w:t>
      </w:r>
      <w:r>
        <w:rPr>
          <w:rFonts w:ascii="Arial" w:cs="Arial" w:eastAsia="Arial" w:hAnsi="Arial"/>
          <w:sz w:val="16"/>
          <w:szCs w:val="16"/>
          <w:color w:val="auto"/>
        </w:rPr>
        <w:t xml:space="preserve"> of ERISA under a Multiemployer Plan in an aggregate amount in excess of $15,000,000; or</w:t>
      </w:r>
    </w:p>
    <w:p>
      <w:pPr>
        <w:spacing w:after="0" w:line="115" w:lineRule="exact"/>
        <w:rPr>
          <w:rFonts w:ascii="Arial" w:cs="Arial" w:eastAsia="Arial" w:hAnsi="Arial"/>
          <w:sz w:val="16"/>
          <w:szCs w:val="16"/>
          <w:color w:val="auto"/>
        </w:rPr>
      </w:pPr>
    </w:p>
    <w:p>
      <w:pPr>
        <w:ind w:right="180" w:firstLine="464"/>
        <w:spacing w:after="0" w:line="298" w:lineRule="auto"/>
        <w:tabs>
          <w:tab w:leader="none" w:pos="666"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Invalidity of Loan Documents</w:t>
      </w:r>
      <w:r>
        <w:rPr>
          <w:rFonts w:ascii="Arial" w:cs="Arial" w:eastAsia="Arial" w:hAnsi="Arial"/>
          <w:sz w:val="16"/>
          <w:szCs w:val="16"/>
          <w:color w:val="auto"/>
        </w:rPr>
        <w:t>. Any Loan Document, at any time after its execution and delivery and for any reason other than the agreement of all the Lenders or termination of all Commitments and all Letters of Credit and satisfaction in full of all the Obligations, ceases to be in full force and effect, or is declared by a court of competent jurisdiction to be null and void, invalid or unenforceable in any material respect; or any Loan Party denies that it has any or further liability or obligation under any Loan Document, or purports to revoke, terminate or rescind any Loan Document; or</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Dissolution</w:t>
      </w:r>
      <w:r>
        <w:rPr>
          <w:rFonts w:ascii="Arial" w:cs="Arial" w:eastAsia="Arial" w:hAnsi="Arial"/>
          <w:sz w:val="18"/>
          <w:szCs w:val="18"/>
          <w:color w:val="auto"/>
        </w:rPr>
        <w:t>. Any Loan Party shall dissolve, liquidate, or otherwise terminate its existence;</w:t>
      </w:r>
    </w:p>
    <w:p>
      <w:pPr>
        <w:spacing w:after="0" w:line="171" w:lineRule="exact"/>
        <w:rPr>
          <w:rFonts w:ascii="Arial" w:cs="Arial" w:eastAsia="Arial" w:hAnsi="Arial"/>
          <w:sz w:val="18"/>
          <w:szCs w:val="18"/>
          <w:color w:val="auto"/>
        </w:rPr>
      </w:pPr>
    </w:p>
    <w:p>
      <w:pPr>
        <w:ind w:right="300" w:firstLine="464"/>
        <w:spacing w:after="0" w:line="298" w:lineRule="auto"/>
        <w:tabs>
          <w:tab w:leader="none" w:pos="754"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Material Agreements</w:t>
      </w:r>
      <w:r>
        <w:rPr>
          <w:rFonts w:ascii="Arial" w:cs="Arial" w:eastAsia="Arial" w:hAnsi="Arial"/>
          <w:sz w:val="16"/>
          <w:szCs w:val="16"/>
          <w:color w:val="auto"/>
        </w:rPr>
        <w:t xml:space="preserve">. (i) Termination or Unauthorized Assignment of any Borrower Operating Agreement; (ii) termination of any other Material Agreement if such termination could reasonably be expected to have a Material Adverse Effect; (iii) termination by Sunoco of </w:t>
      </w:r>
      <w:r>
        <w:rPr>
          <w:rFonts w:ascii="Arial" w:cs="Arial" w:eastAsia="Arial" w:hAnsi="Arial"/>
          <w:sz w:val="16"/>
          <w:szCs w:val="16"/>
          <w:i w:val="1"/>
          <w:iCs w:val="1"/>
          <w:color w:val="auto"/>
        </w:rPr>
        <w:t>Article II</w:t>
      </w:r>
      <w:r>
        <w:rPr>
          <w:rFonts w:ascii="Arial" w:cs="Arial" w:eastAsia="Arial" w:hAnsi="Arial"/>
          <w:sz w:val="16"/>
          <w:szCs w:val="16"/>
          <w:color w:val="auto"/>
        </w:rPr>
        <w:t xml:space="preserve"> of the Omnibus Agreement pursuant to </w:t>
      </w:r>
      <w:r>
        <w:rPr>
          <w:rFonts w:ascii="Arial" w:cs="Arial" w:eastAsia="Arial" w:hAnsi="Arial"/>
          <w:sz w:val="16"/>
          <w:szCs w:val="16"/>
          <w:i w:val="1"/>
          <w:iCs w:val="1"/>
          <w:color w:val="auto"/>
        </w:rPr>
        <w:t>Section 8.4</w:t>
      </w:r>
      <w:r>
        <w:rPr>
          <w:rFonts w:ascii="Arial" w:cs="Arial" w:eastAsia="Arial" w:hAnsi="Arial"/>
          <w:sz w:val="16"/>
          <w:szCs w:val="16"/>
          <w:color w:val="auto"/>
        </w:rPr>
        <w:t xml:space="preserve"> (or any other Section) of the Omnibus Agreement; (iv) default by the Borrower or any of its Subsidiaries or by any Sunoco Contract Party under any Material Agreement if such default could reasonably be expected to have a Material Adverse Effect; or</w:t>
      </w:r>
    </w:p>
    <w:p>
      <w:pPr>
        <w:spacing w:after="0" w:line="112" w:lineRule="exact"/>
        <w:rPr>
          <w:rFonts w:ascii="Arial" w:cs="Arial" w:eastAsia="Arial" w:hAnsi="Arial"/>
          <w:sz w:val="16"/>
          <w:szCs w:val="16"/>
          <w:color w:val="auto"/>
        </w:rPr>
      </w:pPr>
    </w:p>
    <w:p>
      <w:pPr>
        <w:jc w:val="both"/>
        <w:ind w:right="160" w:firstLine="464"/>
        <w:spacing w:after="0" w:line="259" w:lineRule="auto"/>
        <w:tabs>
          <w:tab w:leader="none" w:pos="70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Sale of Certain Assets by Sunoco</w:t>
      </w:r>
      <w:r>
        <w:rPr>
          <w:rFonts w:ascii="Arial" w:cs="Arial" w:eastAsia="Arial" w:hAnsi="Arial"/>
          <w:sz w:val="18"/>
          <w:szCs w:val="18"/>
          <w:color w:val="auto"/>
        </w:rPr>
        <w:t>. The sale by a Sunoco Contract Party of a material portion of its Refinery Assets or other assets related to any of the Material Agreements between such Sunoco Contract Party and the Borrower or the Borrower’s Subsidiaries, if such sale could reasonably be expected to have a Material Adverse Effect.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8.02 Remedies Upon Event of Default</w:t>
      </w:r>
      <w:r>
        <w:rPr>
          <w:rFonts w:ascii="Arial" w:cs="Arial" w:eastAsia="Arial" w:hAnsi="Arial"/>
          <w:sz w:val="16"/>
          <w:szCs w:val="16"/>
          <w:color w:val="auto"/>
        </w:rPr>
        <w:t>. If any Event of Default occurs, the Administrative Agent shall, at the request of, or may, with the consent of,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Required Lenders:</w:t>
      </w:r>
    </w:p>
    <w:p>
      <w:pPr>
        <w:spacing w:after="0" w:line="84" w:lineRule="exact"/>
        <w:rPr>
          <w:sz w:val="20"/>
          <w:szCs w:val="20"/>
          <w:color w:val="auto"/>
        </w:rPr>
      </w:pPr>
    </w:p>
    <w:p>
      <w:pPr>
        <w:ind w:right="820" w:firstLine="464"/>
        <w:spacing w:after="0" w:line="268"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the L/C Issuer to make L/C Credit Extensions to be terminated, whereupon such commitments and obligations shall be terminated;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71" w:name="page72"/>
    <w:bookmarkEnd w:id="71"/>
    <w:p>
      <w:pPr>
        <w:jc w:val="both"/>
        <w:ind w:firstLine="464"/>
        <w:spacing w:after="0" w:line="259"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declare the unpaid principal amount of all outstanding Loans, all interest accrued and unpaid thereon, and all other amounts owing or payable hereunder or under any other Loan Document to be immediately due and payable, without presentment, demand, protest, notice of intent to accelerate, notice of acceleration or other notice of any kind, all of which are hereby expressly waived by the Borrower;</w:t>
      </w:r>
    </w:p>
    <w:p>
      <w:pPr>
        <w:spacing w:after="0" w:line="140" w:lineRule="exact"/>
        <w:rPr>
          <w:rFonts w:ascii="Arial" w:cs="Arial" w:eastAsia="Arial" w:hAnsi="Arial"/>
          <w:sz w:val="18"/>
          <w:szCs w:val="18"/>
          <w:color w:val="auto"/>
        </w:rPr>
      </w:pPr>
    </w:p>
    <w:p>
      <w:pPr>
        <w:ind w:right="100" w:firstLine="464"/>
        <w:spacing w:after="0" w:line="256" w:lineRule="auto"/>
        <w:tabs>
          <w:tab w:leader="none" w:pos="6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declare that an amount equal to the then Outstanding Amount of all L/C Obligations be immediately due and payable by the Borrower, without presentment, demand, protest, notice of intent to accelerate, notice of acceleration or other notice of any kind, all of which are hereby expressly waived by the Borrower, and require that the Borrower deliver such payments to the Administrative Agent to Cash Collateralize the L/C Obligations (in an amount equal to the then Outstanding Amount thereof); and</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exercise on behalf of itself and the Lenders all rights and remedies available to it and the Lenders under the Loan Documents or applicable law;</w:t>
      </w:r>
    </w:p>
    <w:p>
      <w:pPr>
        <w:spacing w:after="0" w:line="19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upon the occurrence of any event specified in</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subsection (f)</w:t>
      </w:r>
      <w:r>
        <w:rPr>
          <w:rFonts w:ascii="Arial" w:cs="Arial" w:eastAsia="Arial" w:hAnsi="Arial"/>
          <w:sz w:val="16"/>
          <w:szCs w:val="16"/>
          <w:i w:val="1"/>
          <w:iCs w:val="1"/>
          <w:color w:val="auto"/>
        </w:rPr>
        <w:t xml:space="preserve"> </w:t>
      </w:r>
      <w:r>
        <w:rPr>
          <w:rFonts w:ascii="Arial" w:cs="Arial" w:eastAsia="Arial" w:hAnsi="Arial"/>
          <w:sz w:val="16"/>
          <w:szCs w:val="16"/>
          <w:color w:val="auto"/>
        </w:rPr>
        <w:t>of</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Section 8.01</w:t>
      </w:r>
      <w:r>
        <w:rPr>
          <w:rFonts w:ascii="Arial" w:cs="Arial" w:eastAsia="Arial" w:hAnsi="Arial"/>
          <w:sz w:val="16"/>
          <w:szCs w:val="16"/>
          <w:color w:val="auto"/>
        </w:rPr>
        <w:t>, the obligation of each Lender to make Loans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of the L/C Issuer to make L/C Credit Extensions shall automatically terminate, the unpaid principal amount of all outstanding Loans and all interest and other amounts as aforesaid shall automatically become due and payable, and an amount equal to the then Outstanding Amount of all L/C Obligations shall be deemed to be forthwith due and owing by the Borrower to the L/C Issuer and the Lenders as of the date of such occurrence and the Borrower’s obligation to pay such amounts shall be absolute and unconditional, without regard to whether any beneficiary of any such Letter of Credit has attempted to draw down all or a portion of such amount under the terms of a Letter of Credit and, to the fullest extent permitted by applicable law, shall not be subject to any defense or be affected by a right of set-off, counterclaim or recoupment which the Borrower may now or hereafter have against any such beneficiary, the L/C Issuer, the Administrative Agent, the Lenders or any other Person for any reason whatsoever. Such payments shall be delivered to and held by the Administrative Agent as Cash Collateral securing the L/C Obligations.</w:t>
      </w:r>
    </w:p>
    <w:p>
      <w:pPr>
        <w:spacing w:after="0" w:line="114"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8.03 Application of Funds</w:t>
      </w:r>
      <w:r>
        <w:rPr>
          <w:rFonts w:ascii="Arial" w:cs="Arial" w:eastAsia="Arial" w:hAnsi="Arial"/>
          <w:sz w:val="18"/>
          <w:szCs w:val="18"/>
          <w:color w:val="auto"/>
        </w:rPr>
        <w:t>. 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Section 8.02</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the Loans have automatically become immediately due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payable and the L/C Obligations have automatically been required to be Cash Collateralized as set forth in the proviso to </w:t>
      </w:r>
      <w:r>
        <w:rPr>
          <w:rFonts w:ascii="Arial" w:cs="Arial" w:eastAsia="Arial" w:hAnsi="Arial"/>
          <w:sz w:val="18"/>
          <w:szCs w:val="18"/>
          <w:b w:val="1"/>
          <w:bCs w:val="1"/>
          <w:i w:val="1"/>
          <w:iCs w:val="1"/>
          <w:color w:val="auto"/>
        </w:rPr>
        <w:t>Section 8.02</w:t>
      </w:r>
      <w:r>
        <w:rPr>
          <w:rFonts w:ascii="Arial" w:cs="Arial" w:eastAsia="Arial" w:hAnsi="Arial"/>
          <w:sz w:val="18"/>
          <w:szCs w:val="18"/>
          <w:color w:val="auto"/>
        </w:rPr>
        <w:t>), any amounts received on account of the Obligations shall be applied by the Administrative Agent in the following order:</w:t>
      </w:r>
    </w:p>
    <w:p>
      <w:pPr>
        <w:spacing w:after="0" w:line="5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to payment of that portion of the Obligations constituting fees, indemnities, expenses and other amounts (including fees, charges and disbursements of counsel to the Administrative Agent and amounts payable under Article III) payable to the Administrative Agent in its capacity as such;</w:t>
      </w:r>
    </w:p>
    <w:p>
      <w:pPr>
        <w:spacing w:after="0" w:line="8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Article III), ratably among them in proportion to the respective amounts described in this clause Second payable to them;</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to payment of that portion of the Obligations constituting accrued and unpaid Letter of Credit Fees and interest on the Loans, L/C Borrowings and other Obligations, ratably among the Lenders and the L/C Issuer in proportion to the respective amounts described in this clause Third payable to them;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72" w:name="page73"/>
    <w:bookmarkEnd w:id="72"/>
    <w:p>
      <w:pPr>
        <w:ind w:right="22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Fourth</w:t>
      </w:r>
      <w:r>
        <w:rPr>
          <w:rFonts w:ascii="Arial" w:cs="Arial" w:eastAsia="Arial" w:hAnsi="Arial"/>
          <w:sz w:val="18"/>
          <w:szCs w:val="18"/>
          <w:color w:val="auto"/>
        </w:rPr>
        <w:t>, to payment of that portion of the Obligations constituting unpaid principal of the Loans and L/C Borrowings, ratably among the Lenders and the L/C Issuer in proportion to the respective amounts described in this clause Fourth held by them;</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the Administrative Agent for the account of the L/C Issuer, to Cash Collateralize that portion of L/C Obligations comprised of the aggregate undrawn amount of Letters of Credit;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Borrower or as otherwise required by Law.</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i w:val="1"/>
          <w:iCs w:val="1"/>
          <w:color w:val="auto"/>
        </w:rPr>
        <w:t>Section 2.03(c)</w:t>
      </w:r>
      <w:r>
        <w:rPr>
          <w:rFonts w:ascii="Arial" w:cs="Arial" w:eastAsia="Arial" w:hAnsi="Arial"/>
          <w:sz w:val="16"/>
          <w:szCs w:val="16"/>
          <w:color w:val="auto"/>
        </w:rPr>
        <w:t>, amounts used to Cash Collateralize the aggregate undrawn amount of Letters of Credit pursuant to clause Fifth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ADMINISTRATIVE AGENT</w:t>
      </w:r>
    </w:p>
    <w:p>
      <w:pPr>
        <w:spacing w:after="0" w:line="159"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9.01 Appointment and Authority</w:t>
      </w:r>
      <w:r>
        <w:rPr>
          <w:rFonts w:ascii="Arial" w:cs="Arial" w:eastAsia="Arial" w:hAnsi="Arial"/>
          <w:sz w:val="16"/>
          <w:szCs w:val="16"/>
          <w:color w:val="auto"/>
        </w:rPr>
        <w:t>. Each of the Lenders and each L/C/ Issuer hereby irrevocably appoints Citibank, N.A. to act on its behalf as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the Borrower nor any other Loan Party shall have rights as a third party beneficiary of any of such provisions.</w:t>
      </w:r>
    </w:p>
    <w:p>
      <w:pPr>
        <w:spacing w:after="0" w:line="1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9.02 Rights as a Lender</w:t>
      </w:r>
      <w:r>
        <w:rPr>
          <w:rFonts w:ascii="Arial" w:cs="Arial" w:eastAsia="Arial" w:hAnsi="Arial"/>
          <w:sz w:val="18"/>
          <w:szCs w:val="18"/>
          <w:color w:val="auto"/>
        </w:rPr>
        <w:t>. The Person serving as the Administrative Agent hereunder shall have the same rights and powers in its capacity as a Lender as</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9.03 Exculpatory Provisions</w:t>
      </w:r>
      <w:r>
        <w:rPr>
          <w:rFonts w:ascii="Arial" w:cs="Arial" w:eastAsia="Arial" w:hAnsi="Arial"/>
          <w:sz w:val="16"/>
          <w:szCs w:val="16"/>
          <w:color w:val="auto"/>
        </w:rPr>
        <w:t>. The Administrative Agent shall not have any duties or obligations except those expressly set forth herein and in the other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Loan Documents. Without limiting the generality of the foregoing, the Administrative Agent:</w:t>
      </w:r>
    </w:p>
    <w:p>
      <w:pPr>
        <w:spacing w:after="0" w:line="84" w:lineRule="exact"/>
        <w:rPr>
          <w:sz w:val="20"/>
          <w:szCs w:val="20"/>
          <w:color w:val="auto"/>
        </w:rPr>
      </w:pPr>
    </w:p>
    <w:p>
      <w:pPr>
        <w:ind w:left="700" w:hanging="236"/>
        <w:spacing w:after="0"/>
        <w:tabs>
          <w:tab w:leader="none" w:pos="7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shall not be subject to any fiduciary or other implied duties, regardless of whether a Default or Event of Default has occurred and is continuing;</w:t>
      </w:r>
    </w:p>
    <w:p>
      <w:pPr>
        <w:spacing w:after="0" w:line="194" w:lineRule="exact"/>
        <w:rPr>
          <w:rFonts w:ascii="Arial" w:cs="Arial" w:eastAsia="Arial" w:hAnsi="Arial"/>
          <w:sz w:val="16"/>
          <w:szCs w:val="16"/>
          <w:color w:val="auto"/>
        </w:rPr>
      </w:pPr>
    </w:p>
    <w:p>
      <w:pPr>
        <w:ind w:right="40" w:firstLine="464"/>
        <w:spacing w:after="0" w:line="255" w:lineRule="auto"/>
        <w:tabs>
          <w:tab w:leader="none" w:pos="70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80" w:right="279" w:bottom="1440" w:gutter="0" w:footer="0" w:header="0"/>
        </w:sectPr>
      </w:pPr>
    </w:p>
    <w:bookmarkStart w:id="73" w:name="page74"/>
    <w:bookmarkEnd w:id="73"/>
    <w:p>
      <w:pPr>
        <w:ind w:right="140" w:firstLine="464"/>
        <w:spacing w:after="0" w:line="259"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b w:val="1"/>
          <w:bCs w:val="1"/>
          <w:i w:val="1"/>
          <w:iCs w:val="1"/>
          <w:color w:val="auto"/>
        </w:rPr>
        <w:t>Sections 10.01</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8.02</w:t>
      </w:r>
      <w:r>
        <w:rPr>
          <w:rFonts w:ascii="Arial" w:cs="Arial" w:eastAsia="Arial" w:hAnsi="Arial"/>
          <w:sz w:val="18"/>
          <w:szCs w:val="18"/>
          <w:color w:val="auto"/>
        </w:rPr>
        <w:t>) or (ii) in the absence of its own gross negligence or willful misconduct. The Administrative Agent shall be deemed not to have knowledge of any Default or Event of Default unless and until notice describing such Default or Event of Default is given to the Administrative Agent by the Borrower, a Lender or an L/C Issuer.</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6"/>
          <w:szCs w:val="16"/>
          <w:b w:val="1"/>
          <w:bCs w:val="1"/>
          <w:i w:val="1"/>
          <w:iCs w:val="1"/>
          <w:color w:val="auto"/>
        </w:rPr>
        <w:t>Article IV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114"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b w:val="1"/>
          <w:bCs w:val="1"/>
          <w:color w:val="auto"/>
        </w:rPr>
        <w:t>9.04 Reliance by Administrative Agent</w:t>
      </w:r>
      <w:r>
        <w:rPr>
          <w:rFonts w:ascii="Arial" w:cs="Arial" w:eastAsia="Arial" w:hAnsi="Arial"/>
          <w:sz w:val="15"/>
          <w:szCs w:val="15"/>
          <w:color w:val="auto"/>
        </w:rPr>
        <w:t>. The Administrative Agent shall be entitled to rely upon, and shall not incur any liability for relying upon, any</w:t>
      </w:r>
      <w:r>
        <w:rPr>
          <w:rFonts w:ascii="Arial" w:cs="Arial" w:eastAsia="Arial" w:hAnsi="Arial"/>
          <w:sz w:val="15"/>
          <w:szCs w:val="15"/>
          <w:b w:val="1"/>
          <w:bCs w:val="1"/>
          <w:color w:val="auto"/>
        </w:rPr>
        <w:t xml:space="preserve"> </w:t>
      </w:r>
      <w:r>
        <w:rPr>
          <w:rFonts w:ascii="Arial" w:cs="Arial" w:eastAsia="Arial" w:hAnsi="Arial"/>
          <w:sz w:val="15"/>
          <w:szCs w:val="15"/>
          <w:color w:val="auto"/>
        </w:rPr>
        <w:t>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0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9.05 Delegation of Duties</w:t>
      </w:r>
      <w:r>
        <w:rPr>
          <w:rFonts w:ascii="Arial" w:cs="Arial" w:eastAsia="Arial" w:hAnsi="Arial"/>
          <w:sz w:val="16"/>
          <w:szCs w:val="16"/>
          <w:color w:val="auto"/>
        </w:rPr>
        <w:t>. The Administrative Agent may perform any and all of its duties and exercise its rights and powers hereunder or under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w:t>
      </w:r>
    </w:p>
    <w:p>
      <w:pPr>
        <w:spacing w:after="0" w:line="108"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9.06 Resignation of Administrative Agent</w:t>
      </w:r>
      <w:r>
        <w:rPr>
          <w:rFonts w:ascii="Arial" w:cs="Arial" w:eastAsia="Arial" w:hAnsi="Arial"/>
          <w:sz w:val="18"/>
          <w:szCs w:val="18"/>
          <w:color w:val="auto"/>
        </w:rPr>
        <w:t>. The Administrative Agent may at any time give notice of its resignation to the Lenders, the L/C Issuer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Upon receipt of any such notice of resignation, the Required Lenders shall have the right, in consultation with the Borrower, to appoint a successor, which shall be a bank with an office in the United States, or an Affiliate of any such bank with</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80" w:right="259" w:bottom="1440" w:gutter="0" w:footer="0" w:header="0"/>
        </w:sectPr>
      </w:pPr>
    </w:p>
    <w:bookmarkStart w:id="74" w:name="page75"/>
    <w:bookmarkEnd w:id="7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provided that if the Administrative Agent shall notify the Borrower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and (2)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paragraph.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paragraph).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Arial" w:cs="Arial" w:eastAsia="Arial" w:hAnsi="Arial"/>
          <w:sz w:val="16"/>
          <w:szCs w:val="16"/>
          <w:b w:val="1"/>
          <w:bCs w:val="1"/>
          <w:i w:val="1"/>
          <w:iCs w:val="1"/>
          <w:color w:val="auto"/>
        </w:rPr>
        <w:t>Sections 10.04</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10.05</w:t>
      </w:r>
      <w:r>
        <w:rPr>
          <w:rFonts w:ascii="Arial" w:cs="Arial" w:eastAsia="Arial" w:hAnsi="Arial"/>
          <w:sz w:val="16"/>
          <w:szCs w:val="16"/>
          <w:color w:val="auto"/>
        </w:rPr>
        <w:t xml:space="preserve"> shall continue in effect for the benefit of such retiring Administrative Agent, its sub agents and their respective Related Parties in respect of any actions taken or omitted to be taken by any of them while the retiring Administrative Agent was acting as Administrative Agent.</w:t>
      </w:r>
    </w:p>
    <w:p>
      <w:pPr>
        <w:spacing w:after="0" w:line="12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9.07 Non-Reliance on Administrative Agent and Other Lenders</w:t>
      </w:r>
      <w:r>
        <w:rPr>
          <w:rFonts w:ascii="Arial" w:cs="Arial" w:eastAsia="Arial" w:hAnsi="Arial"/>
          <w:sz w:val="16"/>
          <w:szCs w:val="16"/>
          <w:color w:val="auto"/>
        </w:rPr>
        <w:t>. Each Lender and the L/C Issuer acknowledges that it has, independently and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1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color w:val="auto"/>
        </w:rPr>
        <w:t>9.08 Indemnification of Administrative Agent and the L/C Issuer</w:t>
      </w:r>
      <w:r>
        <w:rPr>
          <w:rFonts w:ascii="Arial" w:cs="Arial" w:eastAsia="Arial" w:hAnsi="Arial"/>
          <w:sz w:val="16"/>
          <w:szCs w:val="16"/>
          <w:color w:val="auto"/>
        </w:rPr>
        <w:t>. To the extent that the Borrower for any reason fails to indefeasibly pay any amount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under </w:t>
      </w:r>
      <w:r>
        <w:rPr>
          <w:rFonts w:ascii="Arial" w:cs="Arial" w:eastAsia="Arial" w:hAnsi="Arial"/>
          <w:sz w:val="16"/>
          <w:szCs w:val="16"/>
          <w:b w:val="1"/>
          <w:bCs w:val="1"/>
          <w:i w:val="1"/>
          <w:iCs w:val="1"/>
          <w:color w:val="auto"/>
        </w:rPr>
        <w:t>Section 10.04</w:t>
      </w:r>
      <w:r>
        <w:rPr>
          <w:rFonts w:ascii="Arial" w:cs="Arial" w:eastAsia="Arial" w:hAnsi="Arial"/>
          <w:sz w:val="16"/>
          <w:szCs w:val="16"/>
          <w:color w:val="auto"/>
        </w:rPr>
        <w:t xml:space="preserve"> or </w:t>
      </w:r>
      <w:r>
        <w:rPr>
          <w:rFonts w:ascii="Arial" w:cs="Arial" w:eastAsia="Arial" w:hAnsi="Arial"/>
          <w:sz w:val="16"/>
          <w:szCs w:val="16"/>
          <w:b w:val="1"/>
          <w:bCs w:val="1"/>
          <w:i w:val="1"/>
          <w:iCs w:val="1"/>
          <w:color w:val="auto"/>
        </w:rPr>
        <w:t>Section 10.05</w:t>
      </w:r>
      <w:r>
        <w:rPr>
          <w:rFonts w:ascii="Arial" w:cs="Arial" w:eastAsia="Arial" w:hAnsi="Arial"/>
          <w:sz w:val="16"/>
          <w:szCs w:val="16"/>
          <w:color w:val="auto"/>
        </w:rPr>
        <w:t xml:space="preserve">to be paid by it to the Administrative Agent (or any sub-agent thereof), the L/C Issuer or any Related Party of any of the foregoing, each Lender severally agrees to pay to the Administrative Agent (or any such sub-agent), the L/C Issuer or such Related Party, as the case may be, such Lender’s Pro Rata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w:t>
      </w:r>
      <w:r>
        <w:rPr>
          <w:rFonts w:ascii="Arial" w:cs="Arial" w:eastAsia="Arial" w:hAnsi="Arial"/>
          <w:sz w:val="16"/>
          <w:szCs w:val="16"/>
          <w:b w:val="1"/>
          <w:bCs w:val="1"/>
          <w:i w:val="1"/>
          <w:iCs w:val="1"/>
          <w:color w:val="auto"/>
        </w:rPr>
        <w:t>Section 9.08</w:t>
      </w:r>
      <w:r>
        <w:rPr>
          <w:rFonts w:ascii="Arial" w:cs="Arial" w:eastAsia="Arial" w:hAnsi="Arial"/>
          <w:sz w:val="16"/>
          <w:szCs w:val="16"/>
          <w:color w:val="auto"/>
        </w:rPr>
        <w:t xml:space="preserve"> are subject to the provisions of </w:t>
      </w:r>
      <w:r>
        <w:rPr>
          <w:rFonts w:ascii="Arial" w:cs="Arial" w:eastAsia="Arial" w:hAnsi="Arial"/>
          <w:sz w:val="16"/>
          <w:szCs w:val="16"/>
          <w:b w:val="1"/>
          <w:bCs w:val="1"/>
          <w:i w:val="1"/>
          <w:iCs w:val="1"/>
          <w:color w:val="auto"/>
        </w:rPr>
        <w:t>Section 2.11(g)</w:t>
      </w:r>
      <w:r>
        <w:rPr>
          <w:rFonts w:ascii="Arial" w:cs="Arial" w:eastAsia="Arial" w:hAnsi="Arial"/>
          <w:sz w:val="16"/>
          <w:szCs w:val="16"/>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9.09 Other Agents; Lead Managers</w:t>
      </w:r>
      <w:r>
        <w:rPr>
          <w:rFonts w:ascii="Arial" w:cs="Arial" w:eastAsia="Arial" w:hAnsi="Arial"/>
          <w:sz w:val="16"/>
          <w:szCs w:val="16"/>
          <w:color w:val="auto"/>
        </w:rPr>
        <w:t>. None of the Lenders or other Persons identified on the facing page or signature pages of this Agreement as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syndication agent</w:t>
      </w:r>
      <w:r>
        <w:rPr>
          <w:rFonts w:ascii="Arial" w:cs="Arial" w:eastAsia="Arial" w:hAnsi="Arial"/>
          <w:sz w:val="16"/>
          <w:szCs w:val="16"/>
          <w:color w:val="auto"/>
        </w:rPr>
        <w:t>,” as a “</w:t>
      </w:r>
      <w:r>
        <w:rPr>
          <w:rFonts w:ascii="Arial" w:cs="Arial" w:eastAsia="Arial" w:hAnsi="Arial"/>
          <w:sz w:val="16"/>
          <w:szCs w:val="16"/>
          <w:i w:val="1"/>
          <w:iCs w:val="1"/>
          <w:color w:val="auto"/>
        </w:rPr>
        <w:t>co-documentation agent</w:t>
      </w:r>
      <w:r>
        <w:rPr>
          <w:rFonts w:ascii="Arial" w:cs="Arial" w:eastAsia="Arial" w:hAnsi="Arial"/>
          <w:sz w:val="16"/>
          <w:szCs w:val="16"/>
          <w:color w:val="auto"/>
        </w:rPr>
        <w:t>,” any other type of agent (other than the Administrative Agent), “</w:t>
      </w:r>
      <w:r>
        <w:rPr>
          <w:rFonts w:ascii="Arial" w:cs="Arial" w:eastAsia="Arial" w:hAnsi="Arial"/>
          <w:sz w:val="16"/>
          <w:szCs w:val="16"/>
          <w:i w:val="1"/>
          <w:iCs w:val="1"/>
          <w:color w:val="auto"/>
        </w:rPr>
        <w:t>lead arranger</w:t>
      </w:r>
      <w:r>
        <w:rPr>
          <w:rFonts w:ascii="Arial" w:cs="Arial" w:eastAsia="Arial" w:hAnsi="Arial"/>
          <w:sz w:val="16"/>
          <w:szCs w:val="16"/>
          <w:color w:val="auto"/>
        </w:rPr>
        <w:t>,” or “</w:t>
      </w:r>
      <w:r>
        <w:rPr>
          <w:rFonts w:ascii="Arial" w:cs="Arial" w:eastAsia="Arial" w:hAnsi="Arial"/>
          <w:sz w:val="16"/>
          <w:szCs w:val="16"/>
          <w:i w:val="1"/>
          <w:iCs w:val="1"/>
          <w:color w:val="auto"/>
        </w:rPr>
        <w:t>bookrunner</w:t>
      </w:r>
      <w:r>
        <w:rPr>
          <w:rFonts w:ascii="Arial" w:cs="Arial" w:eastAsia="Arial" w:hAnsi="Arial"/>
          <w:sz w:val="16"/>
          <w:szCs w:val="16"/>
          <w:color w:val="auto"/>
        </w:rPr>
        <w:t>” shall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right, power, obligation, liability, responsibility or duty under this Agreement other than those applicable to all Lenders as such. Without limiting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foregoing, none of the Lenders so identified</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280" w:right="279" w:bottom="1440" w:gutter="0" w:footer="0" w:header="0"/>
        </w:sectPr>
      </w:pPr>
    </w:p>
    <w:bookmarkStart w:id="75" w:name="page76"/>
    <w:bookmarkEnd w:id="75"/>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have or be deemed to have any fiduciary relationship with any Lender. Each Lender acknowledges that it has not relied, and will not rely, on any of the Lenders so identified in deciding to enter into this Agreement or in taking or not taking action hereunder.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59"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10.01 Amendments, Etc</w:t>
      </w:r>
      <w:r>
        <w:rPr>
          <w:rFonts w:ascii="Arial" w:cs="Arial" w:eastAsia="Arial" w:hAnsi="Arial"/>
          <w:sz w:val="16"/>
          <w:szCs w:val="16"/>
          <w:color w:val="auto"/>
        </w:rPr>
        <w:t>. No amendment or waiver of any provision of this Agreement or any other Loan Document, and no consent to any departure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amendment, waiver or consent shall, unless in writing and signed by each of the Lenders directly affected thereby and by the Borrower, and acknowledged by the Administrative Agent, do any of the following:</w:t>
      </w:r>
    </w:p>
    <w:p>
      <w:pPr>
        <w:spacing w:after="0" w:line="33" w:lineRule="exact"/>
        <w:rPr>
          <w:sz w:val="20"/>
          <w:szCs w:val="20"/>
          <w:color w:val="auto"/>
        </w:rPr>
      </w:pPr>
    </w:p>
    <w:p>
      <w:pPr>
        <w:ind w:left="700" w:hanging="236"/>
        <w:spacing w:after="0"/>
        <w:tabs>
          <w:tab w:leader="none" w:pos="7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extend or increase the Commitment of any Lender (or reinstate any Commitment terminated pursuant to </w:t>
      </w:r>
      <w:r>
        <w:rPr>
          <w:rFonts w:ascii="Arial" w:cs="Arial" w:eastAsia="Arial" w:hAnsi="Arial"/>
          <w:sz w:val="16"/>
          <w:szCs w:val="16"/>
          <w:b w:val="1"/>
          <w:bCs w:val="1"/>
          <w:i w:val="1"/>
          <w:iCs w:val="1"/>
          <w:color w:val="auto"/>
        </w:rPr>
        <w:t>Section 8.02</w:t>
      </w:r>
      <w:r>
        <w:rPr>
          <w:rFonts w:ascii="Arial" w:cs="Arial" w:eastAsia="Arial" w:hAnsi="Arial"/>
          <w:sz w:val="16"/>
          <w:szCs w:val="16"/>
          <w:color w:val="auto"/>
        </w:rPr>
        <w:t>) without the consent of such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Lender;</w:t>
      </w:r>
    </w:p>
    <w:p>
      <w:pPr>
        <w:spacing w:after="0" w:line="164" w:lineRule="exact"/>
        <w:rPr>
          <w:rFonts w:ascii="Arial" w:cs="Arial" w:eastAsia="Arial" w:hAnsi="Arial"/>
          <w:sz w:val="16"/>
          <w:szCs w:val="16"/>
          <w:color w:val="auto"/>
        </w:rPr>
      </w:pPr>
    </w:p>
    <w:p>
      <w:pPr>
        <w:ind w:right="120" w:firstLine="464"/>
        <w:spacing w:after="0" w:line="332" w:lineRule="auto"/>
        <w:tabs>
          <w:tab w:leader="none" w:pos="70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postpone any date fixed by this Agreement or any other Loan Document for any payment or mandatory prepayment of principal, interest, fees or other amounts due to the Lenders (or any of them) hereunder or under any other Loan Document without the consent of each Lender directly affected thereby;</w:t>
      </w:r>
    </w:p>
    <w:p>
      <w:pPr>
        <w:spacing w:after="0" w:line="85" w:lineRule="exact"/>
        <w:rPr>
          <w:rFonts w:ascii="Arial" w:cs="Arial" w:eastAsia="Arial" w:hAnsi="Arial"/>
          <w:sz w:val="16"/>
          <w:szCs w:val="16"/>
          <w:color w:val="auto"/>
        </w:rPr>
      </w:pPr>
    </w:p>
    <w:p>
      <w:pPr>
        <w:ind w:firstLine="464"/>
        <w:spacing w:after="0" w:line="256" w:lineRule="auto"/>
        <w:tabs>
          <w:tab w:leader="none" w:pos="6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 Borrowing or (subject to </w:t>
      </w:r>
      <w:r>
        <w:rPr>
          <w:rFonts w:ascii="Arial" w:cs="Arial" w:eastAsia="Arial" w:hAnsi="Arial"/>
          <w:sz w:val="18"/>
          <w:szCs w:val="18"/>
          <w:b w:val="1"/>
          <w:bCs w:val="1"/>
          <w:i w:val="1"/>
          <w:iCs w:val="1"/>
          <w:color w:val="auto"/>
        </w:rPr>
        <w:t>clause (iv)</w:t>
      </w:r>
      <w:r>
        <w:rPr>
          <w:rFonts w:ascii="Arial" w:cs="Arial" w:eastAsia="Arial" w:hAnsi="Arial"/>
          <w:sz w:val="18"/>
          <w:szCs w:val="18"/>
          <w:color w:val="auto"/>
        </w:rPr>
        <w:t xml:space="preserve"> of the proviso below) any fees or other amounts payable hereunder or under any other Loan Document without the consent of each Lender directly affected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only the consent of the Required Lenders shall be necessary to amend the definition of “</w:t>
      </w:r>
      <w:r>
        <w:rPr>
          <w:rFonts w:ascii="Arial" w:cs="Arial" w:eastAsia="Arial" w:hAnsi="Arial"/>
          <w:sz w:val="18"/>
          <w:szCs w:val="18"/>
          <w:b w:val="1"/>
          <w:bCs w:val="1"/>
          <w:i w:val="1"/>
          <w:iCs w:val="1"/>
          <w:color w:val="auto"/>
        </w:rPr>
        <w:t>Default Rate</w:t>
      </w:r>
      <w:r>
        <w:rPr>
          <w:rFonts w:ascii="Arial" w:cs="Arial" w:eastAsia="Arial" w:hAnsi="Arial"/>
          <w:sz w:val="18"/>
          <w:szCs w:val="18"/>
          <w:color w:val="auto"/>
        </w:rPr>
        <w:t>” or to waive any obligation of the Borrower to pay interest at the Default Rate;</w:t>
      </w:r>
    </w:p>
    <w:p>
      <w:pPr>
        <w:spacing w:after="0" w:line="143"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change the percentage of the Aggregate Commitments or of the aggregate unpaid principal amount of the Loans and L/C Obligations which is required for the Lenders or any of them to take any action hereunder;</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Release the Guarantor from the Guaranty; or</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amend this Section, or </w:t>
      </w:r>
      <w:r>
        <w:rPr>
          <w:rFonts w:ascii="Arial" w:cs="Arial" w:eastAsia="Arial" w:hAnsi="Arial"/>
          <w:sz w:val="18"/>
          <w:szCs w:val="18"/>
          <w:b w:val="1"/>
          <w:bCs w:val="1"/>
          <w:i w:val="1"/>
          <w:iCs w:val="1"/>
          <w:color w:val="auto"/>
        </w:rPr>
        <w:t>Section 2.12</w:t>
      </w:r>
      <w:r>
        <w:rPr>
          <w:rFonts w:ascii="Arial" w:cs="Arial" w:eastAsia="Arial" w:hAnsi="Arial"/>
          <w:sz w:val="18"/>
          <w:szCs w:val="18"/>
          <w:color w:val="auto"/>
        </w:rPr>
        <w:t>, or any provision herein providing for unanimous consent or other action by all the Lenders;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 no amendment, waiver or consent shall, unless in writing and signed by an L/C Issuer in addition to the Required Lenders or all the Lenders, as the case may be, affect the rights or duties of such L/C Issuer under this Agreement or any Letter of Credit Application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Required Lenders or all the Lenders, as the case may be, affect the rights or duties of the Administrative Agent under this Agreement or any other Loan Document; and (iv) the Agent/Arranger Fee Letter may be amended, or rights or privileges thereunder waived, in a writing executed only by the parties thereto. Notwithstanding anything to the contrary herein, any Lender that has failed to fund any portion of the Committed Loans, participations in L/C Obligations or participations in Swing Line Loans required to be funded by it hereunder shall not have any right to approve or disapprove any amendment, waiver or consent hereunder, except that the Commitments of such Lender may not be increased or extended without the consent of such Lender.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76" w:name="page77"/>
    <w:bookmarkEnd w:id="7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a Lender does not consent to a proposed amendment or waiver with respect to a Loan Document that requires the consent of each Lender, if such amendment or consent has been approved by the Required Lenders the Borrower may replace such non-consenting Lender;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the Borrower shall have paid to the Administrative Agent the assignment fee specified in </w:t>
      </w:r>
      <w:r>
        <w:rPr>
          <w:rFonts w:ascii="Arial" w:cs="Arial" w:eastAsia="Arial" w:hAnsi="Arial"/>
          <w:sz w:val="16"/>
          <w:szCs w:val="16"/>
          <w:b w:val="1"/>
          <w:bCs w:val="1"/>
          <w:i w:val="1"/>
          <w:iCs w:val="1"/>
          <w:color w:val="auto"/>
        </w:rPr>
        <w:t>Section 10.07(b)</w:t>
      </w:r>
      <w:r>
        <w:rPr>
          <w:rFonts w:ascii="Arial" w:cs="Arial" w:eastAsia="Arial" w:hAnsi="Arial"/>
          <w:sz w:val="16"/>
          <w:szCs w:val="16"/>
          <w:color w:val="auto"/>
        </w:rPr>
        <w:t xml:space="preserve">; (ii) such non-consenting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6"/>
          <w:szCs w:val="16"/>
          <w:b w:val="1"/>
          <w:bCs w:val="1"/>
          <w:i w:val="1"/>
          <w:iCs w:val="1"/>
          <w:color w:val="auto"/>
        </w:rPr>
        <w:t>Section 3.05</w:t>
      </w:r>
      <w:r>
        <w:rPr>
          <w:rFonts w:ascii="Arial" w:cs="Arial" w:eastAsia="Arial" w:hAnsi="Arial"/>
          <w:sz w:val="16"/>
          <w:szCs w:val="16"/>
          <w:color w:val="auto"/>
        </w:rPr>
        <w:t>) from the assignee (to the extent of such outstanding principal and accrued interest and fees) or the Borrower (in the case of all other amounts); (iii) such assignment does not conflict with applicable Laws; (iv) such amendment, waiver, consent or release can be effected as a result of the assignment contemplated by such Section (together with all other such assignments required by the Borrower to be made pursuant to this paragraph); and (v) a Lender shall not be required to make any such assignment or delegation if, prior thereto, as a result of a waiver by such Lender or otherwise, the circumstances entitling the Borrower to require such assignment and delegation cease to apply.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10.02 Notices and Other Communications; Facsimile Copies</w:t>
      </w:r>
      <w:r>
        <w:rPr>
          <w:rFonts w:ascii="Arial" w:cs="Arial" w:eastAsia="Arial" w:hAnsi="Arial"/>
          <w:sz w:val="18"/>
          <w:szCs w:val="18"/>
          <w:color w:val="auto"/>
        </w:rPr>
        <w:t>.</w:t>
      </w:r>
    </w:p>
    <w:p>
      <w:pPr>
        <w:spacing w:after="0" w:line="96" w:lineRule="exact"/>
        <w:rPr>
          <w:sz w:val="20"/>
          <w:szCs w:val="20"/>
          <w:color w:val="auto"/>
        </w:rPr>
      </w:pPr>
    </w:p>
    <w:p>
      <w:pPr>
        <w:ind w:left="700" w:hanging="236"/>
        <w:spacing w:after="0"/>
        <w:tabs>
          <w:tab w:leader="none" w:pos="700" w:val="left"/>
        </w:tabs>
        <w:numPr>
          <w:ilvl w:val="1"/>
          <w:numId w:val="106"/>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xml:space="preserve">. Except in the case of notices and other communications expressly permitted to be given by telephone (and except as provided in </w:t>
      </w:r>
      <w:r>
        <w:rPr>
          <w:rFonts w:ascii="Arial" w:cs="Arial" w:eastAsia="Arial" w:hAnsi="Arial"/>
          <w:sz w:val="15"/>
          <w:szCs w:val="15"/>
          <w:b w:val="1"/>
          <w:bCs w:val="1"/>
          <w:i w:val="1"/>
          <w:iCs w:val="1"/>
          <w:color w:val="auto"/>
        </w:rPr>
        <w:t>Subsections</w:t>
      </w:r>
    </w:p>
    <w:p>
      <w:pPr>
        <w:spacing w:after="0" w:line="49" w:lineRule="exact"/>
        <w:rPr>
          <w:rFonts w:ascii="Arial" w:cs="Arial" w:eastAsia="Arial" w:hAnsi="Arial"/>
          <w:sz w:val="15"/>
          <w:szCs w:val="15"/>
          <w:color w:val="auto"/>
        </w:rPr>
      </w:pPr>
    </w:p>
    <w:p>
      <w:pPr>
        <w:ind w:right="100" w:firstLine="8"/>
        <w:spacing w:after="0" w:line="307" w:lineRule="auto"/>
        <w:tabs>
          <w:tab w:leader="none" w:pos="249" w:val="left"/>
        </w:tabs>
        <w:numPr>
          <w:ilvl w:val="0"/>
          <w:numId w:val="107"/>
        </w:numPr>
        <w:rPr>
          <w:rFonts w:ascii="Arial" w:cs="Arial" w:eastAsia="Arial" w:hAnsi="Arial"/>
          <w:sz w:val="15"/>
          <w:szCs w:val="15"/>
          <w:b w:val="1"/>
          <w:bCs w:val="1"/>
          <w:i w:val="1"/>
          <w:iCs w:val="1"/>
          <w:color w:val="auto"/>
        </w:rPr>
      </w:pPr>
      <w:r>
        <w:rPr>
          <w:rFonts w:ascii="Arial" w:cs="Arial" w:eastAsia="Arial" w:hAnsi="Arial"/>
          <w:sz w:val="15"/>
          <w:szCs w:val="15"/>
          <w:color w:val="auto"/>
        </w:rPr>
        <w:t xml:space="preserve">and </w:t>
      </w:r>
      <w:r>
        <w:rPr>
          <w:rFonts w:ascii="Arial" w:cs="Arial" w:eastAsia="Arial" w:hAnsi="Arial"/>
          <w:sz w:val="15"/>
          <w:szCs w:val="15"/>
          <w:b w:val="1"/>
          <w:bCs w:val="1"/>
          <w:i w:val="1"/>
          <w:iCs w:val="1"/>
          <w:color w:val="auto"/>
        </w:rPr>
        <w:t>(e)</w:t>
      </w:r>
      <w:r>
        <w:rPr>
          <w:rFonts w:ascii="Arial" w:cs="Arial" w:eastAsia="Arial" w:hAnsi="Arial"/>
          <w:sz w:val="15"/>
          <w:szCs w:val="15"/>
          <w:color w:val="auto"/>
        </w:rPr>
        <w:t xml:space="preserve"> below), all notices and other communications provided for hereunder and under the other Loan Documents shall be in writing (including by facsimile transmission) and mailed, faxed or delivered by hand or overnight courier service, to the address or facsimile number, or delivered by electronic mail to the electronic mail address, specified for notices on </w:t>
      </w:r>
      <w:r>
        <w:rPr>
          <w:rFonts w:ascii="Arial" w:cs="Arial" w:eastAsia="Arial" w:hAnsi="Arial"/>
          <w:sz w:val="15"/>
          <w:szCs w:val="15"/>
          <w:b w:val="1"/>
          <w:bCs w:val="1"/>
          <w:i w:val="1"/>
          <w:iCs w:val="1"/>
          <w:color w:val="auto"/>
        </w:rPr>
        <w:t>Schedule 10.02</w:t>
      </w:r>
      <w:r>
        <w:rPr>
          <w:rFonts w:ascii="Arial" w:cs="Arial" w:eastAsia="Arial" w:hAnsi="Arial"/>
          <w:sz w:val="15"/>
          <w:szCs w:val="15"/>
          <w:color w:val="auto"/>
        </w:rPr>
        <w:t xml:space="preserve"> (for the Borrower, the Guarantor, the L/C Issuer, the Swing Line Lender, and the Administrative Agent) or on the Administrative Details Form (for the Lenders); or, in the case of the Borrower, the Guarantor, the Administrative Agent, the L/C Issuer, or the Swing Line Lender, to such other address as shall be designated by such party in a notice to the other parties, and in the case of any other party, to such other address as shall be designated by such party in a notice to the Borrower, the Administrative Agent, the Swing Line Lender, and the L/C Issuer. All such notices and other communications shall be deemed to be given or made upon actual receipt by the intended recipient if delivered by hand or by courier or by mail. If delivered by facsimile, such notices and other communications shall be deemed to be given or made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Arial" w:cs="Arial" w:eastAsia="Arial" w:hAnsi="Arial"/>
          <w:sz w:val="15"/>
          <w:szCs w:val="15"/>
          <w:b w:val="1"/>
          <w:bCs w:val="1"/>
          <w:i w:val="1"/>
          <w:iCs w:val="1"/>
          <w:color w:val="auto"/>
        </w:rPr>
        <w:t>Subsections (b)</w:t>
      </w:r>
      <w:r>
        <w:rPr>
          <w:rFonts w:ascii="Arial" w:cs="Arial" w:eastAsia="Arial" w:hAnsi="Arial"/>
          <w:sz w:val="15"/>
          <w:szCs w:val="15"/>
          <w:color w:val="auto"/>
        </w:rPr>
        <w:t xml:space="preserve"> and </w:t>
      </w:r>
      <w:r>
        <w:rPr>
          <w:rFonts w:ascii="Arial" w:cs="Arial" w:eastAsia="Arial" w:hAnsi="Arial"/>
          <w:sz w:val="15"/>
          <w:szCs w:val="15"/>
          <w:b w:val="1"/>
          <w:bCs w:val="1"/>
          <w:i w:val="1"/>
          <w:iCs w:val="1"/>
          <w:color w:val="auto"/>
        </w:rPr>
        <w:t>(e)</w:t>
      </w:r>
      <w:r>
        <w:rPr>
          <w:rFonts w:ascii="Arial" w:cs="Arial" w:eastAsia="Arial" w:hAnsi="Arial"/>
          <w:sz w:val="15"/>
          <w:szCs w:val="15"/>
          <w:color w:val="auto"/>
        </w:rPr>
        <w:t xml:space="preserve"> below, shall be effective as provided in said </w:t>
      </w:r>
      <w:r>
        <w:rPr>
          <w:rFonts w:ascii="Arial" w:cs="Arial" w:eastAsia="Arial" w:hAnsi="Arial"/>
          <w:sz w:val="15"/>
          <w:szCs w:val="15"/>
          <w:b w:val="1"/>
          <w:bCs w:val="1"/>
          <w:i w:val="1"/>
          <w:iCs w:val="1"/>
          <w:color w:val="auto"/>
        </w:rPr>
        <w:t>Subsections (b)</w:t>
      </w:r>
      <w:r>
        <w:rPr>
          <w:rFonts w:ascii="Arial" w:cs="Arial" w:eastAsia="Arial" w:hAnsi="Arial"/>
          <w:sz w:val="15"/>
          <w:szCs w:val="15"/>
          <w:color w:val="auto"/>
        </w:rPr>
        <w:t xml:space="preserve"> and </w:t>
      </w:r>
      <w:r>
        <w:rPr>
          <w:rFonts w:ascii="Arial" w:cs="Arial" w:eastAsia="Arial" w:hAnsi="Arial"/>
          <w:sz w:val="15"/>
          <w:szCs w:val="15"/>
          <w:b w:val="1"/>
          <w:bCs w:val="1"/>
          <w:i w:val="1"/>
          <w:iCs w:val="1"/>
          <w:color w:val="auto"/>
        </w:rPr>
        <w:t>(e)</w:t>
      </w:r>
      <w:r>
        <w:rPr>
          <w:rFonts w:ascii="Arial" w:cs="Arial" w:eastAsia="Arial" w:hAnsi="Arial"/>
          <w:sz w:val="15"/>
          <w:szCs w:val="15"/>
          <w:color w:val="auto"/>
        </w:rPr>
        <w:t>.</w:t>
      </w:r>
    </w:p>
    <w:p>
      <w:pPr>
        <w:spacing w:after="0" w:line="110" w:lineRule="exact"/>
        <w:rPr>
          <w:rFonts w:ascii="Arial" w:cs="Arial" w:eastAsia="Arial" w:hAnsi="Arial"/>
          <w:sz w:val="15"/>
          <w:szCs w:val="15"/>
          <w:b w:val="1"/>
          <w:bCs w:val="1"/>
          <w:i w:val="1"/>
          <w:iCs w:val="1"/>
          <w:color w:val="auto"/>
        </w:rPr>
      </w:pPr>
    </w:p>
    <w:p>
      <w:pPr>
        <w:ind w:left="720" w:hanging="256"/>
        <w:spacing w:after="0"/>
        <w:tabs>
          <w:tab w:leader="none" w:pos="720"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Notices and other communications to the Lenders and the L/C Issuer hereunder may be delivered or furnished by</w:t>
      </w:r>
    </w:p>
    <w:p>
      <w:pPr>
        <w:spacing w:after="0" w:line="38"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electronic communication (including e-mail and Internet or intranet websites) pursuant to </w:t>
      </w:r>
      <w:r>
        <w:rPr>
          <w:rFonts w:ascii="Arial" w:cs="Arial" w:eastAsia="Arial" w:hAnsi="Arial"/>
          <w:sz w:val="16"/>
          <w:szCs w:val="16"/>
          <w:b w:val="1"/>
          <w:bCs w:val="1"/>
          <w:i w:val="1"/>
          <w:iCs w:val="1"/>
          <w:color w:val="auto"/>
        </w:rPr>
        <w:t>Subsection (e)</w:t>
      </w:r>
      <w:r>
        <w:rPr>
          <w:rFonts w:ascii="Arial" w:cs="Arial" w:eastAsia="Arial" w:hAnsi="Arial"/>
          <w:sz w:val="16"/>
          <w:szCs w:val="16"/>
          <w:color w:val="auto"/>
        </w:rPr>
        <w:t xml:space="preserve"> below and pursuant to any other procedures approved by the Administrative Agent,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foregoing shall not apply to notices to any Lender or the L/C Issuer pursuant to </w:t>
      </w:r>
      <w:r>
        <w:rPr>
          <w:rFonts w:ascii="Arial" w:cs="Arial" w:eastAsia="Arial" w:hAnsi="Arial"/>
          <w:sz w:val="16"/>
          <w:szCs w:val="16"/>
          <w:b w:val="1"/>
          <w:bCs w:val="1"/>
          <w:i w:val="1"/>
          <w:iCs w:val="1"/>
          <w:color w:val="auto"/>
        </w:rPr>
        <w:t>Article II</w:t>
      </w:r>
      <w:r>
        <w:rPr>
          <w:rFonts w:ascii="Arial" w:cs="Arial" w:eastAsia="Arial" w:hAnsi="Arial"/>
          <w:sz w:val="16"/>
          <w:szCs w:val="16"/>
          <w:color w:val="auto"/>
        </w:rPr>
        <w:t xml:space="preserve"> if such Lender or the L/C Issuer,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approval of such procedures may be limited to particular notices or communications.</w:t>
      </w:r>
    </w:p>
    <w:p>
      <w:pPr>
        <w:spacing w:after="0" w:line="11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b w:val="1"/>
          <w:bCs w:val="1"/>
          <w:i w:val="1"/>
          <w:iCs w:val="1"/>
          <w:color w:val="auto"/>
        </w:rPr>
        <w:t>Subsection (e)</w:t>
      </w:r>
      <w:r>
        <w:rPr>
          <w:rFonts w:ascii="Arial" w:cs="Arial" w:eastAsia="Arial" w:hAnsi="Arial"/>
          <w:sz w:val="16"/>
          <w:szCs w:val="16"/>
          <w:color w:val="auto"/>
        </w:rPr>
        <w:t xml:space="preserve"> below, unless the Administrative Agent otherwise prescribes, (i) notices and other communications sent to an e-mail address shall be deemed received upon the sender’s receipt of an acknowledgement from the intended recipient (such as by the “</w:t>
      </w:r>
      <w:r>
        <w:rPr>
          <w:rFonts w:ascii="Arial" w:cs="Arial" w:eastAsia="Arial" w:hAnsi="Arial"/>
          <w:sz w:val="16"/>
          <w:szCs w:val="16"/>
          <w:i w:val="1"/>
          <w:iCs w:val="1"/>
          <w:color w:val="auto"/>
        </w:rPr>
        <w:t>return receipt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77" w:name="page78"/>
    <w:bookmarkEnd w:id="77"/>
    <w:p>
      <w:pPr>
        <w:ind w:right="200"/>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requested</w:t>
      </w:r>
      <w:r>
        <w:rPr>
          <w:rFonts w:ascii="Arial" w:cs="Arial" w:eastAsia="Arial" w:hAnsi="Arial"/>
          <w:sz w:val="18"/>
          <w:szCs w:val="18"/>
          <w:color w:val="auto"/>
        </w:rPr>
        <w:t>” function, as available, return e-mail or other written acknowledgement),</w:t>
      </w:r>
      <w:r>
        <w:rPr>
          <w:rFonts w:ascii="Arial" w:cs="Arial" w:eastAsia="Arial" w:hAnsi="Arial"/>
          <w:sz w:val="18"/>
          <w:szCs w:val="18"/>
          <w:i w:val="1"/>
          <w:iCs w:val="1"/>
          <w:color w:val="auto"/>
        </w:rPr>
        <w:t xml:space="preserve"> provided that </w:t>
      </w:r>
      <w:r>
        <w:rPr>
          <w:rFonts w:ascii="Arial" w:cs="Arial" w:eastAsia="Arial" w:hAnsi="Arial"/>
          <w:sz w:val="18"/>
          <w:szCs w:val="18"/>
          <w:color w:val="auto"/>
        </w:rPr>
        <w:t>if such notice or other communication is not sent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b w:val="1"/>
          <w:bCs w:val="1"/>
          <w:i w:val="1"/>
          <w:iCs w:val="1"/>
          <w:color w:val="auto"/>
        </w:rPr>
        <w:t>clause (i)</w:t>
      </w:r>
      <w:r>
        <w:rPr>
          <w:rFonts w:ascii="Arial" w:cs="Arial" w:eastAsia="Arial" w:hAnsi="Arial"/>
          <w:sz w:val="18"/>
          <w:szCs w:val="18"/>
          <w:color w:val="auto"/>
        </w:rPr>
        <w:t xml:space="preserve"> of notification that such notice or communication is available and identifying the website address therefor.</w:t>
      </w:r>
    </w:p>
    <w:p>
      <w:pPr>
        <w:spacing w:after="0" w:line="143" w:lineRule="exact"/>
        <w:rPr>
          <w:sz w:val="20"/>
          <w:szCs w:val="20"/>
          <w:color w:val="auto"/>
        </w:rPr>
      </w:pPr>
    </w:p>
    <w:p>
      <w:pPr>
        <w:ind w:firstLine="464"/>
        <w:spacing w:after="0" w:line="268" w:lineRule="auto"/>
        <w:tabs>
          <w:tab w:leader="none" w:pos="695"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Any party hereto may change its address or telecopier number for notices and other communications hereunder by notice to the other parties hereto.</w:t>
      </w:r>
    </w:p>
    <w:p>
      <w:pPr>
        <w:spacing w:after="0" w:line="131" w:lineRule="exact"/>
        <w:rPr>
          <w:rFonts w:ascii="Arial" w:cs="Arial" w:eastAsia="Arial" w:hAnsi="Arial"/>
          <w:sz w:val="18"/>
          <w:szCs w:val="18"/>
          <w:color w:val="auto"/>
        </w:rPr>
      </w:pPr>
    </w:p>
    <w:p>
      <w:pPr>
        <w:ind w:right="120" w:firstLine="464"/>
        <w:spacing w:after="0" w:line="323" w:lineRule="auto"/>
        <w:tabs>
          <w:tab w:leader="none" w:pos="705" w:val="left"/>
        </w:tabs>
        <w:numPr>
          <w:ilvl w:val="1"/>
          <w:numId w:val="108"/>
        </w:numPr>
        <w:rPr>
          <w:rFonts w:ascii="Arial" w:cs="Arial" w:eastAsia="Arial" w:hAnsi="Arial"/>
          <w:sz w:val="15"/>
          <w:szCs w:val="15"/>
          <w:color w:val="auto"/>
        </w:rPr>
      </w:pPr>
      <w:r>
        <w:rPr>
          <w:rFonts w:ascii="Arial" w:cs="Arial" w:eastAsia="Arial" w:hAnsi="Arial"/>
          <w:sz w:val="15"/>
          <w:szCs w:val="15"/>
          <w:u w:val="single" w:color="auto"/>
          <w:color w:val="auto"/>
        </w:rPr>
        <w:t>Effectiveness of Facsimile Documents and Signatures</w:t>
      </w:r>
      <w:r>
        <w:rPr>
          <w:rFonts w:ascii="Arial" w:cs="Arial" w:eastAsia="Arial" w:hAnsi="Arial"/>
          <w:sz w:val="15"/>
          <w:szCs w:val="15"/>
          <w:color w:val="auto"/>
        </w:rPr>
        <w:t xml:space="preserve">. Loan Documents may be transmitted and/or signed by facsimile. The effectiveness of any such documents and signatures shall, subject to applicable Law, have the same force and effect as manually-signed originals and shall be binding on all Loan Parties, the Administrative Agent and the Lenders. The Administrative Agent may also require that any such documents and signatures be confirmed by a manually-signed original thereof;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failure to request or deliver the same shall not limit the effectiveness of any facsimile document or signature.</w:t>
      </w:r>
    </w:p>
    <w:p>
      <w:pPr>
        <w:spacing w:after="0" w:line="97" w:lineRule="exact"/>
        <w:rPr>
          <w:rFonts w:ascii="Arial" w:cs="Arial" w:eastAsia="Arial" w:hAnsi="Arial"/>
          <w:sz w:val="15"/>
          <w:szCs w:val="15"/>
          <w:color w:val="auto"/>
        </w:rPr>
      </w:pPr>
    </w:p>
    <w:p>
      <w:pPr>
        <w:ind w:right="40" w:firstLine="464"/>
        <w:spacing w:after="0" w:line="282" w:lineRule="auto"/>
        <w:tabs>
          <w:tab w:leader="none" w:pos="695"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Electronic Platform</w:t>
      </w:r>
      <w:r>
        <w:rPr>
          <w:rFonts w:ascii="Arial" w:cs="Arial" w:eastAsia="Arial" w:hAnsi="Arial"/>
          <w:sz w:val="16"/>
          <w:szCs w:val="16"/>
          <w:color w:val="auto"/>
        </w:rPr>
        <w:t>. So long as Citibank is the Administrative Agent, all information, documents and other materials that the Borrower is obligated to furnish to the Administrative Agent pursuant to the Loan Documents, including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the Credit Agreement prior to the scheduled date therefor, (iii) provides notice of any Default or Event of Default under the Credit Agreement or (iv) is required to be delivered to satisfy any condition precedent to the effectiveness of the Credit Agreement and/or any Borrowing or other extension of credit thereunder (all such non-excluded communications being referred to herein collectively as “</w:t>
      </w:r>
      <w:r>
        <w:rPr>
          <w:rFonts w:ascii="Arial" w:cs="Arial" w:eastAsia="Arial" w:hAnsi="Arial"/>
          <w:sz w:val="16"/>
          <w:szCs w:val="16"/>
          <w:b w:val="1"/>
          <w:bCs w:val="1"/>
          <w:i w:val="1"/>
          <w:iCs w:val="1"/>
          <w:color w:val="auto"/>
        </w:rPr>
        <w:t>Communications</w:t>
      </w:r>
      <w:r>
        <w:rPr>
          <w:rFonts w:ascii="Arial" w:cs="Arial" w:eastAsia="Arial" w:hAnsi="Arial"/>
          <w:sz w:val="16"/>
          <w:szCs w:val="16"/>
          <w:color w:val="auto"/>
        </w:rPr>
        <w:t>”), may be delivered to the Administrative Agent in an electronic medium in a format acceptable to the Administrative Agent and the Lenders by e-mail at oploanswebadmin@citigroup.com. The Borrower agrees that the Administrative Agent may make the Communications, as well as any other written information, documents, instruments and other material relating to the Borrower, any of its Subsidiaries or any other materials or matters relating to the Loan Documents or any transactions contemplated thereby available to the Lenders by posting such notices on Intralinks or a substantially similar electronic transmission system (the “</w:t>
      </w:r>
      <w:r>
        <w:rPr>
          <w:rFonts w:ascii="Arial" w:cs="Arial" w:eastAsia="Arial" w:hAnsi="Arial"/>
          <w:sz w:val="16"/>
          <w:szCs w:val="16"/>
          <w:b w:val="1"/>
          <w:bCs w:val="1"/>
          <w:i w:val="1"/>
          <w:iCs w:val="1"/>
          <w:color w:val="auto"/>
        </w:rPr>
        <w:t>Platform</w:t>
      </w:r>
      <w:r>
        <w:rPr>
          <w:rFonts w:ascii="Arial" w:cs="Arial" w:eastAsia="Arial" w:hAnsi="Arial"/>
          <w:sz w:val="16"/>
          <w:szCs w:val="16"/>
          <w:color w:val="auto"/>
        </w:rPr>
        <w:t>”). The Borrower acknowledges that (i) the distribution of material through an electronic medium is not necessarily secure and that there are confidentiality and other risks associated with such distribution,</w:t>
      </w:r>
    </w:p>
    <w:p>
      <w:pPr>
        <w:spacing w:after="0" w:line="5" w:lineRule="exact"/>
        <w:rPr>
          <w:rFonts w:ascii="Arial" w:cs="Arial" w:eastAsia="Arial" w:hAnsi="Arial"/>
          <w:sz w:val="16"/>
          <w:szCs w:val="16"/>
          <w:color w:val="auto"/>
        </w:rPr>
      </w:pPr>
    </w:p>
    <w:p>
      <w:pPr>
        <w:ind w:right="200" w:firstLine="8"/>
        <w:spacing w:after="0" w:line="253" w:lineRule="auto"/>
        <w:tabs>
          <w:tab w:leader="none" w:pos="25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Platform is provided “as is” and “as available” and (iii) neither the Administrative Agent nor any of its Affiliates warrants the accuracy, adequacy or completeness of the Communications or the Platform and each expressly disclaims liability for errors or omissions in the Communications or the Platform. No warranty of any kind, express, implied or statutory, including, without limitation, any warranty of merchantability, fitness for a particular purpose, non-infringement of third party rights or freedom from viruses or other code defects, is made by the Administrative Agent or any of its Affiliates in connection with the Platform.</w:t>
      </w:r>
    </w:p>
    <w:p>
      <w:pPr>
        <w:spacing w:after="0" w:line="1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Each Lender agrees that notice to it (as provided in the next sentence) under any of the Loan Documents (a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xml:space="preserve">”) specifying that any Communications hereunder and thereunder have been posted to the Platform shall constitute effective delivery of such information, documents or other materials to such Lender for the purposes of this Agreement and the other Loan Documents; </w:t>
      </w:r>
      <w:r>
        <w:rPr>
          <w:rFonts w:ascii="Arial" w:cs="Arial" w:eastAsia="Arial" w:hAnsi="Arial"/>
          <w:sz w:val="16"/>
          <w:szCs w:val="16"/>
          <w:i w:val="1"/>
          <w:iCs w:val="1"/>
          <w:color w:val="auto"/>
        </w:rPr>
        <w:t>provided that</w:t>
      </w:r>
      <w:r>
        <w:rPr>
          <w:rFonts w:ascii="Arial" w:cs="Arial" w:eastAsia="Arial" w:hAnsi="Arial"/>
          <w:sz w:val="16"/>
          <w:szCs w:val="16"/>
          <w:color w:val="auto"/>
        </w:rPr>
        <w:t>, if requested by any Lender, the Administrative Agent shall deliver a copy of the Communications hereunder and thereunder to such Lender by e-mail or telecopier. Each Lender agrees (i) to notify the Administrative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78" w:name="page79"/>
    <w:bookmarkEnd w:id="78"/>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in writing of such Lender’s e-mail address to which a Notice may be sent by electronic transmission (including by electronic communication) on or before the date such Lender becomes a party to this Agreement (and from time to time thereafter to ensure that the Administrative Agent has on record an effective e-mail address for such Lender) and (ii) that any Notice may be sent to such e-mail address.</w:t>
      </w:r>
    </w:p>
    <w:p>
      <w:pPr>
        <w:spacing w:after="0" w:line="140" w:lineRule="exact"/>
        <w:rPr>
          <w:sz w:val="20"/>
          <w:szCs w:val="20"/>
          <w:color w:val="auto"/>
        </w:rPr>
      </w:pPr>
    </w:p>
    <w:p>
      <w:pPr>
        <w:ind w:right="140" w:firstLine="464"/>
        <w:spacing w:after="0" w:line="291" w:lineRule="auto"/>
        <w:tabs>
          <w:tab w:leader="none" w:pos="676"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and Lenders</w:t>
      </w:r>
      <w:r>
        <w:rPr>
          <w:rFonts w:ascii="Arial" w:cs="Arial" w:eastAsia="Arial" w:hAnsi="Arial"/>
          <w:sz w:val="16"/>
          <w:szCs w:val="16"/>
          <w:color w:val="auto"/>
        </w:rPr>
        <w:t>. The Administrative Agent and the Lenders shall be entitled to rely and act upon any notices (including telephonic Borrowing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and each Lender from all losses, costs, expenses and liabilities resulting from the reliance by such Person on each notice purportedly given by or on behalf of the Borrower. All telephonic notices to and other communications with the Administrative Agent may be recorded by the Administrative Agent, and each of the parties hereto hereby consents to such recording.</w:t>
      </w:r>
    </w:p>
    <w:p>
      <w:pPr>
        <w:spacing w:after="0" w:line="114"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b w:val="1"/>
          <w:bCs w:val="1"/>
          <w:color w:val="auto"/>
        </w:rPr>
        <w:t>10.03 No Waiver; Cumulative Remedies</w:t>
      </w:r>
      <w:r>
        <w:rPr>
          <w:rFonts w:ascii="Arial" w:cs="Arial" w:eastAsia="Arial" w:hAnsi="Arial"/>
          <w:sz w:val="16"/>
          <w:szCs w:val="16"/>
          <w:color w:val="auto"/>
        </w:rPr>
        <w:t>. No failure by any Lender or the Administrative Agent to exercise, and no delay by any such Person in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or therein provided are cumulative and not exclusive of any rights, remedies, powers and privileges provided by law.</w:t>
      </w:r>
    </w:p>
    <w:p>
      <w:pPr>
        <w:spacing w:after="0" w:line="10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10.04 Attorney Costs; Expenses</w:t>
      </w:r>
      <w:r>
        <w:rPr>
          <w:rFonts w:ascii="Arial" w:cs="Arial" w:eastAsia="Arial" w:hAnsi="Arial"/>
          <w:sz w:val="16"/>
          <w:szCs w:val="16"/>
          <w:color w:val="auto"/>
        </w:rPr>
        <w:t>. The Borrower agrees (a) to pay or reimburse the Administrative Agent for all reasonable costs and expenses incurred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preparation, negotiation, syndication, administration and execution of this Agreement and the other Loan Documents and any amendment, waiver, consent or other modification of the provisions hereof and thereof (whether or not the transactions contemplated hereby or thereby are consummated), and the consummation and administration of the transactions contemplated hereby and thereby, including all Attorney Costs, and (b) to pay or reimburse the Administrative Agent and each Lender for all costs and expenses incurred in connection with the enforcement, attempted enforcement, or preservation of any rights or remedies under this Agreement or the other Loan Documents (including all such costs and expenses incurred during any workout or restructuring in respect of the Obligations and during any legal proceeding, including any proceeding under any Debtor Relief Law), including all Attorney Costs. The foregoing costs and expenses shall include all other out-of-pocket expenses incurred by the Administrative Agent and the cost of independent public accountants and other outside experts retained by the Administrative Agent or any Lender. The agreements in this Section shall survive the termination of the Commitments and repayment of all the other Obligations.</w:t>
      </w:r>
    </w:p>
    <w:p>
      <w:pPr>
        <w:spacing w:after="0" w:line="11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10.05 Indemnification</w:t>
      </w:r>
      <w:r>
        <w:rPr>
          <w:rFonts w:ascii="Arial" w:cs="Arial" w:eastAsia="Arial" w:hAnsi="Arial"/>
          <w:sz w:val="16"/>
          <w:szCs w:val="16"/>
          <w:color w:val="auto"/>
        </w:rPr>
        <w:t>. Whether or not the transactions contemplated hereby are consummated, each of the Borrower and the MLP, jointly and severally,</w:t>
      </w:r>
      <w:r>
        <w:rPr>
          <w:rFonts w:ascii="Arial" w:cs="Arial" w:eastAsia="Arial" w:hAnsi="Arial"/>
          <w:sz w:val="16"/>
          <w:szCs w:val="16"/>
          <w:b w:val="1"/>
          <w:bCs w:val="1"/>
          <w:color w:val="auto"/>
        </w:rPr>
        <w:t xml:space="preserve"> </w:t>
      </w:r>
      <w:r>
        <w:rPr>
          <w:rFonts w:ascii="Arial" w:cs="Arial" w:eastAsia="Arial" w:hAnsi="Arial"/>
          <w:sz w:val="16"/>
          <w:szCs w:val="16"/>
          <w:color w:val="auto"/>
        </w:rPr>
        <w:t>agrees to indemnify, save and hold harmless the Administrative Agent (and any sub-agent thereof) each Lender, the Swing Line Lender and the L/C Issuer, and each Related Party of any of the foregoing Persons (collectively the “</w:t>
      </w:r>
      <w:r>
        <w:rPr>
          <w:rFonts w:ascii="Arial" w:cs="Arial" w:eastAsia="Arial" w:hAnsi="Arial"/>
          <w:sz w:val="16"/>
          <w:szCs w:val="16"/>
          <w:b w:val="1"/>
          <w:bCs w:val="1"/>
          <w:i w:val="1"/>
          <w:iCs w:val="1"/>
          <w:color w:val="auto"/>
        </w:rPr>
        <w:t>Indemnitees</w:t>
      </w:r>
      <w:r>
        <w:rPr>
          <w:rFonts w:ascii="Arial" w:cs="Arial" w:eastAsia="Arial" w:hAnsi="Arial"/>
          <w:sz w:val="16"/>
          <w:szCs w:val="16"/>
          <w:color w:val="auto"/>
        </w:rPr>
        <w:t>”) from and against: (a) any and all claims, demands, actions or causes of action that are asserted against any Indemnitee by any Person (other than the Administrative Agent or any Lender) relating directly or indirectly to a claim, demand, action or cause of action that such Person asserts or may assert against any Loan Party, any Affiliate of any Loan Party or any of their respective officers or directors, arising out of or relating to, the Loan Documents, the Commitments, the use or contemplated use of the proceeds of any Loans, or the relationship of any Loan Party, the Administrative Agent, the Lenders, the L/C Issuer, and the Swing Line Lender under this Agreement or any other Loan Document; (b) any and all claims, demands, actions or causes of action that may at any time (including at any time following repayment of the Obligations and the resignation of the Administrative Agent or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79" w:name="page80"/>
    <w:bookmarkEnd w:id="79"/>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replacement of any Lender) be asserted or imposed against any Indemnitee, arising out of or relating to, the Loan Documents, the Commitments, the use or contemplated use of the proceeds of any Loans, or the relationship of any Loan Party, the Administrative Agent, the Lenders, the L/C Issuer, and the Swing Line Lender under this Agreement or any other Loan Document; (c) without limiting the foregoing, any and all claims, demands, actions or causes of action that are asserted or imposed against any Indemnitee, (i) under the application of any Environmental Law applicable to the Borrower or any of its Subsidiaries or any of their properties or assets, including the treatment or disposal of Hazardous Substances on any of their properties or assets, (ii) as a result of the breach or non-compliance by the Borrower or any Subsidiary with any Environmental Law applicable to the Borrower or any Subsidiary, (iii) due to past ownership by the Borrower or any Subsidiary of any of their properties or assets or past activity on any of their properties or assets which, though lawful and fully permissible at the time, could result in present liability, (iv) due to the presence, use, storage, treatment or disposal of Hazardous Substances on or under, or the escape, seepage, leakage, spillage, discharge, emission or release from, any of the properties owned or operated by the Borrower or any Subsidiary (including any liability asserted or arising under any Environmental Law), regardless of whether caused by, or within the control of, the Borrower or such Subsidiary, or (v) due to any other environmental, health or safety condition in connection with the Loan Documents; (d) any administrative or investigative proceeding by any Governmental Authority arising out of or related to a claim, demand, action or cause of action described in </w:t>
      </w:r>
      <w:r>
        <w:rPr>
          <w:rFonts w:ascii="Arial" w:cs="Arial" w:eastAsia="Arial" w:hAnsi="Arial"/>
          <w:sz w:val="16"/>
          <w:szCs w:val="16"/>
          <w:b w:val="1"/>
          <w:bCs w:val="1"/>
          <w:i w:val="1"/>
          <w:iCs w:val="1"/>
          <w:color w:val="auto"/>
        </w:rPr>
        <w:t>subsection (a), (b)</w:t>
      </w:r>
      <w:r>
        <w:rPr>
          <w:rFonts w:ascii="Arial" w:cs="Arial" w:eastAsia="Arial" w:hAnsi="Arial"/>
          <w:sz w:val="16"/>
          <w:szCs w:val="16"/>
          <w:color w:val="auto"/>
        </w:rPr>
        <w:t xml:space="preserve"> or </w:t>
      </w:r>
      <w:r>
        <w:rPr>
          <w:rFonts w:ascii="Arial" w:cs="Arial" w:eastAsia="Arial" w:hAnsi="Arial"/>
          <w:sz w:val="16"/>
          <w:szCs w:val="16"/>
          <w:b w:val="1"/>
          <w:bCs w:val="1"/>
          <w:i w:val="1"/>
          <w:iCs w:val="1"/>
          <w:color w:val="auto"/>
        </w:rPr>
        <w:t>(c)</w:t>
      </w:r>
      <w:r>
        <w:rPr>
          <w:rFonts w:ascii="Arial" w:cs="Arial" w:eastAsia="Arial" w:hAnsi="Arial"/>
          <w:sz w:val="16"/>
          <w:szCs w:val="16"/>
          <w:color w:val="auto"/>
        </w:rPr>
        <w:t xml:space="preserve"> above; and (e) any and all liabilities (including liabilities under indemnities), losses, costs or expenses (including Attorney Costs)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w:t>
      </w:r>
      <w:r>
        <w:rPr>
          <w:rFonts w:ascii="Arial" w:cs="Arial" w:eastAsia="Arial" w:hAnsi="Arial"/>
          <w:sz w:val="16"/>
          <w:szCs w:val="16"/>
          <w:b w:val="1"/>
          <w:bCs w:val="1"/>
          <w:i w:val="1"/>
          <w:iCs w:val="1"/>
          <w:color w:val="auto"/>
        </w:rPr>
        <w:t>WHETHER OR NOT ARISING OUT OF THE STRICT LIABILITY OR NEGLIGENCE OF AN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and whether or not an Indemnitee is a party to such claim, demand, action, cause of action or proceeding (all the foregoing, collectively,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Indemnified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Indemnitee shall be entitled to indemnification for any claim to the extent caused by its own gross negligence or willful misconduct. The agreements in this Section shall survive the termination of the Commitments and repayment of all the other Obligations.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10.06 Payments Set Aside</w:t>
      </w:r>
      <w:r>
        <w:rPr>
          <w:rFonts w:ascii="Arial" w:cs="Arial" w:eastAsia="Arial" w:hAnsi="Arial"/>
          <w:sz w:val="16"/>
          <w:szCs w:val="16"/>
          <w:color w:val="auto"/>
        </w:rPr>
        <w:t>. To the extent that the Borrower makes a payment to the Administrative Agent or any Lender, or the Administrative Agent or</w:t>
      </w:r>
      <w:r>
        <w:rPr>
          <w:rFonts w:ascii="Arial" w:cs="Arial" w:eastAsia="Arial" w:hAnsi="Arial"/>
          <w:sz w:val="16"/>
          <w:szCs w:val="16"/>
          <w:b w:val="1"/>
          <w:bCs w:val="1"/>
          <w:color w:val="auto"/>
        </w:rPr>
        <w:t xml:space="preserve"> </w:t>
      </w:r>
      <w:r>
        <w:rPr>
          <w:rFonts w:ascii="Arial" w:cs="Arial" w:eastAsia="Arial" w:hAnsi="Arial"/>
          <w:sz w:val="16"/>
          <w:szCs w:val="16"/>
          <w:color w:val="auto"/>
        </w:rPr>
        <w:t>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the Administrative Agent, plus interest thereon from the date of such demand to the date such payment is made at a rate per annum equal to the Federal Funds Rate from time to time in effect.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10.07 Successors and Assigns</w:t>
      </w:r>
      <w:r>
        <w:rPr>
          <w:rFonts w:ascii="Arial" w:cs="Arial" w:eastAsia="Arial" w:hAnsi="Arial"/>
          <w:sz w:val="18"/>
          <w:szCs w:val="18"/>
          <w:color w:val="auto"/>
        </w:rPr>
        <w:t>.</w:t>
      </w:r>
    </w:p>
    <w:p>
      <w:pPr>
        <w:spacing w:after="0" w:line="96" w:lineRule="exact"/>
        <w:rPr>
          <w:sz w:val="20"/>
          <w:szCs w:val="20"/>
          <w:color w:val="auto"/>
        </w:rPr>
      </w:pPr>
    </w:p>
    <w:p>
      <w:pPr>
        <w:ind w:right="120" w:firstLine="464"/>
        <w:spacing w:after="0" w:line="302" w:lineRule="auto"/>
        <w:tabs>
          <w:tab w:leader="none" w:pos="695" w:val="left"/>
        </w:tabs>
        <w:numPr>
          <w:ilvl w:val="1"/>
          <w:numId w:val="111"/>
        </w:numPr>
        <w:rPr>
          <w:rFonts w:ascii="Arial" w:cs="Arial" w:eastAsia="Arial" w:hAnsi="Arial"/>
          <w:sz w:val="15"/>
          <w:szCs w:val="15"/>
          <w:color w:val="auto"/>
        </w:rPr>
      </w:pPr>
      <w:r>
        <w:rPr>
          <w:rFonts w:ascii="Arial" w:cs="Arial" w:eastAsia="Arial" w:hAnsi="Arial"/>
          <w:sz w:val="15"/>
          <w:szCs w:val="15"/>
          <w:color w:val="auto"/>
        </w:rPr>
        <w:t>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any attempted assignment or transfer by the Borrower without such consent shall be null and void). No Lender may assign or otherwise transfer any of its rights or obligations hereunder except (i) to an assignee in accordance with the provisions of paragraph (b) of this Section,</w:t>
      </w:r>
    </w:p>
    <w:p>
      <w:pPr>
        <w:spacing w:after="0" w:line="2" w:lineRule="exact"/>
        <w:rPr>
          <w:rFonts w:ascii="Arial" w:cs="Arial" w:eastAsia="Arial" w:hAnsi="Arial"/>
          <w:sz w:val="15"/>
          <w:szCs w:val="15"/>
          <w:color w:val="auto"/>
        </w:rPr>
      </w:pPr>
    </w:p>
    <w:p>
      <w:pPr>
        <w:ind w:left="260" w:hanging="252"/>
        <w:spacing w:after="0"/>
        <w:tabs>
          <w:tab w:leader="none" w:pos="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way of participation in accordance with the provisions of paragraph (d) of this Section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80" w:name="page81"/>
    <w:bookmarkEnd w:id="80"/>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(iii) 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Indemnitees) any legal or equitable right, remedy or claim under or by reason of this Agreement.</w:t>
      </w:r>
    </w:p>
    <w:p>
      <w:pPr>
        <w:spacing w:after="0" w:line="113" w:lineRule="exact"/>
        <w:rPr>
          <w:sz w:val="20"/>
          <w:szCs w:val="20"/>
          <w:color w:val="auto"/>
        </w:rPr>
      </w:pPr>
    </w:p>
    <w:p>
      <w:pPr>
        <w:ind w:right="600" w:firstLine="464"/>
        <w:spacing w:after="0" w:line="259"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Any Lender may at any time assign to one or more assignees all or a portion of its rights and obligations under this Agreement (including all or a portion of its Commitment and the Loans at the time owing to it); provided that any such assignment shall be subject to the following conditions:</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Minimum Amounts.</w:t>
      </w:r>
    </w:p>
    <w:p>
      <w:pPr>
        <w:spacing w:after="0" w:line="90" w:lineRule="exact"/>
        <w:rPr>
          <w:rFonts w:ascii="Arial" w:cs="Arial" w:eastAsia="Arial" w:hAnsi="Arial"/>
          <w:sz w:val="18"/>
          <w:szCs w:val="18"/>
          <w:color w:val="auto"/>
        </w:rPr>
      </w:pPr>
    </w:p>
    <w:p>
      <w:pPr>
        <w:ind w:left="920" w:right="140" w:firstLine="421"/>
        <w:spacing w:after="0" w:line="332" w:lineRule="auto"/>
        <w:tabs>
          <w:tab w:leader="none" w:pos="1627" w:val="left"/>
        </w:tabs>
        <w:numPr>
          <w:ilvl w:val="2"/>
          <w:numId w:val="113"/>
        </w:numPr>
        <w:rPr>
          <w:rFonts w:ascii="Arial" w:cs="Arial" w:eastAsia="Arial" w:hAnsi="Arial"/>
          <w:sz w:val="16"/>
          <w:szCs w:val="16"/>
          <w:color w:val="auto"/>
        </w:rPr>
      </w:pPr>
      <w:r>
        <w:rPr>
          <w:rFonts w:ascii="Arial" w:cs="Arial" w:eastAsia="Arial" w:hAnsi="Arial"/>
          <w:sz w:val="16"/>
          <w:szCs w:val="16"/>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4" w:lineRule="exact"/>
        <w:rPr>
          <w:rFonts w:ascii="Arial" w:cs="Arial" w:eastAsia="Arial" w:hAnsi="Arial"/>
          <w:sz w:val="16"/>
          <w:szCs w:val="16"/>
          <w:color w:val="auto"/>
        </w:rPr>
      </w:pPr>
    </w:p>
    <w:p>
      <w:pPr>
        <w:ind w:left="920" w:right="20" w:firstLine="421"/>
        <w:spacing w:after="0" w:line="291" w:lineRule="auto"/>
        <w:tabs>
          <w:tab w:leader="none" w:pos="1618" w:val="left"/>
        </w:tabs>
        <w:numPr>
          <w:ilvl w:val="2"/>
          <w:numId w:val="113"/>
        </w:numPr>
        <w:rPr>
          <w:rFonts w:ascii="Arial" w:cs="Arial" w:eastAsia="Arial" w:hAnsi="Arial"/>
          <w:sz w:val="16"/>
          <w:szCs w:val="16"/>
          <w:color w:val="auto"/>
        </w:rPr>
      </w:pPr>
      <w:r>
        <w:rPr>
          <w:rFonts w:ascii="Arial" w:cs="Arial" w:eastAsia="Arial" w:hAnsi="Arial"/>
          <w:sz w:val="16"/>
          <w:szCs w:val="16"/>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Borrower otherwise consents (each such consent not to be unreasonably withheld or delayed).</w:t>
      </w:r>
    </w:p>
    <w:p>
      <w:pPr>
        <w:spacing w:after="0" w:line="39" w:lineRule="exact"/>
        <w:rPr>
          <w:rFonts w:ascii="Arial" w:cs="Arial" w:eastAsia="Arial" w:hAnsi="Arial"/>
          <w:sz w:val="16"/>
          <w:szCs w:val="16"/>
          <w:color w:val="auto"/>
        </w:rPr>
      </w:pPr>
    </w:p>
    <w:p>
      <w:pPr>
        <w:ind w:left="460" w:right="160" w:firstLine="443"/>
        <w:spacing w:after="0" w:line="268" w:lineRule="auto"/>
        <w:tabs>
          <w:tab w:leader="none" w:pos="1156"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 or the Commitment assigned.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paragraph (b)(i)(B) of this Section and, in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addition:</w:t>
      </w:r>
    </w:p>
    <w:p>
      <w:pPr>
        <w:spacing w:after="0" w:line="83" w:lineRule="exact"/>
        <w:rPr>
          <w:rFonts w:ascii="Arial" w:cs="Arial" w:eastAsia="Arial" w:hAnsi="Arial"/>
          <w:sz w:val="16"/>
          <w:szCs w:val="16"/>
          <w:color w:val="auto"/>
        </w:rPr>
      </w:pPr>
    </w:p>
    <w:p>
      <w:pPr>
        <w:ind w:left="920" w:firstLine="421"/>
        <w:spacing w:after="0" w:line="332" w:lineRule="auto"/>
        <w:tabs>
          <w:tab w:leader="none" w:pos="1627" w:val="left"/>
        </w:tabs>
        <w:numPr>
          <w:ilvl w:val="2"/>
          <w:numId w:val="113"/>
        </w:numPr>
        <w:rPr>
          <w:rFonts w:ascii="Arial" w:cs="Arial" w:eastAsia="Arial" w:hAnsi="Arial"/>
          <w:sz w:val="16"/>
          <w:szCs w:val="16"/>
          <w:color w:val="auto"/>
        </w:rPr>
      </w:pPr>
      <w:r>
        <w:rPr>
          <w:rFonts w:ascii="Arial" w:cs="Arial" w:eastAsia="Arial" w:hAnsi="Arial"/>
          <w:sz w:val="16"/>
          <w:szCs w:val="16"/>
          <w:color w:val="auto"/>
        </w:rPr>
        <w:t>the consent of the Borrower (such consent not to be unreasonably withheld or delayed) shall be required unless (x) an Event of Default has occurred and is continuing at the time of such assignment or (y) such assignment is to a Lender, an Affiliate of a Lender or an Approved Fund;</w:t>
      </w:r>
    </w:p>
    <w:p>
      <w:pPr>
        <w:spacing w:after="0" w:line="4" w:lineRule="exact"/>
        <w:rPr>
          <w:rFonts w:ascii="Arial" w:cs="Arial" w:eastAsia="Arial" w:hAnsi="Arial"/>
          <w:sz w:val="16"/>
          <w:szCs w:val="16"/>
          <w:color w:val="auto"/>
        </w:rPr>
      </w:pPr>
    </w:p>
    <w:p>
      <w:pPr>
        <w:ind w:left="920" w:right="140" w:firstLine="421"/>
        <w:spacing w:after="0" w:line="268" w:lineRule="auto"/>
        <w:tabs>
          <w:tab w:leader="none" w:pos="1618"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to a Person that is not a Lender, an Affiliate of a Lender or an Approved Fund; and</w:t>
      </w:r>
    </w:p>
    <w:p>
      <w:pPr>
        <w:spacing w:after="0" w:line="50" w:lineRule="exact"/>
        <w:rPr>
          <w:rFonts w:ascii="Arial" w:cs="Arial" w:eastAsia="Arial" w:hAnsi="Arial"/>
          <w:sz w:val="18"/>
          <w:szCs w:val="18"/>
          <w:color w:val="auto"/>
        </w:rPr>
      </w:pPr>
    </w:p>
    <w:p>
      <w:pPr>
        <w:ind w:left="920" w:right="400" w:firstLine="421"/>
        <w:spacing w:after="0" w:line="306" w:lineRule="auto"/>
        <w:tabs>
          <w:tab w:leader="none" w:pos="1618" w:val="left"/>
        </w:tabs>
        <w:numPr>
          <w:ilvl w:val="2"/>
          <w:numId w:val="113"/>
        </w:numPr>
        <w:rPr>
          <w:rFonts w:ascii="Arial" w:cs="Arial" w:eastAsia="Arial" w:hAnsi="Arial"/>
          <w:sz w:val="16"/>
          <w:szCs w:val="16"/>
          <w:color w:val="auto"/>
        </w:rPr>
      </w:pPr>
      <w:r>
        <w:rPr>
          <w:rFonts w:ascii="Arial" w:cs="Arial" w:eastAsia="Arial" w:hAnsi="Arial"/>
          <w:sz w:val="16"/>
          <w:szCs w:val="16"/>
          <w:color w:val="auto"/>
        </w:rPr>
        <w:t>the consent of each L/C Issuer (such consent not to be unreasonably withheld or delayed) shall be required for any assignment that increases the obligation of the assignee to participate in exposure under one or more Letters of Credit (whether or not then outstanding) and the consent of the Swing Line Lender (such consent not to be unreasonably withheld or delayed) shall be required for any assignment.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280" w:right="279" w:bottom="1440" w:gutter="0" w:footer="0" w:header="0"/>
        </w:sectPr>
      </w:pPr>
    </w:p>
    <w:bookmarkStart w:id="81" w:name="page82"/>
    <w:bookmarkEnd w:id="81"/>
    <w:p>
      <w:pPr>
        <w:ind w:left="1200" w:hanging="297"/>
        <w:spacing w:after="0"/>
        <w:tabs>
          <w:tab w:leader="none" w:pos="120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and Assumption</w:t>
      </w:r>
      <w:r>
        <w:rPr>
          <w:rFonts w:ascii="Arial" w:cs="Arial" w:eastAsia="Arial" w:hAnsi="Arial"/>
          <w:sz w:val="16"/>
          <w:szCs w:val="16"/>
          <w:color w:val="auto"/>
        </w:rPr>
        <w:t>. The parties to each assignment shall execute and deliver to the Administrative Agent an Assignment and</w:t>
      </w:r>
    </w:p>
    <w:p>
      <w:pPr>
        <w:spacing w:after="0" w:line="38"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Assumption, together with a processing and recordation fee of $3,500.00, and the assignee, if it is not a Lender, shall deliver to the Administrative Agent an Administrative Questionnaire.</w:t>
      </w:r>
    </w:p>
    <w:p>
      <w:pPr>
        <w:spacing w:after="0" w:line="56" w:lineRule="exact"/>
        <w:rPr>
          <w:rFonts w:ascii="Arial" w:cs="Arial" w:eastAsia="Arial" w:hAnsi="Arial"/>
          <w:sz w:val="16"/>
          <w:szCs w:val="16"/>
          <w:color w:val="auto"/>
        </w:rPr>
      </w:pPr>
    </w:p>
    <w:p>
      <w:pPr>
        <w:ind w:left="1160" w:hanging="257"/>
        <w:spacing w:after="0"/>
        <w:tabs>
          <w:tab w:leader="none" w:pos="116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No Assignment to Borrower</w:t>
      </w:r>
      <w:r>
        <w:rPr>
          <w:rFonts w:ascii="Arial" w:cs="Arial" w:eastAsia="Arial" w:hAnsi="Arial"/>
          <w:sz w:val="16"/>
          <w:szCs w:val="16"/>
          <w:color w:val="auto"/>
        </w:rPr>
        <w:t>. No such assignment shall be made to the Borrower or any of the Borrower’s Affiliates or Subsidiaries.</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171"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w:t>
      </w:r>
      <w:r>
        <w:rPr>
          <w:rFonts w:ascii="Arial" w:cs="Arial" w:eastAsia="Arial" w:hAnsi="Arial"/>
          <w:sz w:val="16"/>
          <w:szCs w:val="16"/>
          <w:b w:val="1"/>
          <w:bCs w:val="1"/>
          <w:i w:val="1"/>
          <w:iCs w:val="1"/>
          <w:color w:val="auto"/>
        </w:rPr>
        <w:t>subsection (c)</w:t>
      </w:r>
      <w:r>
        <w:rPr>
          <w:rFonts w:ascii="Arial" w:cs="Arial" w:eastAsia="Arial" w:hAnsi="Arial"/>
          <w:sz w:val="16"/>
          <w:szCs w:val="16"/>
          <w:color w:val="auto"/>
        </w:rPr>
        <w:t xml:space="preserve"> of this Section, from and after the effective date specified in each Assignment and Acceptance, the Eligible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6"/>
          <w:szCs w:val="16"/>
          <w:b w:val="1"/>
          <w:bCs w:val="1"/>
          <w:i w:val="1"/>
          <w:iCs w:val="1"/>
          <w:color w:val="auto"/>
        </w:rPr>
        <w:t>Sections 3.08</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10.04</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10.05</w:t>
      </w:r>
      <w:r>
        <w:rPr>
          <w:rFonts w:ascii="Arial" w:cs="Arial" w:eastAsia="Arial" w:hAnsi="Arial"/>
          <w:sz w:val="16"/>
          <w:szCs w:val="16"/>
          <w:color w:val="auto"/>
        </w:rPr>
        <w:t xml:space="preserve"> with respect to facts and circumstances occurring prior to the date of such assignment. Upon request, the Borrower (at its expense) shall execute and deliver new or replacement Notes to the assigning Lender and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6"/>
          <w:szCs w:val="16"/>
          <w:b w:val="1"/>
          <w:bCs w:val="1"/>
          <w:i w:val="1"/>
          <w:iCs w:val="1"/>
          <w:color w:val="auto"/>
        </w:rPr>
        <w:t>subsection (d)</w:t>
      </w:r>
      <w:r>
        <w:rPr>
          <w:rFonts w:ascii="Arial" w:cs="Arial" w:eastAsia="Arial" w:hAnsi="Arial"/>
          <w:sz w:val="16"/>
          <w:szCs w:val="16"/>
          <w:color w:val="auto"/>
        </w:rPr>
        <w:t xml:space="preserve"> of this Section.</w:t>
      </w:r>
    </w:p>
    <w:p>
      <w:pPr>
        <w:spacing w:after="0" w:line="120" w:lineRule="exact"/>
        <w:rPr>
          <w:sz w:val="20"/>
          <w:szCs w:val="20"/>
          <w:color w:val="auto"/>
        </w:rPr>
      </w:pPr>
    </w:p>
    <w:p>
      <w:pPr>
        <w:ind w:right="20" w:firstLine="464"/>
        <w:spacing w:after="0" w:line="291" w:lineRule="auto"/>
        <w:tabs>
          <w:tab w:leader="none" w:pos="695"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 shall maintain at the Administrative Agent’s Office a copy of each Assignment and Acceptance delivered to it and a register for the recordation of the names and addresses of the Lenders, and the Commitments of, and principal amount of the Loans and L/C Obligations owing to, each Lender pursuant to the terms hereof from time to time (the “</w:t>
      </w:r>
      <w:r>
        <w:rPr>
          <w:rFonts w:ascii="Arial" w:cs="Arial" w:eastAsia="Arial" w:hAnsi="Arial"/>
          <w:sz w:val="16"/>
          <w:szCs w:val="16"/>
          <w:b w:val="1"/>
          <w:bCs w:val="1"/>
          <w:i w:val="1"/>
          <w:iCs w:val="1"/>
          <w:color w:val="auto"/>
        </w:rPr>
        <w:t>Register</w:t>
      </w:r>
      <w:r>
        <w:rPr>
          <w:rFonts w:ascii="Arial" w:cs="Arial" w:eastAsia="Arial" w:hAnsi="Arial"/>
          <w:sz w:val="16"/>
          <w:szCs w:val="16"/>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20" w:lineRule="exact"/>
        <w:rPr>
          <w:rFonts w:ascii="Arial" w:cs="Arial" w:eastAsia="Arial" w:hAnsi="Arial"/>
          <w:sz w:val="16"/>
          <w:szCs w:val="16"/>
          <w:color w:val="auto"/>
        </w:rPr>
      </w:pPr>
    </w:p>
    <w:p>
      <w:pPr>
        <w:ind w:right="80" w:firstLine="464"/>
        <w:spacing w:after="0" w:line="287" w:lineRule="auto"/>
        <w:tabs>
          <w:tab w:leader="none" w:pos="705"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without the consent of, or notice to, the Borrower or the Administrative Agent, sell participations to any Person (other than a natural person or the Borrower or any of the Borrower’s Affiliates or Subsidiaries) (each, a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 such Lender’s obligations under this Agreement shall remain unchanged, (ii) such Lender shall remain solely responsible to the other parties hereto for the performance of such obligations and (iii) the Borrower, the Administrative Agent, the Lenders, the L/C Issuers and the Swing Line Lender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agreement or instrument may provide that such Lender will not, without the consent of the Participant, agree to any amendment, waiver or other modification described in the first proviso of </w:t>
      </w:r>
      <w:r>
        <w:rPr>
          <w:rFonts w:ascii="Arial" w:cs="Arial" w:eastAsia="Arial" w:hAnsi="Arial"/>
          <w:sz w:val="16"/>
          <w:szCs w:val="16"/>
          <w:b w:val="1"/>
          <w:bCs w:val="1"/>
          <w:i w:val="1"/>
          <w:iCs w:val="1"/>
          <w:color w:val="auto"/>
        </w:rPr>
        <w:t>Section 10.01</w:t>
      </w:r>
      <w:r>
        <w:rPr>
          <w:rFonts w:ascii="Arial" w:cs="Arial" w:eastAsia="Arial" w:hAnsi="Arial"/>
          <w:sz w:val="16"/>
          <w:szCs w:val="16"/>
          <w:color w:val="auto"/>
        </w:rPr>
        <w:t xml:space="preserve"> that affects such Participant. Subject to </w:t>
      </w:r>
      <w:r>
        <w:rPr>
          <w:rFonts w:ascii="Arial" w:cs="Arial" w:eastAsia="Arial" w:hAnsi="Arial"/>
          <w:sz w:val="16"/>
          <w:szCs w:val="16"/>
          <w:b w:val="1"/>
          <w:bCs w:val="1"/>
          <w:i w:val="1"/>
          <w:iCs w:val="1"/>
          <w:color w:val="auto"/>
        </w:rPr>
        <w:t>subsection (e)</w:t>
      </w:r>
      <w:r>
        <w:rPr>
          <w:rFonts w:ascii="Arial" w:cs="Arial" w:eastAsia="Arial" w:hAnsi="Arial"/>
          <w:sz w:val="16"/>
          <w:szCs w:val="16"/>
          <w:color w:val="auto"/>
        </w:rPr>
        <w:t xml:space="preserve"> of this Section, the Borrower agrees that each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82" w:name="page83"/>
    <w:bookmarkEnd w:id="82"/>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Participant shall be entitled to the benefits of </w:t>
      </w:r>
      <w:r>
        <w:rPr>
          <w:rFonts w:ascii="Arial" w:cs="Arial" w:eastAsia="Arial" w:hAnsi="Arial"/>
          <w:sz w:val="16"/>
          <w:szCs w:val="16"/>
          <w:b w:val="1"/>
          <w:bCs w:val="1"/>
          <w:i w:val="1"/>
          <w:iCs w:val="1"/>
          <w:color w:val="auto"/>
        </w:rPr>
        <w:t>Sections 3.01</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3.04</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b w:val="1"/>
          <w:bCs w:val="1"/>
          <w:i w:val="1"/>
          <w:iCs w:val="1"/>
          <w:color w:val="auto"/>
        </w:rPr>
        <w:t>subsection (b)</w:t>
      </w:r>
      <w:r>
        <w:rPr>
          <w:rFonts w:ascii="Arial" w:cs="Arial" w:eastAsia="Arial" w:hAnsi="Arial"/>
          <w:sz w:val="16"/>
          <w:szCs w:val="16"/>
          <w:color w:val="auto"/>
        </w:rPr>
        <w:t xml:space="preserve"> of this Section. To the extent permitted by law, each Participant also shall be entitled to the benefits of </w:t>
      </w:r>
      <w:r>
        <w:rPr>
          <w:rFonts w:ascii="Arial" w:cs="Arial" w:eastAsia="Arial" w:hAnsi="Arial"/>
          <w:sz w:val="16"/>
          <w:szCs w:val="16"/>
          <w:b w:val="1"/>
          <w:bCs w:val="1"/>
          <w:i w:val="1"/>
          <w:iCs w:val="1"/>
          <w:color w:val="auto"/>
        </w:rPr>
        <w:t>Section 10.09</w:t>
      </w:r>
      <w:r>
        <w:rPr>
          <w:rFonts w:ascii="Arial" w:cs="Arial" w:eastAsia="Arial" w:hAnsi="Arial"/>
          <w:sz w:val="16"/>
          <w:szCs w:val="16"/>
          <w:color w:val="auto"/>
        </w:rPr>
        <w:t xml:space="preserve">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b w:val="1"/>
          <w:bCs w:val="1"/>
          <w:i w:val="1"/>
          <w:iCs w:val="1"/>
          <w:color w:val="auto"/>
        </w:rPr>
        <w:t>Section 2.12</w:t>
      </w:r>
      <w:r>
        <w:rPr>
          <w:rFonts w:ascii="Arial" w:cs="Arial" w:eastAsia="Arial" w:hAnsi="Arial"/>
          <w:sz w:val="16"/>
          <w:szCs w:val="16"/>
          <w:color w:val="auto"/>
        </w:rPr>
        <w:t xml:space="preserve"> as though it were a Lender.</w:t>
      </w:r>
    </w:p>
    <w:p>
      <w:pPr>
        <w:spacing w:after="0" w:line="107" w:lineRule="exact"/>
        <w:rPr>
          <w:sz w:val="20"/>
          <w:szCs w:val="20"/>
          <w:color w:val="auto"/>
        </w:rPr>
      </w:pPr>
    </w:p>
    <w:p>
      <w:pPr>
        <w:ind w:firstLine="464"/>
        <w:spacing w:after="0" w:line="283" w:lineRule="auto"/>
        <w:tabs>
          <w:tab w:leader="none" w:pos="695"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Limitations Upon Participant Rights</w:t>
      </w:r>
      <w:r>
        <w:rPr>
          <w:rFonts w:ascii="Arial" w:cs="Arial" w:eastAsia="Arial" w:hAnsi="Arial"/>
          <w:sz w:val="16"/>
          <w:szCs w:val="16"/>
          <w:color w:val="auto"/>
        </w:rPr>
        <w:t xml:space="preserve">. A Participant shall not be entitled to receive any greater payment under </w:t>
      </w:r>
      <w:r>
        <w:rPr>
          <w:rFonts w:ascii="Arial" w:cs="Arial" w:eastAsia="Arial" w:hAnsi="Arial"/>
          <w:sz w:val="16"/>
          <w:szCs w:val="16"/>
          <w:b w:val="1"/>
          <w:bCs w:val="1"/>
          <w:i w:val="1"/>
          <w:iCs w:val="1"/>
          <w:color w:val="auto"/>
        </w:rPr>
        <w:t>Section 3.01</w:t>
      </w:r>
      <w:r>
        <w:rPr>
          <w:rFonts w:ascii="Arial" w:cs="Arial" w:eastAsia="Arial" w:hAnsi="Arial"/>
          <w:sz w:val="16"/>
          <w:szCs w:val="16"/>
          <w:color w:val="auto"/>
        </w:rPr>
        <w:t xml:space="preserve"> or </w:t>
      </w:r>
      <w:r>
        <w:rPr>
          <w:rFonts w:ascii="Arial" w:cs="Arial" w:eastAsia="Arial" w:hAnsi="Arial"/>
          <w:sz w:val="16"/>
          <w:szCs w:val="16"/>
          <w:b w:val="1"/>
          <w:bCs w:val="1"/>
          <w:i w:val="1"/>
          <w:iCs w:val="1"/>
          <w:color w:val="auto"/>
        </w:rPr>
        <w:t>3.04</w:t>
      </w:r>
      <w:r>
        <w:rPr>
          <w:rFonts w:ascii="Arial" w:cs="Arial" w:eastAsia="Arial" w:hAnsi="Arial"/>
          <w:sz w:val="16"/>
          <w:szCs w:val="16"/>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6"/>
          <w:szCs w:val="16"/>
          <w:b w:val="1"/>
          <w:bCs w:val="1"/>
          <w:i w:val="1"/>
          <w:iCs w:val="1"/>
          <w:color w:val="auto"/>
        </w:rPr>
        <w:t>Section 3.01</w:t>
      </w:r>
      <w:r>
        <w:rPr>
          <w:rFonts w:ascii="Arial" w:cs="Arial" w:eastAsia="Arial" w:hAnsi="Arial"/>
          <w:sz w:val="16"/>
          <w:szCs w:val="16"/>
          <w:color w:val="auto"/>
        </w:rPr>
        <w:t xml:space="preserve"> unless the Borrower is notified of the participation sold to such Participant and such Participant agrees, for the benefit of the Borrower, to comply with</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Section 3.01(e) </w:t>
      </w:r>
      <w:r>
        <w:rPr>
          <w:rFonts w:ascii="Arial" w:cs="Arial" w:eastAsia="Arial" w:hAnsi="Arial"/>
          <w:sz w:val="18"/>
          <w:szCs w:val="18"/>
          <w:color w:val="auto"/>
        </w:rPr>
        <w:t>as though it were a Lender.</w:t>
      </w:r>
    </w:p>
    <w:p>
      <w:pPr>
        <w:spacing w:after="0" w:line="164" w:lineRule="exact"/>
        <w:rPr>
          <w:rFonts w:ascii="Arial" w:cs="Arial" w:eastAsia="Arial" w:hAnsi="Arial"/>
          <w:sz w:val="16"/>
          <w:szCs w:val="16"/>
          <w:color w:val="auto"/>
        </w:rPr>
      </w:pPr>
    </w:p>
    <w:p>
      <w:pPr>
        <w:ind w:firstLine="464"/>
        <w:spacing w:after="0" w:line="306" w:lineRule="auto"/>
        <w:tabs>
          <w:tab w:leader="none" w:pos="676"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such pledge or assignment shall release a Lender from any of its obligations hereunder or substitute any such pledgee or assignee for such Lender as a party hereto.</w:t>
      </w:r>
    </w:p>
    <w:p>
      <w:pPr>
        <w:spacing w:after="0" w:line="106" w:lineRule="exact"/>
        <w:rPr>
          <w:rFonts w:ascii="Arial" w:cs="Arial" w:eastAsia="Arial" w:hAnsi="Arial"/>
          <w:sz w:val="16"/>
          <w:szCs w:val="16"/>
          <w:color w:val="auto"/>
        </w:rPr>
      </w:pPr>
    </w:p>
    <w:p>
      <w:pPr>
        <w:ind w:right="40" w:firstLine="464"/>
        <w:spacing w:after="0" w:line="298" w:lineRule="auto"/>
        <w:tabs>
          <w:tab w:leader="none" w:pos="7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the retiring L/C Issuer to effectively assume the obligations of such retiring L/C Issuer with respect to such Letters of Credit.</w:t>
      </w:r>
    </w:p>
    <w:p>
      <w:pPr>
        <w:spacing w:after="0" w:line="112" w:lineRule="exact"/>
        <w:rPr>
          <w:rFonts w:ascii="Arial" w:cs="Arial" w:eastAsia="Arial" w:hAnsi="Arial"/>
          <w:sz w:val="16"/>
          <w:szCs w:val="16"/>
          <w:color w:val="auto"/>
        </w:rPr>
      </w:pPr>
    </w:p>
    <w:p>
      <w:pPr>
        <w:ind w:right="20" w:firstLine="464"/>
        <w:spacing w:after="0" w:line="285" w:lineRule="auto"/>
        <w:tabs>
          <w:tab w:leader="none" w:pos="705"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or Swing Line Lender After Assignment</w:t>
      </w:r>
      <w:r>
        <w:rPr>
          <w:rFonts w:ascii="Arial" w:cs="Arial" w:eastAsia="Arial" w:hAnsi="Arial"/>
          <w:sz w:val="16"/>
          <w:szCs w:val="16"/>
          <w:color w:val="auto"/>
        </w:rPr>
        <w:t xml:space="preserve">. Notwithstanding anything to the contrary contained herein, if at any time a Lender that is also an L/C Issuer or the Swing Line Lender assigns all of its Commitment and Loans pursuant to </w:t>
      </w:r>
      <w:r>
        <w:rPr>
          <w:rFonts w:ascii="Arial" w:cs="Arial" w:eastAsia="Arial" w:hAnsi="Arial"/>
          <w:sz w:val="16"/>
          <w:szCs w:val="16"/>
          <w:b w:val="1"/>
          <w:bCs w:val="1"/>
          <w:i w:val="1"/>
          <w:iCs w:val="1"/>
          <w:color w:val="auto"/>
        </w:rPr>
        <w:t>subsection (b)</w:t>
      </w:r>
      <w:r>
        <w:rPr>
          <w:rFonts w:ascii="Arial" w:cs="Arial" w:eastAsia="Arial" w:hAnsi="Arial"/>
          <w:sz w:val="16"/>
          <w:szCs w:val="16"/>
          <w:color w:val="auto"/>
        </w:rPr>
        <w:t xml:space="preserve"> above, such L/C Issuer or Swing Line Lender may, (i) upon 30 days’ notice to the Borrower and the Lenders, resign as an L/C Issuer and/or (ii) upon 30 days’ notice to the Borrower, resign as Swing Line Lender. In the event of any such resignation as an L/C Issuer or Swing Line Lender, the Borrower shall be entitled to appoint from among the Lenders one or more successor L/C Issuers or Swing Line Lender hereunder. The failure by the Borrower to appoint a successor L/C Issuer shall not affect the resignation of the resigning L/C Issuer; however, the resignation of the Swing Line Lender shall not be effective until a successor Swing Line Lender has been appointed and has accepted such appointment. Such resigning L/C Issuer shall retain all the rights and obligations of an L/C Issuer hereunder with respect to all Letters of Credit outstanding as of the effective date of its resignation as L/C Issuer and all L/C Obligations with respect thereto (including the right to require the Lenders to make Base Rate Loans or fund participations in Unreimbursed Amounts pursuant to </w:t>
      </w:r>
      <w:r>
        <w:rPr>
          <w:rFonts w:ascii="Arial" w:cs="Arial" w:eastAsia="Arial" w:hAnsi="Arial"/>
          <w:sz w:val="16"/>
          <w:szCs w:val="16"/>
          <w:b w:val="1"/>
          <w:bCs w:val="1"/>
          <w:i w:val="1"/>
          <w:iCs w:val="1"/>
          <w:color w:val="auto"/>
        </w:rPr>
        <w:t>Section 2.02(c)</w:t>
      </w:r>
      <w:r>
        <w:rPr>
          <w:rFonts w:ascii="Arial" w:cs="Arial" w:eastAsia="Arial" w:hAnsi="Arial"/>
          <w:sz w:val="16"/>
          <w:szCs w:val="16"/>
          <w:color w:val="auto"/>
        </w:rPr>
        <w:t xml:space="preserve">). Such resigning Swing Line Lender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b w:val="1"/>
          <w:bCs w:val="1"/>
          <w:i w:val="1"/>
          <w:iCs w:val="1"/>
          <w:color w:val="auto"/>
        </w:rPr>
        <w:t>Section 2.15(c)</w:t>
      </w:r>
      <w:r>
        <w:rPr>
          <w:rFonts w:ascii="Arial" w:cs="Arial" w:eastAsia="Arial" w:hAnsi="Arial"/>
          <w:sz w:val="16"/>
          <w:szCs w:val="16"/>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the retiring L/C Issuer to effectively assume the obligations of such retiring L/C Issuer with respect to such Letters of Credit.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83" w:name="page84"/>
    <w:bookmarkEnd w:id="83"/>
    <w:p>
      <w:pPr>
        <w:ind w:firstLine="464"/>
        <w:spacing w:after="0" w:line="284" w:lineRule="auto"/>
        <w:tabs>
          <w:tab w:leader="none" w:pos="666" w:val="left"/>
        </w:tabs>
        <w:numPr>
          <w:ilvl w:val="0"/>
          <w:numId w:val="1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anything to the contrary contained herein, any Lender (a “</w:t>
      </w:r>
      <w:r>
        <w:rPr>
          <w:rFonts w:ascii="Arial" w:cs="Arial" w:eastAsia="Arial" w:hAnsi="Arial"/>
          <w:sz w:val="16"/>
          <w:szCs w:val="16"/>
          <w:b w:val="1"/>
          <w:bCs w:val="1"/>
          <w:i w:val="1"/>
          <w:iCs w:val="1"/>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b w:val="1"/>
          <w:bCs w:val="1"/>
          <w:i w:val="1"/>
          <w:iCs w:val="1"/>
          <w:color w:val="auto"/>
        </w:rPr>
        <w:t>SPC</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Loan or L/C Advance that such Granting Lender would otherwise be obligated to make to the Borrower pursuant to this Agreement;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 nothing herein shall constitute a commitment by any SPC to make any Loan or L/C Advance, (ii) if an SPC elects not to exercise such option or otherwise fails to provide all or any part of such Loan or L/C Advance in accordance with and at the times required by this Agreement, the Granting Lender shall be obligated to make such Loan or L/C Advance pursuant to the terms hereof, and (iii) each SPC that is a “</w:t>
      </w:r>
      <w:r>
        <w:rPr>
          <w:rFonts w:ascii="Arial" w:cs="Arial" w:eastAsia="Arial" w:hAnsi="Arial"/>
          <w:sz w:val="16"/>
          <w:szCs w:val="16"/>
          <w:i w:val="1"/>
          <w:iCs w:val="1"/>
          <w:color w:val="auto"/>
        </w:rPr>
        <w:t>foreign corporation, partnership</w:t>
      </w:r>
      <w:r>
        <w:rPr>
          <w:rFonts w:ascii="Arial" w:cs="Arial" w:eastAsia="Arial" w:hAnsi="Arial"/>
          <w:sz w:val="16"/>
          <w:szCs w:val="16"/>
          <w:color w:val="auto"/>
        </w:rPr>
        <w:t xml:space="preserve"> </w:t>
      </w:r>
      <w:r>
        <w:rPr>
          <w:rFonts w:ascii="Arial" w:cs="Arial" w:eastAsia="Arial" w:hAnsi="Arial"/>
          <w:sz w:val="16"/>
          <w:szCs w:val="16"/>
          <w:i w:val="1"/>
          <w:iCs w:val="1"/>
          <w:color w:val="auto"/>
        </w:rPr>
        <w:t>or trust</w:t>
      </w:r>
      <w:r>
        <w:rPr>
          <w:rFonts w:ascii="Arial" w:cs="Arial" w:eastAsia="Arial" w:hAnsi="Arial"/>
          <w:sz w:val="16"/>
          <w:szCs w:val="16"/>
          <w:color w:val="auto"/>
        </w:rPr>
        <w:t>” within the meaning of the Code must comply with the provisions of</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Section 3.01(e)</w:t>
      </w:r>
      <w:r>
        <w:rPr>
          <w:rFonts w:ascii="Arial" w:cs="Arial" w:eastAsia="Arial" w:hAnsi="Arial"/>
          <w:sz w:val="16"/>
          <w:szCs w:val="16"/>
          <w:color w:val="auto"/>
        </w:rPr>
        <w:t>. The making of a Loan or L/C Advance by an SPC hereunder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utilize the Commitment of the Granting Lender to the same extent, and as if, such Loan or L/C Advance were made by such Granting Lender. An SPC shall not be entitled to receive any greater payment under </w:t>
      </w:r>
      <w:r>
        <w:rPr>
          <w:rFonts w:ascii="Arial" w:cs="Arial" w:eastAsia="Arial" w:hAnsi="Arial"/>
          <w:sz w:val="16"/>
          <w:szCs w:val="16"/>
          <w:b w:val="1"/>
          <w:bCs w:val="1"/>
          <w:i w:val="1"/>
          <w:iCs w:val="1"/>
          <w:color w:val="auto"/>
        </w:rPr>
        <w:t>Article III</w:t>
      </w:r>
      <w:r>
        <w:rPr>
          <w:rFonts w:ascii="Arial" w:cs="Arial" w:eastAsia="Arial" w:hAnsi="Arial"/>
          <w:sz w:val="16"/>
          <w:szCs w:val="16"/>
          <w:color w:val="auto"/>
        </w:rPr>
        <w:t xml:space="preserve"> than its Granting Lender would have been entitled to receive with respect to any Loan or L/C Advance made by such SPC. Each party hereto hereby agrees that no SPC shall be liable for any indemnity or similar payment obligation under this Agreement (all liability for which shall remain with the Granting Lender). All voting rights under this Agreement shall be exercised solely by the Granting Lender and each Granting Lender shall remain solely responsible to the other parties hereto for its obligations under this Agreement, including all obligations of a Lender in respect of Loans and L/C Advances made by its SPC. Each Granting Lender shall act as administrative agent for its SPC and give and receive notices and other communications hereunder. Any payments for the account of any SPC shall be paid to its Granting Lender as administrative agent for such SPC and neither the Borrower nor the Administrative Agent shall be responsible for any Granting Lender’s application of any such payments.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Section, any SPC may (i) with notice to, but without the prior written consent of, the Borrower and the Administrative Agent, assign all or a portion of its interests in any Loan or L/C Advances to the Granting Lender or to any financial institutions (consented to by the Borrower and Administrative Agent) providing liquidity and/or credit support to or for the account of such SPC to support the funding or maintenance of Loans and L/C Advances and (ii) disclose on a confidential basis any non-public information relating to its Loans and L/C Advances to any rating agency, commercial paper dealer or provider of any surety, guarantee or credit or liquidity enhancement to such SPC. This section may not be amended without the written consent of each SPC.</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10.08 Confidentiality</w:t>
      </w:r>
      <w:r>
        <w:rPr>
          <w:rFonts w:ascii="Arial" w:cs="Arial" w:eastAsia="Arial" w:hAnsi="Arial"/>
          <w:sz w:val="16"/>
          <w:szCs w:val="16"/>
          <w:color w:val="auto"/>
        </w:rPr>
        <w:t>. Each of the Administrative Agent, the Lenders and the L/C Issuer agrees to maintain the confidentiality of the Information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below), except that Information may be disclosed (a) to its Affiliates and to its and its Affiliates’ respective managers, administrators, trustees, partners, directors, officers, employees, agents, advisors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80" w:right="259" w:bottom="1440" w:gutter="0" w:footer="0" w:header="0"/>
        </w:sectPr>
      </w:pPr>
    </w:p>
    <w:bookmarkStart w:id="84" w:name="page85"/>
    <w:bookmarkEnd w:id="84"/>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managers, administrators, trustees, partners, directors, officers, employees, agents, advisors and other representatives) to any swap or derivative or similar transaction under which payments are to be made by reference relating to the Borrower or the Guarantor and their respective obligations, this Agreement or payments hereunder, (iii) any rating agency, or (iv) the CUSIP Service Bureau or any similar organization, (g) with the consent of the Borrower or (h) to the extent such Information (x) becomes publicly available other than as a result of a breach of this Section or (y) becomes available to the Administrative Agent, any Lender, the L/C Issuer or any of their respective Affiliates on a nonconfidential basis from a source other than the Borrower.</w:t>
      </w:r>
    </w:p>
    <w:p>
      <w:pPr>
        <w:spacing w:after="0" w:line="1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purposes of this Section, “Information” means all information received from the Borrower or any of its Subsidiaries relating to the Borrower or any of its Subsidiaries or any of their respective businesses, other than any such information that is available to the Administrative Agent, any Lender or the L/C Issuer on a nonconfidential basis prior to disclosure by the Borrower or any of its Subsidiaries, provided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1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10.09 Set-off</w:t>
      </w:r>
      <w:r>
        <w:rPr>
          <w:rFonts w:ascii="Arial" w:cs="Arial" w:eastAsia="Arial" w:hAnsi="Arial"/>
          <w:sz w:val="16"/>
          <w:szCs w:val="16"/>
          <w:color w:val="auto"/>
        </w:rPr>
        <w:t>. In addition to any rights and remedies of the Lenders provided by law, upon the occurrence and during the continuance of any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Default, each Lender, each L/C Issuer and each of their respective Affiliates is authorized at any time and from time to time, without prior notice to the Borrower or any other Loan Party, any such notice being waived by the Borrower (on its own behalf and on behalf of each other Loan Party) to the fullest extent permitted by law, to set off and apply any and all deposits (general or special, time or demand, provisional or final) at any time held by, and other indebtedness at any time owing by, such Lender, L/C Issuer or Affiliate to or for the credit or the account of the Borrower or any other respective Loan Party against any and all Obligations owing to the Administrative Agent and the Lenders, now or hereafter existing, irrespective of whether or not the Administrative Agent, such Lender or L/C Issuer shall have made demand under this Agreement or any other Loan Document and although such Obligations may be contingent or unmatured. Each Lender agrees promptly to notify the Borrower and the Administrative Agent after any such set-off and application made by such Lender;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failure to give such notice shall not affect the validity of such set-off and application.</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10.10 Interest Rate Limitation</w:t>
      </w:r>
      <w:r>
        <w:rPr>
          <w:rFonts w:ascii="Arial" w:cs="Arial" w:eastAsia="Arial" w:hAnsi="Arial"/>
          <w:sz w:val="16"/>
          <w:szCs w:val="16"/>
          <w:color w:val="auto"/>
        </w:rPr>
        <w:t>. Regardless of any provision contained in any Loan Document, none of the Administrative Agent, the L/C Issuer, the</w:t>
      </w:r>
      <w:r>
        <w:rPr>
          <w:rFonts w:ascii="Arial" w:cs="Arial" w:eastAsia="Arial" w:hAnsi="Arial"/>
          <w:sz w:val="16"/>
          <w:szCs w:val="16"/>
          <w:b w:val="1"/>
          <w:bCs w:val="1"/>
          <w:color w:val="auto"/>
        </w:rPr>
        <w:t xml:space="preserve"> </w:t>
      </w:r>
      <w:r>
        <w:rPr>
          <w:rFonts w:ascii="Arial" w:cs="Arial" w:eastAsia="Arial" w:hAnsi="Arial"/>
          <w:sz w:val="16"/>
          <w:szCs w:val="16"/>
          <w:color w:val="auto"/>
        </w:rPr>
        <w:t>Swing Line Lender or the other Lenders shall ever be entitled to contract for, charge, take, reserve, receive, or apply, as interest on all or any part of the Obligations, any amount in excess of the Maximum Rate, and, if any Lender ever does so, then such excess shall be deemed a partial prepayment of principal and treated hereunder as such and any remaining excess shall be refunded to the Borrower. In determining if the interest paid or payable exceeds the Maximum Rate, the Borrower and the Lenders shall, to the maximum extent permitted under applicable Law, (a) treat all Borrowings as but a single extension of credit (and the Lenders and the Borrower agree that such is the case and that provision herein for multiple Borrowings is for convenience only), (b) characterize any nonprincipal payment as an expense, fee, or premium rather than as interest, (c) exclude voluntary prepayments and the effects thereof, and (d) amortize, prorate, allocate, and spread the total amount of interest throughout the entire contemplated term of the Obligations. However, if the Obligations are paid and performed in full prior to the end of the full contemplated term thereof, and if the interest received for the actual period of existence thereof exceeds the Maximum Amount, the Lenders shall refund such excess, and, in such event, the Lenders shall not, to the extent permitted by Law, be subject to any penalties provided by any Laws for contracting for, charging, taking, reserving,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85" w:name="page86"/>
    <w:bookmarkEnd w:id="85"/>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receiving interest in excess of the Maximum Amount. If, contrary to the parties’ intent expressed in </w:t>
      </w:r>
      <w:r>
        <w:rPr>
          <w:rFonts w:ascii="Arial" w:cs="Arial" w:eastAsia="Arial" w:hAnsi="Arial"/>
          <w:sz w:val="16"/>
          <w:szCs w:val="16"/>
          <w:b w:val="1"/>
          <w:bCs w:val="1"/>
          <w:i w:val="1"/>
          <w:iCs w:val="1"/>
          <w:color w:val="auto"/>
        </w:rPr>
        <w:t>Section 10.15(a)</w:t>
      </w:r>
      <w:r>
        <w:rPr>
          <w:rFonts w:ascii="Arial" w:cs="Arial" w:eastAsia="Arial" w:hAnsi="Arial"/>
          <w:sz w:val="16"/>
          <w:szCs w:val="16"/>
          <w:color w:val="auto"/>
        </w:rPr>
        <w:t>, the Laws of the State of Texas are applicable for purposes of determining the “</w:t>
      </w:r>
      <w:r>
        <w:rPr>
          <w:rFonts w:ascii="Arial" w:cs="Arial" w:eastAsia="Arial" w:hAnsi="Arial"/>
          <w:sz w:val="16"/>
          <w:szCs w:val="16"/>
          <w:b w:val="1"/>
          <w:bCs w:val="1"/>
          <w:i w:val="1"/>
          <w:iCs w:val="1"/>
          <w:color w:val="auto"/>
        </w:rPr>
        <w:t>Maximum Rate</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Maximum Amount</w:t>
      </w:r>
      <w:r>
        <w:rPr>
          <w:rFonts w:ascii="Arial" w:cs="Arial" w:eastAsia="Arial" w:hAnsi="Arial"/>
          <w:sz w:val="16"/>
          <w:szCs w:val="16"/>
          <w:color w:val="auto"/>
        </w:rPr>
        <w:t>,” then those terms mean the “</w:t>
      </w:r>
      <w:r>
        <w:rPr>
          <w:rFonts w:ascii="Arial" w:cs="Arial" w:eastAsia="Arial" w:hAnsi="Arial"/>
          <w:sz w:val="16"/>
          <w:szCs w:val="16"/>
          <w:i w:val="1"/>
          <w:iCs w:val="1"/>
          <w:color w:val="auto"/>
        </w:rPr>
        <w:t>weekly ceiling</w:t>
      </w:r>
      <w:r>
        <w:rPr>
          <w:rFonts w:ascii="Arial" w:cs="Arial" w:eastAsia="Arial" w:hAnsi="Arial"/>
          <w:sz w:val="16"/>
          <w:szCs w:val="16"/>
          <w:color w:val="auto"/>
        </w:rPr>
        <w:t>” from time to time in effect under Texas Finance Code § 303.305, as amended. The Borrower agrees that Chapter 346 of the Texas Finance Code, as amended (which regulates certain revolving credit loan accounts and revolving tri-party accounts), does not apply to the Obligations.</w:t>
      </w:r>
    </w:p>
    <w:p>
      <w:pPr>
        <w:spacing w:after="0" w:line="107"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10.11 Counterparts</w:t>
      </w:r>
      <w:r>
        <w:rPr>
          <w:rFonts w:ascii="Arial" w:cs="Arial" w:eastAsia="Arial" w:hAnsi="Arial"/>
          <w:sz w:val="18"/>
          <w:szCs w:val="18"/>
          <w:color w:val="auto"/>
        </w:rPr>
        <w:t>. This Agreement may be executed in one or more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10.12 Integration; Electronic Execution of Assignments</w:t>
      </w:r>
      <w:r>
        <w:rPr>
          <w:rFonts w:ascii="Arial" w:cs="Arial" w:eastAsia="Arial" w:hAnsi="Arial"/>
          <w:sz w:val="18"/>
          <w:szCs w:val="18"/>
          <w:color w:val="auto"/>
        </w:rPr>
        <w:t>.</w:t>
      </w:r>
    </w:p>
    <w:p>
      <w:pPr>
        <w:spacing w:after="0" w:line="96" w:lineRule="exact"/>
        <w:rPr>
          <w:sz w:val="20"/>
          <w:szCs w:val="20"/>
          <w:color w:val="auto"/>
        </w:rPr>
      </w:pPr>
    </w:p>
    <w:p>
      <w:pPr>
        <w:ind w:right="20" w:firstLine="464"/>
        <w:spacing w:after="0" w:line="254"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44" w:lineRule="exact"/>
        <w:rPr>
          <w:rFonts w:ascii="Arial" w:cs="Arial" w:eastAsia="Arial" w:hAnsi="Arial"/>
          <w:sz w:val="18"/>
          <w:szCs w:val="18"/>
          <w:color w:val="auto"/>
        </w:rPr>
      </w:pPr>
    </w:p>
    <w:p>
      <w:pPr>
        <w:ind w:firstLine="464"/>
        <w:spacing w:after="0" w:line="255"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Electronic Execution of Assignments</w:t>
      </w:r>
      <w:r>
        <w:rPr>
          <w:rFonts w:ascii="Arial" w:cs="Arial" w:eastAsia="Arial" w:hAnsi="Arial"/>
          <w:sz w:val="18"/>
          <w:szCs w:val="18"/>
          <w:color w:val="auto"/>
        </w:rPr>
        <w:t>. The words “</w:t>
      </w:r>
      <w:r>
        <w:rPr>
          <w:rFonts w:ascii="Arial" w:cs="Arial" w:eastAsia="Arial" w:hAnsi="Arial"/>
          <w:sz w:val="18"/>
          <w:szCs w:val="18"/>
          <w:i w:val="1"/>
          <w:iCs w:val="1"/>
          <w:color w:val="auto"/>
        </w:rPr>
        <w:t>execution</w:t>
      </w:r>
      <w:r>
        <w:rPr>
          <w:rFonts w:ascii="Arial" w:cs="Arial" w:eastAsia="Arial" w:hAnsi="Arial"/>
          <w:sz w:val="18"/>
          <w:szCs w:val="18"/>
          <w:color w:val="auto"/>
        </w:rPr>
        <w:t>,” “</w:t>
      </w:r>
      <w:r>
        <w:rPr>
          <w:rFonts w:ascii="Arial" w:cs="Arial" w:eastAsia="Arial" w:hAnsi="Arial"/>
          <w:sz w:val="18"/>
          <w:szCs w:val="18"/>
          <w:i w:val="1"/>
          <w:iCs w:val="1"/>
          <w:color w:val="auto"/>
        </w:rPr>
        <w:t>signed</w:t>
      </w:r>
      <w:r>
        <w:rPr>
          <w:rFonts w:ascii="Arial" w:cs="Arial" w:eastAsia="Arial" w:hAnsi="Arial"/>
          <w:sz w:val="18"/>
          <w:szCs w:val="18"/>
          <w:color w:val="auto"/>
        </w:rPr>
        <w:t>,” “</w:t>
      </w:r>
      <w:r>
        <w:rPr>
          <w:rFonts w:ascii="Arial" w:cs="Arial" w:eastAsia="Arial" w:hAnsi="Arial"/>
          <w:sz w:val="18"/>
          <w:szCs w:val="18"/>
          <w:i w:val="1"/>
          <w:iCs w:val="1"/>
          <w:color w:val="auto"/>
        </w:rPr>
        <w:t>signature</w:t>
      </w:r>
      <w:r>
        <w:rPr>
          <w:rFonts w:ascii="Arial" w:cs="Arial" w:eastAsia="Arial" w:hAnsi="Arial"/>
          <w:sz w:val="18"/>
          <w:szCs w:val="18"/>
          <w:color w:val="auto"/>
        </w:rPr>
        <w:t>,”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3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10.13 Survival of Representations and Warranties</w:t>
      </w:r>
      <w:r>
        <w:rPr>
          <w:rFonts w:ascii="Arial" w:cs="Arial" w:eastAsia="Arial" w:hAnsi="Arial"/>
          <w:sz w:val="18"/>
          <w:szCs w:val="18"/>
          <w:color w:val="auto"/>
        </w:rPr>
        <w:t>. All representations and warranties made hereunder and in any other Loan Document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or Event of Default at the time of any Borrowing, and shall continue in full force and effect as long as any Loan or any other Obligation shall remain unpaid or unsatisfied.</w:t>
      </w:r>
    </w:p>
    <w:p>
      <w:pPr>
        <w:spacing w:after="0" w:line="139"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10.14 Severability</w:t>
      </w:r>
      <w:r>
        <w:rPr>
          <w:rFonts w:ascii="Arial" w:cs="Arial" w:eastAsia="Arial" w:hAnsi="Arial"/>
          <w:sz w:val="16"/>
          <w:szCs w:val="16"/>
          <w:color w:val="auto"/>
        </w:rPr>
        <w:t>. Any provision of this Agreement and the other Loan Documents to which the Borrower is a party that is prohibited or unenforceable in</w:t>
      </w:r>
      <w:r>
        <w:rPr>
          <w:rFonts w:ascii="Arial" w:cs="Arial" w:eastAsia="Arial" w:hAnsi="Arial"/>
          <w:sz w:val="16"/>
          <w:szCs w:val="16"/>
          <w:b w:val="1"/>
          <w:bCs w:val="1"/>
          <w:color w:val="auto"/>
        </w:rPr>
        <w:t xml:space="preserve"> </w:t>
      </w:r>
      <w:r>
        <w:rPr>
          <w:rFonts w:ascii="Arial" w:cs="Arial" w:eastAsia="Arial" w:hAnsi="Arial"/>
          <w:sz w:val="16"/>
          <w:szCs w:val="16"/>
          <w:color w:val="auto"/>
        </w:rPr>
        <w:t>any jurisdiction shall, as to such jurisdiction, be ineffective to the extent of such prohibition or unenforceability without invalidating the remaining provisions thereof, and any such prohibition or unenforceability in any jurisdiction shall not invalidate or render unenforceable such provision in any other jurisdiction.</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10.15 Governing Law</w:t>
      </w:r>
      <w:r>
        <w:rPr>
          <w:rFonts w:ascii="Arial" w:cs="Arial" w:eastAsia="Arial" w:hAnsi="Arial"/>
          <w:sz w:val="18"/>
          <w:szCs w:val="18"/>
          <w:color w:val="auto"/>
        </w:rPr>
        <w:t>.</w:t>
      </w:r>
    </w:p>
    <w:p>
      <w:pPr>
        <w:spacing w:after="0" w:line="96" w:lineRule="exact"/>
        <w:rPr>
          <w:sz w:val="20"/>
          <w:szCs w:val="20"/>
          <w:color w:val="auto"/>
        </w:rPr>
      </w:pPr>
    </w:p>
    <w:p>
      <w:pPr>
        <w:ind w:right="140" w:firstLine="464"/>
        <w:spacing w:after="0" w:line="259"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THIS AGREEMENT SHALL BE GOVERNED BY, AND CONSTRUED IN ACCORDANCE WITH, THE LAW OF THE STATE OF NEW YORK APPLICABLE TO AGREEMENTS MADE AND TO BE PERFORMED ENTIRELY WITHIN SUCH STATE;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ADMINISTRATIVE AGENT AND EACH LENDER SHALL RETAIN ALL RIGHTS ARISING UNDER UNITED STATES FEDERAL LAW.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280" w:right="279" w:bottom="1440" w:gutter="0" w:footer="0" w:header="0"/>
        </w:sectPr>
      </w:pPr>
    </w:p>
    <w:bookmarkStart w:id="86" w:name="page87"/>
    <w:bookmarkEnd w:id="86"/>
    <w:p>
      <w:pPr>
        <w:ind w:right="40" w:firstLine="464"/>
        <w:spacing w:after="0" w:line="285" w:lineRule="auto"/>
        <w:tabs>
          <w:tab w:leader="none" w:pos="705" w:val="left"/>
        </w:tabs>
        <w:numPr>
          <w:ilvl w:val="0"/>
          <w:numId w:val="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EACH COMPANY AND OTHER PARTY HERETO AGREES AS TO THIS </w:t>
      </w:r>
      <w:r>
        <w:rPr>
          <w:rFonts w:ascii="Arial" w:cs="Arial" w:eastAsia="Arial" w:hAnsi="Arial"/>
          <w:sz w:val="16"/>
          <w:szCs w:val="16"/>
          <w:b w:val="1"/>
          <w:bCs w:val="1"/>
          <w:i w:val="1"/>
          <w:iCs w:val="1"/>
          <w:color w:val="auto"/>
        </w:rPr>
        <w:t>SECTION 10.15(b)</w:t>
      </w:r>
      <w:r>
        <w:rPr>
          <w:rFonts w:ascii="Arial" w:cs="Arial" w:eastAsia="Arial" w:hAnsi="Arial"/>
          <w:sz w:val="16"/>
          <w:szCs w:val="16"/>
          <w:color w:val="auto"/>
        </w:rPr>
        <w:t>. ANY LEGAL ACTION OR PROCEEDING WITH RESPECT TO THIS AGREEMENT OR ANY OTHER LOAN DOCUMENT MAY BE BROUGHT IN THE COURTS OF THE STATE OF NEW YORK SITTING IN THE BOROUGH OF MANHATTAN OR OF THE UNITED STATES FOR THE SOUTHERN DISTRICT OF SUCH STATE, AND BY EXECUTION AND DELIVERY OF THIS AGREEMENT, THE BORROWER, THE GUARANTOR, THE ADMINISTRATIVE AGENT AND EACH LENDER CONSENTS, FOR ITSELF AND IN RESPECT OF ITS PROPERTY, TO THE NON-EXCLUSIVE JURISDICTION OF THOSE COURTS. THE BORROWER, THE GUARANTOR, THE ADMINISTRATIVE AGENT AND EACH LENDER (1)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 AND (2) IRREVOCABLY CONSENTS TO THE SERVICE OF PROCESS OUT OF ANY OF THE AFOREMENTIONED COURTS IN ANY SUCH ACTION OR PROCEEDING BY THE MAILING OF COPIES THEREOF BY CERTIFIED MAIL, RETURN RECEIPT REQUESTED, POSTAGE PREPAID, AT ITS ADDRESS FOR NOTICES DESIGNATED HEREIN. THE BORROWER, THE GUARANTOR, THE ADMINISTRATIVE AGENT AND EACH LENDER WAIVES PERSONAL SERVICE OF ANY SUMMONS, COMPLAINT OR OTHER PROCESS, WHICH MAY BE MADE BY ANY OTHER MEANS PERMITTED BY THE LAW OF SUCH STATE. THE BORROWER AND THE GUARANTOR AGREES TO DESIGNATE AND MAINTAIN AN AGENT FOR SERVICE OF PROCESS IN NEW YORK IN CONNECTION WITH ACTIONS AND PROCEEDINGS UNDER THE LOAN DOCUMENTS AND TO DELIVER TO THE ADMINISTRATIVE AGENT EVIDENCE THEREOF.</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color w:val="auto"/>
        </w:rPr>
        <w:t>10.16 Waiver of Right to Trial by Jury, Etc</w:t>
      </w:r>
      <w:r>
        <w:rPr>
          <w:rFonts w:ascii="Arial" w:cs="Arial" w:eastAsia="Arial" w:hAnsi="Arial"/>
          <w:sz w:val="16"/>
          <w:szCs w:val="16"/>
          <w:color w:val="auto"/>
        </w:rPr>
        <w:t>. EACH PARTY TO THIS AGREEMENT HEREBY EXPRESSLY AND IRREVOCABLY WAIVES, TO</w:t>
      </w:r>
      <w:r>
        <w:rPr>
          <w:rFonts w:ascii="Arial" w:cs="Arial" w:eastAsia="Arial" w:hAnsi="Arial"/>
          <w:sz w:val="16"/>
          <w:szCs w:val="16"/>
          <w:b w:val="1"/>
          <w:bCs w:val="1"/>
          <w:color w:val="auto"/>
        </w:rPr>
        <w:t xml:space="preserve"> </w:t>
      </w:r>
      <w:r>
        <w:rPr>
          <w:rFonts w:ascii="Arial" w:cs="Arial" w:eastAsia="Arial" w:hAnsi="Arial"/>
          <w:sz w:val="16"/>
          <w:szCs w:val="16"/>
          <w:color w:val="auto"/>
        </w:rPr>
        <w:t>THE FULLEST EXTENT PERMITTED BY LAW, ANY RIGHT TO TRIAL BY JURY OF ANY CLAIM, DEMAND, ACTION OR CAUSE OF ACTION ARISING UNDER ANY LOAN DOCUMENT OR IN ANY WAY CONNECTED WITH OR RELATED OR INCIDENTAL TO THE DEALINGS OF THE PARTIES TO THE LOAN DOCUMENTS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COMPANIES TO THE WAIVER OF THEIR RIGHT TO TRIAL BY JURY; AND (b) EXPRESSLY AND IRREVOCABLY WAIVES, TO THE MAXIMUM EXTENT NOT PROHIBITED BY LAW, ANY RIGHT IT MAY HAVE TO CLAIM OR RECOVER IN ANY SUCH ACTION ANY SPECIAL, EXEMPLARY, PUNITIVE OR CONSEQUENTIAL DAMAGES, OR DAMAGES OTHER THAN, OR IN ADDITION TO, ACTUAL DAMAGES.</w:t>
      </w:r>
    </w:p>
    <w:p>
      <w:pPr>
        <w:spacing w:after="0" w:line="119"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10.17 USA PATRIOT Act Notice</w:t>
      </w:r>
      <w:r>
        <w:rPr>
          <w:rFonts w:ascii="Arial" w:cs="Arial" w:eastAsia="Arial" w:hAnsi="Arial"/>
          <w:sz w:val="16"/>
          <w:szCs w:val="16"/>
          <w:color w:val="auto"/>
        </w:rPr>
        <w:t>. Each Lender that is subject to the Act (as hereinafter defined) and the Administrative Agent (for itself and not on behalf</w:t>
      </w:r>
      <w:r>
        <w:rPr>
          <w:rFonts w:ascii="Arial" w:cs="Arial" w:eastAsia="Arial" w:hAnsi="Arial"/>
          <w:sz w:val="16"/>
          <w:szCs w:val="16"/>
          <w:b w:val="1"/>
          <w:bCs w:val="1"/>
          <w:color w:val="auto"/>
        </w:rPr>
        <w:t xml:space="preserve"> </w:t>
      </w:r>
      <w:r>
        <w:rPr>
          <w:rFonts w:ascii="Arial" w:cs="Arial" w:eastAsia="Arial" w:hAnsi="Arial"/>
          <w:sz w:val="16"/>
          <w:szCs w:val="16"/>
          <w:color w:val="auto"/>
        </w:rPr>
        <w:t>of any Lender) hereby notifies the Borrower that pursuant to the requirements of the USA Patriot Act (Title III of Pub. L. 107-56 (signed into law October 26, 2001)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80" w:right="259" w:bottom="1440" w:gutter="0" w:footer="0" w:header="0"/>
        </w:sectPr>
      </w:pPr>
    </w:p>
    <w:bookmarkStart w:id="87" w:name="page88"/>
    <w:bookmarkEnd w:id="87"/>
    <w:p>
      <w:pPr>
        <w:ind w:right="120"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10.18 Termination of Existing Credit Agreement</w:t>
      </w:r>
      <w:r>
        <w:rPr>
          <w:rFonts w:ascii="Arial" w:cs="Arial" w:eastAsia="Arial" w:hAnsi="Arial"/>
          <w:sz w:val="16"/>
          <w:szCs w:val="16"/>
          <w:color w:val="auto"/>
        </w:rPr>
        <w:t>. The Borrower has given, or contemporaneously with the execution and delivery of this Agreement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giving, to the administrative agent under the Existing Credit Agreement, notice of the termination of commitments of the lenders under the Existing Credit Agreement, so that such commitments terminate on the Closing Date. Execution of this Agreement by Lenders who are lenders under the Existing Credit Agreement shall constitute a waiver of the notice provisions in </w:t>
      </w:r>
      <w:r>
        <w:rPr>
          <w:rFonts w:ascii="Arial" w:cs="Arial" w:eastAsia="Arial" w:hAnsi="Arial"/>
          <w:sz w:val="16"/>
          <w:szCs w:val="16"/>
          <w:b w:val="1"/>
          <w:bCs w:val="1"/>
          <w:i w:val="1"/>
          <w:iCs w:val="1"/>
          <w:color w:val="auto"/>
        </w:rPr>
        <w:t>Section 2.05</w:t>
      </w:r>
      <w:r>
        <w:rPr>
          <w:rFonts w:ascii="Arial" w:cs="Arial" w:eastAsia="Arial" w:hAnsi="Arial"/>
          <w:sz w:val="16"/>
          <w:szCs w:val="16"/>
          <w:color w:val="auto"/>
        </w:rPr>
        <w:t xml:space="preserve"> of the Existing Credit Agreement that would otherwise be applicable to such termination, and the administrative agent under the Existing Credit Agreement may rely on this </w:t>
      </w:r>
      <w:r>
        <w:rPr>
          <w:rFonts w:ascii="Arial" w:cs="Arial" w:eastAsia="Arial" w:hAnsi="Arial"/>
          <w:sz w:val="16"/>
          <w:szCs w:val="16"/>
          <w:b w:val="1"/>
          <w:bCs w:val="1"/>
          <w:i w:val="1"/>
          <w:iCs w:val="1"/>
          <w:color w:val="auto"/>
        </w:rPr>
        <w:t>Section 10.18</w:t>
      </w:r>
      <w:r>
        <w:rPr>
          <w:rFonts w:ascii="Arial" w:cs="Arial" w:eastAsia="Arial" w:hAnsi="Arial"/>
          <w:sz w:val="16"/>
          <w:szCs w:val="16"/>
          <w:color w:val="auto"/>
        </w:rPr>
        <w:t>.</w:t>
      </w:r>
    </w:p>
    <w:p>
      <w:pPr>
        <w:spacing w:after="0" w:line="108"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10.19 Release of Subsidiary Guaranty. </w:t>
      </w:r>
      <w:r>
        <w:rPr>
          <w:rFonts w:ascii="Arial" w:cs="Arial" w:eastAsia="Arial" w:hAnsi="Arial"/>
          <w:sz w:val="18"/>
          <w:szCs w:val="18"/>
          <w:color w:val="auto"/>
        </w:rPr>
        <w:t>Each Lender who is a lender under the Existing Credit Agreement hereby releases and discharges each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(as defined in the Existing Credit Agreement) from its respective obligations and liabilities under that certain Subsidiary Guaranty dated November 22, 2004 executed in connection with the Existing Credit Agreement.</w:t>
      </w:r>
    </w:p>
    <w:p>
      <w:pPr>
        <w:spacing w:after="0" w:line="132" w:lineRule="exact"/>
        <w:rPr>
          <w:sz w:val="20"/>
          <w:szCs w:val="20"/>
          <w:color w:val="auto"/>
        </w:rPr>
      </w:pPr>
    </w:p>
    <w:p>
      <w:pPr>
        <w:ind w:right="520" w:firstLine="456"/>
        <w:spacing w:after="0" w:line="310" w:lineRule="auto"/>
        <w:rPr>
          <w:sz w:val="20"/>
          <w:szCs w:val="20"/>
          <w:color w:val="auto"/>
        </w:rPr>
      </w:pPr>
      <w:r>
        <w:rPr>
          <w:rFonts w:ascii="Arial" w:cs="Arial" w:eastAsia="Arial" w:hAnsi="Arial"/>
          <w:sz w:val="16"/>
          <w:szCs w:val="16"/>
          <w:b w:val="1"/>
          <w:bCs w:val="1"/>
          <w:color w:val="auto"/>
        </w:rPr>
        <w:t>10.20 ENTIRE AGREEMENT</w:t>
      </w:r>
      <w:r>
        <w:rPr>
          <w:rFonts w:ascii="Arial" w:cs="Arial" w:eastAsia="Arial" w:hAnsi="Arial"/>
          <w:sz w:val="16"/>
          <w:szCs w:val="16"/>
          <w:color w:val="auto"/>
        </w:rPr>
        <w:t>. THIS AGREEMENT AND THE OTHER LOAN DOCUMENTS REPRESENT THE FINAL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PARTIES AND MAY NOT BE CONTRADICTED BY EVIDENCE OF PRIOR, CONTEMPORANEOUS, OR SUBSEQUENT ORAL AGREEMENTS OF THE PARTIES. THERE ARE NO UNWRITTEN ORAL AGREEMENTS BETWEEN THE PARTIES.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BLANK;</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 BEGIN ON NEXT PAGE]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274" w:right="27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duly executed as of the date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SUNOCO LOGISTICS PARTNERS OPERATIONS L.P.,</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Borrower</w:t>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SUNOCO LOGISTICS PARTNERS GP LLC, its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Partner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Paul A. Mulholland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Paul A. Mulholland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SUNOCO LOGISTICS PARTNERS L.P., a Delaware limited</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Guarantor</w:t>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SUNOCO PARTNERS LLC, 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Paul A. Mulholland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Paul A. Mulholland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[THIS IS A SIGNATURE PAGE TO THE</w:t>
      </w:r>
    </w:p>
    <w:p>
      <w:pPr>
        <w:spacing w:after="0" w:line="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SUNOCO LOGISTICS PARTNERS OPERATIONS L.P. CREDIT AGREEMENT]</w:t>
      </w:r>
    </w:p>
    <w:p>
      <w:pPr>
        <w:sectPr>
          <w:pgSz w:w="11900" w:h="16838" w:orient="portrait"/>
          <w:cols w:equalWidth="0" w:num="1">
            <w:col w:w="11180"/>
          </w:cols>
          <w:pgMar w:left="240" w:top="280" w:right="479" w:bottom="1440" w:gutter="0" w:footer="0" w:header="0"/>
        </w:sectPr>
      </w:pPr>
    </w:p>
    <w:bookmarkStart w:id="89" w:name="page90"/>
    <w:bookmarkEnd w:id="89"/>
    <w:p>
      <w:pPr>
        <w:ind w:left="5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CITIBANK, N.A.,</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as Administrative Agent, Swing Line Lender, a Lender and L/C Issuer</w:t>
      </w:r>
    </w:p>
    <w:p>
      <w:pPr>
        <w:spacing w:after="0" w:line="25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David B. Lawrence,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10795</wp:posOffset>
            </wp:positionV>
            <wp:extent cx="28727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B. Lawrence, III</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Director</w:t>
      </w:r>
    </w:p>
    <w:p>
      <w:pPr>
        <w:spacing w:after="0" w:line="15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[THIS IS A SIGNATURE PAGE TO THE</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SUNOCO LOGISTICS PARTNERS OPERATIONS L.P. CREDIT AGREEMENT]</w:t>
      </w:r>
    </w:p>
    <w:p>
      <w:pPr>
        <w:sectPr>
          <w:pgSz w:w="11900" w:h="16838" w:orient="portrait"/>
          <w:cols w:equalWidth="0" w:num="1">
            <w:col w:w="10240"/>
          </w:cols>
          <w:pgMar w:left="1440" w:top="280" w:right="219" w:bottom="1440" w:gutter="0" w:footer="0" w:header="0"/>
        </w:sectPr>
      </w:pPr>
    </w:p>
    <w:bookmarkStart w:id="90" w:name="page91"/>
    <w:bookmarkEnd w:id="9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BARCLAYS BANK PLC,</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a Lender and L/C Issuer</w:t>
      </w: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/s/ Gary B. Wenslow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25400</wp:posOffset>
            </wp:positionV>
            <wp:extent cx="26587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Gary B. Wenslow</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Associate Director</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[THIS IS A SIGNATURE PAGE TO THE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SUNOCO LOGISTICS PARTNERS OPERATIONS L.P. CREDIT AGREEMENT]</w:t>
      </w:r>
    </w:p>
    <w:p>
      <w:pPr>
        <w:sectPr>
          <w:pgSz w:w="11900" w:h="16838" w:orient="portrait"/>
          <w:cols w:equalWidth="0" w:num="1">
            <w:col w:w="9019"/>
          </w:cols>
          <w:pgMar w:left="1440" w:top="280" w:right="1440" w:bottom="1440" w:gutter="0" w:footer="0" w:header="0"/>
        </w:sectPr>
      </w:pPr>
    </w:p>
    <w:bookmarkStart w:id="91" w:name="page92"/>
    <w:bookmarkEnd w:id="9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KEYBANK NATIONAL ASSOCIATION,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J. Purcell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Thomas J. Purcell</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[THIS IS A SIGNATURE PAGE TO THE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SUNOCO LOGISTICS PARTNERS OPERATIONS L.P. CREDIT AGREEMENT]</w:t>
      </w:r>
    </w:p>
    <w:p>
      <w:pPr>
        <w:sectPr>
          <w:pgSz w:w="11900" w:h="16838" w:orient="portrait"/>
          <w:cols w:equalWidth="0" w:num="1">
            <w:col w:w="9019"/>
          </w:cols>
          <w:pgMar w:left="1440" w:top="280" w:right="1440" w:bottom="1440" w:gutter="0" w:footer="0" w:header="0"/>
        </w:sectPr>
      </w:pPr>
    </w:p>
    <w:bookmarkStart w:id="92" w:name="page93"/>
    <w:bookmarkEnd w:id="9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SUNTRUST BANK,</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David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David Edge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Managing Director</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[THIS IS A SIGNATURE PAGE TO THE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SUNOCO LOGISTICS PARTNERS OPERATIONS L.P. CREDIT AGREEMENT]</w:t>
      </w:r>
    </w:p>
    <w:p>
      <w:pPr>
        <w:sectPr>
          <w:pgSz w:w="11900" w:h="16838" w:orient="portrait"/>
          <w:cols w:equalWidth="0" w:num="1">
            <w:col w:w="9019"/>
          </w:cols>
          <w:pgMar w:left="1440" w:top="280" w:right="1440" w:bottom="1440" w:gutter="0" w:footer="0" w:header="0"/>
        </w:sectPr>
      </w:pPr>
    </w:p>
    <w:bookmarkStart w:id="93" w:name="page94"/>
    <w:bookmarkEnd w:id="9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WACHOVIA BANK, NATIONAL ASSOCIATION,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Lawrence P.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Lawrence P. Sullivan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Managing Director</w:t>
      </w:r>
    </w:p>
    <w:p>
      <w:pPr>
        <w:spacing w:after="0" w:line="15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[THIS IS A SIGNATURE PAGE TO THE</w:t>
      </w:r>
    </w:p>
    <w:p>
      <w:pPr>
        <w:spacing w:after="0" w:line="1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SUNOCO LOGISTICS PARTNERS OPERATIONS L.P. CREDIT AGREEMENT]</w:t>
      </w:r>
    </w:p>
    <w:p>
      <w:pPr>
        <w:sectPr>
          <w:pgSz w:w="11900" w:h="16838" w:orient="portrait"/>
          <w:cols w:equalWidth="0" w:num="1">
            <w:col w:w="9340"/>
          </w:cols>
          <w:pgMar w:left="1440" w:top="280" w:right="1119" w:bottom="1440" w:gutter="0" w:footer="0" w:header="0"/>
        </w:sectPr>
      </w:pPr>
    </w:p>
    <w:bookmarkStart w:id="94" w:name="page95"/>
    <w:bookmarkEnd w:id="9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OF TOKYO-MITSUBISHI UFJ TRUST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Spencer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Spencer Hughes</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[THIS IS A SIGNATURE PAGE TO THE</w:t>
      </w:r>
    </w:p>
    <w:p>
      <w:pPr>
        <w:spacing w:after="0" w:line="15"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SUNOCO LOGISTICS PARTNERS OPERATIONS L.P. CREDIT AGREEMENT]</w:t>
      </w:r>
    </w:p>
    <w:p>
      <w:pPr>
        <w:sectPr>
          <w:pgSz w:w="11900" w:h="16838" w:orient="portrait"/>
          <w:cols w:equalWidth="0" w:num="1">
            <w:col w:w="10000"/>
          </w:cols>
          <w:pgMar w:left="1440" w:top="280" w:right="459" w:bottom="1440" w:gutter="0" w:footer="0" w:header="0"/>
        </w:sectPr>
      </w:pPr>
    </w:p>
    <w:bookmarkStart w:id="95" w:name="page96"/>
    <w:bookmarkEnd w:id="9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CITIZENS BANK,</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Devon Starks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Devon Starks</w:t>
      </w:r>
    </w:p>
    <w:p>
      <w:pPr>
        <w:spacing w:after="0" w:line="15" w:lineRule="exact"/>
        <w:rPr>
          <w:sz w:val="20"/>
          <w:szCs w:val="20"/>
          <w:color w:val="auto"/>
        </w:rPr>
      </w:pPr>
    </w:p>
    <w:p>
      <w:pPr>
        <w:jc w:val="right"/>
        <w:ind w:right="1459"/>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[THIS IS A SIGNATURE PAGE TO THE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SUNOCO LOGISTICS PARTNERS OPERATIONS L.P. CREDIT AGREEMENT]</w:t>
      </w:r>
    </w:p>
    <w:p>
      <w:pPr>
        <w:sectPr>
          <w:pgSz w:w="11900" w:h="16838" w:orient="portrait"/>
          <w:cols w:equalWidth="0" w:num="1">
            <w:col w:w="9019"/>
          </w:cols>
          <w:pgMar w:left="1440" w:top="280" w:right="1440" w:bottom="1440" w:gutter="0" w:footer="0" w:header="0"/>
        </w:sectPr>
      </w:pPr>
    </w:p>
    <w:bookmarkStart w:id="96" w:name="page97"/>
    <w:bookmarkEnd w:id="9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AG NEW YORK BRANCH,</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Markus Tarkington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Markus Tarkington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Rainer 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Rainer Meier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[THIS IS A SIGNATURE PAGE TO THE</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SUNOCO LOGISTICS PARTNERS OPERATIONS L.P. CREDIT AGREEMENT]</w:t>
      </w:r>
    </w:p>
    <w:p>
      <w:pPr>
        <w:sectPr>
          <w:pgSz w:w="11900" w:h="16838" w:orient="portrait"/>
          <w:cols w:equalWidth="0" w:num="1">
            <w:col w:w="9220"/>
          </w:cols>
          <w:pgMar w:left="1440" w:top="280" w:right="1239" w:bottom="1440" w:gutter="0" w:footer="0" w:header="0"/>
        </w:sectPr>
      </w:pPr>
    </w:p>
    <w:bookmarkStart w:id="97" w:name="page98"/>
    <w:bookmarkEnd w:id="9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SUISSE, CAYMAN ISLANDS BRANCH,</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Brian Caldwell</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Nupur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Nupur Kumar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Associate</w:t>
      </w:r>
    </w:p>
    <w:p>
      <w:pPr>
        <w:spacing w:after="0" w:line="15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[THIS IS A SIGNATURE PAGE TO THE</w:t>
      </w:r>
    </w:p>
    <w:p>
      <w:pPr>
        <w:spacing w:after="0" w:line="1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SUNOCO LOGISTICS PARTNERS OPERATIONS L.P. CREDIT AGREEMENT]</w:t>
      </w:r>
    </w:p>
    <w:p>
      <w:pPr>
        <w:sectPr>
          <w:pgSz w:w="11900" w:h="16838" w:orient="portrait"/>
          <w:cols w:equalWidth="0" w:num="1">
            <w:col w:w="9380"/>
          </w:cols>
          <w:pgMar w:left="1440" w:top="280" w:right="1079" w:bottom="1440" w:gutter="0" w:footer="0" w:header="0"/>
        </w:sectPr>
      </w:pPr>
    </w:p>
    <w:bookmarkStart w:id="98" w:name="page99"/>
    <w:bookmarkEnd w:id="9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LEHMAN BROTHERS COMMERCIAL BANK,</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McNany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Brian McNany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Authorized Signatory</w:t>
      </w:r>
    </w:p>
    <w:p>
      <w:pPr>
        <w:spacing w:after="0" w:line="15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[THIS IS A SIGNATURE PAGE TO THE</w:t>
      </w:r>
    </w:p>
    <w:p>
      <w:pPr>
        <w:spacing w:after="0" w:line="1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SUNOCO LOGISTICS PARTNERS OPERATIONS L.P. CREDIT AGREEMENT]</w:t>
      </w:r>
    </w:p>
    <w:p>
      <w:pPr>
        <w:sectPr>
          <w:pgSz w:w="11900" w:h="16838" w:orient="portrait"/>
          <w:cols w:equalWidth="0" w:num="1">
            <w:col w:w="9180"/>
          </w:cols>
          <w:pgMar w:left="1440" w:top="280" w:right="1279" w:bottom="1440" w:gutter="0" w:footer="0" w:header="0"/>
        </w:sectPr>
      </w:pPr>
    </w:p>
    <w:bookmarkStart w:id="99" w:name="page100"/>
    <w:bookmarkEnd w:id="9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LOAN FINANCE LLC,</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Mary E.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Mary E. Evans</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Associate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David B. Julie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David B. Julie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Associate Director</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[THIS IS A SIGNATURE PAGE TO THE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SUNOCO LOGISTICS PARTNERS OPERATIONS L.P. CREDIT AGREEMENT]</w:t>
      </w:r>
    </w:p>
    <w:p>
      <w:pPr>
        <w:sectPr>
          <w:pgSz w:w="11900" w:h="16838" w:orient="portrait"/>
          <w:cols w:equalWidth="0" w:num="1">
            <w:col w:w="9019"/>
          </w:cols>
          <w:pgMar w:left="1440" w:top="280"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1.01</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EXISTING LETTERS OF CREDIT</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1.01 – Page 1</w:t>
      </w:r>
    </w:p>
    <w:p>
      <w:pPr>
        <w:sectPr>
          <w:pgSz w:w="11900" w:h="16838" w:orient="portrait"/>
          <w:cols w:equalWidth="0" w:num="1">
            <w:col w:w="10220"/>
          </w:cols>
          <w:pgMar w:left="1440" w:top="274"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ind w:left="740"/>
              <w:spacing w:after="0"/>
              <w:rPr>
                <w:sz w:val="20"/>
                <w:szCs w:val="20"/>
                <w:color w:val="auto"/>
              </w:rPr>
            </w:pPr>
            <w:r>
              <w:rPr>
                <w:rFonts w:ascii="Arial" w:cs="Arial" w:eastAsia="Arial" w:hAnsi="Arial"/>
                <w:sz w:val="18"/>
                <w:szCs w:val="18"/>
                <w:b w:val="1"/>
                <w:bCs w:val="1"/>
                <w:color w:val="auto"/>
                <w:w w:val="93"/>
              </w:rPr>
              <w:t>SCHEDULE 2.01</w:t>
            </w:r>
          </w:p>
        </w:tc>
      </w:tr>
      <w:tr>
        <w:trPr>
          <w:trHeight w:val="378"/>
        </w:trPr>
        <w:tc>
          <w:tcPr>
            <w:tcW w:w="3740" w:type="dxa"/>
            <w:vAlign w:val="bottom"/>
          </w:tcPr>
          <w:p>
            <w:pPr>
              <w:spacing w:after="0"/>
              <w:rPr>
                <w:sz w:val="24"/>
                <w:szCs w:val="24"/>
                <w:color w:val="auto"/>
              </w:rPr>
            </w:pPr>
          </w:p>
        </w:tc>
        <w:tc>
          <w:tcPr>
            <w:tcW w:w="4700" w:type="dxa"/>
            <w:vAlign w:val="bottom"/>
            <w:gridSpan w:val="3"/>
          </w:tcPr>
          <w:p>
            <w:pPr>
              <w:jc w:val="right"/>
              <w:ind w:right="2980"/>
              <w:spacing w:after="0"/>
              <w:rPr>
                <w:sz w:val="20"/>
                <w:szCs w:val="20"/>
                <w:color w:val="auto"/>
              </w:rPr>
            </w:pPr>
            <w:r>
              <w:rPr>
                <w:rFonts w:ascii="Arial" w:cs="Arial" w:eastAsia="Arial" w:hAnsi="Arial"/>
                <w:sz w:val="18"/>
                <w:szCs w:val="18"/>
                <w:color w:val="auto"/>
              </w:rPr>
              <w:t>COMMITMENTS</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0"/>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Lender</w:t>
            </w:r>
          </w:p>
        </w:tc>
        <w:tc>
          <w:tcPr>
            <w:tcW w:w="42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Commitment</w:t>
            </w:r>
          </w:p>
        </w:tc>
        <w:tc>
          <w:tcPr>
            <w:tcW w:w="920" w:type="dxa"/>
            <w:vAlign w:val="bottom"/>
          </w:tcPr>
          <w:p>
            <w:pPr>
              <w:spacing w:after="0"/>
              <w:rPr>
                <w:sz w:val="24"/>
                <w:szCs w:val="24"/>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Citibank, N.A.</w:t>
            </w:r>
          </w:p>
        </w:tc>
        <w:tc>
          <w:tcPr>
            <w:tcW w:w="4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47,000,000.00</w:t>
            </w:r>
          </w:p>
        </w:tc>
        <w:tc>
          <w:tcPr>
            <w:tcW w:w="92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Barclays Bank PLC</w:t>
            </w:r>
          </w:p>
        </w:tc>
        <w:tc>
          <w:tcPr>
            <w:tcW w:w="4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47,000,000.00</w:t>
            </w:r>
          </w:p>
        </w:tc>
        <w:tc>
          <w:tcPr>
            <w:tcW w:w="92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KeyBank National Association</w:t>
            </w:r>
          </w:p>
        </w:tc>
        <w:tc>
          <w:tcPr>
            <w:tcW w:w="4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40,000,000.00</w:t>
            </w:r>
          </w:p>
        </w:tc>
        <w:tc>
          <w:tcPr>
            <w:tcW w:w="92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SunTrust Bank</w:t>
            </w:r>
          </w:p>
        </w:tc>
        <w:tc>
          <w:tcPr>
            <w:tcW w:w="4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40,000,000.00</w:t>
            </w:r>
          </w:p>
        </w:tc>
        <w:tc>
          <w:tcPr>
            <w:tcW w:w="92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Wachovia Bank, National Association</w:t>
            </w:r>
          </w:p>
        </w:tc>
        <w:tc>
          <w:tcPr>
            <w:tcW w:w="4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40,000,000.00</w:t>
            </w:r>
          </w:p>
        </w:tc>
        <w:tc>
          <w:tcPr>
            <w:tcW w:w="92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Bank of Tokyo-Mitsubishi UFJ Trust Company</w:t>
            </w:r>
          </w:p>
        </w:tc>
        <w:tc>
          <w:tcPr>
            <w:tcW w:w="4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35,000,000.00</w:t>
            </w:r>
          </w:p>
        </w:tc>
        <w:tc>
          <w:tcPr>
            <w:tcW w:w="92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Citizens Bank</w:t>
            </w:r>
          </w:p>
        </w:tc>
        <w:tc>
          <w:tcPr>
            <w:tcW w:w="4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35,000,000.00</w:t>
            </w:r>
          </w:p>
        </w:tc>
        <w:tc>
          <w:tcPr>
            <w:tcW w:w="92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Deutsche Bank AG New York Branch</w:t>
            </w:r>
          </w:p>
        </w:tc>
        <w:tc>
          <w:tcPr>
            <w:tcW w:w="4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35,000,000.00</w:t>
            </w:r>
          </w:p>
        </w:tc>
        <w:tc>
          <w:tcPr>
            <w:tcW w:w="92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Credit Suisse, Cayman Islands Branch</w:t>
            </w:r>
          </w:p>
        </w:tc>
        <w:tc>
          <w:tcPr>
            <w:tcW w:w="4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27,000,000.00</w:t>
            </w:r>
          </w:p>
        </w:tc>
        <w:tc>
          <w:tcPr>
            <w:tcW w:w="92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Lehman Brothers Commercial Bank</w:t>
            </w:r>
          </w:p>
        </w:tc>
        <w:tc>
          <w:tcPr>
            <w:tcW w:w="4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27,000,000.00</w:t>
            </w:r>
          </w:p>
        </w:tc>
        <w:tc>
          <w:tcPr>
            <w:tcW w:w="92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UBS Loan Finance LLC</w:t>
            </w:r>
          </w:p>
        </w:tc>
        <w:tc>
          <w:tcPr>
            <w:tcW w:w="4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27,000,000.00</w:t>
            </w:r>
          </w:p>
        </w:tc>
        <w:tc>
          <w:tcPr>
            <w:tcW w:w="920" w:type="dxa"/>
            <w:vAlign w:val="bottom"/>
          </w:tcPr>
          <w:p>
            <w:pPr>
              <w:spacing w:after="0"/>
              <w:rPr>
                <w:sz w:val="18"/>
                <w:szCs w:val="18"/>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4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89"/>
              </w:rPr>
              <w:t>400,000,000.00</w:t>
            </w:r>
          </w:p>
        </w:tc>
        <w:tc>
          <w:tcPr>
            <w:tcW w:w="920" w:type="dxa"/>
            <w:vAlign w:val="bottom"/>
          </w:tcPr>
          <w:p>
            <w:pPr>
              <w:spacing w:after="0"/>
              <w:rPr>
                <w:sz w:val="19"/>
                <w:szCs w:val="19"/>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Schedule 2.01 – Page 1</w:t>
      </w:r>
    </w:p>
    <w:p>
      <w:pPr>
        <w:sectPr>
          <w:pgSz w:w="11900" w:h="16838" w:orient="portrait"/>
          <w:cols w:equalWidth="0" w:num="1">
            <w:col w:w="10500"/>
          </w:cols>
          <w:pgMar w:left="1160" w:top="274"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5.12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OTHER EQUITY INVESTMENTS</w:t>
      </w:r>
    </w:p>
    <w:p>
      <w:pPr>
        <w:spacing w:after="0" w:line="205"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Subsidiaries as of the Closing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Jurisdiction of Organization</w:t>
            </w:r>
          </w:p>
        </w:tc>
        <w:tc>
          <w:tcPr>
            <w:tcW w:w="240" w:type="dxa"/>
            <w:vAlign w:val="bottom"/>
          </w:tcPr>
          <w:p>
            <w:pPr>
              <w:spacing w:after="0"/>
              <w:rPr>
                <w:sz w:val="14"/>
                <w:szCs w:val="14"/>
                <w:color w:val="auto"/>
              </w:rPr>
            </w:pPr>
          </w:p>
        </w:tc>
        <w:tc>
          <w:tcPr>
            <w:tcW w:w="478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Ownership</w:t>
            </w:r>
          </w:p>
        </w:tc>
      </w:tr>
      <w:tr>
        <w:trPr>
          <w:trHeight w:val="322"/>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4080" w:type="dxa"/>
            <w:vAlign w:val="bottom"/>
          </w:tcPr>
          <w:p>
            <w:pPr>
              <w:ind w:left="20"/>
              <w:spacing w:after="0"/>
              <w:rPr>
                <w:sz w:val="20"/>
                <w:szCs w:val="20"/>
                <w:color w:val="auto"/>
              </w:rPr>
            </w:pPr>
            <w:r>
              <w:rPr>
                <w:rFonts w:ascii="Arial" w:cs="Arial" w:eastAsia="Arial" w:hAnsi="Arial"/>
                <w:sz w:val="18"/>
                <w:szCs w:val="18"/>
                <w:color w:val="auto"/>
              </w:rPr>
              <w:t>Sunoco Logistics Partners Operations GP LLC</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100% owned by the Borrower</w:t>
            </w:r>
          </w:p>
        </w:tc>
      </w:tr>
      <w:tr>
        <w:trPr>
          <w:trHeight w:val="318"/>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4080" w:type="dxa"/>
            <w:vAlign w:val="bottom"/>
          </w:tcPr>
          <w:p>
            <w:pPr>
              <w:ind w:left="20"/>
              <w:spacing w:after="0"/>
              <w:rPr>
                <w:sz w:val="20"/>
                <w:szCs w:val="20"/>
                <w:color w:val="auto"/>
              </w:rPr>
            </w:pPr>
            <w:r>
              <w:rPr>
                <w:rFonts w:ascii="Arial" w:cs="Arial" w:eastAsia="Arial" w:hAnsi="Arial"/>
                <w:sz w:val="18"/>
                <w:szCs w:val="18"/>
                <w:color w:val="auto"/>
              </w:rPr>
              <w:t>Sunoco Partners Marketing &amp; Terminals L.P.</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2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99.99% limited partner interest owned by the Borrower</w:t>
            </w:r>
          </w:p>
        </w:tc>
      </w:tr>
      <w:tr>
        <w:trPr>
          <w:trHeight w:val="216"/>
        </w:trPr>
        <w:tc>
          <w:tcPr>
            <w:tcW w:w="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8"/>
              </w:rPr>
              <w:t>0.01% general partner interest owned by Sunoco Logistics Partners</w:t>
            </w:r>
          </w:p>
        </w:tc>
      </w:tr>
      <w:tr>
        <w:trPr>
          <w:trHeight w:val="222"/>
        </w:trPr>
        <w:tc>
          <w:tcPr>
            <w:tcW w:w="1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Operations GP LLC</w:t>
            </w:r>
          </w:p>
        </w:tc>
      </w:tr>
      <w:tr>
        <w:trPr>
          <w:trHeight w:val="331"/>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4080" w:type="dxa"/>
            <w:vAlign w:val="bottom"/>
          </w:tcPr>
          <w:p>
            <w:pPr>
              <w:ind w:left="20"/>
              <w:spacing w:after="0"/>
              <w:rPr>
                <w:sz w:val="20"/>
                <w:szCs w:val="20"/>
                <w:color w:val="auto"/>
              </w:rPr>
            </w:pPr>
            <w:r>
              <w:rPr>
                <w:rFonts w:ascii="Arial" w:cs="Arial" w:eastAsia="Arial" w:hAnsi="Arial"/>
                <w:sz w:val="18"/>
                <w:szCs w:val="18"/>
                <w:color w:val="auto"/>
              </w:rPr>
              <w:t>Sunoco Pipeline L.P.</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2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99.99% limited partner interest owned by the Borrower</w:t>
            </w:r>
          </w:p>
        </w:tc>
      </w:tr>
      <w:tr>
        <w:trPr>
          <w:trHeight w:val="216"/>
        </w:trPr>
        <w:tc>
          <w:tcPr>
            <w:tcW w:w="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8"/>
              </w:rPr>
              <w:t>0.01% general partner interest owned by Sunoco Logistics Partners</w:t>
            </w:r>
          </w:p>
        </w:tc>
      </w:tr>
      <w:tr>
        <w:trPr>
          <w:trHeight w:val="222"/>
        </w:trPr>
        <w:tc>
          <w:tcPr>
            <w:tcW w:w="1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Operations GP LLC</w:t>
            </w:r>
          </w:p>
        </w:tc>
      </w:tr>
      <w:tr>
        <w:trPr>
          <w:trHeight w:val="338"/>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4080" w:type="dxa"/>
            <w:vAlign w:val="bottom"/>
          </w:tcPr>
          <w:p>
            <w:pPr>
              <w:ind w:left="20"/>
              <w:spacing w:after="0"/>
              <w:rPr>
                <w:sz w:val="20"/>
                <w:szCs w:val="20"/>
                <w:color w:val="auto"/>
              </w:rPr>
            </w:pPr>
            <w:r>
              <w:rPr>
                <w:rFonts w:ascii="Arial" w:cs="Arial" w:eastAsia="Arial" w:hAnsi="Arial"/>
                <w:sz w:val="18"/>
                <w:szCs w:val="18"/>
                <w:color w:val="auto"/>
              </w:rPr>
              <w:t>Sunoco Pipeline Acquisition LLC</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100% owned by Sunoco Pipeline, L.P.</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4080" w:type="dxa"/>
            <w:vAlign w:val="bottom"/>
          </w:tcPr>
          <w:p>
            <w:pPr>
              <w:ind w:left="20"/>
              <w:spacing w:after="0"/>
              <w:rPr>
                <w:sz w:val="20"/>
                <w:szCs w:val="20"/>
                <w:color w:val="auto"/>
              </w:rPr>
            </w:pPr>
            <w:r>
              <w:rPr>
                <w:rFonts w:ascii="Arial" w:cs="Arial" w:eastAsia="Arial" w:hAnsi="Arial"/>
                <w:sz w:val="18"/>
                <w:szCs w:val="18"/>
                <w:color w:val="auto"/>
              </w:rPr>
              <w:t>Sun Pipe Line Company of Delaware LLC</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100% owned by Sunoco Pipeline Acquisition LLC</w:t>
            </w:r>
          </w:p>
        </w:tc>
      </w:tr>
    </w:tbl>
    <w:p>
      <w:pPr>
        <w:spacing w:after="0" w:line="196"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Investments in Permitted Joint Ventures as of the Closing Date:</w:t>
      </w:r>
    </w:p>
    <w:p>
      <w:pPr>
        <w:spacing w:after="0" w:line="90" w:lineRule="exact"/>
        <w:rPr>
          <w:sz w:val="20"/>
          <w:szCs w:val="20"/>
          <w:color w:val="auto"/>
        </w:rPr>
      </w:pPr>
    </w:p>
    <w:p>
      <w:pPr>
        <w:ind w:right="200" w:firstLine="8"/>
        <w:spacing w:after="0" w:line="335" w:lineRule="auto"/>
        <w:tabs>
          <w:tab w:leader="none" w:pos="176" w:val="left"/>
        </w:tabs>
        <w:numPr>
          <w:ilvl w:val="0"/>
          <w:numId w:val="123"/>
        </w:numPr>
        <w:rPr>
          <w:rFonts w:ascii="Arial" w:cs="Arial" w:eastAsia="Arial" w:hAnsi="Arial"/>
          <w:sz w:val="15"/>
          <w:szCs w:val="15"/>
          <w:color w:val="auto"/>
        </w:rPr>
      </w:pPr>
      <w:r>
        <w:rPr>
          <w:rFonts w:ascii="Arial" w:cs="Arial" w:eastAsia="Arial" w:hAnsi="Arial"/>
          <w:sz w:val="15"/>
          <w:szCs w:val="15"/>
          <w:color w:val="auto"/>
        </w:rPr>
        <w:t>Sunoco Pipeline L.P. has (A) a 43.86% interest in West Texas Gulf Pipe Line Company, a Delaware corporation, (B) a 31.50% interest in Wolverine Pipeline Company, a Delaware limited liability company, (C) a 14.00% interest in Yellowstone Pipeline Company, a Delaware limited liability company, (D) a 12.3% interest in West Shore Pipeline Company, a Delaware limited liability company, and (E) a 9.4% interest in Explorer Pipeline Company, a Delaware corporation.</w:t>
      </w:r>
    </w:p>
    <w:p>
      <w:pPr>
        <w:spacing w:after="0" w:line="88" w:lineRule="exact"/>
        <w:rPr>
          <w:rFonts w:ascii="Arial" w:cs="Arial" w:eastAsia="Arial" w:hAnsi="Arial"/>
          <w:sz w:val="15"/>
          <w:szCs w:val="15"/>
          <w:color w:val="auto"/>
        </w:rPr>
      </w:pPr>
    </w:p>
    <w:p>
      <w:pPr>
        <w:ind w:left="180" w:hanging="172"/>
        <w:spacing w:after="0"/>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Sun Pipe Line Company of Delaware LLC has a 55.3% interest in Mid-Valley Pipeline Company, an Ohio corporation.</w:t>
      </w:r>
    </w:p>
    <w:p>
      <w:pPr>
        <w:spacing w:after="0" w:line="212" w:lineRule="exact"/>
        <w:rPr>
          <w:sz w:val="20"/>
          <w:szCs w:val="20"/>
          <w:color w:val="auto"/>
        </w:rPr>
      </w:pPr>
    </w:p>
    <w:p>
      <w:pPr>
        <w:ind w:left="460" w:right="720" w:hanging="452"/>
        <w:spacing w:after="0" w:line="268"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Undivided interests ownership (a form of pipeline ownership in which the investors share in the pipeline capacity according to their percentage of ownership in the system) as of the Closing Date:</w:t>
      </w:r>
    </w:p>
    <w:p>
      <w:pPr>
        <w:spacing w:after="0" w:line="51" w:lineRule="exact"/>
        <w:rPr>
          <w:sz w:val="20"/>
          <w:szCs w:val="20"/>
          <w:color w:val="auto"/>
        </w:rPr>
      </w:pPr>
    </w:p>
    <w:p>
      <w:pPr>
        <w:ind w:right="680" w:firstLine="8"/>
        <w:spacing w:after="0" w:line="268" w:lineRule="auto"/>
        <w:tabs>
          <w:tab w:leader="none" w:pos="17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Sunoco Pipeline L.P. has (A) a 66.70% undivided interest in Harbor Pipeline System, New Jersey, and (B) a 37.01% interest in Mesa Pipeline System, California.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5.12 – Page 1</w:t>
      </w:r>
    </w:p>
    <w:p>
      <w:pPr>
        <w:sectPr>
          <w:pgSz w:w="11900" w:h="16838" w:orient="portrait"/>
          <w:cols w:equalWidth="0" w:num="1">
            <w:col w:w="11420"/>
          </w:cols>
          <w:pgMar w:left="240" w:top="274" w:right="239" w:bottom="1440" w:gutter="0" w:footer="0" w:header="0"/>
        </w:sectPr>
      </w:pPr>
    </w:p>
    <w:bookmarkStart w:id="103" w:name="page104"/>
    <w:bookmarkEnd w:id="103"/>
    <w:p>
      <w:pPr>
        <w:ind w:left="172" w:hanging="172"/>
        <w:spacing w:after="0"/>
        <w:tabs>
          <w:tab w:leader="none" w:pos="172"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Mid-Valley Pipeline Company has a 73.97% undivided interest in Maumee Pipe Line System, Texas.</w:t>
      </w:r>
    </w:p>
    <w:p>
      <w:pPr>
        <w:spacing w:after="0" w:line="171" w:lineRule="exact"/>
        <w:rPr>
          <w:rFonts w:ascii="Arial" w:cs="Arial" w:eastAsia="Arial" w:hAnsi="Arial"/>
          <w:sz w:val="18"/>
          <w:szCs w:val="18"/>
          <w:color w:val="auto"/>
        </w:rPr>
      </w:pPr>
    </w:p>
    <w:p>
      <w:pPr>
        <w:ind w:left="4892" w:right="1079" w:hanging="4892"/>
        <w:spacing w:after="0" w:line="440" w:lineRule="auto"/>
        <w:tabs>
          <w:tab w:leader="none" w:pos="18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Sunoco Partners Marketing and Terminals L.P has a 50% undivided interest in Van Buren, New York refined products terminal. Schedule 5.12 – Page 2</w:t>
      </w:r>
    </w:p>
    <w:p>
      <w:pPr>
        <w:sectPr>
          <w:pgSz w:w="11900" w:h="16838" w:orient="portrait"/>
          <w:cols w:equalWidth="0" w:num="1">
            <w:col w:w="10211"/>
          </w:cols>
          <w:pgMar w:left="248" w:top="280"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7.01</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EXISTING LIENS</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Schedule 7.01 – Page 1</w:t>
      </w:r>
    </w:p>
    <w:p>
      <w:pPr>
        <w:sectPr>
          <w:pgSz w:w="11900" w:h="16838" w:orient="portrait"/>
          <w:cols w:equalWidth="0" w:num="1">
            <w:col w:w="10220"/>
          </w:cols>
          <w:pgMar w:left="1440" w:top="27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SCHEDULE </w:t>
      </w:r>
      <w:r>
        <w:rPr>
          <w:rFonts w:ascii="Arial" w:cs="Arial" w:eastAsia="Arial" w:hAnsi="Arial"/>
          <w:sz w:val="18"/>
          <w:szCs w:val="18"/>
          <w:b w:val="1"/>
          <w:bCs w:val="1"/>
          <w:i w:val="1"/>
          <w:iCs w:val="1"/>
          <w:color w:val="auto"/>
        </w:rPr>
        <w:t>10.02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ADDRESSES FOR NOTICES to Borrower,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 and Administrative Agent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 TO BORROWER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SUNOCO LOGISTICS PARTNERS OPERATIONS 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Mellon Bank Center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1735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Paul A. Mulholland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(215) 246-8810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(215) 977-3559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i w:val="1"/>
          <w:iCs w:val="1"/>
          <w:color w:val="auto"/>
        </w:rPr>
        <w:t>pamulholland@sunocoinc.com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 TO GUARANTOR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SUNOCO LOGISTICS PARTNERS, 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Mellon Bank Center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1735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Paul A. Mulholland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(215) 246-8810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(215) 977-3559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i w:val="1"/>
          <w:iCs w:val="1"/>
          <w:color w:val="auto"/>
        </w:rPr>
        <w:t>pamulholland@sunocoinc.com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ADMINISTRATIVE AGENT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26" w:lineRule="auto"/>
        <w:rPr>
          <w:sz w:val="20"/>
          <w:szCs w:val="20"/>
          <w:color w:val="auto"/>
        </w:rPr>
      </w:pPr>
      <w:r>
        <w:rPr>
          <w:rFonts w:ascii="Arial" w:cs="Arial" w:eastAsia="Arial" w:hAnsi="Arial"/>
          <w:sz w:val="18"/>
          <w:szCs w:val="18"/>
          <w:color w:val="auto"/>
        </w:rPr>
        <w:t>Two Penns Way,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Newcastle, DE 19720</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Dawayne Sims</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(302) 894-6011</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Facsimile:</w:t>
        <w:tab/>
        <w:t>(212) 994-0961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dawayne.sims@citigroup.com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No.: 36852248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Sunoco Logistics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021000089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10.02 – Page 1</w:t>
      </w:r>
    </w:p>
    <w:p>
      <w:pPr>
        <w:sectPr>
          <w:pgSz w:w="11900" w:h="16838" w:orient="portrait"/>
          <w:cols w:equalWidth="0" w:num="1">
            <w:col w:w="11420"/>
          </w:cols>
          <w:pgMar w:left="240" w:top="274"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ADDRESS FOR SWING LINE LENDER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26" w:lineRule="auto"/>
        <w:rPr>
          <w:sz w:val="20"/>
          <w:szCs w:val="20"/>
          <w:color w:val="auto"/>
        </w:rPr>
      </w:pPr>
      <w:r>
        <w:rPr>
          <w:rFonts w:ascii="Arial" w:cs="Arial" w:eastAsia="Arial" w:hAnsi="Arial"/>
          <w:sz w:val="18"/>
          <w:szCs w:val="18"/>
          <w:color w:val="auto"/>
        </w:rPr>
        <w:t>Two Penns Way,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Newcastle, DE 19720</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Dawayne Sims</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(302) 894-6011</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Facsimile:</w:t>
        <w:tab/>
        <w:t>(212) 994-0961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dawayne.sims@citigroup.com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No.: 36852248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Sunoco Logistics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021000089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ADDRESSES FOR L/C ISSUERS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L/C Issuer - Citibank: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20" w:lineRule="auto"/>
        <w:rPr>
          <w:sz w:val="20"/>
          <w:szCs w:val="20"/>
          <w:color w:val="auto"/>
        </w:rPr>
      </w:pPr>
      <w:r>
        <w:rPr>
          <w:rFonts w:ascii="Arial" w:cs="Arial" w:eastAsia="Arial" w:hAnsi="Arial"/>
          <w:sz w:val="18"/>
          <w:szCs w:val="18"/>
          <w:color w:val="auto"/>
        </w:rPr>
        <w:t>Two Penns Way,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Newcastle, DE 19720</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Dawayne Sims</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(302) 894-6011</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Facsimile:</w:t>
        <w:tab/>
        <w:t>(212) 994-0961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dawayne.sims@citigroup.com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No.: 36852248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Sunoco Logistics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021000089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L/C Issuer—Barclays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Dawn Townsend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 412-5142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412-5111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dawn.townsend@barcap.com</w:t>
      </w:r>
    </w:p>
    <w:p>
      <w:pPr>
        <w:spacing w:after="0" w:line="151" w:lineRule="exact"/>
        <w:rPr>
          <w:sz w:val="20"/>
          <w:szCs w:val="20"/>
          <w:color w:val="auto"/>
        </w:rPr>
      </w:pPr>
    </w:p>
    <w:p>
      <w:pPr>
        <w:jc w:val="right"/>
        <w:ind w:right="3639"/>
        <w:spacing w:after="0"/>
        <w:rPr>
          <w:sz w:val="20"/>
          <w:szCs w:val="20"/>
          <w:color w:val="auto"/>
        </w:rPr>
      </w:pPr>
      <w:r>
        <w:rPr>
          <w:rFonts w:ascii="Arial" w:cs="Arial" w:eastAsia="Arial" w:hAnsi="Arial"/>
          <w:sz w:val="18"/>
          <w:szCs w:val="18"/>
          <w:color w:val="auto"/>
        </w:rPr>
        <w:t>Schedule 10.02 – Page 2</w:t>
      </w:r>
    </w:p>
    <w:p>
      <w:pPr>
        <w:sectPr>
          <w:pgSz w:w="11900" w:h="16838" w:orient="portrait"/>
          <w:cols w:equalWidth="0" w:num="1">
            <w:col w:w="10219"/>
          </w:cols>
          <w:pgMar w:left="240" w:top="280"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BORROWING NOTICE</w:t>
      </w:r>
    </w:p>
    <w:p>
      <w:pPr>
        <w:spacing w:after="0" w:line="171" w:lineRule="exact"/>
        <w:rPr>
          <w:sz w:val="20"/>
          <w:szCs w:val="20"/>
          <w:color w:val="auto"/>
        </w:rPr>
      </w:pPr>
    </w:p>
    <w:p>
      <w:pPr>
        <w:ind w:left="10040"/>
        <w:spacing w:after="0"/>
        <w:tabs>
          <w:tab w:leader="none" w:pos="10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6638290</wp:posOffset>
            </wp:positionH>
            <wp:positionV relativeFrom="paragraph">
              <wp:posOffset>-13970</wp:posOffset>
            </wp:positionV>
            <wp:extent cx="6134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341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Citibank, N.A.,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Reference is made to that certain Credit Agreement dated as of August 8, 2007 (as amended, restated, extended, supplemented or otherwise modified in writing from time to time,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terms defined therein being used herein as therein defined), among Sunoco Logistics Partners Operations L.P., a Delaware limited partnership, Sunoco Logistics Partners L.P., a Delaware limited partnership, the Lenders from time to time party thereto, and Citibank, N.A., as Administrative Agent.</w:t>
      </w:r>
    </w:p>
    <w:p>
      <w:pPr>
        <w:spacing w:after="0" w:line="62" w:lineRule="exact"/>
        <w:rPr>
          <w:sz w:val="20"/>
          <w:szCs w:val="20"/>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undersigned hereby requests the following Type of Committed Loan and applicable Dollar amount:</w:t>
      </w:r>
    </w:p>
    <w:p>
      <w:pPr>
        <w:spacing w:after="0" w:line="90" w:lineRule="exact"/>
        <w:rPr>
          <w:sz w:val="20"/>
          <w:szCs w:val="20"/>
          <w:color w:val="auto"/>
        </w:rPr>
      </w:pPr>
    </w:p>
    <w:p>
      <w:pPr>
        <w:ind w:left="920"/>
        <w:spacing w:after="0"/>
        <w:tabs>
          <w:tab w:leader="none" w:pos="1460" w:val="left"/>
          <w:tab w:leader="none" w:pos="3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Base Rate Loan for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-13970</wp:posOffset>
            </wp:positionV>
            <wp:extent cx="5575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70" w:lineRule="exact"/>
        <w:rPr>
          <w:sz w:val="20"/>
          <w:szCs w:val="20"/>
          <w:color w:val="auto"/>
        </w:rPr>
      </w:pPr>
    </w:p>
    <w:p>
      <w:pPr>
        <w:ind w:left="1480" w:hanging="567"/>
        <w:spacing w:after="0"/>
        <w:tabs>
          <w:tab w:leader="none" w:pos="14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Eurodollar Rate Loan with Interest Period of:</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(i)</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w w:val="89"/>
              </w:rPr>
              <w:t>one month for</w:t>
            </w:r>
          </w:p>
        </w:tc>
        <w:tc>
          <w:tcPr>
            <w:tcW w:w="3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
        </w:trPr>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(ii)</w:t>
            </w:r>
          </w:p>
        </w:tc>
        <w:tc>
          <w:tcPr>
            <w:tcW w:w="146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Arial" w:cs="Arial" w:eastAsia="Arial" w:hAnsi="Arial"/>
                <w:sz w:val="18"/>
                <w:szCs w:val="18"/>
                <w:color w:val="auto"/>
              </w:rPr>
              <w:t>two months for</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r>
      <w:tr>
        <w:trPr>
          <w:trHeight w:val="176"/>
        </w:trPr>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Borders>
              <w:top w:val="single" w:sz="8" w:color="CCEEFF"/>
            </w:tcBorders>
          </w:tcPr>
          <w:p>
            <w:pPr>
              <w:ind w:left="140"/>
              <w:spacing w:after="0" w:line="176" w:lineRule="exact"/>
              <w:rPr>
                <w:sz w:val="20"/>
                <w:szCs w:val="20"/>
                <w:color w:val="auto"/>
              </w:rPr>
            </w:pPr>
            <w:r>
              <w:rPr>
                <w:rFonts w:ascii="Arial" w:cs="Arial" w:eastAsia="Arial" w:hAnsi="Arial"/>
                <w:sz w:val="18"/>
                <w:szCs w:val="18"/>
                <w:color w:val="auto"/>
              </w:rPr>
              <w:t>(iii)</w:t>
            </w:r>
          </w:p>
        </w:tc>
        <w:tc>
          <w:tcPr>
            <w:tcW w:w="1460" w:type="dxa"/>
            <w:vAlign w:val="bottom"/>
            <w:tcBorders>
              <w:top w:val="single" w:sz="8" w:color="CCEEFF"/>
            </w:tcBorders>
            <w:gridSpan w:val="3"/>
          </w:tcPr>
          <w:p>
            <w:pPr>
              <w:ind w:left="80"/>
              <w:spacing w:after="0" w:line="176" w:lineRule="exact"/>
              <w:rPr>
                <w:sz w:val="20"/>
                <w:szCs w:val="20"/>
                <w:color w:val="auto"/>
              </w:rPr>
            </w:pPr>
            <w:r>
              <w:rPr>
                <w:rFonts w:ascii="Arial" w:cs="Arial" w:eastAsia="Arial" w:hAnsi="Arial"/>
                <w:sz w:val="18"/>
                <w:szCs w:val="18"/>
                <w:color w:val="auto"/>
              </w:rPr>
              <w:t>three months for</w:t>
            </w:r>
          </w:p>
        </w:tc>
        <w:tc>
          <w:tcPr>
            <w:tcW w:w="18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1"/>
        </w:trPr>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(iv)</w:t>
            </w:r>
          </w:p>
        </w:tc>
        <w:tc>
          <w:tcPr>
            <w:tcW w:w="1100" w:type="dxa"/>
            <w:vAlign w:val="bottom"/>
            <w:tcBorders>
              <w:bottom w:val="single" w:sz="8" w:color="CCEEFF"/>
            </w:tcBorders>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w w:val="89"/>
              </w:rPr>
              <w:t>six months for</w:t>
            </w:r>
          </w:p>
        </w:tc>
        <w:tc>
          <w:tcPr>
            <w:tcW w:w="3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r>
        <w:trPr>
          <w:trHeight w:val="21"/>
        </w:trPr>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378"/>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2320" w:type="dxa"/>
            <w:vAlign w:val="bottom"/>
            <w:gridSpan w:val="3"/>
          </w:tcPr>
          <w:p>
            <w:pPr>
              <w:ind w:left="160"/>
              <w:spacing w:after="0"/>
              <w:rPr>
                <w:sz w:val="20"/>
                <w:szCs w:val="20"/>
                <w:color w:val="auto"/>
              </w:rPr>
            </w:pPr>
            <w:r>
              <w:rPr>
                <w:rFonts w:ascii="Arial" w:cs="Arial" w:eastAsia="Arial" w:hAnsi="Arial"/>
                <w:sz w:val="18"/>
                <w:szCs w:val="18"/>
                <w:color w:val="auto"/>
                <w:w w:val="89"/>
              </w:rPr>
              <w:t>Requested date of Borrowing:</w:t>
            </w:r>
          </w:p>
        </w:tc>
        <w:tc>
          <w:tcPr>
            <w:tcW w:w="520" w:type="dxa"/>
            <w:vAlign w:val="bottom"/>
          </w:tcPr>
          <w:p>
            <w:pPr>
              <w:spacing w:after="0"/>
              <w:rPr>
                <w:sz w:val="24"/>
                <w:szCs w:val="24"/>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 200 .</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undersigned hereby certifies that the following statements will be true on the date of the proposed Borrowing(s) after giving effect thereto and to the application of the proceeds therefrom:</w:t>
      </w:r>
    </w:p>
    <w:p>
      <w:pPr>
        <w:spacing w:after="0" w:line="51" w:lineRule="exact"/>
        <w:rPr>
          <w:sz w:val="20"/>
          <w:szCs w:val="20"/>
          <w:color w:val="auto"/>
        </w:rPr>
      </w:pPr>
    </w:p>
    <w:p>
      <w:pPr>
        <w:ind w:right="200" w:firstLine="921"/>
        <w:spacing w:after="0" w:line="259" w:lineRule="auto"/>
        <w:tabs>
          <w:tab w:leader="none" w:pos="11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contained in </w:t>
      </w:r>
      <w:r>
        <w:rPr>
          <w:rFonts w:ascii="Arial" w:cs="Arial" w:eastAsia="Arial" w:hAnsi="Arial"/>
          <w:sz w:val="18"/>
          <w:szCs w:val="18"/>
          <w:b w:val="1"/>
          <w:bCs w:val="1"/>
          <w:i w:val="1"/>
          <w:iCs w:val="1"/>
          <w:color w:val="auto"/>
        </w:rPr>
        <w:t>Article V</w:t>
      </w:r>
      <w:r>
        <w:rPr>
          <w:rFonts w:ascii="Arial" w:cs="Arial" w:eastAsia="Arial" w:hAnsi="Arial"/>
          <w:sz w:val="18"/>
          <w:szCs w:val="18"/>
          <w:color w:val="auto"/>
        </w:rPr>
        <w:t xml:space="preserve"> (excluding </w:t>
      </w:r>
      <w:r>
        <w:rPr>
          <w:rFonts w:ascii="Arial" w:cs="Arial" w:eastAsia="Arial" w:hAnsi="Arial"/>
          <w:sz w:val="18"/>
          <w:szCs w:val="18"/>
          <w:b w:val="1"/>
          <w:bCs w:val="1"/>
          <w:i w:val="1"/>
          <w:iCs w:val="1"/>
          <w:color w:val="auto"/>
        </w:rPr>
        <w:t>Section 5.05(c)</w:t>
      </w:r>
      <w:r>
        <w:rPr>
          <w:rFonts w:ascii="Arial" w:cs="Arial" w:eastAsia="Arial" w:hAnsi="Arial"/>
          <w:sz w:val="18"/>
          <w:szCs w:val="18"/>
          <w:color w:val="auto"/>
        </w:rPr>
        <w:t>)) of the Agreement are true and correct as though made on and as of such date (except such representations and warranties which expressly refer to an earlier date, which are true and correct as of such earlier date); and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result from such proposed Borrowing(s).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Borrowing Notice</w:t>
      </w:r>
    </w:p>
    <w:p>
      <w:pPr>
        <w:sectPr>
          <w:pgSz w:w="11900" w:h="16838" w:orient="portrait"/>
          <w:cols w:equalWidth="0" w:num="1">
            <w:col w:w="11420"/>
          </w:cols>
          <w:pgMar w:left="240" w:top="28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Borrowing requested herein complies with </w:t>
      </w:r>
      <w:r>
        <w:rPr>
          <w:rFonts w:ascii="Arial" w:cs="Arial" w:eastAsia="Arial" w:hAnsi="Arial"/>
          <w:sz w:val="18"/>
          <w:szCs w:val="18"/>
          <w:b w:val="1"/>
          <w:bCs w:val="1"/>
          <w:i w:val="1"/>
          <w:iCs w:val="1"/>
          <w:color w:val="auto"/>
        </w:rPr>
        <w:t>Sections 2.01</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2.03</w:t>
      </w:r>
      <w:r>
        <w:rPr>
          <w:rFonts w:ascii="Arial" w:cs="Arial" w:eastAsia="Arial" w:hAnsi="Arial"/>
          <w:sz w:val="18"/>
          <w:szCs w:val="18"/>
          <w:color w:val="auto"/>
        </w:rPr>
        <w:t xml:space="preserve"> of the Agreement, as applicable.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SUNOCO LOGISTICS PARTNERS OPERATIONS L.P.</w:t>
      </w:r>
    </w:p>
    <w:p>
      <w:pPr>
        <w:spacing w:after="0" w:line="140"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Sunoco Logistics Partners GP LLC, its General Partner</w:t>
      </w:r>
    </w:p>
    <w:p>
      <w:pPr>
        <w:spacing w:after="0" w:line="26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A-1</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Form of Borrowing Notice</w:t>
      </w:r>
    </w:p>
    <w:p>
      <w:pPr>
        <w:sectPr>
          <w:pgSz w:w="11900" w:h="16838" w:orient="portrait"/>
          <w:cols w:equalWidth="0" w:num="1">
            <w:col w:w="11260"/>
          </w:cols>
          <w:pgMar w:left="240" w:top="280" w:right="3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CONVERSION/CONTINUATION NOTICE</w:t>
      </w:r>
    </w:p>
    <w:p>
      <w:pPr>
        <w:spacing w:after="0" w:line="171" w:lineRule="exact"/>
        <w:rPr>
          <w:sz w:val="20"/>
          <w:szCs w:val="20"/>
          <w:color w:val="auto"/>
        </w:rPr>
      </w:pPr>
    </w:p>
    <w:p>
      <w:pPr>
        <w:ind w:left="9860"/>
        <w:spacing w:after="0"/>
        <w:tabs>
          <w:tab w:leader="none" w:pos="10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6527165</wp:posOffset>
            </wp:positionH>
            <wp:positionV relativeFrom="paragraph">
              <wp:posOffset>-13970</wp:posOffset>
            </wp:positionV>
            <wp:extent cx="7245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1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Citibank, N.A., as Administrative Agent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Reference is made to that certain Credit Agreement dated as of August 8, 2007 (as amended, restated, extended, supplemented or otherwise modified in writing from time to time,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terms defined therein being used herein as herein defined), among Sunoco Logistics Partners Operations L.P., a Delaware limited partnership, Sunoco Logistics Partners L.P., a Delaware limited partnership, the Lenders from time to time party thereto, and Citibank, N.A., as Administrative Agent.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requests a [conversion] [continuation] of Committed Loans as follows:</w:t>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1.</w:t>
            </w:r>
          </w:p>
        </w:tc>
        <w:tc>
          <w:tcPr>
            <w:tcW w:w="3780" w:type="dxa"/>
            <w:vAlign w:val="bottom"/>
            <w:gridSpan w:val="2"/>
          </w:tcPr>
          <w:p>
            <w:pPr>
              <w:ind w:left="200"/>
              <w:spacing w:after="0"/>
              <w:rPr>
                <w:sz w:val="20"/>
                <w:szCs w:val="20"/>
                <w:color w:val="auto"/>
              </w:rPr>
            </w:pPr>
            <w:r>
              <w:rPr>
                <w:rFonts w:ascii="Arial" w:cs="Arial" w:eastAsia="Arial" w:hAnsi="Arial"/>
                <w:sz w:val="18"/>
                <w:szCs w:val="18"/>
                <w:color w:val="auto"/>
              </w:rPr>
              <w:t>Amount of [conversion] [continuation]: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04"/>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2.</w:t>
            </w:r>
          </w:p>
        </w:tc>
        <w:tc>
          <w:tcPr>
            <w:tcW w:w="3780" w:type="dxa"/>
            <w:vAlign w:val="bottom"/>
            <w:gridSpan w:val="2"/>
          </w:tcPr>
          <w:p>
            <w:pPr>
              <w:ind w:left="200"/>
              <w:spacing w:after="0"/>
              <w:rPr>
                <w:sz w:val="20"/>
                <w:szCs w:val="20"/>
                <w:color w:val="auto"/>
              </w:rPr>
            </w:pPr>
            <w:r>
              <w:rPr>
                <w:rFonts w:ascii="Arial" w:cs="Arial" w:eastAsia="Arial" w:hAnsi="Arial"/>
                <w:sz w:val="18"/>
                <w:szCs w:val="18"/>
                <w:color w:val="auto"/>
              </w:rPr>
              <w:t>Existing rate:</w:t>
            </w:r>
          </w:p>
        </w:tc>
        <w:tc>
          <w:tcPr>
            <w:tcW w:w="1840" w:type="dxa"/>
            <w:vAlign w:val="bottom"/>
            <w:gridSpan w:val="4"/>
          </w:tcPr>
          <w:p>
            <w:pPr>
              <w:spacing w:after="0"/>
              <w:rPr>
                <w:sz w:val="20"/>
                <w:szCs w:val="20"/>
                <w:color w:val="auto"/>
              </w:rPr>
            </w:pPr>
            <w:r>
              <w:rPr>
                <w:rFonts w:ascii="Arial" w:cs="Arial" w:eastAsia="Arial" w:hAnsi="Arial"/>
                <w:sz w:val="18"/>
                <w:szCs w:val="18"/>
                <w:color w:val="auto"/>
                <w:w w:val="98"/>
              </w:rPr>
              <w:t>Check applicable blank</w:t>
            </w:r>
          </w:p>
        </w:tc>
      </w:tr>
      <w:tr>
        <w:trPr>
          <w:trHeight w:val="20"/>
        </w:trPr>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3"/>
        </w:trPr>
        <w:tc>
          <w:tcPr>
            <w:tcW w:w="3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(a)</w:t>
            </w:r>
          </w:p>
        </w:tc>
        <w:tc>
          <w:tcPr>
            <w:tcW w:w="3100" w:type="dxa"/>
            <w:vAlign w:val="bottom"/>
          </w:tcPr>
          <w:p>
            <w:pPr>
              <w:ind w:left="260"/>
              <w:spacing w:after="0"/>
              <w:rPr>
                <w:sz w:val="20"/>
                <w:szCs w:val="20"/>
                <w:color w:val="auto"/>
              </w:rPr>
            </w:pPr>
            <w:r>
              <w:rPr>
                <w:rFonts w:ascii="Arial" w:cs="Arial" w:eastAsia="Arial" w:hAnsi="Arial"/>
                <w:sz w:val="18"/>
                <w:szCs w:val="18"/>
                <w:color w:val="auto"/>
              </w:rPr>
              <w:t>Base Rate</w:t>
            </w:r>
          </w:p>
        </w:tc>
        <w:tc>
          <w:tcPr>
            <w:tcW w:w="1840" w:type="dxa"/>
            <w:vAlign w:val="bottom"/>
            <w:gridSpan w:val="4"/>
          </w:tcPr>
          <w:p>
            <w:pPr>
              <w:spacing w:after="0"/>
              <w:rPr>
                <w:sz w:val="20"/>
                <w:szCs w:val="20"/>
                <w:color w:val="auto"/>
              </w:rPr>
            </w:pPr>
            <w:r>
              <w:rPr>
                <w:rFonts w:ascii="Arial" w:cs="Arial" w:eastAsia="Arial" w:hAnsi="Arial"/>
                <w:sz w:val="18"/>
                <w:szCs w:val="18"/>
                <w:color w:val="auto"/>
                <w:w w:val="86"/>
              </w:rPr>
              <w:t>_____________________</w:t>
            </w:r>
          </w:p>
        </w:tc>
      </w:tr>
    </w:tbl>
    <w:p>
      <w:pPr>
        <w:spacing w:after="0" w:line="102" w:lineRule="exact"/>
        <w:rPr>
          <w:sz w:val="20"/>
          <w:szCs w:val="20"/>
          <w:color w:val="auto"/>
        </w:rPr>
      </w:pPr>
    </w:p>
    <w:p>
      <w:pPr>
        <w:ind w:left="1700" w:right="7840" w:hanging="551"/>
        <w:spacing w:after="0" w:line="268" w:lineRule="auto"/>
        <w:tabs>
          <w:tab w:leader="none" w:pos="1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Eurodollar Rate Loan with Interest Period of:</w:t>
      </w:r>
    </w:p>
    <w:p>
      <w:pPr>
        <w:spacing w:after="0" w:line="91" w:lineRule="exact"/>
        <w:rPr>
          <w:rFonts w:ascii="Arial" w:cs="Arial" w:eastAsia="Arial" w:hAnsi="Arial"/>
          <w:sz w:val="18"/>
          <w:szCs w:val="18"/>
          <w:color w:val="auto"/>
        </w:rPr>
      </w:pPr>
    </w:p>
    <w:p>
      <w:pPr>
        <w:ind w:left="2440" w:hanging="737"/>
        <w:spacing w:after="0"/>
        <w:tabs>
          <w:tab w:leader="none" w:pos="24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one month</w:t>
      </w:r>
    </w:p>
    <w:p>
      <w:pPr>
        <w:spacing w:after="0" w:line="15" w:lineRule="exact"/>
        <w:rPr>
          <w:rFonts w:ascii="Arial" w:cs="Arial" w:eastAsia="Arial" w:hAnsi="Arial"/>
          <w:sz w:val="18"/>
          <w:szCs w:val="18"/>
          <w:color w:val="auto"/>
        </w:rPr>
      </w:pPr>
    </w:p>
    <w:p>
      <w:pPr>
        <w:ind w:left="2440" w:hanging="737"/>
        <w:spacing w:after="0"/>
        <w:tabs>
          <w:tab w:leader="none" w:pos="24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two months</w:t>
      </w:r>
    </w:p>
    <w:p>
      <w:pPr>
        <w:spacing w:after="0" w:line="9" w:lineRule="exact"/>
        <w:rPr>
          <w:rFonts w:ascii="Arial" w:cs="Arial" w:eastAsia="Arial" w:hAnsi="Arial"/>
          <w:sz w:val="18"/>
          <w:szCs w:val="18"/>
          <w:color w:val="auto"/>
        </w:rPr>
      </w:pPr>
    </w:p>
    <w:p>
      <w:pPr>
        <w:ind w:left="2440" w:hanging="737"/>
        <w:spacing w:after="0"/>
        <w:tabs>
          <w:tab w:leader="none" w:pos="24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three months</w:t>
      </w:r>
    </w:p>
    <w:p>
      <w:pPr>
        <w:spacing w:after="0" w:line="9" w:lineRule="exact"/>
        <w:rPr>
          <w:rFonts w:ascii="Arial" w:cs="Arial" w:eastAsia="Arial" w:hAnsi="Arial"/>
          <w:sz w:val="18"/>
          <w:szCs w:val="18"/>
          <w:color w:val="auto"/>
        </w:rPr>
      </w:pPr>
    </w:p>
    <w:p>
      <w:pPr>
        <w:ind w:left="2440" w:hanging="737"/>
        <w:spacing w:after="0"/>
        <w:tabs>
          <w:tab w:leader="none" w:pos="24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-412750</wp:posOffset>
            </wp:positionV>
            <wp:extent cx="13379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-275590</wp:posOffset>
            </wp:positionV>
            <wp:extent cx="13379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-137795</wp:posOffset>
            </wp:positionV>
            <wp:extent cx="13379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-635</wp:posOffset>
            </wp:positionV>
            <wp:extent cx="13379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91" w:lineRule="exact"/>
        <w:rPr>
          <w:sz w:val="20"/>
          <w:szCs w:val="20"/>
          <w:color w:val="auto"/>
        </w:rPr>
      </w:pPr>
    </w:p>
    <w:p>
      <w:pPr>
        <w:ind w:left="1140"/>
        <w:spacing w:after="0"/>
        <w:tabs>
          <w:tab w:leader="none" w:pos="1680" w:val="left"/>
          <w:tab w:leader="none" w:pos="80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If a Eurodollar Rate Loan, date of the last day of the Interest Period for such Loan:</w:t>
      </w:r>
      <w:r>
        <w:rPr>
          <w:sz w:val="20"/>
          <w:szCs w:val="20"/>
          <w:color w:val="auto"/>
        </w:rPr>
        <w:tab/>
      </w:r>
      <w:r>
        <w:rPr>
          <w:rFonts w:ascii="Arial" w:cs="Arial" w:eastAsia="Arial" w:hAnsi="Arial"/>
          <w:sz w:val="16"/>
          <w:szCs w:val="16"/>
          <w:color w:val="auto"/>
        </w:rPr>
        <w:t>, 200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4796155</wp:posOffset>
            </wp:positionH>
            <wp:positionV relativeFrom="paragraph">
              <wp:posOffset>-13970</wp:posOffset>
            </wp:positionV>
            <wp:extent cx="3346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9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Loan described above is to be [converted] [continued] as follows:</w:t>
      </w:r>
    </w:p>
    <w:p>
      <w:pPr>
        <w:spacing w:after="0" w:line="117" w:lineRule="exact"/>
        <w:rPr>
          <w:sz w:val="20"/>
          <w:szCs w:val="20"/>
          <w:color w:val="auto"/>
        </w:rPr>
      </w:pPr>
    </w:p>
    <w:p>
      <w:pPr>
        <w:ind w:left="1140"/>
        <w:spacing w:after="0"/>
        <w:tabs>
          <w:tab w:leader="none" w:pos="1680" w:val="left"/>
          <w:tab w:leader="none" w:pos="5520" w:val="left"/>
          <w:tab w:leader="none" w:pos="60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Requested date of [conversion] [continuation]:</w:t>
      </w:r>
      <w:r>
        <w:rPr>
          <w:sz w:val="20"/>
          <w:szCs w:val="20"/>
          <w:color w:val="auto"/>
        </w:rPr>
        <w:tab/>
      </w:r>
      <w:r>
        <w:rPr>
          <w:rFonts w:ascii="Arial" w:cs="Arial" w:eastAsia="Arial" w:hAnsi="Arial"/>
          <w:sz w:val="18"/>
          <w:szCs w:val="18"/>
          <w:color w:val="auto"/>
        </w:rPr>
        <w:t>, 200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-13970</wp:posOffset>
            </wp:positionV>
            <wp:extent cx="3346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-13970</wp:posOffset>
            </wp:positionV>
            <wp:extent cx="1117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97" w:lineRule="exact"/>
        <w:rPr>
          <w:sz w:val="20"/>
          <w:szCs w:val="20"/>
          <w:color w:val="auto"/>
        </w:rPr>
      </w:pPr>
    </w:p>
    <w:p>
      <w:pPr>
        <w:ind w:left="1700" w:hanging="551"/>
        <w:spacing w:after="0"/>
        <w:tabs>
          <w:tab w:leader="none" w:pos="1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Requested Type of Loan and applicable Dollar amount:</w:t>
      </w:r>
    </w:p>
    <w:p>
      <w:pPr>
        <w:spacing w:after="0" w:line="117" w:lineRule="exact"/>
        <w:rPr>
          <w:sz w:val="20"/>
          <w:szCs w:val="20"/>
          <w:color w:val="auto"/>
        </w:rPr>
      </w:pPr>
    </w:p>
    <w:p>
      <w:pPr>
        <w:ind w:left="1700"/>
        <w:spacing w:after="0"/>
        <w:tabs>
          <w:tab w:leader="none" w:pos="2420" w:val="left"/>
          <w:tab w:leader="none" w:pos="44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Base Rate Loan for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-13970</wp:posOffset>
            </wp:positionV>
            <wp:extent cx="3346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97" w:lineRule="exact"/>
        <w:rPr>
          <w:sz w:val="20"/>
          <w:szCs w:val="20"/>
          <w:color w:val="auto"/>
        </w:rPr>
      </w:pPr>
    </w:p>
    <w:p>
      <w:pPr>
        <w:ind w:left="2440" w:hanging="737"/>
        <w:spacing w:after="0"/>
        <w:tabs>
          <w:tab w:leader="none" w:pos="24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Eurodollar Rate Loan with Interest Period of:</w:t>
      </w:r>
    </w:p>
    <w:p>
      <w:pPr>
        <w:spacing w:after="0" w:line="117" w:lineRule="exact"/>
        <w:rPr>
          <w:sz w:val="20"/>
          <w:szCs w:val="20"/>
          <w:color w:val="auto"/>
        </w:rPr>
      </w:pPr>
    </w:p>
    <w:p>
      <w:pPr>
        <w:ind w:left="2440" w:hanging="737"/>
        <w:spacing w:after="0"/>
        <w:tabs>
          <w:tab w:leader="none" w:pos="24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one month</w:t>
      </w:r>
    </w:p>
    <w:p>
      <w:pPr>
        <w:spacing w:after="0" w:line="15" w:lineRule="exact"/>
        <w:rPr>
          <w:rFonts w:ascii="Arial" w:cs="Arial" w:eastAsia="Arial" w:hAnsi="Arial"/>
          <w:sz w:val="18"/>
          <w:szCs w:val="18"/>
          <w:color w:val="auto"/>
        </w:rPr>
      </w:pPr>
    </w:p>
    <w:p>
      <w:pPr>
        <w:ind w:left="2440" w:hanging="737"/>
        <w:spacing w:after="0"/>
        <w:tabs>
          <w:tab w:leader="none" w:pos="24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two months</w:t>
      </w:r>
    </w:p>
    <w:p>
      <w:pPr>
        <w:spacing w:after="0" w:line="9" w:lineRule="exact"/>
        <w:rPr>
          <w:rFonts w:ascii="Arial" w:cs="Arial" w:eastAsia="Arial" w:hAnsi="Arial"/>
          <w:sz w:val="18"/>
          <w:szCs w:val="18"/>
          <w:color w:val="auto"/>
        </w:rPr>
      </w:pPr>
    </w:p>
    <w:p>
      <w:pPr>
        <w:ind w:left="2440" w:hanging="737"/>
        <w:spacing w:after="0"/>
        <w:tabs>
          <w:tab w:leader="none" w:pos="24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three months</w:t>
      </w:r>
    </w:p>
    <w:p>
      <w:pPr>
        <w:spacing w:after="0" w:line="9" w:lineRule="exact"/>
        <w:rPr>
          <w:rFonts w:ascii="Arial" w:cs="Arial" w:eastAsia="Arial" w:hAnsi="Arial"/>
          <w:sz w:val="18"/>
          <w:szCs w:val="18"/>
          <w:color w:val="auto"/>
        </w:rPr>
      </w:pPr>
    </w:p>
    <w:p>
      <w:pPr>
        <w:ind w:left="2440" w:hanging="737"/>
        <w:spacing w:after="0"/>
        <w:tabs>
          <w:tab w:leader="none" w:pos="24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-412750</wp:posOffset>
            </wp:positionV>
            <wp:extent cx="13379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-275590</wp:posOffset>
            </wp:positionV>
            <wp:extent cx="13379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-137795</wp:posOffset>
            </wp:positionV>
            <wp:extent cx="13379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-635</wp:posOffset>
            </wp:positionV>
            <wp:extent cx="13379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Continuation/Conversion Notice</w:t>
      </w:r>
    </w:p>
    <w:p>
      <w:pPr>
        <w:sectPr>
          <w:pgSz w:w="11900" w:h="16838" w:orient="portrait"/>
          <w:cols w:equalWidth="0" w:num="1">
            <w:col w:w="11420"/>
          </w:cols>
          <w:pgMar w:left="240" w:top="280"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[conversion] [continuation] requested herein complies with </w:t>
      </w:r>
      <w:r>
        <w:rPr>
          <w:rFonts w:ascii="Arial" w:cs="Arial" w:eastAsia="Arial" w:hAnsi="Arial"/>
          <w:sz w:val="18"/>
          <w:szCs w:val="18"/>
          <w:b w:val="1"/>
          <w:bCs w:val="1"/>
          <w:i w:val="1"/>
          <w:iCs w:val="1"/>
          <w:color w:val="auto"/>
        </w:rPr>
        <w:t>Sections 2.01</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2.03</w:t>
      </w:r>
      <w:r>
        <w:rPr>
          <w:rFonts w:ascii="Arial" w:cs="Arial" w:eastAsia="Arial" w:hAnsi="Arial"/>
          <w:sz w:val="18"/>
          <w:szCs w:val="18"/>
          <w:color w:val="auto"/>
        </w:rPr>
        <w:t xml:space="preserve"> of the Agreement, as applicable.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SUNOCO LOGISTICS PARTNERS OPERATIONS L.P.</w:t>
      </w:r>
    </w:p>
    <w:p>
      <w:pPr>
        <w:spacing w:after="0" w:line="140"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Sunoco Logistics Partners GP LLC, its General Partner</w:t>
      </w:r>
    </w:p>
    <w:p>
      <w:pPr>
        <w:spacing w:after="0" w:line="26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A-2</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Form of Continuation/Conversion Notice</w:t>
      </w:r>
    </w:p>
    <w:p>
      <w:pPr>
        <w:sectPr>
          <w:pgSz w:w="11900" w:h="16838" w:orient="portrait"/>
          <w:cols w:equalWidth="0" w:num="1">
            <w:col w:w="11260"/>
          </w:cols>
          <w:pgMar w:left="240" w:top="280" w:right="3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SWING LINE LOAN NOTICE</w:t>
      </w:r>
    </w:p>
    <w:p>
      <w:pPr>
        <w:spacing w:after="0" w:line="171" w:lineRule="exact"/>
        <w:rPr>
          <w:sz w:val="20"/>
          <w:szCs w:val="20"/>
          <w:color w:val="auto"/>
        </w:rPr>
      </w:pPr>
    </w:p>
    <w:p>
      <w:pPr>
        <w:ind w:left="10040"/>
        <w:spacing w:after="0"/>
        <w:tabs>
          <w:tab w:leader="none" w:pos="10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6638290</wp:posOffset>
            </wp:positionH>
            <wp:positionV relativeFrom="paragraph">
              <wp:posOffset>-13970</wp:posOffset>
            </wp:positionV>
            <wp:extent cx="61341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3410" cy="8890"/>
                    </a:xfrm>
                    <a:prstGeom prst="rect">
                      <a:avLst/>
                    </a:prstGeom>
                    <a:noFill/>
                  </pic:spPr>
                </pic:pic>
              </a:graphicData>
            </a:graphic>
          </wp:anchor>
        </w:drawing>
      </w:r>
    </w:p>
    <w:p>
      <w:pPr>
        <w:spacing w:after="0" w:line="1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Citibank, N.A., as Swing Line Lender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Citibank, N.A., as Administrative Agent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Reference is made to that certain Credit Agreement dated as of August 8, 2007 (as amended, restated, extended, supplemented or otherwise modified in writing from time to time, the “Agreement;” the terms defined therein being used herein as therein defined), among Sunoco Logistics Partners Operations, L.P. (the “Borrower”), the Lenders from time to time party thereto, Citibank, N.A., as Administrative Agent, an L/C Issuer and Swing Line Lender.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requests a Borrowing of Swing Line Loans as follows:</w:t>
      </w:r>
    </w:p>
    <w:p>
      <w:pPr>
        <w:spacing w:after="0" w:line="212" w:lineRule="exact"/>
        <w:rPr>
          <w:sz w:val="20"/>
          <w:szCs w:val="20"/>
          <w:color w:val="auto"/>
        </w:rPr>
      </w:pPr>
    </w:p>
    <w:p>
      <w:pPr>
        <w:spacing w:after="0"/>
        <w:tabs>
          <w:tab w:leader="none" w:pos="300" w:val="left"/>
          <w:tab w:leader="none" w:pos="4020" w:val="left"/>
        </w:tabs>
        <w:rPr>
          <w:sz w:val="20"/>
          <w:szCs w:val="20"/>
          <w:color w:val="auto"/>
        </w:rPr>
      </w:pPr>
      <w:r>
        <w:rPr>
          <w:rFonts w:ascii="Arial" w:cs="Arial" w:eastAsia="Arial" w:hAnsi="Arial"/>
          <w:sz w:val="18"/>
          <w:szCs w:val="18"/>
          <w:color w:val="auto"/>
        </w:rPr>
        <w:t>1.</w:t>
        <w:tab/>
        <w:t>On</w:t>
      </w:r>
      <w:r>
        <w:rPr>
          <w:sz w:val="20"/>
          <w:szCs w:val="20"/>
          <w:color w:val="auto"/>
        </w:rPr>
        <w:tab/>
      </w:r>
      <w:r>
        <w:rPr>
          <w:rFonts w:ascii="Arial" w:cs="Arial" w:eastAsia="Arial" w:hAnsi="Arial"/>
          <w:sz w:val="15"/>
          <w:szCs w:val="15"/>
          <w:color w:val="auto"/>
        </w:rPr>
        <w:t>(a Business Day).</w:t>
      </w:r>
    </w:p>
    <w:p>
      <w:pPr>
        <w:spacing w:after="0" w:line="117" w:lineRule="exact"/>
        <w:rPr>
          <w:sz w:val="20"/>
          <w:szCs w:val="20"/>
          <w:color w:val="auto"/>
        </w:rPr>
      </w:pPr>
    </w:p>
    <w:p>
      <w:pPr>
        <w:ind w:left="320" w:hanging="312"/>
        <w:spacing w:after="0"/>
        <w:tabs>
          <w:tab w:leader="none" w:pos="3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amount of $</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Swing Line Borrowing requested herein complies with the requirements of the provisos to the first sentence of Section 2.15(a) of the Agreement.</w:t>
      </w:r>
    </w:p>
    <w:p>
      <w:pPr>
        <w:spacing w:after="0" w:line="19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undersigned hereby certifies that the following statements will be true on the date of the proposed Borrowing(s) after giving effect thereto and to the application of the proceeds therefrom:</w:t>
      </w:r>
    </w:p>
    <w:p>
      <w:pPr>
        <w:spacing w:after="0" w:line="51" w:lineRule="exact"/>
        <w:rPr>
          <w:sz w:val="20"/>
          <w:szCs w:val="20"/>
          <w:color w:val="auto"/>
        </w:rPr>
      </w:pPr>
    </w:p>
    <w:p>
      <w:pPr>
        <w:ind w:right="260" w:firstLine="921"/>
        <w:spacing w:after="0" w:line="259" w:lineRule="auto"/>
        <w:tabs>
          <w:tab w:leader="none" w:pos="115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contained in </w:t>
      </w:r>
      <w:r>
        <w:rPr>
          <w:rFonts w:ascii="Arial" w:cs="Arial" w:eastAsia="Arial" w:hAnsi="Arial"/>
          <w:sz w:val="18"/>
          <w:szCs w:val="18"/>
          <w:b w:val="1"/>
          <w:bCs w:val="1"/>
          <w:i w:val="1"/>
          <w:iCs w:val="1"/>
          <w:color w:val="auto"/>
        </w:rPr>
        <w:t>Article V</w:t>
      </w:r>
      <w:r>
        <w:rPr>
          <w:rFonts w:ascii="Arial" w:cs="Arial" w:eastAsia="Arial" w:hAnsi="Arial"/>
          <w:sz w:val="18"/>
          <w:szCs w:val="18"/>
          <w:color w:val="auto"/>
        </w:rPr>
        <w:t xml:space="preserve"> (excluding </w:t>
      </w:r>
      <w:r>
        <w:rPr>
          <w:rFonts w:ascii="Arial" w:cs="Arial" w:eastAsia="Arial" w:hAnsi="Arial"/>
          <w:sz w:val="18"/>
          <w:szCs w:val="18"/>
          <w:b w:val="1"/>
          <w:bCs w:val="1"/>
          <w:i w:val="1"/>
          <w:iCs w:val="1"/>
          <w:color w:val="auto"/>
        </w:rPr>
        <w:t>Section 5.05(c)</w:t>
      </w:r>
      <w:r>
        <w:rPr>
          <w:rFonts w:ascii="Arial" w:cs="Arial" w:eastAsia="Arial" w:hAnsi="Arial"/>
          <w:sz w:val="18"/>
          <w:szCs w:val="18"/>
          <w:color w:val="auto"/>
        </w:rPr>
        <w:t>) of the Agreement are true and correct as though made on and as of such date (except such representations and warranties which expressly refer to an earlier date, which are true and correct as of such earlier date); and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result from such proposed Borrowing(s).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SUNOCO LOGISTICS PARTNERS OPERATIONS L.P.</w:t>
      </w:r>
    </w:p>
    <w:p>
      <w:pPr>
        <w:spacing w:after="0" w:line="11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Sunoco Logistics Partners GP LLC, its General Partner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Swing Line Loan Notice</w:t>
      </w:r>
    </w:p>
    <w:p>
      <w:pPr>
        <w:sectPr>
          <w:pgSz w:w="11900" w:h="16838" w:orient="portrait"/>
          <w:cols w:equalWidth="0" w:num="1">
            <w:col w:w="11420"/>
          </w:cols>
          <w:pgMar w:left="240" w:top="280"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SWING LINE LOANS AND PAYMENTS WITH RESPECT THERETO</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Principal or</w:t>
            </w:r>
          </w:p>
        </w:tc>
        <w:tc>
          <w:tcPr>
            <w:tcW w:w="1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 Paid</w:t>
            </w:r>
          </w:p>
        </w:tc>
        <w:tc>
          <w:tcPr>
            <w:tcW w:w="1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Balance This</w:t>
            </w:r>
          </w:p>
        </w:tc>
        <w:tc>
          <w:tcPr>
            <w:tcW w:w="100" w:type="dxa"/>
            <w:vAlign w:val="bottom"/>
          </w:tcPr>
          <w:p>
            <w:pPr>
              <w:spacing w:after="0"/>
              <w:rPr>
                <w:sz w:val="12"/>
                <w:szCs w:val="12"/>
                <w:color w:val="auto"/>
              </w:rPr>
            </w:pPr>
          </w:p>
        </w:tc>
        <w:tc>
          <w:tcPr>
            <w:tcW w:w="2160" w:type="dxa"/>
            <w:vAlign w:val="bottom"/>
          </w:tcPr>
          <w:p>
            <w:pPr>
              <w:ind w:left="820"/>
              <w:spacing w:after="0" w:line="149" w:lineRule="exact"/>
              <w:rPr>
                <w:sz w:val="20"/>
                <w:szCs w:val="20"/>
                <w:color w:val="auto"/>
              </w:rPr>
            </w:pPr>
            <w:r>
              <w:rPr>
                <w:rFonts w:ascii="Arial" w:cs="Arial" w:eastAsia="Arial" w:hAnsi="Arial"/>
                <w:sz w:val="14"/>
                <w:szCs w:val="14"/>
                <w:b w:val="1"/>
                <w:bCs w:val="1"/>
                <w:color w:val="auto"/>
              </w:rPr>
              <w:t>Notation</w:t>
            </w:r>
          </w:p>
        </w:tc>
      </w:tr>
      <w:tr>
        <w:trPr>
          <w:trHeight w:val="168"/>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Loan Made</w:t>
            </w:r>
          </w:p>
        </w:tc>
        <w:tc>
          <w:tcPr>
            <w:tcW w:w="10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This Date</w:t>
            </w:r>
          </w:p>
        </w:tc>
        <w:tc>
          <w:tcPr>
            <w:tcW w:w="100" w:type="dxa"/>
            <w:vAlign w:val="bottom"/>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14"/>
                <w:szCs w:val="14"/>
                <w:color w:val="auto"/>
              </w:rPr>
            </w:pPr>
          </w:p>
        </w:tc>
        <w:tc>
          <w:tcPr>
            <w:tcW w:w="21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Made By</w:t>
            </w:r>
          </w:p>
        </w:tc>
      </w:tr>
      <w:tr>
        <w:trPr>
          <w:trHeight w:val="203"/>
        </w:trPr>
        <w:tc>
          <w:tcPr>
            <w:tcW w:w="2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r>
      <w:tr>
        <w:trPr>
          <w:trHeight w:val="210"/>
        </w:trPr>
        <w:tc>
          <w:tcPr>
            <w:tcW w:w="2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r>
      <w:tr>
        <w:trPr>
          <w:trHeight w:val="210"/>
        </w:trPr>
        <w:tc>
          <w:tcPr>
            <w:tcW w:w="2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Swing Line Loan Notice</w:t>
      </w:r>
    </w:p>
    <w:p>
      <w:pPr>
        <w:sectPr>
          <w:pgSz w:w="11900" w:h="16838" w:orient="portrait"/>
          <w:cols w:equalWidth="0" w:num="1">
            <w:col w:w="11420"/>
          </w:cols>
          <w:pgMar w:left="240" w:top="274"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22"/>
        </w:trPr>
        <w:tc>
          <w:tcPr>
            <w:tcW w:w="7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500" w:type="dxa"/>
            <w:vAlign w:val="bottom"/>
          </w:tcPr>
          <w:p>
            <w:pPr>
              <w:ind w:left="1640"/>
              <w:spacing w:after="0"/>
              <w:rPr>
                <w:sz w:val="20"/>
                <w:szCs w:val="20"/>
                <w:color w:val="auto"/>
              </w:rPr>
            </w:pPr>
            <w:r>
              <w:rPr>
                <w:rFonts w:ascii="Arial" w:cs="Arial" w:eastAsia="Arial" w:hAnsi="Arial"/>
                <w:sz w:val="18"/>
                <w:szCs w:val="18"/>
                <w:color w:val="auto"/>
                <w:w w:val="96"/>
              </w:rPr>
              <w:t>EXHIBIT B</w:t>
            </w:r>
          </w:p>
        </w:tc>
      </w:tr>
      <w:tr>
        <w:trPr>
          <w:trHeight w:val="378"/>
        </w:trPr>
        <w:tc>
          <w:tcPr>
            <w:tcW w:w="7160" w:type="dxa"/>
            <w:vAlign w:val="bottom"/>
          </w:tcPr>
          <w:p>
            <w:pPr>
              <w:ind w:left="5080"/>
              <w:spacing w:after="0"/>
              <w:rPr>
                <w:sz w:val="20"/>
                <w:szCs w:val="20"/>
                <w:color w:val="auto"/>
              </w:rPr>
            </w:pPr>
            <w:r>
              <w:rPr>
                <w:rFonts w:ascii="Arial" w:cs="Arial" w:eastAsia="Arial" w:hAnsi="Arial"/>
                <w:sz w:val="18"/>
                <w:szCs w:val="18"/>
                <w:color w:val="auto"/>
              </w:rPr>
              <w:t>FORM OF NOTE</w:t>
            </w:r>
          </w:p>
        </w:tc>
        <w:tc>
          <w:tcPr>
            <w:tcW w:w="17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78"/>
        </w:trPr>
        <w:tc>
          <w:tcPr>
            <w:tcW w:w="7160" w:type="dxa"/>
            <w:vAlign w:val="bottom"/>
          </w:tcPr>
          <w:p>
            <w:pPr>
              <w:spacing w:after="0"/>
              <w:rPr>
                <w:sz w:val="24"/>
                <w:szCs w:val="24"/>
                <w:color w:val="auto"/>
              </w:rPr>
            </w:pPr>
          </w:p>
        </w:tc>
        <w:tc>
          <w:tcPr>
            <w:tcW w:w="4260" w:type="dxa"/>
            <w:vAlign w:val="bottom"/>
            <w:gridSpan w:val="2"/>
          </w:tcPr>
          <w:p>
            <w:pPr>
              <w:ind w:left="1220"/>
              <w:spacing w:after="0"/>
              <w:rPr>
                <w:sz w:val="20"/>
                <w:szCs w:val="20"/>
                <w:color w:val="auto"/>
              </w:rPr>
            </w:pPr>
            <w:r>
              <w:rPr>
                <w:rFonts w:ascii="Arial" w:cs="Arial" w:eastAsia="Arial" w:hAnsi="Arial"/>
                <w:sz w:val="18"/>
                <w:szCs w:val="18"/>
                <w:color w:val="auto"/>
              </w:rPr>
              <w:t>August 8, 2007</w:t>
            </w:r>
          </w:p>
        </w:tc>
      </w:tr>
      <w:tr>
        <w:trPr>
          <w:trHeight w:val="340"/>
        </w:trPr>
        <w:tc>
          <w:tcPr>
            <w:tcW w:w="7160" w:type="dxa"/>
            <w:vAlign w:val="bottom"/>
          </w:tcPr>
          <w:p>
            <w:pPr>
              <w:spacing w:after="0"/>
              <w:rPr>
                <w:sz w:val="20"/>
                <w:szCs w:val="20"/>
                <w:color w:val="auto"/>
              </w:rPr>
            </w:pPr>
            <w:r>
              <w:rPr>
                <w:rFonts w:ascii="Arial" w:cs="Arial" w:eastAsia="Arial" w:hAnsi="Arial"/>
                <w:sz w:val="18"/>
                <w:szCs w:val="18"/>
                <w:color w:val="auto"/>
                <w:w w:val="90"/>
              </w:rPr>
              <w:t>FOR VALUE RECEIVED, the undersigned (the “</w:t>
            </w:r>
            <w:r>
              <w:rPr>
                <w:rFonts w:ascii="Arial" w:cs="Arial" w:eastAsia="Arial" w:hAnsi="Arial"/>
                <w:sz w:val="18"/>
                <w:szCs w:val="18"/>
                <w:b w:val="1"/>
                <w:bCs w:val="1"/>
                <w:i w:val="1"/>
                <w:iCs w:val="1"/>
                <w:color w:val="auto"/>
                <w:w w:val="90"/>
              </w:rPr>
              <w:t>Borrower</w:t>
            </w:r>
            <w:r>
              <w:rPr>
                <w:rFonts w:ascii="Arial" w:cs="Arial" w:eastAsia="Arial" w:hAnsi="Arial"/>
                <w:sz w:val="18"/>
                <w:szCs w:val="18"/>
                <w:color w:val="auto"/>
                <w:w w:val="90"/>
              </w:rPr>
              <w:t>”), hereby promises to pay to the order of</w:t>
            </w:r>
          </w:p>
        </w:tc>
        <w:tc>
          <w:tcPr>
            <w:tcW w:w="1760" w:type="dxa"/>
            <w:vAlign w:val="bottom"/>
            <w:tcBorders>
              <w:bottom w:val="single" w:sz="8" w:color="auto"/>
            </w:tcBorders>
          </w:tcPr>
          <w:p>
            <w:pPr>
              <w:spacing w:after="0"/>
              <w:rPr>
                <w:sz w:val="24"/>
                <w:szCs w:val="24"/>
                <w:color w:val="auto"/>
              </w:rPr>
            </w:pPr>
          </w:p>
        </w:tc>
        <w:tc>
          <w:tcPr>
            <w:tcW w:w="2500" w:type="dxa"/>
            <w:vAlign w:val="bottom"/>
          </w:tcPr>
          <w:p>
            <w:pPr>
              <w:ind w:left="40"/>
              <w:spacing w:after="0"/>
              <w:rPr>
                <w:sz w:val="20"/>
                <w:szCs w:val="20"/>
                <w:color w:val="auto"/>
              </w:rPr>
            </w:pPr>
            <w:r>
              <w:rPr>
                <w:rFonts w:ascii="Arial" w:cs="Arial" w:eastAsia="Arial" w:hAnsi="Arial"/>
                <w:sz w:val="18"/>
                <w:szCs w:val="18"/>
                <w:color w:val="auto"/>
                <w:w w:val="98"/>
              </w:rPr>
              <w:t>(the “</w:t>
            </w:r>
            <w:r>
              <w:rPr>
                <w:rFonts w:ascii="Arial" w:cs="Arial" w:eastAsia="Arial" w:hAnsi="Arial"/>
                <w:sz w:val="18"/>
                <w:szCs w:val="18"/>
                <w:b w:val="1"/>
                <w:bCs w:val="1"/>
                <w:i w:val="1"/>
                <w:iCs w:val="1"/>
                <w:color w:val="auto"/>
                <w:w w:val="98"/>
              </w:rPr>
              <w:t>Lender</w:t>
            </w:r>
            <w:r>
              <w:rPr>
                <w:rFonts w:ascii="Arial" w:cs="Arial" w:eastAsia="Arial" w:hAnsi="Arial"/>
                <w:sz w:val="18"/>
                <w:szCs w:val="18"/>
                <w:color w:val="auto"/>
                <w:w w:val="98"/>
              </w:rPr>
              <w:t>”), on the Lender’s</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40"/>
        <w:spacing w:after="0" w:line="298" w:lineRule="auto"/>
        <w:rPr>
          <w:sz w:val="20"/>
          <w:szCs w:val="20"/>
          <w:color w:val="auto"/>
        </w:rPr>
      </w:pPr>
      <w:r>
        <w:rPr>
          <w:rFonts w:ascii="Arial" w:cs="Arial" w:eastAsia="Arial" w:hAnsi="Arial"/>
          <w:sz w:val="16"/>
          <w:szCs w:val="16"/>
          <w:color w:val="auto"/>
        </w:rPr>
        <w:t>Maturity Date (as defined in Agreement referred to below) the principal amount of each Committed Loan (each, a “</w:t>
      </w:r>
      <w:r>
        <w:rPr>
          <w:rFonts w:ascii="Arial" w:cs="Arial" w:eastAsia="Arial" w:hAnsi="Arial"/>
          <w:sz w:val="16"/>
          <w:szCs w:val="16"/>
          <w:b w:val="1"/>
          <w:bCs w:val="1"/>
          <w:i w:val="1"/>
          <w:iCs w:val="1"/>
          <w:color w:val="auto"/>
        </w:rPr>
        <w:t>Loan</w:t>
      </w:r>
      <w:r>
        <w:rPr>
          <w:rFonts w:ascii="Arial" w:cs="Arial" w:eastAsia="Arial" w:hAnsi="Arial"/>
          <w:sz w:val="16"/>
          <w:szCs w:val="16"/>
          <w:color w:val="auto"/>
        </w:rPr>
        <w:t>”) from time to time made by the Lender to the Borrower under that certain Credit Agreement dated as of even date herewith (as amended, restated, extended, supplemented or otherwise modified in writing from time to time,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the terms defined therein being used herein as therein defined), among the Borrower, Sunoco Logistics Partners L.P., a Delaware limited partnership, the Lenders from time to time party thereto, and Citibank, N.A., as Administrative Agent.</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Borrower promises to pay interest on the unpaid principal amount of each Loan from the date of such Loan until such principal amount is paid in full, at such interest rates, and at such times as are specified in the Agreement.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43"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This Note is one of the Notes referred to in the Agreement, is entitled to the benefits thereof and is subject to optional and mandatory prepayment in whole or in part as provided therein. This Note is also entitled to the benefits of the Guaranty. Upon the occurrence of one or more of the Events of Default specified in the Agreement, all amounts then remaining unpaid on this Note shall become, or may be declared to be, immediately due and payable all as provided in the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10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 xml:space="preserve">This Note is a Loan Document and is subject to </w:t>
      </w:r>
      <w:r>
        <w:rPr>
          <w:rFonts w:ascii="Arial" w:cs="Arial" w:eastAsia="Arial" w:hAnsi="Arial"/>
          <w:sz w:val="18"/>
          <w:szCs w:val="18"/>
          <w:b w:val="1"/>
          <w:bCs w:val="1"/>
          <w:i w:val="1"/>
          <w:iCs w:val="1"/>
          <w:color w:val="auto"/>
        </w:rPr>
        <w:t>Section 10.10</w:t>
      </w:r>
      <w:r>
        <w:rPr>
          <w:rFonts w:ascii="Arial" w:cs="Arial" w:eastAsia="Arial" w:hAnsi="Arial"/>
          <w:sz w:val="18"/>
          <w:szCs w:val="18"/>
          <w:color w:val="auto"/>
        </w:rPr>
        <w:t xml:space="preserve"> of the Agreement, which is incorporated herein by reference the same as if set forth herein verbatim.</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notice of intent to accelerate, notice of acceleration, demand, dishonor and non-payment of this Note.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IN ACCORDANCE WITH THE LAWS OF THE STATE OF NEW YORK.</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ectPr>
          <w:pgSz w:w="11900" w:h="16838" w:orient="portrait"/>
          <w:cols w:equalWidth="0" w:num="1">
            <w:col w:w="11420"/>
          </w:cols>
          <w:pgMar w:left="240" w:top="280" w:right="239" w:bottom="1440" w:gutter="0" w:footer="0" w:header="0"/>
        </w:sectPr>
      </w:pPr>
    </w:p>
    <w:bookmarkStart w:id="114" w:name="page115"/>
    <w:bookmarkEnd w:id="11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SUNOCO LOGISTICS PARTNERS OPERATIONS L.P.</w:t>
      </w:r>
    </w:p>
    <w:p>
      <w:pPr>
        <w:spacing w:after="0" w:line="140"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Sunoco Logistics Partners GP LLC, its General Partner</w:t>
      </w:r>
    </w:p>
    <w:p>
      <w:pPr>
        <w:spacing w:after="0" w:line="26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-5715</wp:posOffset>
            </wp:positionV>
            <wp:extent cx="25730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-635</wp:posOffset>
            </wp:positionV>
            <wp:extent cx="25730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Form of Note</w:t>
      </w:r>
    </w:p>
    <w:p>
      <w:pPr>
        <w:sectPr>
          <w:pgSz w:w="11900" w:h="16838" w:orient="portrait"/>
          <w:cols w:equalWidth="0" w:num="1">
            <w:col w:w="10060"/>
          </w:cols>
          <w:pgMar w:left="1440" w:top="280" w:right="39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LOANS AND PAYMENTS WITH RESPECT THERETO</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End of</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Principal</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Type of Loan</w:t>
            </w: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Interest Paid This</w:t>
            </w: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Revolver Principal</w:t>
            </w:r>
          </w:p>
        </w:tc>
        <w:tc>
          <w:tcPr>
            <w:tcW w:w="100" w:type="dxa"/>
            <w:vAlign w:val="bottom"/>
          </w:tcPr>
          <w:p>
            <w:pPr>
              <w:spacing w:after="0"/>
              <w:rPr>
                <w:sz w:val="12"/>
                <w:szCs w:val="12"/>
                <w:color w:val="auto"/>
              </w:rPr>
            </w:pPr>
          </w:p>
        </w:tc>
        <w:tc>
          <w:tcPr>
            <w:tcW w:w="148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Notation</w:t>
            </w:r>
          </w:p>
        </w:tc>
      </w:tr>
      <w:tr>
        <w:trPr>
          <w:trHeight w:val="168"/>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Made</w:t>
            </w:r>
          </w:p>
        </w:tc>
        <w:tc>
          <w:tcPr>
            <w:tcW w:w="12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 Made</w:t>
            </w:r>
          </w:p>
        </w:tc>
        <w:tc>
          <w:tcPr>
            <w:tcW w:w="12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Debt This Date</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Made By</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ectPr>
          <w:pgSz w:w="11900" w:h="16838" w:orient="portrait"/>
          <w:cols w:equalWidth="0" w:num="1">
            <w:col w:w="11420"/>
          </w:cols>
          <w:pgMar w:left="240" w:top="2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COMPLIANCE CERTIFICATE</w:t>
      </w:r>
    </w:p>
    <w:p>
      <w:pPr>
        <w:spacing w:after="0" w:line="1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b w:val="1"/>
          <w:bCs w:val="1"/>
          <w:i w:val="1"/>
          <w:iCs w:val="1"/>
          <w:color w:val="auto"/>
        </w:rPr>
        <w:t>Section 6.02</w:t>
      </w:r>
      <w:r>
        <w:rPr>
          <w:rFonts w:ascii="Arial" w:cs="Arial" w:eastAsia="Arial" w:hAnsi="Arial"/>
          <w:sz w:val="18"/>
          <w:szCs w:val="18"/>
          <w:color w:val="auto"/>
        </w:rPr>
        <w:t xml:space="preserve"> of the Agreement)</w:t>
      </w:r>
    </w:p>
    <w:p>
      <w:pPr>
        <w:spacing w:after="0" w:line="165"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Financial Statement Date: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1190625</wp:posOffset>
            </wp:positionH>
            <wp:positionV relativeFrom="paragraph">
              <wp:posOffset>-13970</wp:posOffset>
            </wp:positionV>
            <wp:extent cx="6134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341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Citibank, N.A.,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Reference is made to that certain Credit Agreement, dated as of August 8, 2007 (as amended, restated, extended, supplemented or otherwise modified in writing from time to time,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the terms defined therein being used herein as therein defined), among Sunoco Logistics Partners Operations L.P., a Delaware limited partnership (the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Sunoco Logistics Partners L.P., a Delaware limited partnership (the “</w:t>
      </w:r>
      <w:r>
        <w:rPr>
          <w:rFonts w:ascii="Arial" w:cs="Arial" w:eastAsia="Arial" w:hAnsi="Arial"/>
          <w:sz w:val="16"/>
          <w:szCs w:val="16"/>
          <w:b w:val="1"/>
          <w:bCs w:val="1"/>
          <w:i w:val="1"/>
          <w:iCs w:val="1"/>
          <w:color w:val="auto"/>
        </w:rPr>
        <w:t>MLP</w:t>
      </w:r>
      <w:r>
        <w:rPr>
          <w:rFonts w:ascii="Arial" w:cs="Arial" w:eastAsia="Arial" w:hAnsi="Arial"/>
          <w:sz w:val="16"/>
          <w:szCs w:val="16"/>
          <w:color w:val="auto"/>
        </w:rPr>
        <w:t>”), the Lenders from time to time party thereto, and Citibank, N.A., as Administrative Agent. Capitalized terms used herein but not defined herein shall have the meaning set forth in the Agreement.</w:t>
      </w:r>
    </w:p>
    <w:p>
      <w:pPr>
        <w:spacing w:after="0" w:line="113" w:lineRule="exact"/>
        <w:rPr>
          <w:sz w:val="20"/>
          <w:szCs w:val="20"/>
          <w:color w:val="auto"/>
        </w:rPr>
      </w:pPr>
    </w:p>
    <w:p>
      <w:pPr>
        <w:spacing w:after="0"/>
        <w:tabs>
          <w:tab w:leader="none" w:pos="8180" w:val="left"/>
        </w:tabs>
        <w:rPr>
          <w:sz w:val="20"/>
          <w:szCs w:val="20"/>
          <w:color w:val="auto"/>
        </w:rPr>
      </w:pPr>
      <w:r>
        <w:rPr>
          <w:rFonts w:ascii="Arial" w:cs="Arial" w:eastAsia="Arial" w:hAnsi="Arial"/>
          <w:sz w:val="18"/>
          <w:szCs w:val="18"/>
          <w:color w:val="auto"/>
        </w:rPr>
        <w:t>The undersigned Responsible Officers hereby certify as of the date hereof that they are the</w:t>
      </w:r>
      <w:r>
        <w:rPr>
          <w:sz w:val="20"/>
          <w:szCs w:val="20"/>
          <w:color w:val="auto"/>
        </w:rPr>
        <w:tab/>
      </w:r>
      <w:r>
        <w:rPr>
          <w:rFonts w:ascii="Arial" w:cs="Arial" w:eastAsia="Arial" w:hAnsi="Arial"/>
          <w:sz w:val="16"/>
          <w:szCs w:val="16"/>
          <w:color w:val="auto"/>
        </w:rPr>
        <w:t>of the MLP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-13970</wp:posOffset>
            </wp:positionV>
            <wp:extent cx="11150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5060" cy="8890"/>
                    </a:xfrm>
                    <a:prstGeom prst="rect">
                      <a:avLst/>
                    </a:prstGeom>
                    <a:noFill/>
                  </pic:spPr>
                </pic:pic>
              </a:graphicData>
            </a:graphic>
          </wp:anchor>
        </w:drawing>
        <w:drawing>
          <wp:anchor simplePos="0" relativeHeight="251657728" behindDoc="1" locked="0" layoutInCell="0" allowOverlap="1">
            <wp:simplePos x="0" y="0"/>
            <wp:positionH relativeFrom="column">
              <wp:posOffset>6104890</wp:posOffset>
            </wp:positionH>
            <wp:positionV relativeFrom="paragraph">
              <wp:posOffset>-13970</wp:posOffset>
            </wp:positionV>
            <wp:extent cx="11150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of the Borrower, and that, as such, they are authorized to execute and deliver this Certificate to the Administrative Agent on the behalf of the MLP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Borrower, and that: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[Use one of the following for fiscal year-end financial statements]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Attached hereto are the year-end audited financial statements required by </w:t>
      </w:r>
      <w:r>
        <w:rPr>
          <w:rFonts w:ascii="Arial" w:cs="Arial" w:eastAsia="Arial" w:hAnsi="Arial"/>
          <w:sz w:val="18"/>
          <w:szCs w:val="18"/>
          <w:b w:val="1"/>
          <w:bCs w:val="1"/>
          <w:i w:val="1"/>
          <w:iCs w:val="1"/>
          <w:color w:val="auto"/>
        </w:rPr>
        <w:t>Section 6.01(a)</w:t>
      </w:r>
      <w:r>
        <w:rPr>
          <w:rFonts w:ascii="Arial" w:cs="Arial" w:eastAsia="Arial" w:hAnsi="Arial"/>
          <w:sz w:val="18"/>
          <w:szCs w:val="18"/>
          <w:color w:val="auto"/>
        </w:rPr>
        <w:t xml:space="preserve"> of the Agreement for the fiscal year of the MLP ended as of the above date, together with the report and opinion of an independent certified public accountant required by such section. [or]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year-end audited financial statements required by </w:t>
      </w:r>
      <w:r>
        <w:rPr>
          <w:rFonts w:ascii="Arial" w:cs="Arial" w:eastAsia="Arial" w:hAnsi="Arial"/>
          <w:sz w:val="16"/>
          <w:szCs w:val="16"/>
          <w:b w:val="1"/>
          <w:bCs w:val="1"/>
          <w:i w:val="1"/>
          <w:iCs w:val="1"/>
          <w:color w:val="auto"/>
        </w:rPr>
        <w:t>Section 6.01(a)</w:t>
      </w:r>
      <w:r>
        <w:rPr>
          <w:rFonts w:ascii="Arial" w:cs="Arial" w:eastAsia="Arial" w:hAnsi="Arial"/>
          <w:sz w:val="16"/>
          <w:szCs w:val="16"/>
          <w:color w:val="auto"/>
        </w:rPr>
        <w:t xml:space="preserve"> of the Agreement for the fiscal year of the MLP ended as of the above date, together with</w:t>
      </w:r>
    </w:p>
    <w:p>
      <w:pPr>
        <w:spacing w:after="0" w:line="38" w:lineRule="exact"/>
        <w:rPr>
          <w:sz w:val="20"/>
          <w:szCs w:val="20"/>
          <w:color w:val="auto"/>
        </w:rPr>
      </w:pPr>
    </w:p>
    <w:p>
      <w:pPr>
        <w:spacing w:after="0"/>
        <w:tabs>
          <w:tab w:leader="none" w:pos="11060" w:val="left"/>
        </w:tabs>
        <w:rPr>
          <w:sz w:val="20"/>
          <w:szCs w:val="20"/>
          <w:color w:val="auto"/>
        </w:rPr>
      </w:pPr>
      <w:r>
        <w:rPr>
          <w:rFonts w:ascii="Arial" w:cs="Arial" w:eastAsia="Arial" w:hAnsi="Arial"/>
          <w:sz w:val="18"/>
          <w:szCs w:val="18"/>
          <w:color w:val="auto"/>
        </w:rPr>
        <w:t>the report and opinion of an independent certified public accountant required by such section were filed on-line through EDGAR on</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5924550</wp:posOffset>
            </wp:positionH>
            <wp:positionV relativeFrom="paragraph">
              <wp:posOffset>-17780</wp:posOffset>
            </wp:positionV>
            <wp:extent cx="11150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[Use one of the following for fiscal quarter-end financial statements]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Attached hereto are the unaudited financial statements required by </w:t>
      </w:r>
      <w:r>
        <w:rPr>
          <w:rFonts w:ascii="Arial" w:cs="Arial" w:eastAsia="Arial" w:hAnsi="Arial"/>
          <w:sz w:val="18"/>
          <w:szCs w:val="18"/>
          <w:b w:val="1"/>
          <w:bCs w:val="1"/>
          <w:i w:val="1"/>
          <w:iCs w:val="1"/>
          <w:color w:val="auto"/>
        </w:rPr>
        <w:t>Section 6.01(b)</w:t>
      </w:r>
      <w:r>
        <w:rPr>
          <w:rFonts w:ascii="Arial" w:cs="Arial" w:eastAsia="Arial" w:hAnsi="Arial"/>
          <w:sz w:val="18"/>
          <w:szCs w:val="18"/>
          <w:color w:val="auto"/>
        </w:rPr>
        <w:t xml:space="preserve"> of the Agreement for the fiscal quarter of the MLP ended as of the above date, together with a certificate of a Responsible Officer of the MLP stating that such financial statements fairly present the financial condition, results of operations and cash flows of the MLP and its Subsidiaries in accordance with GAAP as at such date and for such period, subject only to normal year-end audit adjustments and the absence of footnotes. [or]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Attached is a certificate of a Responsible Officer of the MLP stating that the unaudited financial statements required by </w:t>
      </w:r>
      <w:r>
        <w:rPr>
          <w:rFonts w:ascii="Arial" w:cs="Arial" w:eastAsia="Arial" w:hAnsi="Arial"/>
          <w:sz w:val="16"/>
          <w:szCs w:val="16"/>
          <w:b w:val="1"/>
          <w:bCs w:val="1"/>
          <w:i w:val="1"/>
          <w:iCs w:val="1"/>
          <w:color w:val="auto"/>
        </w:rPr>
        <w:t>Section 6.01(b)</w:t>
      </w:r>
      <w:r>
        <w:rPr>
          <w:rFonts w:ascii="Arial" w:cs="Arial" w:eastAsia="Arial" w:hAnsi="Arial"/>
          <w:sz w:val="16"/>
          <w:szCs w:val="16"/>
          <w:color w:val="auto"/>
        </w:rPr>
        <w:t xml:space="preserve"> of the Agreement for the</w:t>
      </w:r>
    </w:p>
    <w:p>
      <w:pPr>
        <w:spacing w:after="0" w:line="38"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fiscal quarter of the MLP ended as of the above date, which were filed on-line through EDGAR on , fairly present the financial condition, results of operations and cash flows of the MLP and its Subsidiaries in accordance with GAAP as at such date and for such period, subject only to normal year-end audit adjustments and the absence of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4441190</wp:posOffset>
            </wp:positionH>
            <wp:positionV relativeFrom="paragraph">
              <wp:posOffset>-305435</wp:posOffset>
            </wp:positionV>
            <wp:extent cx="11150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[Use the following for both fiscal year-end and quarter-end financial statements]</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ectPr>
          <w:pgSz w:w="11900" w:h="16838" w:orient="portrait"/>
          <w:cols w:equalWidth="0" w:num="1">
            <w:col w:w="11420"/>
          </w:cols>
          <w:pgMar w:left="240" w:top="280" w:right="239" w:bottom="1440" w:gutter="0" w:footer="0" w:header="0"/>
        </w:sectPr>
      </w:pPr>
    </w:p>
    <w:bookmarkStart w:id="117" w:name="page118"/>
    <w:bookmarkEnd w:id="117"/>
    <w:p>
      <w:pPr>
        <w:ind w:right="120" w:firstLine="8"/>
        <w:spacing w:after="0" w:line="370" w:lineRule="auto"/>
        <w:tabs>
          <w:tab w:leader="none" w:pos="176" w:val="left"/>
        </w:tabs>
        <w:numPr>
          <w:ilvl w:val="0"/>
          <w:numId w:val="13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undersigned has reviewed and is familiar with the terms of the Agreement and has made, or has caused to be made under his/her supervision, a detailed review of the transactions and condition (financial or otherwise) of the Borrower during the accounting period covered by the attached financial statements.</w:t>
      </w:r>
    </w:p>
    <w:p>
      <w:pPr>
        <w:spacing w:after="0" w:line="62" w:lineRule="exact"/>
        <w:rPr>
          <w:rFonts w:ascii="Arial" w:cs="Arial" w:eastAsia="Arial" w:hAnsi="Arial"/>
          <w:sz w:val="15"/>
          <w:szCs w:val="15"/>
          <w:color w:val="auto"/>
        </w:rPr>
      </w:pPr>
    </w:p>
    <w:p>
      <w:pPr>
        <w:ind w:right="120" w:firstLine="8"/>
        <w:spacing w:after="0" w:line="256" w:lineRule="auto"/>
        <w:tabs>
          <w:tab w:leader="none" w:pos="17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A review of the activities of the MLP and the Borrower during such fiscal period has been made under the supervision of the undersigned with a view to determining whether during such fiscal period the MLP and the Borrower performed and observed all their respective Obligations under the Loan Documents, and no Default or Event of Default has occurred and is continuing </w:t>
      </w:r>
      <w:r>
        <w:rPr>
          <w:rFonts w:ascii="Arial" w:cs="Arial" w:eastAsia="Arial" w:hAnsi="Arial"/>
          <w:sz w:val="18"/>
          <w:szCs w:val="18"/>
          <w:i w:val="1"/>
          <w:iCs w:val="1"/>
          <w:color w:val="auto"/>
        </w:rPr>
        <w:t>except</w:t>
      </w:r>
      <w:r>
        <w:rPr>
          <w:rFonts w:ascii="Arial" w:cs="Arial" w:eastAsia="Arial" w:hAnsi="Arial"/>
          <w:sz w:val="18"/>
          <w:szCs w:val="18"/>
          <w:color w:val="auto"/>
        </w:rPr>
        <w:t xml:space="preserve"> as follows (list of each such Default or Event of Default and include the information required by </w:t>
      </w:r>
      <w:r>
        <w:rPr>
          <w:rFonts w:ascii="Arial" w:cs="Arial" w:eastAsia="Arial" w:hAnsi="Arial"/>
          <w:sz w:val="18"/>
          <w:szCs w:val="18"/>
          <w:b w:val="1"/>
          <w:bCs w:val="1"/>
          <w:i w:val="1"/>
          <w:iCs w:val="1"/>
          <w:color w:val="auto"/>
        </w:rPr>
        <w:t>Section 6.03</w:t>
      </w:r>
      <w:r>
        <w:rPr>
          <w:rFonts w:ascii="Arial" w:cs="Arial" w:eastAsia="Arial" w:hAnsi="Arial"/>
          <w:sz w:val="18"/>
          <w:szCs w:val="18"/>
          <w:color w:val="auto"/>
        </w:rPr>
        <w:t xml:space="preserve"> of the Credit Agreement):</w:t>
      </w:r>
    </w:p>
    <w:p>
      <w:pPr>
        <w:spacing w:after="0" w:line="143" w:lineRule="exact"/>
        <w:rPr>
          <w:rFonts w:ascii="Arial" w:cs="Arial" w:eastAsia="Arial" w:hAnsi="Arial"/>
          <w:sz w:val="18"/>
          <w:szCs w:val="18"/>
          <w:color w:val="auto"/>
        </w:rPr>
      </w:pPr>
    </w:p>
    <w:p>
      <w:pPr>
        <w:ind w:left="180" w:hanging="172"/>
        <w:spacing w:after="0"/>
        <w:tabs>
          <w:tab w:leader="none" w:pos="1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The covenant analyses and information set forth on </w:t>
      </w:r>
      <w:r>
        <w:rPr>
          <w:rFonts w:ascii="Arial" w:cs="Arial" w:eastAsia="Arial" w:hAnsi="Arial"/>
          <w:sz w:val="16"/>
          <w:szCs w:val="16"/>
          <w:b w:val="1"/>
          <w:bCs w:val="1"/>
          <w:i w:val="1"/>
          <w:iCs w:val="1"/>
          <w:color w:val="auto"/>
        </w:rPr>
        <w:t>Schedule 1</w:t>
      </w:r>
      <w:r>
        <w:rPr>
          <w:rFonts w:ascii="Arial" w:cs="Arial" w:eastAsia="Arial" w:hAnsi="Arial"/>
          <w:sz w:val="16"/>
          <w:szCs w:val="16"/>
          <w:color w:val="auto"/>
        </w:rPr>
        <w:t xml:space="preserve"> attached hereto are true and accurate on and as of the date of this Certificate.</w:t>
      </w:r>
    </w:p>
    <w:p>
      <w:pPr>
        <w:spacing w:after="0" w:line="194" w:lineRule="exact"/>
        <w:rPr>
          <w:sz w:val="20"/>
          <w:szCs w:val="20"/>
          <w:color w:val="auto"/>
        </w:rPr>
      </w:pPr>
    </w:p>
    <w:p>
      <w:pPr>
        <w:spacing w:after="0"/>
        <w:tabs>
          <w:tab w:leader="none" w:pos="6040" w:val="left"/>
          <w:tab w:leader="none" w:pos="6480" w:val="left"/>
        </w:tabs>
        <w:rPr>
          <w:sz w:val="20"/>
          <w:szCs w:val="20"/>
          <w:color w:val="auto"/>
        </w:rPr>
      </w:pPr>
      <w:r>
        <w:rPr>
          <w:rFonts w:ascii="Arial" w:cs="Arial" w:eastAsia="Arial" w:hAnsi="Arial"/>
          <w:sz w:val="16"/>
          <w:szCs w:val="16"/>
          <w:color w:val="auto"/>
        </w:rPr>
        <w:t>IN WITNESS WHEREOF, the undersigned has executed this Certificate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-13970</wp:posOffset>
            </wp:positionV>
            <wp:extent cx="61341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3410" cy="8890"/>
                    </a:xfrm>
                    <a:prstGeom prst="rect">
                      <a:avLst/>
                    </a:prstGeom>
                    <a:noFill/>
                  </pic:spPr>
                </pic:pic>
              </a:graphicData>
            </a:graphic>
          </wp:anchor>
        </w:drawing>
      </w:r>
    </w:p>
    <w:p>
      <w:pPr>
        <w:spacing w:after="0" w:line="19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SUNOCO LOGISTICS PARTNERS OPERATIONS L.P.</w:t>
      </w:r>
    </w:p>
    <w:p>
      <w:pPr>
        <w:spacing w:after="0" w:line="140"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Sunoco Logistics Partners GP LLC, its General Partner</w:t>
      </w:r>
    </w:p>
    <w:p>
      <w:pPr>
        <w:spacing w:after="0" w:line="26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-5715</wp:posOffset>
            </wp:positionV>
            <wp:extent cx="25730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-635</wp:posOffset>
            </wp:positionV>
            <wp:extent cx="25730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SUNOCO LOGISTICS PARTNERS L.P., a Delaware limited</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partnership</w:t>
      </w:r>
    </w:p>
    <w:p>
      <w:pPr>
        <w:spacing w:after="0" w:line="11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Sunoco Partners LLC, 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-5715</wp:posOffset>
            </wp:positionV>
            <wp:extent cx="25730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-635</wp:posOffset>
            </wp:positionV>
            <wp:extent cx="25730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Form of Note</w:t>
      </w:r>
    </w:p>
    <w:p>
      <w:pPr>
        <w:sectPr>
          <w:pgSz w:w="11900" w:h="16838" w:orient="portrait"/>
          <w:cols w:equalWidth="0" w:num="1">
            <w:col w:w="11260"/>
          </w:cols>
          <w:pgMar w:left="240" w:top="280" w:right="39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20" w:type="dxa"/>
            <w:vAlign w:val="bottom"/>
          </w:tcPr>
          <w:p>
            <w:pPr>
              <w:ind w:left="3560"/>
              <w:spacing w:after="0"/>
              <w:rPr>
                <w:sz w:val="20"/>
                <w:szCs w:val="20"/>
                <w:color w:val="auto"/>
              </w:rPr>
            </w:pPr>
            <w:r>
              <w:rPr>
                <w:rFonts w:ascii="Arial" w:cs="Arial" w:eastAsia="Arial" w:hAnsi="Arial"/>
                <w:sz w:val="18"/>
                <w:szCs w:val="18"/>
                <w:color w:val="auto"/>
                <w:w w:val="87"/>
              </w:rPr>
              <w:t>For the Quarter/Year ended</w:t>
            </w:r>
          </w:p>
        </w:tc>
        <w:tc>
          <w:tcPr>
            <w:tcW w:w="880" w:type="dxa"/>
            <w:vAlign w:val="bottom"/>
            <w:tcBorders>
              <w:bottom w:val="single" w:sz="8" w:color="auto"/>
            </w:tcBorders>
          </w:tcPr>
          <w:p>
            <w:pPr>
              <w:spacing w:after="0"/>
              <w:rPr>
                <w:sz w:val="17"/>
                <w:szCs w:val="17"/>
                <w:color w:val="auto"/>
              </w:rPr>
            </w:pPr>
          </w:p>
        </w:tc>
        <w:tc>
          <w:tcPr>
            <w:tcW w:w="310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Statement Date</w:t>
            </w: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6400" w:type="dxa"/>
            <w:vAlign w:val="bottom"/>
            <w:gridSpan w:val="2"/>
          </w:tcPr>
          <w:p>
            <w:pPr>
              <w:jc w:val="center"/>
              <w:ind w:left="4892"/>
              <w:spacing w:after="0"/>
              <w:rPr>
                <w:sz w:val="20"/>
                <w:szCs w:val="20"/>
                <w:color w:val="auto"/>
              </w:rPr>
            </w:pPr>
            <w:r>
              <w:rPr>
                <w:rFonts w:ascii="Arial" w:cs="Arial" w:eastAsia="Arial" w:hAnsi="Arial"/>
                <w:sz w:val="18"/>
                <w:szCs w:val="18"/>
                <w:b w:val="1"/>
                <w:bCs w:val="1"/>
                <w:color w:val="auto"/>
                <w:w w:val="96"/>
              </w:rPr>
              <w:t>SCHEDULE 1</w:t>
            </w:r>
          </w:p>
        </w:tc>
        <w:tc>
          <w:tcPr>
            <w:tcW w:w="3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3"/>
          </w:tcPr>
          <w:p>
            <w:pPr>
              <w:jc w:val="center"/>
              <w:ind w:left="1812"/>
              <w:spacing w:after="0"/>
              <w:rPr>
                <w:sz w:val="20"/>
                <w:szCs w:val="20"/>
                <w:color w:val="auto"/>
              </w:rPr>
            </w:pPr>
            <w:r>
              <w:rPr>
                <w:rFonts w:ascii="Arial" w:cs="Arial" w:eastAsia="Arial" w:hAnsi="Arial"/>
                <w:sz w:val="18"/>
                <w:szCs w:val="18"/>
                <w:color w:val="auto"/>
                <w:w w:val="89"/>
              </w:rPr>
              <w:t>to the Compliance Certificate</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2"/>
          </w:tcPr>
          <w:p>
            <w:pPr>
              <w:jc w:val="center"/>
              <w:ind w:left="4892"/>
              <w:spacing w:after="0"/>
              <w:rPr>
                <w:sz w:val="20"/>
                <w:szCs w:val="20"/>
                <w:color w:val="auto"/>
              </w:rPr>
            </w:pPr>
            <w:r>
              <w:rPr>
                <w:rFonts w:ascii="Arial" w:cs="Arial" w:eastAsia="Arial" w:hAnsi="Arial"/>
                <w:sz w:val="18"/>
                <w:szCs w:val="18"/>
                <w:color w:val="auto"/>
                <w:w w:val="92"/>
              </w:rPr>
              <w:t>($ in 000’s)</w:t>
            </w:r>
          </w:p>
        </w:tc>
        <w:tc>
          <w:tcPr>
            <w:tcW w:w="3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i w:val="1"/>
                <w:iCs w:val="1"/>
                <w:color w:val="auto"/>
              </w:rPr>
              <w:t>Section 7.04(e)</w:t>
            </w:r>
            <w:r>
              <w:rPr>
                <w:rFonts w:ascii="Arial" w:cs="Arial" w:eastAsia="Arial" w:hAnsi="Arial"/>
                <w:sz w:val="18"/>
                <w:szCs w:val="18"/>
                <w:color w:val="auto"/>
              </w:rPr>
              <w:t xml:space="preserve"> – Indebtedness of Subsidiaries</w:t>
            </w:r>
          </w:p>
        </w:tc>
        <w:tc>
          <w:tcPr>
            <w:tcW w:w="3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400" w:type="dxa"/>
            <w:vAlign w:val="bottom"/>
            <w:gridSpan w:val="2"/>
          </w:tcPr>
          <w:p>
            <w:pPr>
              <w:ind w:left="240"/>
              <w:spacing w:after="0"/>
              <w:rPr>
                <w:sz w:val="20"/>
                <w:szCs w:val="20"/>
                <w:color w:val="auto"/>
              </w:rPr>
            </w:pPr>
            <w:r>
              <w:rPr>
                <w:rFonts w:ascii="Arial" w:cs="Arial" w:eastAsia="Arial" w:hAnsi="Arial"/>
                <w:sz w:val="18"/>
                <w:szCs w:val="18"/>
                <w:color w:val="auto"/>
                <w:w w:val="92"/>
              </w:rPr>
              <w:t>A. Consolidated EBITDA for the most recent four fiscal quarters: (Line II.A.9 below)</w:t>
            </w:r>
          </w:p>
        </w:tc>
        <w:tc>
          <w:tcPr>
            <w:tcW w:w="3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0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B.  Consolidated EBITDA shown in Line I.A, times 0.5:</w:t>
            </w:r>
          </w:p>
        </w:tc>
        <w:tc>
          <w:tcPr>
            <w:tcW w:w="3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500" w:type="dxa"/>
            <w:vAlign w:val="bottom"/>
            <w:tcBorders>
              <w:top w:val="single" w:sz="8" w:color="CCEEFF"/>
            </w:tcBorders>
            <w:gridSpan w:val="3"/>
          </w:tcPr>
          <w:p>
            <w:pPr>
              <w:ind w:left="240"/>
              <w:spacing w:after="0"/>
              <w:rPr>
                <w:sz w:val="20"/>
                <w:szCs w:val="20"/>
                <w:color w:val="auto"/>
              </w:rPr>
            </w:pPr>
            <w:r>
              <w:rPr>
                <w:rFonts w:ascii="Arial" w:cs="Arial" w:eastAsia="Arial" w:hAnsi="Arial"/>
                <w:sz w:val="18"/>
                <w:szCs w:val="18"/>
                <w:color w:val="auto"/>
                <w:w w:val="99"/>
              </w:rPr>
              <w:t>C.  Actual Principal Amount of Indebtedness of Subsidiaries: (may not exceed the amount set forth in Line I.B above)</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b w:val="1"/>
          <w:bCs w:val="1"/>
          <w:i w:val="1"/>
          <w:iCs w:val="1"/>
          <w:color w:val="auto"/>
        </w:rPr>
        <w:t>Section 7.14(a)</w:t>
      </w:r>
      <w:r>
        <w:rPr>
          <w:rFonts w:ascii="Arial" w:cs="Arial" w:eastAsia="Arial" w:hAnsi="Arial"/>
          <w:sz w:val="18"/>
          <w:szCs w:val="18"/>
          <w:color w:val="auto"/>
        </w:rPr>
        <w:t xml:space="preserve"> – Calculation of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ind w:left="540" w:right="1640" w:hanging="532"/>
        <w:spacing w:after="0" w:line="268" w:lineRule="auto"/>
        <w:tabs>
          <w:tab w:leader="none" w:pos="25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Consolidated EBITDA for four consecutive fiscal quarters ending on the Statement Date (“</w:t>
      </w:r>
      <w:r>
        <w:rPr>
          <w:rFonts w:ascii="Arial" w:cs="Arial" w:eastAsia="Arial" w:hAnsi="Arial"/>
          <w:sz w:val="18"/>
          <w:szCs w:val="18"/>
          <w:b w:val="1"/>
          <w:bCs w:val="1"/>
          <w:i w:val="1"/>
          <w:iCs w:val="1"/>
          <w:color w:val="auto"/>
        </w:rPr>
        <w:t>Subject Period</w:t>
      </w:r>
      <w:r>
        <w:rPr>
          <w:rFonts w:ascii="Arial" w:cs="Arial" w:eastAsia="Arial" w:hAnsi="Arial"/>
          <w:sz w:val="18"/>
          <w:szCs w:val="18"/>
          <w:color w:val="auto"/>
        </w:rPr>
        <w:t>”) (see Credit Agreement definition of “</w:t>
      </w:r>
      <w:r>
        <w:rPr>
          <w:rFonts w:ascii="Arial" w:cs="Arial" w:eastAsia="Arial" w:hAnsi="Arial"/>
          <w:sz w:val="18"/>
          <w:szCs w:val="18"/>
          <w:b w:val="1"/>
          <w:bCs w:val="1"/>
          <w:i w:val="1"/>
          <w:iCs w:val="1"/>
          <w:color w:val="auto"/>
        </w:rPr>
        <w:t>Consolidated EBITDA</w:t>
      </w:r>
      <w:r>
        <w:rPr>
          <w:rFonts w:ascii="Arial" w:cs="Arial" w:eastAsia="Arial" w:hAnsi="Arial"/>
          <w:sz w:val="18"/>
          <w:szCs w:val="18"/>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Consolidated Net Income for Subject Period:</w:t>
            </w:r>
          </w:p>
        </w:tc>
        <w:tc>
          <w:tcPr>
            <w:tcW w:w="114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r>
      <w:tr>
        <w:trPr>
          <w:trHeight w:val="322"/>
        </w:trPr>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9420" w:type="dxa"/>
            <w:vAlign w:val="bottom"/>
          </w:tcPr>
          <w:p>
            <w:pPr>
              <w:ind w:left="60"/>
              <w:spacing w:after="0"/>
              <w:rPr>
                <w:sz w:val="20"/>
                <w:szCs w:val="20"/>
                <w:color w:val="auto"/>
              </w:rPr>
            </w:pPr>
            <w:r>
              <w:rPr>
                <w:rFonts w:ascii="Arial" w:cs="Arial" w:eastAsia="Arial" w:hAnsi="Arial"/>
                <w:sz w:val="18"/>
                <w:szCs w:val="18"/>
                <w:color w:val="auto"/>
              </w:rPr>
              <w:t>Consolidated Interest Charges for Subject Period:</w:t>
            </w:r>
          </w:p>
        </w:tc>
        <w:tc>
          <w:tcPr>
            <w:tcW w:w="1140" w:type="dxa"/>
            <w:vAlign w:val="bottom"/>
          </w:tcPr>
          <w:p>
            <w:pPr>
              <w:jc w:val="right"/>
              <w:ind w:right="792"/>
              <w:spacing w:after="0"/>
              <w:rPr>
                <w:sz w:val="20"/>
                <w:szCs w:val="20"/>
                <w:color w:val="auto"/>
              </w:rPr>
            </w:pPr>
            <w:r>
              <w:rPr>
                <w:rFonts w:ascii="Arial" w:cs="Arial" w:eastAsia="Arial" w:hAnsi="Arial"/>
                <w:sz w:val="18"/>
                <w:szCs w:val="18"/>
                <w:color w:val="auto"/>
              </w:rPr>
              <w:t>$</w:t>
            </w:r>
          </w:p>
        </w:tc>
      </w:tr>
      <w:tr>
        <w:trPr>
          <w:trHeight w:val="110"/>
        </w:trPr>
        <w:tc>
          <w:tcPr>
            <w:tcW w:w="860" w:type="dxa"/>
            <w:vAlign w:val="bottom"/>
          </w:tcPr>
          <w:p>
            <w:pPr>
              <w:spacing w:after="0"/>
              <w:rPr>
                <w:sz w:val="9"/>
                <w:szCs w:val="9"/>
                <w:color w:val="auto"/>
              </w:rPr>
            </w:pPr>
          </w:p>
        </w:tc>
        <w:tc>
          <w:tcPr>
            <w:tcW w:w="94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6"/>
        </w:trPr>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 for income taxes for Subject Period:</w:t>
            </w:r>
          </w:p>
        </w:tc>
        <w:tc>
          <w:tcPr>
            <w:tcW w:w="114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r>
      <w:tr>
        <w:trPr>
          <w:trHeight w:val="322"/>
        </w:trPr>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9420" w:type="dxa"/>
            <w:vAlign w:val="bottom"/>
          </w:tcPr>
          <w:p>
            <w:pPr>
              <w:ind w:left="60"/>
              <w:spacing w:after="0"/>
              <w:rPr>
                <w:sz w:val="20"/>
                <w:szCs w:val="20"/>
                <w:color w:val="auto"/>
              </w:rPr>
            </w:pPr>
            <w:r>
              <w:rPr>
                <w:rFonts w:ascii="Arial" w:cs="Arial" w:eastAsia="Arial" w:hAnsi="Arial"/>
                <w:sz w:val="18"/>
                <w:szCs w:val="18"/>
                <w:color w:val="auto"/>
              </w:rPr>
              <w:t>Depreciation expenses for Subject Period:</w:t>
            </w:r>
          </w:p>
        </w:tc>
        <w:tc>
          <w:tcPr>
            <w:tcW w:w="1140" w:type="dxa"/>
            <w:vAlign w:val="bottom"/>
          </w:tcPr>
          <w:p>
            <w:pPr>
              <w:jc w:val="right"/>
              <w:ind w:right="792"/>
              <w:spacing w:after="0"/>
              <w:rPr>
                <w:sz w:val="20"/>
                <w:szCs w:val="20"/>
                <w:color w:val="auto"/>
              </w:rPr>
            </w:pPr>
            <w:r>
              <w:rPr>
                <w:rFonts w:ascii="Arial" w:cs="Arial" w:eastAsia="Arial" w:hAnsi="Arial"/>
                <w:sz w:val="18"/>
                <w:szCs w:val="18"/>
                <w:color w:val="auto"/>
              </w:rPr>
              <w:t>$</w:t>
            </w:r>
          </w:p>
        </w:tc>
      </w:tr>
      <w:tr>
        <w:trPr>
          <w:trHeight w:val="110"/>
        </w:trPr>
        <w:tc>
          <w:tcPr>
            <w:tcW w:w="860" w:type="dxa"/>
            <w:vAlign w:val="bottom"/>
          </w:tcPr>
          <w:p>
            <w:pPr>
              <w:spacing w:after="0"/>
              <w:rPr>
                <w:sz w:val="9"/>
                <w:szCs w:val="9"/>
                <w:color w:val="auto"/>
              </w:rPr>
            </w:pPr>
          </w:p>
        </w:tc>
        <w:tc>
          <w:tcPr>
            <w:tcW w:w="94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6"/>
        </w:trPr>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Amortization expenses for Subject Period:</w:t>
            </w:r>
          </w:p>
        </w:tc>
        <w:tc>
          <w:tcPr>
            <w:tcW w:w="114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r>
      <w:tr>
        <w:trPr>
          <w:trHeight w:val="316"/>
        </w:trPr>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9420" w:type="dxa"/>
            <w:vAlign w:val="bottom"/>
          </w:tcPr>
          <w:p>
            <w:pPr>
              <w:ind w:left="60"/>
              <w:spacing w:after="0"/>
              <w:rPr>
                <w:sz w:val="20"/>
                <w:szCs w:val="20"/>
                <w:color w:val="auto"/>
              </w:rPr>
            </w:pPr>
            <w:r>
              <w:rPr>
                <w:rFonts w:ascii="Arial" w:cs="Arial" w:eastAsia="Arial" w:hAnsi="Arial"/>
                <w:sz w:val="18"/>
                <w:szCs w:val="18"/>
                <w:color w:val="auto"/>
                <w:w w:val="92"/>
              </w:rPr>
              <w:t>Consolidated EBITDA (prior to pro forma adjustments for Acquisitions and prior to Material Project EBITDA Adjustments (Lines</w:t>
            </w:r>
          </w:p>
        </w:tc>
        <w:tc>
          <w:tcPr>
            <w:tcW w:w="1140" w:type="dxa"/>
            <w:vAlign w:val="bottom"/>
          </w:tcPr>
          <w:p>
            <w:pPr>
              <w:spacing w:after="0"/>
              <w:rPr>
                <w:sz w:val="24"/>
                <w:szCs w:val="24"/>
                <w:color w:val="auto"/>
              </w:rPr>
            </w:pPr>
          </w:p>
        </w:tc>
      </w:tr>
      <w:tr>
        <w:trPr>
          <w:trHeight w:val="222"/>
        </w:trPr>
        <w:tc>
          <w:tcPr>
            <w:tcW w:w="860" w:type="dxa"/>
            <w:vAlign w:val="bottom"/>
          </w:tcPr>
          <w:p>
            <w:pPr>
              <w:spacing w:after="0"/>
              <w:rPr>
                <w:sz w:val="19"/>
                <w:szCs w:val="19"/>
                <w:color w:val="auto"/>
              </w:rPr>
            </w:pPr>
          </w:p>
        </w:tc>
        <w:tc>
          <w:tcPr>
            <w:tcW w:w="9420" w:type="dxa"/>
            <w:vAlign w:val="bottom"/>
          </w:tcPr>
          <w:p>
            <w:pPr>
              <w:ind w:left="60"/>
              <w:spacing w:after="0"/>
              <w:rPr>
                <w:sz w:val="20"/>
                <w:szCs w:val="20"/>
                <w:color w:val="auto"/>
              </w:rPr>
            </w:pPr>
            <w:r>
              <w:rPr>
                <w:rFonts w:ascii="Arial" w:cs="Arial" w:eastAsia="Arial" w:hAnsi="Arial"/>
                <w:sz w:val="18"/>
                <w:szCs w:val="18"/>
                <w:color w:val="auto"/>
              </w:rPr>
              <w:t>II.A.1 + II.A.2 + II.A.3 + II.A.4 + II.A.5):</w:t>
            </w:r>
          </w:p>
        </w:tc>
        <w:tc>
          <w:tcPr>
            <w:tcW w:w="1140" w:type="dxa"/>
            <w:vAlign w:val="bottom"/>
          </w:tcPr>
          <w:p>
            <w:pPr>
              <w:jc w:val="right"/>
              <w:ind w:right="792"/>
              <w:spacing w:after="0"/>
              <w:rPr>
                <w:sz w:val="20"/>
                <w:szCs w:val="20"/>
                <w:color w:val="auto"/>
              </w:rPr>
            </w:pPr>
            <w:r>
              <w:rPr>
                <w:rFonts w:ascii="Arial" w:cs="Arial" w:eastAsia="Arial" w:hAnsi="Arial"/>
                <w:sz w:val="18"/>
                <w:szCs w:val="18"/>
                <w:color w:val="auto"/>
              </w:rPr>
              <w:t>$</w:t>
            </w:r>
          </w:p>
        </w:tc>
      </w:tr>
      <w:tr>
        <w:trPr>
          <w:trHeight w:val="110"/>
        </w:trPr>
        <w:tc>
          <w:tcPr>
            <w:tcW w:w="860" w:type="dxa"/>
            <w:vAlign w:val="bottom"/>
          </w:tcPr>
          <w:p>
            <w:pPr>
              <w:spacing w:after="0"/>
              <w:rPr>
                <w:sz w:val="9"/>
                <w:szCs w:val="9"/>
                <w:color w:val="auto"/>
              </w:rPr>
            </w:pPr>
          </w:p>
        </w:tc>
        <w:tc>
          <w:tcPr>
            <w:tcW w:w="94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6"/>
        </w:trPr>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 forma adjustments to EBITDA for Acquisitions during the Subject Period:</w:t>
            </w:r>
          </w:p>
        </w:tc>
        <w:tc>
          <w:tcPr>
            <w:tcW w:w="114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r>
      <w:tr>
        <w:trPr>
          <w:trHeight w:val="322"/>
        </w:trPr>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9420" w:type="dxa"/>
            <w:vAlign w:val="bottom"/>
          </w:tcPr>
          <w:p>
            <w:pPr>
              <w:ind w:left="60"/>
              <w:spacing w:after="0"/>
              <w:rPr>
                <w:sz w:val="20"/>
                <w:szCs w:val="20"/>
                <w:color w:val="auto"/>
              </w:rPr>
            </w:pPr>
            <w:r>
              <w:rPr>
                <w:rFonts w:ascii="Arial" w:cs="Arial" w:eastAsia="Arial" w:hAnsi="Arial"/>
                <w:sz w:val="18"/>
                <w:szCs w:val="18"/>
                <w:color w:val="auto"/>
              </w:rPr>
              <w:t>Material Project EBITDA Adjustments:</w:t>
            </w:r>
          </w:p>
        </w:tc>
        <w:tc>
          <w:tcPr>
            <w:tcW w:w="1140" w:type="dxa"/>
            <w:vAlign w:val="bottom"/>
          </w:tcPr>
          <w:p>
            <w:pPr>
              <w:jc w:val="right"/>
              <w:ind w:right="792"/>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ectPr>
          <w:pgSz w:w="11900" w:h="16838" w:orient="portrait"/>
          <w:cols w:equalWidth="0" w:num="1">
            <w:col w:w="11420"/>
          </w:cols>
          <w:pgMar w:left="240" w:top="257" w:right="239" w:bottom="1440" w:gutter="0" w:footer="0" w:header="0"/>
        </w:sectPr>
      </w:pPr>
    </w:p>
    <w:bookmarkStart w:id="119" w:name="page120"/>
    <w:bookmarkEnd w:id="119"/>
    <w:p>
      <w:pPr>
        <w:ind w:left="1040" w:right="1400" w:hanging="289"/>
        <w:spacing w:after="0" w:line="268" w:lineRule="auto"/>
        <w:tabs>
          <w:tab w:leader="none" w:pos="10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EBITDA after giving effect to pro forma adjustments for Acquisitions and Material Project EBITDA Adjustments (Lines II.A.6 + II.A.7 + II.A.8):</w:t>
      </w:r>
    </w:p>
    <w:p>
      <w:pPr>
        <w:spacing w:after="0" w:line="77" w:lineRule="exact"/>
        <w:rPr>
          <w:rFonts w:ascii="Arial" w:cs="Arial" w:eastAsia="Arial" w:hAnsi="Arial"/>
          <w:sz w:val="18"/>
          <w:szCs w:val="18"/>
          <w:color w:val="auto"/>
        </w:rPr>
      </w:pPr>
    </w:p>
    <w:p>
      <w:pPr>
        <w:ind w:left="360" w:hanging="352"/>
        <w:spacing w:after="0"/>
        <w:tabs>
          <w:tab w:leader="none" w:pos="360" w:val="left"/>
        </w:tabs>
        <w:numPr>
          <w:ilvl w:val="0"/>
          <w:numId w:val="1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Section 7.14(a) </w:t>
      </w:r>
      <w:r>
        <w:rPr>
          <w:rFonts w:ascii="Arial" w:cs="Arial" w:eastAsia="Arial" w:hAnsi="Arial"/>
          <w:sz w:val="18"/>
          <w:szCs w:val="18"/>
          <w:color w:val="auto"/>
        </w:rPr>
        <w:t>–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246620" cy="274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97" w:lineRule="exact"/>
        <w:rPr>
          <w:sz w:val="20"/>
          <w:szCs w:val="20"/>
          <w:color w:val="auto"/>
        </w:rPr>
      </w:pPr>
    </w:p>
    <w:p>
      <w:pPr>
        <w:ind w:left="360"/>
        <w:spacing w:after="0"/>
        <w:tabs>
          <w:tab w:leader="none" w:pos="740" w:val="left"/>
          <w:tab w:leader="none" w:pos="10360" w:val="left"/>
        </w:tabs>
        <w:rPr>
          <w:sz w:val="20"/>
          <w:szCs w:val="20"/>
          <w:color w:val="auto"/>
        </w:rPr>
      </w:pPr>
      <w:r>
        <w:rPr>
          <w:rFonts w:ascii="Arial" w:cs="Arial" w:eastAsia="Arial" w:hAnsi="Arial"/>
          <w:sz w:val="18"/>
          <w:szCs w:val="18"/>
          <w:color w:val="auto"/>
        </w:rPr>
        <w:t>A.</w:t>
        <w:tab/>
        <w:t>Consolidated Total Debt calculated prior to reduction for Designated Hybrid Securities: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ind w:left="760" w:hanging="401"/>
        <w:spacing w:after="0"/>
        <w:tabs>
          <w:tab w:leader="none" w:pos="7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Adjustment for Designated Hybrid Securities:</w:t>
      </w:r>
    </w:p>
    <w:p>
      <w:pPr>
        <w:spacing w:after="0" w:line="117" w:lineRule="exact"/>
        <w:rPr>
          <w:rFonts w:ascii="Arial" w:cs="Arial" w:eastAsia="Arial" w:hAnsi="Arial"/>
          <w:sz w:val="18"/>
          <w:szCs w:val="18"/>
          <w:color w:val="auto"/>
        </w:rPr>
      </w:pPr>
    </w:p>
    <w:p>
      <w:pPr>
        <w:ind w:left="1040" w:hanging="289"/>
        <w:spacing w:after="0"/>
        <w:tabs>
          <w:tab w:leader="none" w:pos="10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Face amount of Hybrid Securities: $</w:t>
      </w:r>
    </w:p>
    <w:p>
      <w:pPr>
        <w:spacing w:after="0" w:line="117" w:lineRule="exact"/>
        <w:rPr>
          <w:rFonts w:ascii="Arial" w:cs="Arial" w:eastAsia="Arial" w:hAnsi="Arial"/>
          <w:sz w:val="18"/>
          <w:szCs w:val="18"/>
          <w:color w:val="auto"/>
        </w:rPr>
      </w:pPr>
    </w:p>
    <w:p>
      <w:pPr>
        <w:ind w:left="1040" w:hanging="289"/>
        <w:spacing w:after="0"/>
        <w:tabs>
          <w:tab w:leader="none" w:pos="10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Face amount of Designated Hybrid Securities (not to exceed 15% of Total Capitalization): $</w:t>
      </w:r>
    </w:p>
    <w:p>
      <w:pPr>
        <w:spacing w:after="0" w:line="117" w:lineRule="exact"/>
        <w:rPr>
          <w:rFonts w:ascii="Arial" w:cs="Arial" w:eastAsia="Arial" w:hAnsi="Arial"/>
          <w:sz w:val="18"/>
          <w:szCs w:val="18"/>
          <w:color w:val="auto"/>
        </w:rPr>
      </w:pPr>
    </w:p>
    <w:p>
      <w:pPr>
        <w:ind w:left="1040" w:hanging="289"/>
        <w:spacing w:after="0"/>
        <w:tabs>
          <w:tab w:leader="none" w:pos="10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Total Capitalization: $</w:t>
      </w:r>
    </w:p>
    <w:p>
      <w:pPr>
        <w:spacing w:after="0" w:line="117" w:lineRule="exact"/>
        <w:rPr>
          <w:rFonts w:ascii="Arial" w:cs="Arial" w:eastAsia="Arial" w:hAnsi="Arial"/>
          <w:sz w:val="18"/>
          <w:szCs w:val="18"/>
          <w:color w:val="auto"/>
        </w:rPr>
      </w:pPr>
    </w:p>
    <w:p>
      <w:pPr>
        <w:ind w:left="1040" w:hanging="289"/>
        <w:spacing w:after="0"/>
        <w:tabs>
          <w:tab w:leader="none" w:pos="10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Consolidated Net Worth (used in calculating Total Capitalization): $</w:t>
      </w:r>
    </w:p>
    <w:p>
      <w:pPr>
        <w:spacing w:after="0" w:line="117" w:lineRule="exact"/>
        <w:rPr>
          <w:rFonts w:ascii="Arial" w:cs="Arial" w:eastAsia="Arial" w:hAnsi="Arial"/>
          <w:sz w:val="18"/>
          <w:szCs w:val="18"/>
          <w:color w:val="auto"/>
        </w:rPr>
      </w:pPr>
    </w:p>
    <w:p>
      <w:pPr>
        <w:ind w:left="1040" w:hanging="289"/>
        <w:spacing w:after="0"/>
        <w:tabs>
          <w:tab w:leader="none" w:pos="10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Partners’ capital (used in computing Consolidated Net Worth):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-948690</wp:posOffset>
            </wp:positionV>
            <wp:extent cx="72466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-631190</wp:posOffset>
            </wp:positionV>
            <wp:extent cx="5575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-219710</wp:posOffset>
            </wp:positionV>
            <wp:extent cx="5575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80" w:type="dxa"/>
            <w:vAlign w:val="bottom"/>
          </w:tcPr>
          <w:p>
            <w:pPr>
              <w:ind w:left="760"/>
              <w:spacing w:after="0"/>
              <w:rPr>
                <w:sz w:val="20"/>
                <w:szCs w:val="20"/>
                <w:color w:val="auto"/>
              </w:rPr>
            </w:pPr>
            <w:r>
              <w:rPr>
                <w:rFonts w:ascii="Arial" w:cs="Arial" w:eastAsia="Arial" w:hAnsi="Arial"/>
                <w:sz w:val="18"/>
                <w:szCs w:val="18"/>
                <w:color w:val="auto"/>
              </w:rPr>
              <w:t>6.</w:t>
            </w:r>
          </w:p>
        </w:tc>
        <w:tc>
          <w:tcPr>
            <w:tcW w:w="9120" w:type="dxa"/>
            <w:vAlign w:val="bottom"/>
          </w:tcPr>
          <w:p>
            <w:pPr>
              <w:ind w:left="60"/>
              <w:spacing w:after="0"/>
              <w:rPr>
                <w:sz w:val="20"/>
                <w:szCs w:val="20"/>
                <w:color w:val="auto"/>
              </w:rPr>
            </w:pPr>
            <w:r>
              <w:rPr>
                <w:rFonts w:ascii="Arial" w:cs="Arial" w:eastAsia="Arial" w:hAnsi="Arial"/>
                <w:sz w:val="18"/>
                <w:szCs w:val="18"/>
                <w:color w:val="auto"/>
              </w:rPr>
              <w:t>Consolidated Total Debt taking into account adjustment for Designated Hybrid Securities, if applicable:</w:t>
            </w:r>
          </w:p>
        </w:tc>
        <w:tc>
          <w:tcPr>
            <w:tcW w:w="1320" w:type="dxa"/>
            <w:vAlign w:val="bottom"/>
          </w:tcPr>
          <w:p>
            <w:pPr>
              <w:jc w:val="right"/>
              <w:ind w:right="872"/>
              <w:spacing w:after="0"/>
              <w:rPr>
                <w:sz w:val="20"/>
                <w:szCs w:val="20"/>
                <w:color w:val="auto"/>
              </w:rPr>
            </w:pPr>
            <w:r>
              <w:rPr>
                <w:rFonts w:ascii="Arial" w:cs="Arial" w:eastAsia="Arial" w:hAnsi="Arial"/>
                <w:sz w:val="18"/>
                <w:szCs w:val="18"/>
                <w:color w:val="auto"/>
              </w:rPr>
              <w:t>$</w:t>
            </w:r>
          </w:p>
        </w:tc>
      </w:tr>
      <w:tr>
        <w:trPr>
          <w:trHeight w:val="110"/>
        </w:trPr>
        <w:tc>
          <w:tcPr>
            <w:tcW w:w="98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16"/>
        </w:trPr>
        <w:tc>
          <w:tcPr>
            <w:tcW w:w="9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w:t>
            </w:r>
          </w:p>
        </w:tc>
        <w:tc>
          <w:tcPr>
            <w:tcW w:w="9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Minus Excluded Affiliate Debt:</w:t>
            </w:r>
          </w:p>
        </w:tc>
        <w:tc>
          <w:tcPr>
            <w:tcW w:w="132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r>
      <w:tr>
        <w:trPr>
          <w:trHeight w:val="322"/>
        </w:trPr>
        <w:tc>
          <w:tcPr>
            <w:tcW w:w="980" w:type="dxa"/>
            <w:vAlign w:val="bottom"/>
          </w:tcPr>
          <w:p>
            <w:pPr>
              <w:ind w:left="760"/>
              <w:spacing w:after="0"/>
              <w:rPr>
                <w:sz w:val="20"/>
                <w:szCs w:val="20"/>
                <w:color w:val="auto"/>
              </w:rPr>
            </w:pPr>
            <w:r>
              <w:rPr>
                <w:rFonts w:ascii="Arial" w:cs="Arial" w:eastAsia="Arial" w:hAnsi="Arial"/>
                <w:sz w:val="18"/>
                <w:szCs w:val="18"/>
                <w:color w:val="auto"/>
              </w:rPr>
              <w:t>D.</w:t>
            </w:r>
          </w:p>
        </w:tc>
        <w:tc>
          <w:tcPr>
            <w:tcW w:w="9120" w:type="dxa"/>
            <w:vAlign w:val="bottom"/>
          </w:tcPr>
          <w:p>
            <w:pPr>
              <w:ind w:left="60"/>
              <w:spacing w:after="0"/>
              <w:rPr>
                <w:sz w:val="20"/>
                <w:szCs w:val="20"/>
                <w:color w:val="auto"/>
              </w:rPr>
            </w:pPr>
            <w:r>
              <w:rPr>
                <w:rFonts w:ascii="Arial" w:cs="Arial" w:eastAsia="Arial" w:hAnsi="Arial"/>
                <w:sz w:val="18"/>
                <w:szCs w:val="18"/>
                <w:color w:val="auto"/>
                <w:w w:val="93"/>
              </w:rPr>
              <w:t>Consolidated EBITDA (including pro forma adjustments for Asset Acquisitions and Material Project EBITDA Adjustments)</w:t>
            </w:r>
          </w:p>
        </w:tc>
        <w:tc>
          <w:tcPr>
            <w:tcW w:w="1320" w:type="dxa"/>
            <w:vAlign w:val="bottom"/>
          </w:tcPr>
          <w:p>
            <w:pPr>
              <w:jc w:val="right"/>
              <w:ind w:right="872"/>
              <w:spacing w:after="0"/>
              <w:rPr>
                <w:sz w:val="20"/>
                <w:szCs w:val="20"/>
                <w:color w:val="auto"/>
              </w:rPr>
            </w:pPr>
            <w:r>
              <w:rPr>
                <w:rFonts w:ascii="Arial" w:cs="Arial" w:eastAsia="Arial" w:hAnsi="Arial"/>
                <w:sz w:val="18"/>
                <w:szCs w:val="18"/>
                <w:color w:val="auto"/>
              </w:rPr>
              <w:t>$</w:t>
            </w:r>
          </w:p>
        </w:tc>
      </w:tr>
    </w:tbl>
    <w:p>
      <w:pPr>
        <w:ind w:left="1040"/>
        <w:spacing w:after="0"/>
        <w:rPr>
          <w:sz w:val="20"/>
          <w:szCs w:val="20"/>
          <w:color w:val="auto"/>
        </w:rPr>
      </w:pPr>
      <w:r>
        <w:rPr>
          <w:rFonts w:ascii="Arial" w:cs="Arial" w:eastAsia="Arial" w:hAnsi="Arial"/>
          <w:sz w:val="18"/>
          <w:szCs w:val="18"/>
          <w:color w:val="auto"/>
        </w:rPr>
        <w:t>(Line II.A.9 above):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E.  Leverage Ratio (Line III.B.6 minus Line III.C) ÷ III.D):</w:t>
            </w:r>
          </w:p>
        </w:tc>
        <w:tc>
          <w:tcPr>
            <w:tcW w:w="5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to 1.0</w:t>
            </w:r>
          </w:p>
        </w:tc>
      </w:tr>
      <w:tr>
        <w:trPr>
          <w:trHeight w:val="250"/>
        </w:trPr>
        <w:tc>
          <w:tcPr>
            <w:tcW w:w="960" w:type="dxa"/>
            <w:vAlign w:val="bottom"/>
            <w:shd w:val="clear" w:color="auto" w:fill="CCEEFF"/>
          </w:tcPr>
          <w:p>
            <w:pPr>
              <w:spacing w:after="0"/>
              <w:rPr>
                <w:sz w:val="21"/>
                <w:szCs w:val="21"/>
                <w:color w:val="auto"/>
              </w:rPr>
            </w:pPr>
          </w:p>
        </w:tc>
        <w:tc>
          <w:tcPr>
            <w:tcW w:w="9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Maximum permitted: 4.75:1.0*</w:t>
            </w:r>
          </w:p>
        </w:tc>
        <w:tc>
          <w:tcPr>
            <w:tcW w:w="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9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If </w:t>
      </w:r>
      <w:r>
        <w:rPr>
          <w:rFonts w:ascii="Arial" w:cs="Arial" w:eastAsia="Arial" w:hAnsi="Arial"/>
          <w:sz w:val="18"/>
          <w:szCs w:val="18"/>
          <w:b w:val="1"/>
          <w:bCs w:val="1"/>
          <w:i w:val="1"/>
          <w:iCs w:val="1"/>
          <w:color w:val="auto"/>
        </w:rPr>
        <w:t>Section 7.14(a)(i)</w:t>
      </w:r>
      <w:r>
        <w:rPr>
          <w:rFonts w:ascii="Arial" w:cs="Arial" w:eastAsia="Arial" w:hAnsi="Arial"/>
          <w:sz w:val="18"/>
          <w:szCs w:val="18"/>
          <w:color w:val="auto"/>
        </w:rPr>
        <w:t xml:space="preserve"> is applicable (Acquisition Period), please attach separate sheet showing relevant calculations and compliance.</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ectPr>
          <w:pgSz w:w="11900" w:h="16838" w:orient="portrait"/>
          <w:cols w:equalWidth="0" w:num="1">
            <w:col w:w="11420"/>
          </w:cols>
          <w:pgMar w:left="240" w:top="2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pacing w:after="0" w:line="171"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This Assignment and Assumption (the “</w:t>
      </w:r>
      <w:r>
        <w:rPr>
          <w:rFonts w:ascii="Arial" w:cs="Arial" w:eastAsia="Arial" w:hAnsi="Arial"/>
          <w:sz w:val="16"/>
          <w:szCs w:val="16"/>
          <w:b w:val="1"/>
          <w:bCs w:val="1"/>
          <w:i w:val="1"/>
          <w:iCs w:val="1"/>
          <w:color w:val="auto"/>
        </w:rPr>
        <w:t>Assignment and Assumption</w:t>
      </w:r>
      <w:r>
        <w:rPr>
          <w:rFonts w:ascii="Arial" w:cs="Arial" w:eastAsia="Arial" w:hAnsi="Arial"/>
          <w:sz w:val="16"/>
          <w:szCs w:val="16"/>
          <w:color w:val="auto"/>
        </w:rPr>
        <w:t>”) is dated as of the Effective Date set forth below and is entered into by and between [the] [each]</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Assignor identified in item 1 below [the][each] an “Assignor” and [the][each]</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Assignee identified in item 2 below [the][each, an] “</w:t>
      </w:r>
      <w:r>
        <w:rPr>
          <w:rFonts w:ascii="Arial" w:cs="Arial" w:eastAsia="Arial" w:hAnsi="Arial"/>
          <w:sz w:val="16"/>
          <w:szCs w:val="16"/>
          <w:b w:val="1"/>
          <w:bCs w:val="1"/>
          <w:i w:val="1"/>
          <w:iCs w:val="1"/>
          <w:color w:val="auto"/>
        </w:rPr>
        <w:t>Assignee</w:t>
      </w:r>
      <w:r>
        <w:rPr>
          <w:rFonts w:ascii="Arial" w:cs="Arial" w:eastAsia="Arial" w:hAnsi="Arial"/>
          <w:sz w:val="16"/>
          <w:szCs w:val="16"/>
          <w:color w:val="auto"/>
        </w:rPr>
        <w:t>”). [It is</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understood and agreed that the rights and obligations of [the Assignors][the Assignees]</w:t>
      </w:r>
      <w:r>
        <w:rPr>
          <w:rFonts w:ascii="Arial" w:cs="Arial" w:eastAsia="Arial" w:hAnsi="Arial"/>
          <w:sz w:val="21"/>
          <w:szCs w:val="21"/>
          <w:color w:val="auto"/>
          <w:vertAlign w:val="superscript"/>
        </w:rPr>
        <w:t>3</w:t>
      </w:r>
      <w:r>
        <w:rPr>
          <w:rFonts w:ascii="Arial" w:cs="Arial" w:eastAsia="Arial" w:hAnsi="Arial"/>
          <w:sz w:val="17"/>
          <w:szCs w:val="17"/>
          <w:color w:val="auto"/>
        </w:rPr>
        <w:t xml:space="preserve"> hereunder are several and not joint.]</w:t>
      </w:r>
      <w:r>
        <w:rPr>
          <w:rFonts w:ascii="Arial" w:cs="Arial" w:eastAsia="Arial" w:hAnsi="Arial"/>
          <w:sz w:val="21"/>
          <w:szCs w:val="21"/>
          <w:color w:val="auto"/>
          <w:vertAlign w:val="superscript"/>
        </w:rPr>
        <w:t>4</w:t>
      </w:r>
      <w:r>
        <w:rPr>
          <w:rFonts w:ascii="Arial" w:cs="Arial" w:eastAsia="Arial" w:hAnsi="Arial"/>
          <w:sz w:val="17"/>
          <w:szCs w:val="17"/>
          <w:color w:val="auto"/>
        </w:rPr>
        <w:t xml:space="preserve"> Capitalized terms used but not defined herein shall have the meanings given to them in the Credit Agreement identified below (as amended, the “</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an agreed consideration, [the][each] Assignor hereby irrevocably sells and assigns to the Assignee,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 [the respective Assignor] under the respective facilities identified below (including any letters of credit, guarantees and swing 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b w:val="1"/>
          <w:bCs w:val="1"/>
          <w:i w:val="1"/>
          <w:iCs w:val="1"/>
          <w:color w:val="auto"/>
        </w:rPr>
        <w:t>Assigned Interest</w:t>
      </w:r>
      <w:r>
        <w:rPr>
          <w:rFonts w:ascii="Arial" w:cs="Arial" w:eastAsia="Arial" w:hAnsi="Arial"/>
          <w:sz w:val="16"/>
          <w:szCs w:val="16"/>
          <w:color w:val="auto"/>
        </w:rPr>
        <w:t>”). Such sale and assignment is without recourse to the Assignor and, except as expressly provided in this Assignment and Assumption, without representation or warranty by [the][any] Assignor.</w:t>
      </w:r>
    </w:p>
    <w:p>
      <w:pPr>
        <w:spacing w:after="0" w:line="175" w:lineRule="exact"/>
        <w:rPr>
          <w:sz w:val="20"/>
          <w:szCs w:val="20"/>
          <w:color w:val="auto"/>
        </w:rPr>
      </w:pPr>
    </w:p>
    <w:p>
      <w:pPr>
        <w:ind w:left="320" w:hanging="312"/>
        <w:spacing w:after="0"/>
        <w:tabs>
          <w:tab w:leader="none" w:pos="3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Assignor:</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-219710</wp:posOffset>
            </wp:positionV>
            <wp:extent cx="32499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4993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-5715</wp:posOffset>
            </wp:positionV>
            <wp:extent cx="32499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for each Assignee, indicate [Affiliate] [Approved Fund]</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6000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63"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63"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For bracketed language here and elsewhere in this form relating to the Assignor(s), if the assignment is from a single Assignor, choose the first bracketed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language. If the assignment is from multiple Assignors, choose the second bracketed language.</w:t>
      </w:r>
    </w:p>
    <w:p>
      <w:pPr>
        <w:spacing w:after="0"/>
        <w:rPr>
          <w:sz w:val="20"/>
          <w:szCs w:val="20"/>
          <w:color w:val="auto"/>
        </w:rPr>
      </w:pPr>
      <w:r>
        <w:rPr>
          <w:rFonts w:ascii="Arial" w:cs="Arial" w:eastAsia="Arial" w:hAnsi="Arial"/>
          <w:sz w:val="15"/>
          <w:szCs w:val="15"/>
          <w:color w:val="auto"/>
        </w:rPr>
        <w:t>For bracketed language here and elsewhere in this form relating to the Assignee(s), if the assignment is from a single Assignor, choose the first bracketed</w:t>
      </w:r>
    </w:p>
    <w:p>
      <w:pPr>
        <w:spacing w:after="0" w:line="238" w:lineRule="auto"/>
        <w:rPr>
          <w:sz w:val="20"/>
          <w:szCs w:val="20"/>
          <w:color w:val="auto"/>
        </w:rPr>
      </w:pPr>
      <w:r>
        <w:rPr>
          <w:rFonts w:ascii="Arial" w:cs="Arial" w:eastAsia="Arial" w:hAnsi="Arial"/>
          <w:sz w:val="18"/>
          <w:szCs w:val="18"/>
          <w:color w:val="auto"/>
        </w:rPr>
        <w:t>language. If the assignment is from multiple Assignors, choose the second bracketed language.</w:t>
      </w:r>
    </w:p>
    <w:p>
      <w:pPr>
        <w:spacing w:after="0" w:line="204" w:lineRule="auto"/>
        <w:rPr>
          <w:sz w:val="20"/>
          <w:szCs w:val="20"/>
          <w:color w:val="auto"/>
        </w:rPr>
      </w:pPr>
      <w:r>
        <w:rPr>
          <w:rFonts w:ascii="Arial" w:cs="Arial" w:eastAsia="Arial" w:hAnsi="Arial"/>
          <w:sz w:val="18"/>
          <w:szCs w:val="18"/>
          <w:color w:val="auto"/>
        </w:rPr>
        <w:t>Select as appropriate.</w:t>
      </w:r>
    </w:p>
    <w:p>
      <w:pPr>
        <w:spacing w:after="0"/>
        <w:rPr>
          <w:sz w:val="20"/>
          <w:szCs w:val="20"/>
          <w:color w:val="auto"/>
        </w:rPr>
      </w:pPr>
      <w:r>
        <w:rPr>
          <w:rFonts w:ascii="Arial" w:cs="Arial" w:eastAsia="Arial" w:hAnsi="Arial"/>
          <w:sz w:val="18"/>
          <w:szCs w:val="18"/>
          <w:color w:val="auto"/>
        </w:rPr>
        <w:t>Include bracketed language if there are either multiple Assignors or multiple Assignees.</w:t>
      </w:r>
    </w:p>
    <w:p>
      <w:pPr>
        <w:spacing w:after="0" w:line="13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Exhibit D</w:t>
      </w:r>
    </w:p>
    <w:p>
      <w:pPr>
        <w:spacing w:after="0" w:line="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Page 1</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2">
            <w:col w:w="60" w:space="400"/>
            <w:col w:w="10960"/>
          </w:cols>
          <w:pgMar w:left="240" w:top="280" w:right="23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22"/>
        </w:trPr>
        <w:tc>
          <w:tcPr>
            <w:tcW w:w="260" w:type="dxa"/>
            <w:vAlign w:val="bottom"/>
          </w:tcPr>
          <w:p>
            <w:pPr>
              <w:jc w:val="right"/>
              <w:ind w:right="32"/>
              <w:spacing w:after="0"/>
              <w:rPr>
                <w:sz w:val="20"/>
                <w:szCs w:val="20"/>
                <w:color w:val="auto"/>
              </w:rPr>
            </w:pPr>
            <w:r>
              <w:rPr>
                <w:rFonts w:ascii="Arial" w:cs="Arial" w:eastAsia="Arial" w:hAnsi="Arial"/>
                <w:sz w:val="18"/>
                <w:szCs w:val="18"/>
                <w:color w:val="auto"/>
                <w:w w:val="79"/>
              </w:rPr>
              <w:t>3.</w:t>
            </w:r>
          </w:p>
        </w:tc>
        <w:tc>
          <w:tcPr>
            <w:tcW w:w="1920" w:type="dxa"/>
            <w:vAlign w:val="bottom"/>
          </w:tcPr>
          <w:p>
            <w:pPr>
              <w:ind w:left="120"/>
              <w:spacing w:after="0"/>
              <w:rPr>
                <w:sz w:val="20"/>
                <w:szCs w:val="20"/>
                <w:color w:val="auto"/>
              </w:rPr>
            </w:pPr>
            <w:r>
              <w:rPr>
                <w:rFonts w:ascii="Arial" w:cs="Arial" w:eastAsia="Arial" w:hAnsi="Arial"/>
                <w:sz w:val="18"/>
                <w:szCs w:val="18"/>
                <w:color w:val="auto"/>
              </w:rPr>
              <w:t>Borrower:</w:t>
            </w:r>
          </w:p>
        </w:tc>
        <w:tc>
          <w:tcPr>
            <w:tcW w:w="8700" w:type="dxa"/>
            <w:vAlign w:val="bottom"/>
          </w:tcPr>
          <w:p>
            <w:pPr>
              <w:ind w:left="240"/>
              <w:spacing w:after="0"/>
              <w:rPr>
                <w:sz w:val="20"/>
                <w:szCs w:val="20"/>
                <w:color w:val="auto"/>
              </w:rPr>
            </w:pPr>
            <w:r>
              <w:rPr>
                <w:rFonts w:ascii="Arial" w:cs="Arial" w:eastAsia="Arial" w:hAnsi="Arial"/>
                <w:sz w:val="18"/>
                <w:szCs w:val="18"/>
                <w:color w:val="auto"/>
              </w:rPr>
              <w:t>Sunoco Logistics Partners Operations L.P.</w:t>
            </w:r>
          </w:p>
        </w:tc>
      </w:tr>
      <w:tr>
        <w:trPr>
          <w:trHeight w:val="324"/>
        </w:trPr>
        <w:tc>
          <w:tcPr>
            <w:tcW w:w="260" w:type="dxa"/>
            <w:vAlign w:val="bottom"/>
          </w:tcPr>
          <w:p>
            <w:pPr>
              <w:jc w:val="right"/>
              <w:ind w:right="32"/>
              <w:spacing w:after="0"/>
              <w:rPr>
                <w:sz w:val="20"/>
                <w:szCs w:val="20"/>
                <w:color w:val="auto"/>
              </w:rPr>
            </w:pPr>
            <w:r>
              <w:rPr>
                <w:rFonts w:ascii="Arial" w:cs="Arial" w:eastAsia="Arial" w:hAnsi="Arial"/>
                <w:sz w:val="18"/>
                <w:szCs w:val="18"/>
                <w:color w:val="auto"/>
                <w:w w:val="79"/>
              </w:rPr>
              <w:t>4.</w:t>
            </w:r>
          </w:p>
        </w:tc>
        <w:tc>
          <w:tcPr>
            <w:tcW w:w="1920" w:type="dxa"/>
            <w:vAlign w:val="bottom"/>
          </w:tcPr>
          <w:p>
            <w:pPr>
              <w:ind w:left="120"/>
              <w:spacing w:after="0"/>
              <w:rPr>
                <w:sz w:val="20"/>
                <w:szCs w:val="20"/>
                <w:color w:val="auto"/>
              </w:rPr>
            </w:pPr>
            <w:r>
              <w:rPr>
                <w:rFonts w:ascii="Arial" w:cs="Arial" w:eastAsia="Arial" w:hAnsi="Arial"/>
                <w:sz w:val="18"/>
                <w:szCs w:val="18"/>
                <w:color w:val="auto"/>
              </w:rPr>
              <w:t>Administrative Agent:</w:t>
            </w:r>
          </w:p>
        </w:tc>
        <w:tc>
          <w:tcPr>
            <w:tcW w:w="8700" w:type="dxa"/>
            <w:vAlign w:val="bottom"/>
          </w:tcPr>
          <w:p>
            <w:pPr>
              <w:ind w:left="240"/>
              <w:spacing w:after="0"/>
              <w:rPr>
                <w:sz w:val="20"/>
                <w:szCs w:val="20"/>
                <w:color w:val="auto"/>
              </w:rPr>
            </w:pPr>
            <w:r>
              <w:rPr>
                <w:rFonts w:ascii="Arial" w:cs="Arial" w:eastAsia="Arial" w:hAnsi="Arial"/>
                <w:sz w:val="18"/>
                <w:szCs w:val="18"/>
                <w:color w:val="auto"/>
              </w:rPr>
              <w:t>Citibank, N.A., as the administrative agent under the Credit Agreement</w:t>
            </w:r>
          </w:p>
        </w:tc>
      </w:tr>
      <w:tr>
        <w:trPr>
          <w:trHeight w:val="318"/>
        </w:trPr>
        <w:tc>
          <w:tcPr>
            <w:tcW w:w="260" w:type="dxa"/>
            <w:vAlign w:val="bottom"/>
          </w:tcPr>
          <w:p>
            <w:pPr>
              <w:jc w:val="right"/>
              <w:ind w:right="32"/>
              <w:spacing w:after="0"/>
              <w:rPr>
                <w:sz w:val="20"/>
                <w:szCs w:val="20"/>
                <w:color w:val="auto"/>
              </w:rPr>
            </w:pPr>
            <w:r>
              <w:rPr>
                <w:rFonts w:ascii="Arial" w:cs="Arial" w:eastAsia="Arial" w:hAnsi="Arial"/>
                <w:sz w:val="18"/>
                <w:szCs w:val="18"/>
                <w:color w:val="auto"/>
                <w:w w:val="79"/>
              </w:rPr>
              <w:t>5.</w:t>
            </w:r>
          </w:p>
        </w:tc>
        <w:tc>
          <w:tcPr>
            <w:tcW w:w="1920" w:type="dxa"/>
            <w:vAlign w:val="bottom"/>
          </w:tcPr>
          <w:p>
            <w:pPr>
              <w:ind w:left="120"/>
              <w:spacing w:after="0"/>
              <w:rPr>
                <w:sz w:val="20"/>
                <w:szCs w:val="20"/>
                <w:color w:val="auto"/>
              </w:rPr>
            </w:pPr>
            <w:r>
              <w:rPr>
                <w:rFonts w:ascii="Arial" w:cs="Arial" w:eastAsia="Arial" w:hAnsi="Arial"/>
                <w:sz w:val="18"/>
                <w:szCs w:val="18"/>
                <w:color w:val="auto"/>
              </w:rPr>
              <w:t>Credit Agreement:</w:t>
            </w:r>
          </w:p>
        </w:tc>
        <w:tc>
          <w:tcPr>
            <w:tcW w:w="8700" w:type="dxa"/>
            <w:vAlign w:val="bottom"/>
          </w:tcPr>
          <w:p>
            <w:pPr>
              <w:ind w:left="240"/>
              <w:spacing w:after="0"/>
              <w:rPr>
                <w:sz w:val="20"/>
                <w:szCs w:val="20"/>
                <w:color w:val="auto"/>
              </w:rPr>
            </w:pPr>
            <w:r>
              <w:rPr>
                <w:rFonts w:ascii="Arial" w:cs="Arial" w:eastAsia="Arial" w:hAnsi="Arial"/>
                <w:sz w:val="18"/>
                <w:szCs w:val="18"/>
                <w:color w:val="auto"/>
                <w:w w:val="87"/>
              </w:rPr>
              <w:t>The Credit Agreement dated as of August 8, 2007 among Sunoco Logistics Partners Operations L.P., the Lenders parties</w:t>
            </w:r>
          </w:p>
        </w:tc>
      </w:tr>
      <w:tr>
        <w:trPr>
          <w:trHeight w:val="222"/>
        </w:trPr>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thereto, and Citibank, N.A., as Administrative Agent</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80" w:hanging="372"/>
        <w:spacing w:after="0"/>
        <w:tabs>
          <w:tab w:leader="none" w:pos="3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Aggregate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88"/>
              </w:rPr>
              <w:t>Amount of</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Amount of</w:t>
            </w:r>
          </w:p>
        </w:tc>
        <w:tc>
          <w:tcPr>
            <w:tcW w:w="4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Commitment/</w:t>
            </w:r>
          </w:p>
        </w:tc>
        <w:tc>
          <w:tcPr>
            <w:tcW w:w="4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Commitment/</w:t>
            </w: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Assigned of</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Assignor[s]</w:t>
            </w:r>
            <w:r>
              <w:rPr>
                <w:rFonts w:ascii="Arial" w:cs="Arial" w:eastAsia="Arial" w:hAnsi="Arial"/>
                <w:sz w:val="22"/>
                <w:szCs w:val="22"/>
                <w:b w:val="1"/>
                <w:bCs w:val="1"/>
                <w:color w:val="auto"/>
                <w:vertAlign w:val="superscript"/>
              </w:rPr>
              <w:t>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Assignee[s]</w:t>
            </w:r>
            <w:r>
              <w:rPr>
                <w:rFonts w:ascii="Arial" w:cs="Arial" w:eastAsia="Arial" w:hAnsi="Arial"/>
                <w:sz w:val="22"/>
                <w:szCs w:val="22"/>
                <w:b w:val="1"/>
                <w:bCs w:val="1"/>
                <w:color w:val="auto"/>
                <w:vertAlign w:val="superscript"/>
              </w:rPr>
              <w:t>6</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2"/>
              </w:rPr>
              <w:t>Loans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2"/>
              </w:rPr>
              <w:t>Loans</w:t>
            </w: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Commitment/</w:t>
            </w:r>
          </w:p>
        </w:tc>
        <w:tc>
          <w:tcPr>
            <w:tcW w:w="5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CUSIP</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216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4"/>
              <w:spacing w:after="0" w:line="176" w:lineRule="exact"/>
              <w:rPr>
                <w:sz w:val="20"/>
                <w:szCs w:val="20"/>
                <w:color w:val="auto"/>
              </w:rPr>
            </w:pPr>
            <w:r>
              <w:rPr>
                <w:rFonts w:ascii="Arial" w:cs="Arial" w:eastAsia="Arial" w:hAnsi="Arial"/>
                <w:sz w:val="13"/>
                <w:szCs w:val="13"/>
                <w:b w:val="1"/>
                <w:bCs w:val="1"/>
                <w:color w:val="auto"/>
                <w:w w:val="87"/>
              </w:rPr>
              <w:t>Assigned</w:t>
            </w:r>
            <w:r>
              <w:rPr>
                <w:rFonts w:ascii="Arial" w:cs="Arial" w:eastAsia="Arial" w:hAnsi="Arial"/>
                <w:sz w:val="20"/>
                <w:szCs w:val="20"/>
                <w:b w:val="1"/>
                <w:bCs w:val="1"/>
                <w:color w:val="auto"/>
                <w:w w:val="87"/>
                <w:vertAlign w:val="superscript"/>
              </w:rPr>
              <w:t>7</w:t>
            </w: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2"/>
              </w:rPr>
              <w:t>Assigned</w:t>
            </w:r>
          </w:p>
        </w:tc>
        <w:tc>
          <w:tcPr>
            <w:tcW w:w="440" w:type="dxa"/>
            <w:vAlign w:val="bottom"/>
          </w:tcPr>
          <w:p>
            <w:pPr>
              <w:spacing w:after="0"/>
              <w:rPr>
                <w:sz w:val="15"/>
                <w:szCs w:val="15"/>
                <w:color w:val="auto"/>
              </w:rPr>
            </w:pPr>
          </w:p>
        </w:tc>
        <w:tc>
          <w:tcPr>
            <w:tcW w:w="8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Loans</w:t>
            </w:r>
            <w:r>
              <w:rPr>
                <w:rFonts w:ascii="Arial" w:cs="Arial" w:eastAsia="Arial" w:hAnsi="Arial"/>
                <w:sz w:val="20"/>
                <w:szCs w:val="20"/>
                <w:b w:val="1"/>
                <w:bCs w:val="1"/>
                <w:color w:val="auto"/>
                <w:w w:val="91"/>
                <w:vertAlign w:val="superscript"/>
              </w:rPr>
              <w:t>8</w:t>
            </w:r>
          </w:p>
        </w:tc>
        <w:tc>
          <w:tcPr>
            <w:tcW w:w="58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332"/>
              <w:spacing w:after="0" w:line="176" w:lineRule="exact"/>
              <w:rPr>
                <w:sz w:val="20"/>
                <w:szCs w:val="20"/>
                <w:color w:val="auto"/>
              </w:rPr>
            </w:pPr>
            <w:r>
              <w:rPr>
                <w:rFonts w:ascii="Arial" w:cs="Arial" w:eastAsia="Arial" w:hAnsi="Arial"/>
                <w:sz w:val="18"/>
                <w:szCs w:val="18"/>
                <w:color w:val="auto"/>
                <w:w w:val="87"/>
              </w:rPr>
              <w:t>%</w:t>
            </w:r>
          </w:p>
        </w:tc>
        <w:tc>
          <w:tcPr>
            <w:tcW w:w="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920" w:type="dxa"/>
            <w:vAlign w:val="bottom"/>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8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tcBorders>
          </w:tcPr>
          <w:p>
            <w:pPr>
              <w:jc w:val="right"/>
              <w:ind w:right="332"/>
              <w:spacing w:after="0"/>
              <w:rPr>
                <w:sz w:val="20"/>
                <w:szCs w:val="20"/>
                <w:color w:val="auto"/>
              </w:rPr>
            </w:pPr>
            <w:r>
              <w:rPr>
                <w:rFonts w:ascii="Arial" w:cs="Arial" w:eastAsia="Arial" w:hAnsi="Arial"/>
                <w:sz w:val="18"/>
                <w:szCs w:val="18"/>
                <w:color w:val="auto"/>
                <w:w w:val="87"/>
              </w:rPr>
              <w:t>%</w:t>
            </w:r>
          </w:p>
        </w:tc>
        <w:tc>
          <w:tcPr>
            <w:tcW w:w="4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332"/>
              <w:spacing w:after="0" w:line="176" w:lineRule="exact"/>
              <w:rPr>
                <w:sz w:val="20"/>
                <w:szCs w:val="20"/>
                <w:color w:val="auto"/>
              </w:rPr>
            </w:pPr>
            <w:r>
              <w:rPr>
                <w:rFonts w:ascii="Arial" w:cs="Arial" w:eastAsia="Arial" w:hAnsi="Arial"/>
                <w:sz w:val="18"/>
                <w:szCs w:val="18"/>
                <w:color w:val="auto"/>
                <w:w w:val="87"/>
              </w:rPr>
              <w:t>%</w:t>
            </w:r>
          </w:p>
        </w:tc>
        <w:tc>
          <w:tcPr>
            <w:tcW w:w="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080" w:type="dxa"/>
            <w:vAlign w:val="bottom"/>
            <w:gridSpan w:val="3"/>
          </w:tcPr>
          <w:p>
            <w:pPr>
              <w:spacing w:after="0"/>
              <w:rPr>
                <w:sz w:val="20"/>
                <w:szCs w:val="20"/>
                <w:color w:val="auto"/>
              </w:rPr>
            </w:pPr>
            <w:r>
              <w:rPr>
                <w:rFonts w:ascii="Arial" w:cs="Arial" w:eastAsia="Arial" w:hAnsi="Arial"/>
                <w:sz w:val="18"/>
                <w:szCs w:val="18"/>
                <w:color w:val="auto"/>
              </w:rPr>
              <w:t>[7.  Trade Date:</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r>
              <w:rPr>
                <w:rFonts w:ascii="Arial" w:cs="Arial" w:eastAsia="Arial" w:hAnsi="Arial"/>
                <w:sz w:val="22"/>
                <w:szCs w:val="22"/>
                <w:color w:val="auto"/>
                <w:vertAlign w:val="superscript"/>
              </w:rPr>
              <w:t>9</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20" w:type="dxa"/>
            <w:vAlign w:val="bottom"/>
            <w:gridSpan w:val="4"/>
          </w:tcPr>
          <w:p>
            <w:pPr>
              <w:ind w:left="240"/>
              <w:spacing w:after="0"/>
              <w:rPr>
                <w:sz w:val="20"/>
                <w:szCs w:val="20"/>
                <w:color w:val="auto"/>
              </w:rPr>
            </w:pPr>
            <w:r>
              <w:rPr>
                <w:rFonts w:ascii="Arial" w:cs="Arial" w:eastAsia="Arial" w:hAnsi="Arial"/>
                <w:sz w:val="18"/>
                <w:szCs w:val="18"/>
                <w:color w:val="auto"/>
              </w:rPr>
              <w:t>[Page break]</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0920"/>
          </w:cols>
          <w:pgMar w:left="240" w:top="280" w:right="7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List each Assignor, as appropriate.</w:t>
      </w:r>
    </w:p>
    <w:p>
      <w:pPr>
        <w:spacing w:after="0" w:line="203" w:lineRule="auto"/>
        <w:rPr>
          <w:sz w:val="20"/>
          <w:szCs w:val="20"/>
          <w:color w:val="auto"/>
        </w:rPr>
      </w:pPr>
      <w:r>
        <w:rPr>
          <w:rFonts w:ascii="Arial" w:cs="Arial" w:eastAsia="Arial" w:hAnsi="Arial"/>
          <w:sz w:val="18"/>
          <w:szCs w:val="18"/>
          <w:color w:val="auto"/>
        </w:rPr>
        <w:t>List each Assignee, as appropriate.</w:t>
      </w:r>
    </w:p>
    <w:p>
      <w:pPr>
        <w:spacing w:after="0"/>
        <w:rPr>
          <w:sz w:val="20"/>
          <w:szCs w:val="20"/>
          <w:color w:val="auto"/>
        </w:rPr>
      </w:pPr>
      <w:r>
        <w:rPr>
          <w:rFonts w:ascii="Arial" w:cs="Arial" w:eastAsia="Arial" w:hAnsi="Arial"/>
          <w:sz w:val="15"/>
          <w:szCs w:val="15"/>
          <w:color w:val="auto"/>
        </w:rPr>
        <w:t>Amount to be adjusted by the counterparties to take into account any payments or prepayments made between the Trade Date and the Effective Date.</w:t>
      </w:r>
    </w:p>
    <w:p>
      <w:pPr>
        <w:spacing w:after="0" w:line="207" w:lineRule="auto"/>
        <w:rPr>
          <w:sz w:val="20"/>
          <w:szCs w:val="20"/>
          <w:color w:val="auto"/>
        </w:rPr>
      </w:pPr>
      <w:r>
        <w:rPr>
          <w:rFonts w:ascii="Arial" w:cs="Arial" w:eastAsia="Arial" w:hAnsi="Arial"/>
          <w:sz w:val="18"/>
          <w:szCs w:val="18"/>
          <w:color w:val="auto"/>
        </w:rPr>
        <w:t>Set forth, to at least 9 decimals, as a percentage of the Commitment/Loans of all Lenders thereunder.</w:t>
      </w:r>
    </w:p>
    <w:p>
      <w:pPr>
        <w:spacing w:after="0"/>
        <w:rPr>
          <w:sz w:val="20"/>
          <w:szCs w:val="20"/>
          <w:color w:val="auto"/>
        </w:rPr>
      </w:pPr>
      <w:r>
        <w:rPr>
          <w:rFonts w:ascii="Arial" w:cs="Arial" w:eastAsia="Arial" w:hAnsi="Arial"/>
          <w:sz w:val="16"/>
          <w:szCs w:val="16"/>
          <w:color w:val="auto"/>
        </w:rPr>
        <w:t>To be completed if the Assignor and the Assignee intend that the minimum assignment amount is to be determined as of the Trade Date.</w:t>
      </w:r>
    </w:p>
    <w:p>
      <w:pPr>
        <w:spacing w:after="0" w:line="15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Exhibit 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2">
            <w:col w:w="60" w:space="400"/>
            <w:col w:w="10460"/>
          </w:cols>
          <w:pgMar w:left="240" w:top="280" w:right="739" w:bottom="1440" w:gutter="0" w:footer="0" w:header="0"/>
          <w:type w:val="continuous"/>
        </w:sectPr>
      </w:pPr>
    </w:p>
    <w:bookmarkStart w:id="122" w:name="page123"/>
    <w:bookmarkEnd w:id="122"/>
    <w:p>
      <w:pPr>
        <w:spacing w:after="0"/>
        <w:tabs>
          <w:tab w:leader="none" w:pos="1620" w:val="left"/>
          <w:tab w:leader="none" w:pos="2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Date:</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[TO BE INSERTED BY ADMINISTRATIVE AGENT AND WHICH SHALL BE THE EFFECTIVE DATE OF RECORDATION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-13970</wp:posOffset>
            </wp:positionV>
            <wp:extent cx="3346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-13970</wp:posOffset>
            </wp:positionV>
            <wp:extent cx="1117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OF TRANSFER IN THE REGISTER THEREFOR.]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ASSIGNOR[S[</w:t>
      </w:r>
      <w:r>
        <w:rPr>
          <w:rFonts w:ascii="Arial" w:cs="Arial" w:eastAsia="Arial" w:hAnsi="Arial"/>
          <w:sz w:val="22"/>
          <w:szCs w:val="22"/>
          <w:u w:val="single" w:color="auto"/>
          <w:color w:val="auto"/>
          <w:vertAlign w:val="superscript"/>
        </w:rPr>
        <w:t>10</w:t>
      </w:r>
    </w:p>
    <w:p>
      <w:pPr>
        <w:ind w:left="6860"/>
        <w:spacing w:after="0"/>
        <w:rPr>
          <w:sz w:val="20"/>
          <w:szCs w:val="20"/>
          <w:color w:val="auto"/>
        </w:rPr>
      </w:pPr>
      <w:r>
        <w:rPr>
          <w:rFonts w:ascii="Arial" w:cs="Arial" w:eastAsia="Arial" w:hAnsi="Arial"/>
          <w:sz w:val="18"/>
          <w:szCs w:val="18"/>
          <w:color w:val="auto"/>
        </w:rPr>
        <w:t>[NAME OF ASSIGNOR]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-5715</wp:posOffset>
            </wp:positionV>
            <wp:extent cx="263271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96"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 xml:space="preserve">ASSIGNEE[S] </w:t>
      </w:r>
      <w:r>
        <w:rPr>
          <w:rFonts w:ascii="Arial" w:cs="Arial" w:eastAsia="Arial" w:hAnsi="Arial"/>
          <w:sz w:val="22"/>
          <w:szCs w:val="22"/>
          <w:u w:val="single" w:color="auto"/>
          <w:color w:val="auto"/>
          <w:vertAlign w:val="superscript"/>
        </w:rPr>
        <w:t>11</w:t>
      </w:r>
    </w:p>
    <w:p>
      <w:pPr>
        <w:ind w:left="6860"/>
        <w:spacing w:after="0"/>
        <w:rPr>
          <w:sz w:val="20"/>
          <w:szCs w:val="20"/>
          <w:color w:val="auto"/>
        </w:rPr>
      </w:pPr>
      <w:r>
        <w:rPr>
          <w:rFonts w:ascii="Arial" w:cs="Arial" w:eastAsia="Arial" w:hAnsi="Arial"/>
          <w:sz w:val="18"/>
          <w:szCs w:val="18"/>
          <w:color w:val="auto"/>
        </w:rPr>
        <w:t>[NAME OF ASSIGNEE]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-5715</wp:posOffset>
            </wp:positionV>
            <wp:extent cx="263271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22"/>
          <w:szCs w:val="22"/>
          <w:color w:val="auto"/>
          <w:vertAlign w:val="superscript"/>
        </w:rPr>
        <w:t>12</w:t>
      </w:r>
      <w:r>
        <w:rPr>
          <w:rFonts w:ascii="Arial" w:cs="Arial" w:eastAsia="Arial" w:hAnsi="Arial"/>
          <w:sz w:val="18"/>
          <w:szCs w:val="18"/>
          <w:color w:val="auto"/>
        </w:rPr>
        <w:t xml:space="preserve"> Accepted: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-5715</wp:posOffset>
            </wp:positionV>
            <wp:extent cx="263271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22"/>
          <w:szCs w:val="22"/>
          <w:color w:val="auto"/>
          <w:vertAlign w:val="superscript"/>
        </w:rPr>
        <w:t>13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[NAME OF RELEVANT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-5715</wp:posOffset>
            </wp:positionV>
            <wp:extent cx="263271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000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1"/>
          <w:szCs w:val="11"/>
          <w:color w:val="auto"/>
        </w:rPr>
      </w:pPr>
      <w:r>
        <w:rPr>
          <w:rFonts w:ascii="Arial" w:cs="Arial" w:eastAsia="Arial" w:hAnsi="Arial"/>
          <w:sz w:val="18"/>
          <w:szCs w:val="18"/>
          <w:color w:val="auto"/>
        </w:rPr>
        <w:t>Add additional signature blocks as needed.</w:t>
      </w:r>
    </w:p>
    <w:p>
      <w:pPr>
        <w:ind w:left="460" w:hanging="452"/>
        <w:spacing w:after="0" w:line="203" w:lineRule="auto"/>
        <w:tabs>
          <w:tab w:leader="none" w:pos="460" w:val="left"/>
        </w:tabs>
        <w:numPr>
          <w:ilvl w:val="0"/>
          <w:numId w:val="143"/>
        </w:numPr>
        <w:rPr>
          <w:rFonts w:ascii="Arial" w:cs="Arial" w:eastAsia="Arial" w:hAnsi="Arial"/>
          <w:sz w:val="11"/>
          <w:szCs w:val="11"/>
          <w:color w:val="auto"/>
        </w:rPr>
      </w:pPr>
      <w:r>
        <w:rPr>
          <w:rFonts w:ascii="Arial" w:cs="Arial" w:eastAsia="Arial" w:hAnsi="Arial"/>
          <w:sz w:val="18"/>
          <w:szCs w:val="18"/>
          <w:color w:val="auto"/>
        </w:rPr>
        <w:t>Add additional signature blocks as needed.</w:t>
      </w:r>
    </w:p>
    <w:p>
      <w:pPr>
        <w:ind w:left="460" w:hanging="452"/>
        <w:spacing w:after="0" w:line="203" w:lineRule="auto"/>
        <w:tabs>
          <w:tab w:leader="none" w:pos="460" w:val="left"/>
        </w:tabs>
        <w:numPr>
          <w:ilvl w:val="0"/>
          <w:numId w:val="143"/>
        </w:numPr>
        <w:rPr>
          <w:rFonts w:ascii="Arial" w:cs="Arial" w:eastAsia="Arial" w:hAnsi="Arial"/>
          <w:sz w:val="11"/>
          <w:szCs w:val="11"/>
          <w:color w:val="auto"/>
        </w:rPr>
      </w:pPr>
      <w:r>
        <w:rPr>
          <w:rFonts w:ascii="Arial" w:cs="Arial" w:eastAsia="Arial" w:hAnsi="Arial"/>
          <w:sz w:val="18"/>
          <w:szCs w:val="18"/>
          <w:color w:val="auto"/>
        </w:rPr>
        <w:t>To be added only if the consent of the Administrative Agent is required by the terms of the Credit Agreement.</w:t>
      </w:r>
    </w:p>
    <w:p>
      <w:pPr>
        <w:ind w:left="460" w:hanging="452"/>
        <w:spacing w:after="0"/>
        <w:tabs>
          <w:tab w:leader="none" w:pos="460" w:val="left"/>
        </w:tabs>
        <w:numPr>
          <w:ilvl w:val="0"/>
          <w:numId w:val="143"/>
        </w:numPr>
        <w:rPr>
          <w:rFonts w:ascii="Arial" w:cs="Arial" w:eastAsia="Arial" w:hAnsi="Arial"/>
          <w:sz w:val="10"/>
          <w:szCs w:val="10"/>
          <w:color w:val="auto"/>
        </w:rPr>
      </w:pPr>
      <w:r>
        <w:rPr>
          <w:rFonts w:ascii="Arial" w:cs="Arial" w:eastAsia="Arial" w:hAnsi="Arial"/>
          <w:sz w:val="15"/>
          <w:szCs w:val="15"/>
          <w:color w:val="auto"/>
        </w:rPr>
        <w:t>To be added only if the consent of the Borrower and/or other parties (e.g., Swingline Lenders, L/C Issuer) is required by the terms of the Credit Agreement.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380"/>
          </w:cols>
          <w:pgMar w:left="240" w:top="280" w:right="27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1 to Assignment and Assumption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165" w:lineRule="exact"/>
        <w:rPr>
          <w:sz w:val="20"/>
          <w:szCs w:val="20"/>
          <w:color w:val="auto"/>
        </w:rPr>
      </w:pPr>
    </w:p>
    <w:p>
      <w:pPr>
        <w:ind w:left="640" w:hanging="176"/>
        <w:spacing w:after="0"/>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Assignor[s]</w:t>
      </w:r>
      <w:r>
        <w:rPr>
          <w:rFonts w:ascii="Arial" w:cs="Arial" w:eastAsia="Arial" w:hAnsi="Arial"/>
          <w:sz w:val="16"/>
          <w:szCs w:val="16"/>
          <w:color w:val="auto"/>
        </w:rPr>
        <w:t>. [The][Each] Assignor (a) represents and warrants that (i) it is the legal and beneficial owner of [the][the relevant] Assigned Interest,</w:t>
      </w:r>
    </w:p>
    <w:p>
      <w:pPr>
        <w:spacing w:after="0" w:line="38" w:lineRule="exact"/>
        <w:rPr>
          <w:sz w:val="20"/>
          <w:szCs w:val="20"/>
          <w:color w:val="auto"/>
        </w:rPr>
      </w:pPr>
    </w:p>
    <w:p>
      <w:pPr>
        <w:ind w:right="40" w:firstLine="8"/>
        <w:spacing w:after="0" w:line="290" w:lineRule="auto"/>
        <w:tabs>
          <w:tab w:leader="none" w:pos="25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Loans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18"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Assignee[s]</w:t>
      </w:r>
      <w:r>
        <w:rPr>
          <w:rFonts w:ascii="Arial" w:cs="Arial" w:eastAsia="Arial" w:hAnsi="Arial"/>
          <w:sz w:val="15"/>
          <w:szCs w:val="15"/>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requirements of an Eligible Assignee under the Credit Agreement (subject to receipt of such consents as may be required under the Credit Agreement),</w:t>
      </w:r>
    </w:p>
    <w:p>
      <w:pPr>
        <w:spacing w:after="0" w:line="1" w:lineRule="exact"/>
        <w:rPr>
          <w:sz w:val="20"/>
          <w:szCs w:val="20"/>
          <w:color w:val="auto"/>
        </w:rPr>
      </w:pPr>
    </w:p>
    <w:p>
      <w:pPr>
        <w:ind w:right="60" w:firstLine="8"/>
        <w:spacing w:after="0" w:line="285" w:lineRule="auto"/>
        <w:tabs>
          <w:tab w:leader="none" w:pos="30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w:t>
      </w:r>
      <w:r>
        <w:rPr>
          <w:rFonts w:ascii="Arial" w:cs="Arial" w:eastAsia="Arial" w:hAnsi="Arial"/>
          <w:sz w:val="16"/>
          <w:szCs w:val="16"/>
          <w:b w:val="1"/>
          <w:bCs w:val="1"/>
          <w:i w:val="1"/>
          <w:iCs w:val="1"/>
          <w:color w:val="auto"/>
        </w:rPr>
        <w:t>Section 6.01</w:t>
      </w:r>
      <w:r>
        <w:rPr>
          <w:rFonts w:ascii="Arial" w:cs="Arial" w:eastAsia="Arial" w:hAnsi="Arial"/>
          <w:sz w:val="16"/>
          <w:szCs w:val="16"/>
          <w:color w:val="auto"/>
        </w:rPr>
        <w:t xml:space="preserve"> thereof, as applicable, and such other documents and information as it has deemed appropriate to make its own credit analysis and decision to enter into this Assignment and Assumption and to purchase [the][such] Assigned Interest, (vi) it has, independently and without reliance 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to the Assignment and Assumption is any documentation required to be delivered by it pursuant to the terms of the Credit Agreement, duly completed and executed by [the][such]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that by the terms of the Loan Documents are required to be performed by it as a Lender.</w:t>
      </w:r>
    </w:p>
    <w:p>
      <w:pPr>
        <w:spacing w:after="0" w:line="126" w:lineRule="exact"/>
        <w:rPr>
          <w:rFonts w:ascii="Arial" w:cs="Arial" w:eastAsia="Arial" w:hAnsi="Arial"/>
          <w:sz w:val="16"/>
          <w:szCs w:val="16"/>
          <w:color w:val="auto"/>
        </w:rPr>
      </w:pPr>
    </w:p>
    <w:p>
      <w:pPr>
        <w:ind w:right="40" w:firstLine="464"/>
        <w:spacing w:after="0" w:line="256" w:lineRule="auto"/>
        <w:tabs>
          <w:tab w:leader="none" w:pos="632"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[the][each] Assigned Interest (including payments of principal, interest, fees and other amounts) to [the][the relevant] Assignee whether such amounts have accrued prior to, on or after the Effective Date. The Assignor[s] and the Assignee[s] shall make all appropriate adjustments in payments by the Administrative Agent for periods prior to the Effective Date or with respect to the making of this assignment directly between themselves.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420"/>
          </w:cols>
          <w:pgMar w:left="240" w:top="280" w:right="239" w:bottom="1440" w:gutter="0" w:footer="0" w:header="0"/>
        </w:sectPr>
      </w:pPr>
    </w:p>
    <w:bookmarkStart w:id="124" w:name="page125"/>
    <w:bookmarkEnd w:id="124"/>
    <w:p>
      <w:pPr>
        <w:ind w:left="-20" w:firstLine="464"/>
        <w:spacing w:after="0" w:line="255" w:lineRule="auto"/>
        <w:tabs>
          <w:tab w:leader="none" w:pos="61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380"/>
          </w:cols>
          <w:pgMar w:left="260" w:top="280" w:right="2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GUARANTY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(MLP)</w:t>
      </w:r>
    </w:p>
    <w:p>
      <w:pPr>
        <w:spacing w:after="0" w:line="165"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THIS GUARANTY is executed as of August 8, 2007, by the undersigned (“</w:t>
      </w:r>
      <w:r>
        <w:rPr>
          <w:rFonts w:ascii="Arial" w:cs="Arial" w:eastAsia="Arial" w:hAnsi="Arial"/>
          <w:sz w:val="18"/>
          <w:szCs w:val="18"/>
          <w:b w:val="1"/>
          <w:bCs w:val="1"/>
          <w:i w:val="1"/>
          <w:iCs w:val="1"/>
          <w:color w:val="auto"/>
        </w:rPr>
        <w:t>Guarantor</w:t>
      </w:r>
      <w:r>
        <w:rPr>
          <w:rFonts w:ascii="Arial" w:cs="Arial" w:eastAsia="Arial" w:hAnsi="Arial"/>
          <w:sz w:val="18"/>
          <w:szCs w:val="18"/>
          <w:color w:val="auto"/>
        </w:rPr>
        <w:t>”), for the benefit of CITIBANK, N.A., a national banking association (in its capacity as Administrative Agent for the benefit of Lenders).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Sunoco Logistics Partners Operations L.P., a Delaware limited partnership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Sunoco Logistics Partners L.P., a Delaware limited partnership (the “</w:t>
      </w:r>
      <w:r>
        <w:rPr>
          <w:rFonts w:ascii="Arial" w:cs="Arial" w:eastAsia="Arial" w:hAnsi="Arial"/>
          <w:sz w:val="16"/>
          <w:szCs w:val="16"/>
          <w:b w:val="1"/>
          <w:bCs w:val="1"/>
          <w:i w:val="1"/>
          <w:iCs w:val="1"/>
          <w:color w:val="auto"/>
        </w:rPr>
        <w:t>MLP</w:t>
      </w:r>
      <w:r>
        <w:rPr>
          <w:rFonts w:ascii="Arial" w:cs="Arial" w:eastAsia="Arial" w:hAnsi="Arial"/>
          <w:sz w:val="16"/>
          <w:szCs w:val="16"/>
          <w:color w:val="auto"/>
        </w:rPr>
        <w:t>”), Citibank, N.A., as Administrative Agent (including its permitted successors and assigns in such capacity, “</w:t>
      </w:r>
      <w:r>
        <w:rPr>
          <w:rFonts w:ascii="Arial" w:cs="Arial" w:eastAsia="Arial" w:hAnsi="Arial"/>
          <w:sz w:val="16"/>
          <w:szCs w:val="16"/>
          <w:b w:val="1"/>
          <w:bCs w:val="1"/>
          <w:i w:val="1"/>
          <w:iCs w:val="1"/>
          <w:color w:val="auto"/>
        </w:rPr>
        <w:t>Administrative Agent</w:t>
      </w:r>
      <w:r>
        <w:rPr>
          <w:rFonts w:ascii="Arial" w:cs="Arial" w:eastAsia="Arial" w:hAnsi="Arial"/>
          <w:sz w:val="16"/>
          <w:szCs w:val="16"/>
          <w:color w:val="auto"/>
        </w:rPr>
        <w:t>”), and the Lenders now or hereafter party to the Credit Agreement (including their respective permitted successors and assigns, “</w:t>
      </w:r>
      <w:r>
        <w:rPr>
          <w:rFonts w:ascii="Arial" w:cs="Arial" w:eastAsia="Arial" w:hAnsi="Arial"/>
          <w:sz w:val="16"/>
          <w:szCs w:val="16"/>
          <w:b w:val="1"/>
          <w:bCs w:val="1"/>
          <w:i w:val="1"/>
          <w:iCs w:val="1"/>
          <w:color w:val="auto"/>
        </w:rPr>
        <w:t>Lenders</w:t>
      </w:r>
      <w:r>
        <w:rPr>
          <w:rFonts w:ascii="Arial" w:cs="Arial" w:eastAsia="Arial" w:hAnsi="Arial"/>
          <w:sz w:val="16"/>
          <w:szCs w:val="16"/>
          <w:color w:val="auto"/>
        </w:rPr>
        <w:t>”) have entered into a Credit Agreement, dated as of even date herewith (as amended, modified, supplemented, or restated from time to time, the “</w:t>
      </w:r>
      <w:r>
        <w:rPr>
          <w:rFonts w:ascii="Arial" w:cs="Arial" w:eastAsia="Arial" w:hAnsi="Arial"/>
          <w:sz w:val="16"/>
          <w:szCs w:val="16"/>
          <w:b w:val="1"/>
          <w:bCs w:val="1"/>
          <w:i w:val="1"/>
          <w:iCs w:val="1"/>
          <w:color w:val="auto"/>
        </w:rPr>
        <w:t>Credit Agreement</w:t>
      </w:r>
      <w:r>
        <w:rPr>
          <w:rFonts w:ascii="Arial" w:cs="Arial" w:eastAsia="Arial" w:hAnsi="Arial"/>
          <w:sz w:val="16"/>
          <w:szCs w:val="16"/>
          <w:color w:val="auto"/>
        </w:rPr>
        <w:t>”);</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 Borrower is a Subsidiary of Guarantor, and therefore, Guarantor will derive direct and substantial benefits from the extensions of credit under the Credit Agreement; and</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 This Guaranty is integral to the transactions contemplated by the Loan Documents and the execution and delivery hereof, is a condition precedent to Lenders’ obligations to extend credit under the Loan Documents.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ACCORDINGLY, for adequate and sufficient consideration, the receipt and adequacy of which are hereby acknowledged, the Guarantor guarantees to Administrative Agent and Lenders the prompt payment when due, whether at stated maturity, by required payment, upon acceleration, demand or otherwise, of the Guaranteed Debt (defined below) as follows:</w:t>
      </w:r>
    </w:p>
    <w:p>
      <w:pPr>
        <w:spacing w:after="0" w:line="53" w:lineRule="exact"/>
        <w:rPr>
          <w:sz w:val="20"/>
          <w:szCs w:val="20"/>
          <w:color w:val="auto"/>
        </w:rPr>
      </w:pPr>
    </w:p>
    <w:p>
      <w:pPr>
        <w:ind w:right="80" w:firstLine="464"/>
        <w:spacing w:after="0" w:line="275" w:lineRule="auto"/>
        <w:tabs>
          <w:tab w:leader="none" w:pos="632"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Terms defined in the Credit Agreement have the same meanings when used,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in this Guaranty. As used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Guaranty:</w:t>
      </w:r>
    </w:p>
    <w:p>
      <w:pPr>
        <w:spacing w:after="0" w:line="4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Borrower </w:t>
      </w:r>
      <w:r>
        <w:rPr>
          <w:rFonts w:ascii="Arial" w:cs="Arial" w:eastAsia="Arial" w:hAnsi="Arial"/>
          <w:sz w:val="18"/>
          <w:szCs w:val="18"/>
          <w:color w:val="auto"/>
        </w:rPr>
        <w:t>means Borrower, Borrower as a debtor-in-possession, and any receiver, trustee, liquidator, conservator, custodian, or similar party appointed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or for all or substantially all of Borrower’s assets under any Debtor Relief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Credit Agreement </w:t>
      </w:r>
      <w:r>
        <w:rPr>
          <w:rFonts w:ascii="Arial" w:cs="Arial" w:eastAsia="Arial" w:hAnsi="Arial"/>
          <w:sz w:val="18"/>
          <w:szCs w:val="18"/>
          <w:color w:val="auto"/>
        </w:rPr>
        <w:t>is defined in the recitals to this Guaranty.</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Guaranteed Debt </w:t>
      </w:r>
      <w:r>
        <w:rPr>
          <w:rFonts w:ascii="Arial" w:cs="Arial" w:eastAsia="Arial" w:hAnsi="Arial"/>
          <w:sz w:val="16"/>
          <w:szCs w:val="16"/>
          <w:color w:val="auto"/>
        </w:rPr>
        <w:t>means, collectively, (a) the Obligations and (b) all present and future costs, attorneys’ fees, and expenses reasonably incurred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Administrative Agent or any Lender to enforce Borrower’s, the Guarantor’s, or any other obligor’s payment of any of the Guaranteed Debt, including, without limitation (to the extent lawful), all present and future amounts that would become due but for the operation of </w:t>
      </w:r>
      <w:r>
        <w:rPr>
          <w:rFonts w:ascii="Arial" w:cs="Arial" w:eastAsia="Arial" w:hAnsi="Arial"/>
          <w:sz w:val="16"/>
          <w:szCs w:val="16"/>
          <w:i w:val="1"/>
          <w:iCs w:val="1"/>
          <w:color w:val="auto"/>
        </w:rPr>
        <w:t>§§ 502</w:t>
      </w:r>
      <w:r>
        <w:rPr>
          <w:rFonts w:ascii="Arial" w:cs="Arial" w:eastAsia="Arial" w:hAnsi="Arial"/>
          <w:sz w:val="16"/>
          <w:szCs w:val="16"/>
          <w:color w:val="auto"/>
        </w:rPr>
        <w:t xml:space="preserve"> or </w:t>
      </w:r>
      <w:r>
        <w:rPr>
          <w:rFonts w:ascii="Arial" w:cs="Arial" w:eastAsia="Arial" w:hAnsi="Arial"/>
          <w:sz w:val="16"/>
          <w:szCs w:val="16"/>
          <w:i w:val="1"/>
          <w:iCs w:val="1"/>
          <w:color w:val="auto"/>
        </w:rPr>
        <w:t>506</w:t>
      </w:r>
      <w:r>
        <w:rPr>
          <w:rFonts w:ascii="Arial" w:cs="Arial" w:eastAsia="Arial" w:hAnsi="Arial"/>
          <w:sz w:val="16"/>
          <w:szCs w:val="16"/>
          <w:color w:val="auto"/>
        </w:rPr>
        <w:t xml:space="preserve"> or any other provision of </w:t>
      </w:r>
      <w:r>
        <w:rPr>
          <w:rFonts w:ascii="Arial" w:cs="Arial" w:eastAsia="Arial" w:hAnsi="Arial"/>
          <w:sz w:val="16"/>
          <w:szCs w:val="16"/>
          <w:i w:val="1"/>
          <w:iCs w:val="1"/>
          <w:color w:val="auto"/>
        </w:rPr>
        <w:t>Title 11</w:t>
      </w:r>
      <w:r>
        <w:rPr>
          <w:rFonts w:ascii="Arial" w:cs="Arial" w:eastAsia="Arial" w:hAnsi="Arial"/>
          <w:sz w:val="16"/>
          <w:szCs w:val="16"/>
          <w:color w:val="auto"/>
        </w:rPr>
        <w:t xml:space="preserve"> of the </w:t>
      </w:r>
      <w:r>
        <w:rPr>
          <w:rFonts w:ascii="Arial" w:cs="Arial" w:eastAsia="Arial" w:hAnsi="Arial"/>
          <w:sz w:val="16"/>
          <w:szCs w:val="16"/>
          <w:i w:val="1"/>
          <w:iCs w:val="1"/>
          <w:color w:val="auto"/>
        </w:rPr>
        <w:t>United States Code</w:t>
      </w:r>
      <w:r>
        <w:rPr>
          <w:rFonts w:ascii="Arial" w:cs="Arial" w:eastAsia="Arial" w:hAnsi="Arial"/>
          <w:sz w:val="16"/>
          <w:szCs w:val="16"/>
          <w:color w:val="auto"/>
        </w:rPr>
        <w:t xml:space="preserve"> and all present and future accrued and unpaid interest (including, without limitation, all post-maturity interest and any post-petition interest in any proceeding under Debtor Relief Laws to which Borrower or the Guarantor becomes subject).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Guarantor </w:t>
      </w:r>
      <w:r>
        <w:rPr>
          <w:rFonts w:ascii="Arial" w:cs="Arial" w:eastAsia="Arial" w:hAnsi="Arial"/>
          <w:sz w:val="18"/>
          <w:szCs w:val="18"/>
          <w:color w:val="auto"/>
        </w:rPr>
        <w:t>is defined in the preamble to this Guaranty.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Guaranty</w:t>
      </w:r>
    </w:p>
    <w:p>
      <w:pPr>
        <w:sectPr>
          <w:pgSz w:w="11900" w:h="16838" w:orient="portrait"/>
          <w:cols w:equalWidth="0" w:num="1">
            <w:col w:w="11420"/>
          </w:cols>
          <w:pgMar w:left="240" w:top="280" w:right="239" w:bottom="1440" w:gutter="0" w:footer="0" w:header="0"/>
        </w:sectPr>
      </w:pPr>
    </w:p>
    <w:bookmarkStart w:id="126" w:name="page127"/>
    <w:bookmarkEnd w:id="126"/>
    <w:p>
      <w:pPr>
        <w:ind w:left="46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Lender </w:t>
      </w:r>
      <w:r>
        <w:rPr>
          <w:rFonts w:ascii="Arial" w:cs="Arial" w:eastAsia="Arial" w:hAnsi="Arial"/>
          <w:sz w:val="16"/>
          <w:szCs w:val="16"/>
          <w:color w:val="auto"/>
        </w:rPr>
        <w:t>means, individually, or</w:t>
      </w:r>
      <w:r>
        <w:rPr>
          <w:rFonts w:ascii="Arial" w:cs="Arial" w:eastAsia="Arial" w:hAnsi="Arial"/>
          <w:sz w:val="16"/>
          <w:szCs w:val="16"/>
          <w:b w:val="1"/>
          <w:bCs w:val="1"/>
          <w:i w:val="1"/>
          <w:iCs w:val="1"/>
          <w:color w:val="auto"/>
        </w:rPr>
        <w:t xml:space="preserve"> Lenders </w:t>
      </w:r>
      <w:r>
        <w:rPr>
          <w:rFonts w:ascii="Arial" w:cs="Arial" w:eastAsia="Arial" w:hAnsi="Arial"/>
          <w:sz w:val="16"/>
          <w:szCs w:val="16"/>
          <w:color w:val="auto"/>
        </w:rPr>
        <w:t>means, collectively, on any date of determination, the Lenders and their permitted successors and assigns.</w:t>
      </w:r>
    </w:p>
    <w:p>
      <w:pPr>
        <w:spacing w:after="0" w:line="194"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b w:val="1"/>
          <w:bCs w:val="1"/>
          <w:i w:val="1"/>
          <w:iCs w:val="1"/>
          <w:color w:val="auto"/>
        </w:rPr>
        <w:t xml:space="preserve">Subordinated Debt </w:t>
      </w:r>
      <w:r>
        <w:rPr>
          <w:rFonts w:ascii="Arial" w:cs="Arial" w:eastAsia="Arial" w:hAnsi="Arial"/>
          <w:sz w:val="15"/>
          <w:szCs w:val="15"/>
          <w:color w:val="auto"/>
        </w:rPr>
        <w:t>means, all present and future obligations of any Company to the Guarantor, whether those obligations are (a) direct, indirect, fixed,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contingent, liquidated, unliquidated, joint, several, or joint and several, (b) due or to become due to the Guarantor, (c) held by or are to be held by the Guarantor,</w:t>
      </w:r>
    </w:p>
    <w:p>
      <w:pPr>
        <w:ind w:left="260" w:hanging="252"/>
        <w:spacing w:after="0"/>
        <w:tabs>
          <w:tab w:leader="none" w:pos="2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created directly or acquired by assignment or otherwise, or (e) evidenced in writing.</w:t>
      </w:r>
    </w:p>
    <w:p>
      <w:pPr>
        <w:spacing w:after="0" w:line="158" w:lineRule="exact"/>
        <w:rPr>
          <w:rFonts w:ascii="Arial" w:cs="Arial" w:eastAsia="Arial" w:hAnsi="Arial"/>
          <w:sz w:val="18"/>
          <w:szCs w:val="18"/>
          <w:color w:val="auto"/>
        </w:rPr>
      </w:pPr>
    </w:p>
    <w:p>
      <w:pPr>
        <w:jc w:val="both"/>
        <w:ind w:firstLine="464"/>
        <w:spacing w:after="0" w:line="301" w:lineRule="auto"/>
        <w:tabs>
          <w:tab w:leader="none" w:pos="632" w:val="left"/>
        </w:tabs>
        <w:numPr>
          <w:ilvl w:val="1"/>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GUARANTY</w:t>
      </w:r>
      <w:r>
        <w:rPr>
          <w:rFonts w:ascii="Arial" w:cs="Arial" w:eastAsia="Arial" w:hAnsi="Arial"/>
          <w:sz w:val="16"/>
          <w:szCs w:val="16"/>
          <w:color w:val="auto"/>
        </w:rPr>
        <w:t>. (a) This is an absolute, irrevocable, unconditional and continuing guaranty of payment, not collection, and the circumstance that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or from time to time the Guaranteed Debt may be paid in full does not affect the obligation of the Guarantor with respect to the Guaranteed Debt incurred after that. This Guaranty remains in effect until the Guaranteed Debt is fully paid and performed, all commitments to extend any credit under the Loan Documents have terminated and all Letters of Credit have terminated. The Guarantor may not rescind or revoke its obligations with respect to the Guaranteed Debt.</w:t>
      </w:r>
    </w:p>
    <w:p>
      <w:pPr>
        <w:spacing w:after="0" w:line="109" w:lineRule="exact"/>
        <w:rPr>
          <w:sz w:val="20"/>
          <w:szCs w:val="20"/>
          <w:color w:val="auto"/>
        </w:rPr>
      </w:pPr>
    </w:p>
    <w:p>
      <w:pPr>
        <w:ind w:right="20" w:firstLine="464"/>
        <w:spacing w:after="0" w:line="287" w:lineRule="auto"/>
        <w:tabs>
          <w:tab w:leader="none" w:pos="70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No Setoff or Deductions; Taxes; Payments. Guarantor represents and warrants that it is organized and resident in the United States of America. Guarantor shall make all payments hereunder (i) without setoff or counterclaim, and (ii) free and clear of and without deduction for any taxes, levies, imposts, duties, charges, fees, deductions, withholdings, restrictions or conditions of any nature now or hereafter imposed or levied by any jurisdiction or any political subdivision thereof or taxing or other authority therein unless Guarantor is compelled by law to make such deduction or withholding. If any such obligation (other than one arising with respect to taxes based on or measured by the income or profits of the Lender) is imposed upon Guarantor with respect to any amount payable by it hereunder, Guarantor will pay to the Lender, on the date on which such amount is due and payable hereunder, such additional amount in Dollars as shall be necessary to enable the Lender to receive the same net amount which the Lender would have received on such due date had no such obligation been imposed upon Guarantor. Guarantor will deliver promptly to the Lender certificates or other valid vouchers for all taxes or other charges deducted from or paid with respect to payments made by Guarantor hereunder. The obligations of Guarantor under this paragraph shall survive the payment in full of the Guaranteed Obligations and termination of this Guaranty.</w:t>
      </w:r>
    </w:p>
    <w:p>
      <w:pPr>
        <w:spacing w:after="0" w:line="122" w:lineRule="exact"/>
        <w:rPr>
          <w:rFonts w:ascii="Arial" w:cs="Arial" w:eastAsia="Arial" w:hAnsi="Arial"/>
          <w:sz w:val="16"/>
          <w:szCs w:val="16"/>
          <w:color w:val="auto"/>
        </w:rPr>
      </w:pPr>
    </w:p>
    <w:p>
      <w:pPr>
        <w:ind w:left="700" w:hanging="236"/>
        <w:spacing w:after="0"/>
        <w:tabs>
          <w:tab w:leader="none" w:pos="7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All payments made by Guarantor under this Guaranty shall be made to the Administrative Agent at the Administrative Agent’s Office in Dollars.</w:t>
      </w:r>
    </w:p>
    <w:p>
      <w:pPr>
        <w:spacing w:after="0" w:line="188" w:lineRule="exact"/>
        <w:rPr>
          <w:sz w:val="20"/>
          <w:szCs w:val="20"/>
          <w:color w:val="auto"/>
        </w:rPr>
      </w:pPr>
    </w:p>
    <w:p>
      <w:pPr>
        <w:ind w:left="640" w:hanging="176"/>
        <w:spacing w:after="0"/>
        <w:tabs>
          <w:tab w:leader="none" w:pos="6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The Guarantor represents and warrants that its liability under this Guaranty will directly benefit it.</w:t>
      </w:r>
    </w:p>
    <w:p>
      <w:pPr>
        <w:spacing w:after="0" w:line="171" w:lineRule="exact"/>
        <w:rPr>
          <w:rFonts w:ascii="Arial" w:cs="Arial" w:eastAsia="Arial" w:hAnsi="Arial"/>
          <w:sz w:val="18"/>
          <w:szCs w:val="18"/>
          <w:b w:val="1"/>
          <w:bCs w:val="1"/>
          <w:color w:val="auto"/>
        </w:rPr>
      </w:pPr>
    </w:p>
    <w:p>
      <w:pPr>
        <w:ind w:right="40" w:firstLine="464"/>
        <w:spacing w:after="0" w:line="301" w:lineRule="auto"/>
        <w:tabs>
          <w:tab w:leader="none" w:pos="632"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CUMULATIVE RIGHTS</w:t>
      </w:r>
      <w:r>
        <w:rPr>
          <w:rFonts w:ascii="Arial" w:cs="Arial" w:eastAsia="Arial" w:hAnsi="Arial"/>
          <w:sz w:val="16"/>
          <w:szCs w:val="16"/>
          <w:color w:val="auto"/>
        </w:rPr>
        <w:t>. If the Guarantor becomes liable for any indebtedness owing by Borrower to Administrative Agent or any Lender,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Guaranty, that liability may not be in any manner impaired or affected by this Guaranty. The Rights of Administrative Agent or Lenders under this Guaranty are cumulative of any and all other Rights that Administrative Agent or Lenders may ever have against the Guarantor. The exercise by Administrative Agent or Lenders of any Right under this Guaranty or otherwise does not preclude the concurrent or subsequent exercise of any other Right.</w:t>
      </w:r>
    </w:p>
    <w:p>
      <w:pPr>
        <w:spacing w:after="0" w:line="103" w:lineRule="exact"/>
        <w:rPr>
          <w:rFonts w:ascii="Arial" w:cs="Arial" w:eastAsia="Arial" w:hAnsi="Arial"/>
          <w:sz w:val="16"/>
          <w:szCs w:val="16"/>
          <w:b w:val="1"/>
          <w:bCs w:val="1"/>
          <w:color w:val="auto"/>
        </w:rPr>
      </w:pPr>
    </w:p>
    <w:p>
      <w:pPr>
        <w:ind w:right="40" w:firstLine="464"/>
        <w:spacing w:after="0" w:line="262" w:lineRule="auto"/>
        <w:tabs>
          <w:tab w:leader="none" w:pos="632"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PAYMENT UPON DEMAND</w:t>
      </w:r>
      <w:r>
        <w:rPr>
          <w:rFonts w:ascii="Arial" w:cs="Arial" w:eastAsia="Arial" w:hAnsi="Arial"/>
          <w:sz w:val="18"/>
          <w:szCs w:val="18"/>
          <w:color w:val="auto"/>
        </w:rPr>
        <w:t>. (a) If an Event of Default exists, the Guarantor shall, on demand and without further notice of dishonor and without any</w:t>
      </w:r>
      <w:r>
        <w:rPr>
          <w:rFonts w:ascii="Arial" w:cs="Arial" w:eastAsia="Arial" w:hAnsi="Arial"/>
          <w:sz w:val="18"/>
          <w:szCs w:val="18"/>
          <w:b w:val="1"/>
          <w:bCs w:val="1"/>
          <w:color w:val="auto"/>
        </w:rPr>
        <w:t xml:space="preserve"> </w:t>
      </w:r>
      <w:r>
        <w:rPr>
          <w:rFonts w:ascii="Arial" w:cs="Arial" w:eastAsia="Arial" w:hAnsi="Arial"/>
          <w:sz w:val="18"/>
          <w:szCs w:val="18"/>
          <w:color w:val="auto"/>
        </w:rPr>
        <w:t>notice having been given to the Guarantor previous to that demand of either the acceptance by Administrative Agent or Lenders of this Guaranty or the creation or incurrence of any Guaranteed Debt, pay the amount of the Guaranteed Debt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Guaranty</w:t>
      </w:r>
    </w:p>
    <w:p>
      <w:pPr>
        <w:sectPr>
          <w:pgSz w:w="11900" w:h="16838" w:orient="portrait"/>
          <w:cols w:equalWidth="0" w:num="1">
            <w:col w:w="11420"/>
          </w:cols>
          <w:pgMar w:left="240" w:top="280" w:right="239" w:bottom="1440" w:gutter="0" w:footer="0" w:header="0"/>
        </w:sectPr>
      </w:pPr>
    </w:p>
    <w:bookmarkStart w:id="127" w:name="page128"/>
    <w:bookmarkEnd w:id="127"/>
    <w:p>
      <w:pPr>
        <w:jc w:val="both"/>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then due and payable to Administrative Agent and Lenders; </w:t>
      </w:r>
      <w:r>
        <w:rPr>
          <w:rFonts w:ascii="Arial" w:cs="Arial" w:eastAsia="Arial" w:hAnsi="Arial"/>
          <w:sz w:val="18"/>
          <w:szCs w:val="18"/>
          <w:i w:val="1"/>
          <w:iCs w:val="1"/>
          <w:color w:val="auto"/>
        </w:rPr>
        <w:t>provided that</w:t>
      </w:r>
      <w:r>
        <w:rPr>
          <w:rFonts w:ascii="Arial" w:cs="Arial" w:eastAsia="Arial" w:hAnsi="Arial"/>
          <w:sz w:val="18"/>
          <w:szCs w:val="18"/>
          <w:color w:val="auto"/>
        </w:rPr>
        <w:t>, if an Event of Default exists and Administrative Agent or Lenders cannot, for any reason, accelerate the Obligations, then the Guaranteed Debt shall be, as among the Guarantor, Administrative Agent, and Lenders, a fully matured, due, and payable obligation of the Guarantor to Administrative Agent and Lenders.</w:t>
      </w:r>
    </w:p>
    <w:p>
      <w:pPr>
        <w:spacing w:after="0" w:line="140" w:lineRule="exact"/>
        <w:rPr>
          <w:sz w:val="20"/>
          <w:szCs w:val="20"/>
          <w:color w:val="auto"/>
        </w:rPr>
      </w:pPr>
    </w:p>
    <w:p>
      <w:pPr>
        <w:jc w:val="both"/>
        <w:ind w:right="200" w:firstLine="464"/>
        <w:spacing w:after="0" w:line="306" w:lineRule="auto"/>
        <w:tabs>
          <w:tab w:leader="none" w:pos="70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obligations of the Guarantor hereunder are those of primary obligor, and not merely as surety, and are independent of the Guaranteed Obligations and the obligations of any other guarantor, and it is not necessary for Administrative Agent or Lenders, in order to enforce this Guaranty against the Guarantor, first or contemporaneously to institute suit or exhaust remedies against Borrower or others liable on any Guaranteed Debt.</w:t>
      </w:r>
    </w:p>
    <w:p>
      <w:pPr>
        <w:spacing w:after="0" w:line="101" w:lineRule="exact"/>
        <w:rPr>
          <w:sz w:val="20"/>
          <w:szCs w:val="20"/>
          <w:color w:val="auto"/>
        </w:rPr>
      </w:pPr>
    </w:p>
    <w:p>
      <w:pPr>
        <w:ind w:right="40" w:firstLine="464"/>
        <w:spacing w:after="0" w:line="288" w:lineRule="auto"/>
        <w:tabs>
          <w:tab w:leader="none" w:pos="632"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SUBORDINATION</w:t>
      </w:r>
      <w:r>
        <w:rPr>
          <w:rFonts w:ascii="Arial" w:cs="Arial" w:eastAsia="Arial" w:hAnsi="Arial"/>
          <w:sz w:val="16"/>
          <w:szCs w:val="16"/>
          <w:color w:val="auto"/>
        </w:rPr>
        <w:t>. The Subordinated Debt is expressly subordinated to the full and final payment of the Obligations. Upon the occurrence and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continuation of a Default or an Event of Default, the Guarantor agrees not to accept any payment of any Subordinated Debt from any Company. In the event of (i) any insolvency, bankruptcy, receivership, liquidation, reorganization, readjustment, composition or other similar proceeding relating to any Company, its creditors as such or its property, (ii) any proceeding for the liquidation, dissolution or other winding-up of any Company, voluntary or involuntary, whether or not involving insolvency or bankruptcy proceedings, (iii) any assignment by any Company for the benefit of creditors, or (iv) any other marshalling of the assets of a Company, the Obligations (including any interest thereon accruing at the legal rate after the commencement of any such proceedings and any additional interest that would have accrued thereon but for the commencement of such proceedings) shall first be paid in full before any payment or distribution, whether in cash, securities or other property, shall be made to any holder of any Subordinated Debt. If the Guarantor receives any payment of any Subordinated Debt in violation of the terms of this Section, such Guarantor shall hold that payment in trust for Administrative Agent and Lenders and promptly turn it over to Administrative Agent, in the form received (with any necessary endorsements), to be applied to the Obligations.</w:t>
      </w:r>
    </w:p>
    <w:p>
      <w:pPr>
        <w:spacing w:after="0" w:line="115" w:lineRule="exact"/>
        <w:rPr>
          <w:rFonts w:ascii="Arial" w:cs="Arial" w:eastAsia="Arial" w:hAnsi="Arial"/>
          <w:sz w:val="16"/>
          <w:szCs w:val="16"/>
          <w:b w:val="1"/>
          <w:bCs w:val="1"/>
          <w:color w:val="auto"/>
        </w:rPr>
      </w:pPr>
    </w:p>
    <w:p>
      <w:pPr>
        <w:ind w:firstLine="464"/>
        <w:spacing w:after="0" w:line="254" w:lineRule="auto"/>
        <w:tabs>
          <w:tab w:leader="none" w:pos="632"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 AND CONTRIBUTION</w:t>
      </w:r>
      <w:r>
        <w:rPr>
          <w:rFonts w:ascii="Arial" w:cs="Arial" w:eastAsia="Arial" w:hAnsi="Arial"/>
          <w:sz w:val="18"/>
          <w:szCs w:val="18"/>
          <w:color w:val="auto"/>
        </w:rPr>
        <w:t>. Until payment in full of the Guaranteed Debt and the termination of the commitments of Lenders to extend</w:t>
      </w:r>
      <w:r>
        <w:rPr>
          <w:rFonts w:ascii="Arial" w:cs="Arial" w:eastAsia="Arial" w:hAnsi="Arial"/>
          <w:sz w:val="18"/>
          <w:szCs w:val="18"/>
          <w:b w:val="1"/>
          <w:bCs w:val="1"/>
          <w:color w:val="auto"/>
        </w:rPr>
        <w:t xml:space="preserve"> </w:t>
      </w:r>
      <w:r>
        <w:rPr>
          <w:rFonts w:ascii="Arial" w:cs="Arial" w:eastAsia="Arial" w:hAnsi="Arial"/>
          <w:sz w:val="18"/>
          <w:szCs w:val="18"/>
          <w:color w:val="auto"/>
        </w:rPr>
        <w:t>credit under the Loan Documents and the termination of all Letters of Credit, (a) the Guarantor may not assert, enforce, or otherwise exercise any Right of subrogation to any of the Rights or Liens of Administrative Agent or Lenders or any other beneficiary against Borrower or any other obligor on the Guaranteed Debt or any collateral or other security or any Right of recourse, reimbursement, subrogation, contribution, indemnification, or similar Right against Borrower or any other obligor on any Guaranteed Debt or any other guarantor of it, and (b) the Guarantor defers all of the foregoing Rights (whether they arise in equity, under contract, by statute, under common Law, or otherwise). Upon payment in full of the Guaranteed Debt and the termination of the commitments of Lenders to extend credit under the Loan Documents, the Guarantor shall be subrogated to the rights of the Administrative Agent and Lenders against Borrower and the other obligors.</w:t>
      </w:r>
    </w:p>
    <w:p>
      <w:pPr>
        <w:spacing w:after="0" w:line="138" w:lineRule="exact"/>
        <w:rPr>
          <w:rFonts w:ascii="Arial" w:cs="Arial" w:eastAsia="Arial" w:hAnsi="Arial"/>
          <w:sz w:val="18"/>
          <w:szCs w:val="18"/>
          <w:b w:val="1"/>
          <w:bCs w:val="1"/>
          <w:color w:val="auto"/>
        </w:rPr>
      </w:pPr>
    </w:p>
    <w:p>
      <w:pPr>
        <w:ind w:firstLine="464"/>
        <w:spacing w:after="0" w:line="293" w:lineRule="auto"/>
        <w:tabs>
          <w:tab w:leader="none" w:pos="632"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NO RELEASE</w:t>
      </w:r>
      <w:r>
        <w:rPr>
          <w:rFonts w:ascii="Arial" w:cs="Arial" w:eastAsia="Arial" w:hAnsi="Arial"/>
          <w:sz w:val="16"/>
          <w:szCs w:val="16"/>
          <w:color w:val="auto"/>
        </w:rPr>
        <w:t>. The Guarantor hereby waives any defense of a surety or guarantor or any other obligor arising in connection with or in respect of any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following and hereby agrees that its obligations under this Guaranty may not be released, diminished, or affected by the occurrence of any one or more of the following events: (a) any taking or accepting of any additional guaranty or any other security or assurance for any Guaranteed Debt; (b) any release, surrender, exchange, subordination, impairment, or loss of any collateral securing any Guaranteed Debt; (c) any full or partial release of the liability of any other obligor on the Obligations, </w:t>
      </w:r>
      <w:r>
        <w:rPr>
          <w:rFonts w:ascii="Arial" w:cs="Arial" w:eastAsia="Arial" w:hAnsi="Arial"/>
          <w:sz w:val="16"/>
          <w:szCs w:val="16"/>
          <w:i w:val="1"/>
          <w:iCs w:val="1"/>
          <w:color w:val="auto"/>
        </w:rPr>
        <w:t>except</w:t>
      </w:r>
      <w:r>
        <w:rPr>
          <w:rFonts w:ascii="Arial" w:cs="Arial" w:eastAsia="Arial" w:hAnsi="Arial"/>
          <w:sz w:val="16"/>
          <w:szCs w:val="16"/>
          <w:color w:val="auto"/>
        </w:rPr>
        <w:t xml:space="preserve"> for any final release resulting from payment in full of such Obligations; (d) the modification of, or waiver of compliance with, any terms of any other Loan Document; (e) the insolvency, bankruptcy, or lack of corporate or partnership power of any other obligor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Guaranty</w:t>
      </w:r>
    </w:p>
    <w:p>
      <w:pPr>
        <w:sectPr>
          <w:pgSz w:w="11900" w:h="16838" w:orient="portrait"/>
          <w:cols w:equalWidth="0" w:num="1">
            <w:col w:w="11420"/>
          </w:cols>
          <w:pgMar w:left="240" w:top="280" w:right="239" w:bottom="1440" w:gutter="0" w:footer="0" w:header="0"/>
        </w:sectPr>
      </w:pPr>
    </w:p>
    <w:bookmarkStart w:id="128" w:name="page129"/>
    <w:bookmarkEnd w:id="12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at any time liable for any Guaranteed Debt, whether now existing or occurring in the future; (f) any renewal, extension, or rearrangement of any Guaranteed Debt or any adjustment, indulgence, forbearance, or compromise that may be granted or given by Administrative Agent or any Lender to any other obligor on the Obligations; (g) any neglect, delay, omission, failure, or refusal of Administrative Agent or any Lender to take or prosecute any action in connection with the Guaranteed Debt or to foreclose, take, or prosecute any action in connection with any Loan Document; (h) any failure of Administrative Agent or any Lender to notify the Guarantor of any renewal, extension, or assignment of any Guaranteed Debt, or the release of any security or of any other action taken or refrained from being taken by Administrative Agent or any Lender against Borrower or any new agreement between Administrative Agent, any Lender, and Borrower; </w:t>
      </w:r>
      <w:r>
        <w:rPr>
          <w:rFonts w:ascii="Arial" w:cs="Arial" w:eastAsia="Arial" w:hAnsi="Arial"/>
          <w:sz w:val="16"/>
          <w:szCs w:val="16"/>
          <w:i w:val="1"/>
          <w:iCs w:val="1"/>
          <w:color w:val="auto"/>
        </w:rPr>
        <w:t>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being understood that </w:t>
      </w:r>
      <w:r>
        <w:rPr>
          <w:rFonts w:ascii="Arial" w:cs="Arial" w:eastAsia="Arial" w:hAnsi="Arial"/>
          <w:sz w:val="16"/>
          <w:szCs w:val="16"/>
          <w:color w:val="auto"/>
        </w:rPr>
        <w:t>neither Administrative Agent nor any Lender is required to give the Guarantor any notice of any kind under any circumstances whatsoever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respect to or in connection with any Guaranteed Debt, </w:t>
      </w:r>
      <w:r>
        <w:rPr>
          <w:rFonts w:ascii="Arial" w:cs="Arial" w:eastAsia="Arial" w:hAnsi="Arial"/>
          <w:sz w:val="16"/>
          <w:szCs w:val="16"/>
          <w:i w:val="1"/>
          <w:iCs w:val="1"/>
          <w:color w:val="auto"/>
        </w:rPr>
        <w:t>other than</w:t>
      </w:r>
      <w:r>
        <w:rPr>
          <w:rFonts w:ascii="Arial" w:cs="Arial" w:eastAsia="Arial" w:hAnsi="Arial"/>
          <w:sz w:val="16"/>
          <w:szCs w:val="16"/>
          <w:color w:val="auto"/>
        </w:rPr>
        <w:t xml:space="preserve"> any notice required to be given in this Guaranty; (i) the invalidity or unenforceability of any Guaranteed Debt against any other obligor or any security securing same because it exceeds the amount permitted by Law, the act of creating it is </w:t>
      </w:r>
      <w:r>
        <w:rPr>
          <w:rFonts w:ascii="Arial" w:cs="Arial" w:eastAsia="Arial" w:hAnsi="Arial"/>
          <w:sz w:val="16"/>
          <w:szCs w:val="16"/>
          <w:i w:val="1"/>
          <w:iCs w:val="1"/>
          <w:color w:val="auto"/>
        </w:rPr>
        <w:t>ultra vires</w:t>
      </w:r>
      <w:r>
        <w:rPr>
          <w:rFonts w:ascii="Arial" w:cs="Arial" w:eastAsia="Arial" w:hAnsi="Arial"/>
          <w:sz w:val="16"/>
          <w:szCs w:val="16"/>
          <w:color w:val="auto"/>
        </w:rPr>
        <w:t>, the officers creating it exceeded their authority or violated their fiduciary duties in connection with it, or otherwise; (j) any payment of the Obligations to Administrative Agent or any Lender is held to constitute a preference under any Debtor Relief Law or for any other reason Administrative Agent or any Lender is required to refund that payment or make payment to someone else (and in each such instance this Guaranty will be reinstated in an amount equal to that payment); or (k) any law or regulation or other event affecting any term of the Guaranteed Debt; or (l) any other circumstance which might otherwise constitute a defense available to, or a legal or equitable discharge of, Borrower or the Guarantor.</w:t>
      </w:r>
    </w:p>
    <w:p>
      <w:pPr>
        <w:spacing w:after="0" w:line="122" w:lineRule="exact"/>
        <w:rPr>
          <w:sz w:val="20"/>
          <w:szCs w:val="20"/>
          <w:color w:val="auto"/>
        </w:rPr>
      </w:pPr>
    </w:p>
    <w:p>
      <w:pPr>
        <w:ind w:right="140" w:firstLine="464"/>
        <w:spacing w:after="0" w:line="301" w:lineRule="auto"/>
        <w:tabs>
          <w:tab w:leader="none" w:pos="632"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WAIVERS</w:t>
      </w:r>
      <w:r>
        <w:rPr>
          <w:rFonts w:ascii="Arial" w:cs="Arial" w:eastAsia="Arial" w:hAnsi="Arial"/>
          <w:sz w:val="16"/>
          <w:szCs w:val="16"/>
          <w:color w:val="auto"/>
        </w:rPr>
        <w:t>. By execution hereof, the Guarantor waives presentment and demand for payment, protest, notice of intention to accelerate,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acceleration, and notice of protest and nonpayment, and agrees that its liability with respect to the Guaranteed Debt (or any part thereof) shall not be affected by any renewal or extension in the time of payment of the Obligations (or any part thereof). To the maximum extent lawful, the Guarantor waives all Rights by which it might be entitled to require suit on an accrued Right of action in respect of any Guaranteed Debt or require suit against Borrower or others.</w:t>
      </w:r>
    </w:p>
    <w:p>
      <w:pPr>
        <w:spacing w:after="0" w:line="103" w:lineRule="exact"/>
        <w:rPr>
          <w:rFonts w:ascii="Arial" w:cs="Arial" w:eastAsia="Arial" w:hAnsi="Arial"/>
          <w:sz w:val="16"/>
          <w:szCs w:val="16"/>
          <w:b w:val="1"/>
          <w:bCs w:val="1"/>
          <w:color w:val="auto"/>
        </w:rPr>
      </w:pPr>
    </w:p>
    <w:p>
      <w:pPr>
        <w:ind w:firstLine="464"/>
        <w:spacing w:after="0" w:line="291" w:lineRule="auto"/>
        <w:tabs>
          <w:tab w:leader="none" w:pos="720"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LOAN DOCUMENTS</w:t>
      </w:r>
      <w:r>
        <w:rPr>
          <w:rFonts w:ascii="Arial" w:cs="Arial" w:eastAsia="Arial" w:hAnsi="Arial"/>
          <w:sz w:val="16"/>
          <w:szCs w:val="16"/>
          <w:color w:val="auto"/>
        </w:rPr>
        <w:t>. By execution hereof, the Guarantor covenants and agrees that certain representations, warranties, terms, covenants,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set forth in the Loan Documents are applicable to the Guarantor by their terms and shall be imposed upon the Guarantor, and the Guarantor reaffirms that each such representation and warranty is true and correct and covenants and agrees to promptly and properly perform, observe, and comply with each such term, covenant, or condition. Moreover, the Guarantor acknowledges and agrees that this Guaranty is subject to the offset provisions of the Loan Documents in favor of Administrative Agent and Lenders. In the event the Credit Agreement or any other Loan Document shall cease to remain in effect for any reason whatsoever during any period when any part of the Guaranteed Debt remains unpaid, the terms, covenants, and agreements of the Credit Agreement or such other Loan Document incorporated herein by reference shall nevertheless continue in full force and effect as obligations of the Guarantor under this Guaranty.</w:t>
      </w:r>
    </w:p>
    <w:p>
      <w:pPr>
        <w:spacing w:after="0" w:line="113" w:lineRule="exact"/>
        <w:rPr>
          <w:rFonts w:ascii="Arial" w:cs="Arial" w:eastAsia="Arial" w:hAnsi="Arial"/>
          <w:sz w:val="16"/>
          <w:szCs w:val="16"/>
          <w:b w:val="1"/>
          <w:bCs w:val="1"/>
          <w:color w:val="auto"/>
        </w:rPr>
      </w:pPr>
    </w:p>
    <w:p>
      <w:pPr>
        <w:ind w:right="60" w:firstLine="464"/>
        <w:spacing w:after="0" w:line="293" w:lineRule="auto"/>
        <w:tabs>
          <w:tab w:leader="none" w:pos="710"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RELIANCE AND DUTY TO REMAIN INFORMED</w:t>
      </w:r>
      <w:r>
        <w:rPr>
          <w:rFonts w:ascii="Arial" w:cs="Arial" w:eastAsia="Arial" w:hAnsi="Arial"/>
          <w:sz w:val="16"/>
          <w:szCs w:val="16"/>
          <w:color w:val="auto"/>
        </w:rPr>
        <w:t>. The Guarantor confirms that it has executed and delivered this Guaranty after reviewing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of the Loan Documents and such other information as it has deemed appropriate in order to make its own credit analysis and decision to execute and deliver this Guaranty. The Guarantor confirms that it has made its own independent investigation with respect to Borrower’s creditworthiness and is not executing and delivering this Guaranty in reliance on any representation or warranty by Administrative Agent or any Lender as to that creditworthiness. The Guarantor expressly assumes all responsibilities to remain informed of the financial condition of Borrower and any circumstances affecting Borrower’s ability to perform under the Loan Documents to which it is a party.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Guaranty</w:t>
      </w:r>
    </w:p>
    <w:p>
      <w:pPr>
        <w:sectPr>
          <w:pgSz w:w="11900" w:h="16838" w:orient="portrait"/>
          <w:cols w:equalWidth="0" w:num="1">
            <w:col w:w="11380"/>
          </w:cols>
          <w:pgMar w:left="240" w:top="280" w:right="279" w:bottom="1440" w:gutter="0" w:footer="0" w:header="0"/>
        </w:sectPr>
      </w:pPr>
    </w:p>
    <w:bookmarkStart w:id="129" w:name="page130"/>
    <w:bookmarkEnd w:id="129"/>
    <w:p>
      <w:pPr>
        <w:ind w:left="-20" w:right="160" w:firstLine="464"/>
        <w:spacing w:after="0" w:line="262" w:lineRule="auto"/>
        <w:tabs>
          <w:tab w:leader="none" w:pos="7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DOCUMENT</w:t>
      </w:r>
      <w:r>
        <w:rPr>
          <w:rFonts w:ascii="Arial" w:cs="Arial" w:eastAsia="Arial" w:hAnsi="Arial"/>
          <w:sz w:val="18"/>
          <w:szCs w:val="18"/>
          <w:color w:val="auto"/>
        </w:rPr>
        <w:t>. This Guaranty is a Loan Document and is subject to the applicable provisions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Articles I</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X</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without limitation, the provisions relating to </w:t>
      </w:r>
      <w:r>
        <w:rPr>
          <w:rFonts w:ascii="Arial" w:cs="Arial" w:eastAsia="Arial" w:hAnsi="Arial"/>
          <w:sz w:val="18"/>
          <w:szCs w:val="18"/>
          <w:b w:val="1"/>
          <w:bCs w:val="1"/>
          <w:color w:val="auto"/>
        </w:rPr>
        <w:t>GOVERNING LAW, AND WAIVER OF RIGHT TO JURY TRIAL</w:t>
      </w:r>
      <w:r>
        <w:rPr>
          <w:rFonts w:ascii="Arial" w:cs="Arial" w:eastAsia="Arial" w:hAnsi="Arial"/>
          <w:sz w:val="18"/>
          <w:szCs w:val="18"/>
          <w:color w:val="auto"/>
        </w:rPr>
        <w:t>, both of which are incorporated into this Guaranty by reference the same as if set forth in this Guaranty verbatim.</w:t>
      </w:r>
    </w:p>
    <w:p>
      <w:pPr>
        <w:spacing w:after="0" w:line="132" w:lineRule="exact"/>
        <w:rPr>
          <w:rFonts w:ascii="Arial" w:cs="Arial" w:eastAsia="Arial" w:hAnsi="Arial"/>
          <w:sz w:val="18"/>
          <w:szCs w:val="18"/>
          <w:b w:val="1"/>
          <w:bCs w:val="1"/>
          <w:color w:val="auto"/>
        </w:rPr>
      </w:pPr>
    </w:p>
    <w:p>
      <w:pPr>
        <w:ind w:left="-20" w:right="760" w:firstLine="464"/>
        <w:spacing w:after="0" w:line="275" w:lineRule="auto"/>
        <w:tabs>
          <w:tab w:leader="none" w:pos="7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required or permitted under this Guaranty, if any, shall be given in the manner set forth in Section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10.02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19" w:lineRule="exact"/>
        <w:rPr>
          <w:rFonts w:ascii="Arial" w:cs="Arial" w:eastAsia="Arial" w:hAnsi="Arial"/>
          <w:sz w:val="18"/>
          <w:szCs w:val="18"/>
          <w:b w:val="1"/>
          <w:bCs w:val="1"/>
          <w:color w:val="auto"/>
        </w:rPr>
      </w:pPr>
    </w:p>
    <w:p>
      <w:pPr>
        <w:ind w:left="-20" w:firstLine="464"/>
        <w:spacing w:after="0" w:line="310" w:lineRule="auto"/>
        <w:tabs>
          <w:tab w:leader="none" w:pos="700"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ETC. </w:t>
      </w:r>
      <w:r>
        <w:rPr>
          <w:rFonts w:ascii="Arial" w:cs="Arial" w:eastAsia="Arial" w:hAnsi="Arial"/>
          <w:sz w:val="16"/>
          <w:szCs w:val="16"/>
          <w:color w:val="auto"/>
        </w:rPr>
        <w:t>No amendment, waiver, or discharge to or under this Guaranty is valid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unless</w:t>
      </w:r>
      <w:r>
        <w:rPr>
          <w:rFonts w:ascii="Arial" w:cs="Arial" w:eastAsia="Arial" w:hAnsi="Arial"/>
          <w:sz w:val="16"/>
          <w:szCs w:val="16"/>
          <w:b w:val="1"/>
          <w:bCs w:val="1"/>
          <w:color w:val="auto"/>
        </w:rPr>
        <w:t xml:space="preserve"> </w:t>
      </w:r>
      <w:r>
        <w:rPr>
          <w:rFonts w:ascii="Arial" w:cs="Arial" w:eastAsia="Arial" w:hAnsi="Arial"/>
          <w:sz w:val="16"/>
          <w:szCs w:val="16"/>
          <w:color w:val="auto"/>
        </w:rPr>
        <w:t>it is in writing and is signed by the party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whom it is sought to be enforced and is otherwise in conformity with the requirements of </w:t>
      </w:r>
      <w:r>
        <w:rPr>
          <w:rFonts w:ascii="Arial" w:cs="Arial" w:eastAsia="Arial" w:hAnsi="Arial"/>
          <w:sz w:val="16"/>
          <w:szCs w:val="16"/>
          <w:b w:val="1"/>
          <w:bCs w:val="1"/>
          <w:i w:val="1"/>
          <w:iCs w:val="1"/>
          <w:color w:val="auto"/>
        </w:rPr>
        <w:t>Section 10.01</w:t>
      </w:r>
      <w:r>
        <w:rPr>
          <w:rFonts w:ascii="Arial" w:cs="Arial" w:eastAsia="Arial" w:hAnsi="Arial"/>
          <w:sz w:val="16"/>
          <w:szCs w:val="16"/>
          <w:color w:val="auto"/>
        </w:rPr>
        <w:t xml:space="preserve"> of the Credit Agreement. The unenforceability or invalidity of any provision of this Guaranty shall not affect the enforceability or validity of any other provision herein.</w:t>
      </w:r>
    </w:p>
    <w:p>
      <w:pPr>
        <w:spacing w:after="0" w:line="97" w:lineRule="exact"/>
        <w:rPr>
          <w:rFonts w:ascii="Arial" w:cs="Arial" w:eastAsia="Arial" w:hAnsi="Arial"/>
          <w:sz w:val="16"/>
          <w:szCs w:val="16"/>
          <w:b w:val="1"/>
          <w:bCs w:val="1"/>
          <w:color w:val="auto"/>
        </w:rPr>
      </w:pPr>
    </w:p>
    <w:p>
      <w:pPr>
        <w:ind w:left="-20" w:right="80" w:firstLine="464"/>
        <w:spacing w:after="0" w:line="291" w:lineRule="auto"/>
        <w:tabs>
          <w:tab w:leader="none" w:pos="700"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ADMINISTRATIVE AGENT AND LENDERS. </w:t>
      </w:r>
      <w:r>
        <w:rPr>
          <w:rFonts w:ascii="Arial" w:cs="Arial" w:eastAsia="Arial" w:hAnsi="Arial"/>
          <w:sz w:val="16"/>
          <w:szCs w:val="16"/>
          <w:color w:val="auto"/>
        </w:rPr>
        <w:t>Administrative Agent is Administrative Agent for each Lender under the Credit Agreement.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Rights granted to Administrative Agent under or in connection with this Guaranty are for each Lender’s ratable benefit. Administrative Agent may, without the joinder of any Lender, exercise any Rights in Administrative Agent’s or Lenders’ favor under or in connection with this Guaranty. Administrative Agent’s and each Lender’s Rights and obligations </w:t>
      </w:r>
      <w:r>
        <w:rPr>
          <w:rFonts w:ascii="Arial" w:cs="Arial" w:eastAsia="Arial" w:hAnsi="Arial"/>
          <w:sz w:val="16"/>
          <w:szCs w:val="16"/>
          <w:i w:val="1"/>
          <w:iCs w:val="1"/>
          <w:color w:val="auto"/>
        </w:rPr>
        <w:t>vis-a-vis</w:t>
      </w:r>
      <w:r>
        <w:rPr>
          <w:rFonts w:ascii="Arial" w:cs="Arial" w:eastAsia="Arial" w:hAnsi="Arial"/>
          <w:sz w:val="16"/>
          <w:szCs w:val="16"/>
          <w:color w:val="auto"/>
        </w:rPr>
        <w:t xml:space="preserve"> each other may be subject to one or more separate agreements between those parties. However, the Guarantor is not required to inquire about any such agreement nor is it subject to any of its terms </w:t>
      </w:r>
      <w:r>
        <w:rPr>
          <w:rFonts w:ascii="Arial" w:cs="Arial" w:eastAsia="Arial" w:hAnsi="Arial"/>
          <w:sz w:val="16"/>
          <w:szCs w:val="16"/>
          <w:i w:val="1"/>
          <w:iCs w:val="1"/>
          <w:color w:val="auto"/>
        </w:rPr>
        <w:t>unless</w:t>
      </w:r>
      <w:r>
        <w:rPr>
          <w:rFonts w:ascii="Arial" w:cs="Arial" w:eastAsia="Arial" w:hAnsi="Arial"/>
          <w:sz w:val="16"/>
          <w:szCs w:val="16"/>
          <w:color w:val="auto"/>
        </w:rPr>
        <w:t xml:space="preserve"> the Guarantor specifically joins such agreement Therefore, neither Guarantor nor its successors or assigns is entitled to any benefits or provisions of any such separate agreement or is entitled to rely upon or raise as a defense any party’s failure or refusal to comply with the provisions of such agreement.</w:t>
      </w:r>
    </w:p>
    <w:p>
      <w:pPr>
        <w:spacing w:after="0" w:line="113" w:lineRule="exact"/>
        <w:rPr>
          <w:rFonts w:ascii="Arial" w:cs="Arial" w:eastAsia="Arial" w:hAnsi="Arial"/>
          <w:sz w:val="16"/>
          <w:szCs w:val="16"/>
          <w:b w:val="1"/>
          <w:bCs w:val="1"/>
          <w:color w:val="auto"/>
        </w:rPr>
      </w:pPr>
    </w:p>
    <w:p>
      <w:pPr>
        <w:ind w:left="-20" w:right="100" w:firstLine="464"/>
        <w:spacing w:after="0" w:line="256" w:lineRule="auto"/>
        <w:tabs>
          <w:tab w:leader="none" w:pos="7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GUARANTORS</w:t>
      </w:r>
      <w:r>
        <w:rPr>
          <w:rFonts w:ascii="Arial" w:cs="Arial" w:eastAsia="Arial" w:hAnsi="Arial"/>
          <w:sz w:val="18"/>
          <w:szCs w:val="18"/>
          <w:color w:val="auto"/>
        </w:rPr>
        <w:t>. From time to time subsequent to the time hereof, additional Persons may execute and deliver guaranties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The Guarantor hereunder expressly agrees that its obligations arising hereunder shall not be affected or diminished by any such additional guaranties. The Guarantor agrees that it shall not be necessary or required that the Administrative Agent or any Lender exercise any right, assert any claim or demand or enforce any remedy whatsoever against the Borrower or any other Person who has guaranteed the Guaranteed Debt before or as a condition to the obligations of the Guarantor hereunder.</w:t>
      </w:r>
    </w:p>
    <w:p>
      <w:pPr>
        <w:spacing w:after="0" w:line="138" w:lineRule="exact"/>
        <w:rPr>
          <w:rFonts w:ascii="Arial" w:cs="Arial" w:eastAsia="Arial" w:hAnsi="Arial"/>
          <w:sz w:val="18"/>
          <w:szCs w:val="18"/>
          <w:b w:val="1"/>
          <w:bCs w:val="1"/>
          <w:color w:val="auto"/>
        </w:rPr>
      </w:pPr>
    </w:p>
    <w:p>
      <w:pPr>
        <w:ind w:left="-20" w:right="120" w:firstLine="464"/>
        <w:spacing w:after="0" w:line="293" w:lineRule="auto"/>
        <w:tabs>
          <w:tab w:leader="none" w:pos="700"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PARTIES</w:t>
      </w:r>
      <w:r>
        <w:rPr>
          <w:rFonts w:ascii="Arial" w:cs="Arial" w:eastAsia="Arial" w:hAnsi="Arial"/>
          <w:sz w:val="16"/>
          <w:szCs w:val="16"/>
          <w:color w:val="auto"/>
        </w:rPr>
        <w:t>. This Guaranty benefits Administrative Agent, Lenders, and their respective successors and assigns and binds the Guarantor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respective successors and assigns. Upon appointment of any successor Administrative Agent under the Credit Agreement, all of the Rights of Administrative Agent under this Guaranty automatically vest in that new Administrative Agent as successor Administrative Agent on behalf of Lenders without any further act, deed, conveyance, or other formality </w:t>
      </w:r>
      <w:r>
        <w:rPr>
          <w:rFonts w:ascii="Arial" w:cs="Arial" w:eastAsia="Arial" w:hAnsi="Arial"/>
          <w:sz w:val="16"/>
          <w:szCs w:val="16"/>
          <w:i w:val="1"/>
          <w:iCs w:val="1"/>
          <w:color w:val="auto"/>
        </w:rPr>
        <w:t>other than</w:t>
      </w:r>
      <w:r>
        <w:rPr>
          <w:rFonts w:ascii="Arial" w:cs="Arial" w:eastAsia="Arial" w:hAnsi="Arial"/>
          <w:sz w:val="16"/>
          <w:szCs w:val="16"/>
          <w:color w:val="auto"/>
        </w:rPr>
        <w:t xml:space="preserve"> that appointment. The Rights of Administrative Agent and Lenders under this Guaranty may be transferred with any assignment of the Guaranteed Debt pursuant to and in accordance with the terms of the Credit Agreement. The Credit Agreement contains provisions governing assignments of the Guaranteed Debt and of Rights and obligations under this Guaranty.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Blank.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Page(s) to Follow.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Guaranty</w:t>
      </w:r>
    </w:p>
    <w:p>
      <w:pPr>
        <w:sectPr>
          <w:pgSz w:w="11900" w:h="16838" w:orient="portrait"/>
          <w:cols w:equalWidth="0" w:num="1">
            <w:col w:w="11380"/>
          </w:cols>
          <w:pgMar w:left="260" w:top="274" w:right="2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EXECUTED as of the date first stated in this Guaranty.</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GUARANTOR:</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SUNOCO LOGISTICS PARTNERS L.P., a Delaware limited</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partnership</w:t>
      </w:r>
    </w:p>
    <w:p>
      <w:pPr>
        <w:spacing w:after="0" w:line="11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6"/>
          <w:szCs w:val="16"/>
          <w:color w:val="auto"/>
        </w:rPr>
        <w:t>By:</w:t>
        <w:tab/>
        <w:t>Sunoco Partners LLC, a Pennsylvania limited liability</w:t>
      </w:r>
    </w:p>
    <w:p>
      <w:pPr>
        <w:spacing w:after="0" w:line="3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company, its General Partner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-5715</wp:posOffset>
            </wp:positionV>
            <wp:extent cx="25730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-635</wp:posOffset>
            </wp:positionV>
            <wp:extent cx="25730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Exhibit E</w:t>
      </w:r>
    </w:p>
    <w:p>
      <w:pPr>
        <w:spacing w:after="0" w:line="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Page 6</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Form of Guaranty</w:t>
      </w:r>
    </w:p>
    <w:p>
      <w:pPr>
        <w:sectPr>
          <w:pgSz w:w="11900" w:h="16838" w:orient="portrait"/>
          <w:cols w:equalWidth="0" w:num="1">
            <w:col w:w="11180"/>
          </w:cols>
          <w:pgMar w:left="240" w:top="280" w:right="47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 OF COUNSEL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8,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each of the Lenders parties to the Credit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Citibank, N.A.,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for the Lenders</w:t>
      </w:r>
    </w:p>
    <w:p>
      <w:pPr>
        <w:spacing w:after="0" w:line="205"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$400,000,000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color w:val="auto"/>
        </w:rPr>
        <w:t>We have acted as counsel to (i) Sunoco Logistics Partners Operations L.P., a Delaware limited partnership (the “</w:t>
      </w:r>
      <w:r>
        <w:rPr>
          <w:rFonts w:ascii="Arial" w:cs="Arial" w:eastAsia="Arial" w:hAnsi="Arial"/>
          <w:sz w:val="15"/>
          <w:szCs w:val="15"/>
          <w:b w:val="1"/>
          <w:bCs w:val="1"/>
          <w:i w:val="1"/>
          <w:iCs w:val="1"/>
          <w:color w:val="auto"/>
        </w:rPr>
        <w:t>Borrower</w:t>
      </w:r>
      <w:r>
        <w:rPr>
          <w:rFonts w:ascii="Arial" w:cs="Arial" w:eastAsia="Arial" w:hAnsi="Arial"/>
          <w:sz w:val="15"/>
          <w:szCs w:val="15"/>
          <w:color w:val="auto"/>
        </w:rPr>
        <w:t>”), (ii) Sunoco Logistics Partners GP LLC, a Delaware limited liability company (the “</w:t>
      </w:r>
      <w:r>
        <w:rPr>
          <w:rFonts w:ascii="Arial" w:cs="Arial" w:eastAsia="Arial" w:hAnsi="Arial"/>
          <w:sz w:val="15"/>
          <w:szCs w:val="15"/>
          <w:b w:val="1"/>
          <w:bCs w:val="1"/>
          <w:i w:val="1"/>
          <w:iCs w:val="1"/>
          <w:color w:val="auto"/>
        </w:rPr>
        <w:t>Borrower’s GP</w:t>
      </w:r>
      <w:r>
        <w:rPr>
          <w:rFonts w:ascii="Arial" w:cs="Arial" w:eastAsia="Arial" w:hAnsi="Arial"/>
          <w:sz w:val="15"/>
          <w:szCs w:val="15"/>
          <w:color w:val="auto"/>
        </w:rPr>
        <w:t>”), (iii) Sunoco Logistics Partners L.P., a Delaware limited partnership (the “</w:t>
      </w:r>
      <w:r>
        <w:rPr>
          <w:rFonts w:ascii="Arial" w:cs="Arial" w:eastAsia="Arial" w:hAnsi="Arial"/>
          <w:sz w:val="15"/>
          <w:szCs w:val="15"/>
          <w:b w:val="1"/>
          <w:bCs w:val="1"/>
          <w:i w:val="1"/>
          <w:iCs w:val="1"/>
          <w:color w:val="auto"/>
        </w:rPr>
        <w:t>MLP</w:t>
      </w:r>
      <w:r>
        <w:rPr>
          <w:rFonts w:ascii="Arial" w:cs="Arial" w:eastAsia="Arial" w:hAnsi="Arial"/>
          <w:sz w:val="15"/>
          <w:szCs w:val="15"/>
          <w:color w:val="auto"/>
        </w:rPr>
        <w:t>”) and</w:t>
      </w:r>
    </w:p>
    <w:p>
      <w:pPr>
        <w:ind w:right="300" w:firstLine="8"/>
        <w:spacing w:after="0" w:line="253" w:lineRule="auto"/>
        <w:tabs>
          <w:tab w:leader="none" w:pos="29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Sunoco Partners LLC, a Pennsylvania limited liability company (the “</w:t>
      </w:r>
      <w:r>
        <w:rPr>
          <w:rFonts w:ascii="Arial" w:cs="Arial" w:eastAsia="Arial" w:hAnsi="Arial"/>
          <w:sz w:val="18"/>
          <w:szCs w:val="18"/>
          <w:b w:val="1"/>
          <w:bCs w:val="1"/>
          <w:i w:val="1"/>
          <w:iCs w:val="1"/>
          <w:color w:val="auto"/>
        </w:rPr>
        <w:t>MLP’s GP,</w:t>
      </w:r>
      <w:r>
        <w:rPr>
          <w:rFonts w:ascii="Arial" w:cs="Arial" w:eastAsia="Arial" w:hAnsi="Arial"/>
          <w:sz w:val="18"/>
          <w:szCs w:val="18"/>
          <w:color w:val="auto"/>
        </w:rPr>
        <w:t>” and together with the Borrower, the Borrower’s GP and the MLP, the “</w:t>
      </w:r>
      <w:r>
        <w:rPr>
          <w:rFonts w:ascii="Arial" w:cs="Arial" w:eastAsia="Arial" w:hAnsi="Arial"/>
          <w:sz w:val="18"/>
          <w:szCs w:val="18"/>
          <w:b w:val="1"/>
          <w:bCs w:val="1"/>
          <w:i w:val="1"/>
          <w:iCs w:val="1"/>
          <w:color w:val="auto"/>
        </w:rPr>
        <w:t>Transaction Parties</w:t>
      </w:r>
      <w:r>
        <w:rPr>
          <w:rFonts w:ascii="Arial" w:cs="Arial" w:eastAsia="Arial" w:hAnsi="Arial"/>
          <w:sz w:val="18"/>
          <w:szCs w:val="18"/>
          <w:color w:val="auto"/>
        </w:rPr>
        <w:t>”) in connection with the Credit Agreement dated as of August 8, 2007, by and among the Borrower, the MLP, the Lenders party thereto, Citibank, N.A., as Administrative Agent for the Lenders, and the other agents and lenders therein named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xml:space="preserve">”). Unless defined in this opinion, capitalized terms are used herein as defined in the Credit Agreement. This opinion is furnished to you at the request of the Borrower pursuant to </w:t>
      </w:r>
      <w:r>
        <w:rPr>
          <w:rFonts w:ascii="Arial" w:cs="Arial" w:eastAsia="Arial" w:hAnsi="Arial"/>
          <w:sz w:val="18"/>
          <w:szCs w:val="18"/>
          <w:b w:val="1"/>
          <w:bCs w:val="1"/>
          <w:i w:val="1"/>
          <w:iCs w:val="1"/>
          <w:color w:val="auto"/>
        </w:rPr>
        <w:t xml:space="preserve">Section 4.01(a)(vii) </w:t>
      </w:r>
      <w:r>
        <w:rPr>
          <w:rFonts w:ascii="Arial" w:cs="Arial" w:eastAsia="Arial" w:hAnsi="Arial"/>
          <w:sz w:val="18"/>
          <w:szCs w:val="18"/>
          <w:color w:val="auto"/>
        </w:rPr>
        <w:t>of the Credit Agreement.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so acting, we have examined executed originals or counterparts of the following documents, each dated the date hereof (the “</w:t>
      </w:r>
      <w:r>
        <w:rPr>
          <w:rFonts w:ascii="Arial" w:cs="Arial" w:eastAsia="Arial" w:hAnsi="Arial"/>
          <w:sz w:val="16"/>
          <w:szCs w:val="16"/>
          <w:b w:val="1"/>
          <w:bCs w:val="1"/>
          <w:i w:val="1"/>
          <w:iCs w:val="1"/>
          <w:color w:val="auto"/>
        </w:rPr>
        <w:t>Loan Documents</w:t>
      </w:r>
      <w:r>
        <w:rPr>
          <w:rFonts w:ascii="Arial" w:cs="Arial" w:eastAsia="Arial" w:hAnsi="Arial"/>
          <w:sz w:val="16"/>
          <w:szCs w:val="16"/>
          <w:color w:val="auto"/>
        </w:rPr>
        <w:t>”):</w:t>
      </w:r>
    </w:p>
    <w:p>
      <w:pPr>
        <w:spacing w:after="0" w:line="113" w:lineRule="exact"/>
        <w:rPr>
          <w:sz w:val="20"/>
          <w:szCs w:val="20"/>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Credit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Notes executed on the date hereof;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Guaranty.</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also examined, and relied upon the accuracy of factual matters contained in, originals or copies, certified or otherwise identified to our satisfaction, of such partnership and limited liability company records and certificates or comparable documents of public officials and of officers, partners and representatives of the Transaction Parties, and have made such examinations of law, as we have deemed necessary in connection with the opinions set forth below. We have made no independent factual investigation other than as described above, and as to other factual matters, we have relied exclusively on the facts stated in the representations and warranties contained in the Loan Documents and the Exhibits and Schedules to the Loan Documents (other than representations and warranties constituting conclusions of law on matters on which we opine). We have not examined any records of any court, administrative tribunal or other similar entity in connection with our opinion.</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When an opinion or confirmation is given to our knowledge or to the best of our knowledge or with reference to matters of which we are aware or which are known to us, or with another similar qualification, the relevant knowledge or awareness is limited to the actual contemporaneous knowledge or awareness of facts, without investigation, by the lawyer who is the current primary contact for the Borrower and the individual lawyers in this firm who have participated in the specific transaction to which this opinion relates.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 of Counsel</w:t>
      </w:r>
    </w:p>
    <w:p>
      <w:pPr>
        <w:sectPr>
          <w:pgSz w:w="11900" w:h="16838" w:orient="portrait"/>
          <w:cols w:equalWidth="0" w:num="1">
            <w:col w:w="11420"/>
          </w:cols>
          <w:pgMar w:left="240" w:top="280" w:right="239" w:bottom="1440" w:gutter="0" w:footer="0" w:header="0"/>
        </w:sectPr>
      </w:pPr>
    </w:p>
    <w:bookmarkStart w:id="132" w:name="page133"/>
    <w:bookmarkEnd w:id="132"/>
    <w:p>
      <w:pPr>
        <w:ind w:right="60" w:firstLine="456"/>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assumed the legal capacity and competence of natural persons, the genuineness of all signatures, the authenticity of all documents submitted to us as originals and the conformity to original documents of documents submitted to us as certified, conformed, photostatic, electronic or facsimile copies. We have also assumed, without verification, (i) that the parties to the Loan Documents and the other agreements, instruments and documents executed in connection therewith, other than the Borrower, the Borrower’s GP, the MLP and the MLP’s GP, have the power (including, without limitation, corporate and partnership power where applicable) and authority to enter into and perform the Loan Documents and such other agreements, instruments and documents, (ii) the due authorization, execution and delivery by such parties other than the Borrower, the Borrower’s GP, the MLP and the MLP’s GP, of each Loan Document and such other agreements, instruments and documents, and (iii) that the Loan Documents and such other agreements, instruments and documents constitute legal, valid and binding obligations of each such party other than the Transaction Parties, enforceable against each such other party in accordance with their respective terms.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the foregoing and subject to the assumptions, exceptions, limitations and qualifications set forth herein, we are of the opinion that:</w:t>
      </w:r>
    </w:p>
    <w:p>
      <w:pPr>
        <w:spacing w:after="0" w:line="113" w:lineRule="exact"/>
        <w:rPr>
          <w:sz w:val="20"/>
          <w:szCs w:val="20"/>
          <w:color w:val="auto"/>
        </w:rPr>
      </w:pPr>
    </w:p>
    <w:p>
      <w:pPr>
        <w:jc w:val="both"/>
        <w:ind w:firstLine="464"/>
        <w:spacing w:after="0" w:line="256" w:lineRule="auto"/>
        <w:tabs>
          <w:tab w:leader="none" w:pos="63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Borrower is a limited partnership duly formed, validly existing and in good standing under the laws of the State of Delaware; the Borrower’s GP is a limited liability company duly formed, validly existing and in good standing under the laws of the State of Delaware; the MLP’s GP is a limited liability company duly formed and validly subsisting under the laws of the Commonwealth of Pennsylvania; and the MLP is a limited partnership duly formed, validly existing and in good standing under the laws of the State of Delaware.</w:t>
      </w:r>
    </w:p>
    <w:p>
      <w:pPr>
        <w:spacing w:after="0" w:line="143" w:lineRule="exact"/>
        <w:rPr>
          <w:rFonts w:ascii="Arial" w:cs="Arial" w:eastAsia="Arial" w:hAnsi="Arial"/>
          <w:sz w:val="18"/>
          <w:szCs w:val="18"/>
          <w:color w:val="auto"/>
        </w:rPr>
      </w:pPr>
    </w:p>
    <w:p>
      <w:pPr>
        <w:ind w:right="500" w:firstLine="464"/>
        <w:spacing w:after="0" w:line="332" w:lineRule="auto"/>
        <w:tabs>
          <w:tab w:leader="none" w:pos="63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Each of the Borrower, the Borrower’s GP, the MLP’s GP, and the MLP has the partnership or limited liability company power to own and lease its property and to conduct the business in which it is currently engaged as described in the 2006 Annual Report of the MLP.</w:t>
      </w:r>
    </w:p>
    <w:p>
      <w:pPr>
        <w:spacing w:after="0" w:line="85" w:lineRule="exact"/>
        <w:rPr>
          <w:rFonts w:ascii="Arial" w:cs="Arial" w:eastAsia="Arial" w:hAnsi="Arial"/>
          <w:sz w:val="16"/>
          <w:szCs w:val="16"/>
          <w:color w:val="auto"/>
        </w:rPr>
      </w:pPr>
    </w:p>
    <w:p>
      <w:pPr>
        <w:jc w:val="both"/>
        <w:ind w:right="460" w:firstLine="464"/>
        <w:spacing w:after="0" w:line="259" w:lineRule="auto"/>
        <w:tabs>
          <w:tab w:leader="none" w:pos="63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of the Borrower and the MLP has the partnership or limited liability company power to enter into and perform its obligations under the Loan Documents to which it is a party and to incur the obligations provided therein, and has taken all partnership or limited liability company action necessary to authorize the execution, delivery and performance of such Loan Documents.</w:t>
      </w:r>
    </w:p>
    <w:p>
      <w:pPr>
        <w:spacing w:after="0" w:line="140" w:lineRule="exact"/>
        <w:rPr>
          <w:rFonts w:ascii="Arial" w:cs="Arial" w:eastAsia="Arial" w:hAnsi="Arial"/>
          <w:sz w:val="18"/>
          <w:szCs w:val="18"/>
          <w:color w:val="auto"/>
        </w:rPr>
      </w:pPr>
    </w:p>
    <w:p>
      <w:pPr>
        <w:ind w:firstLine="464"/>
        <w:spacing w:after="0" w:line="290" w:lineRule="auto"/>
        <w:tabs>
          <w:tab w:leader="none" w:pos="63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execution and delivery by each of the Borrower, the Borrower’s GP, the MLP’s GP, and the MLP of the Loan Documents to which it is a party, on its own behalf or in the case of the Borrower’s GP and the MLP’s GP as a partner, do not and the performance of the obligations thereunder will not violate such party’s Organization Documents. The execution and delivery by each of the Transaction Parties will not violate any present statute, rule or regulation promulgated by the United States or the State of New York which in our experience is normally applicable both to entities that are not engaged in regulated business activities and to transactions of the type contemplated by the Loan Documents or the Limited Partnership Law of the State of Delaware in the case of the Borrower or the MLP or the Limited Liability Company Act of the State of Delaware in the case of the Borrower’s GP or the Limited Liability Company Act of the Commonwealth of Pennsylvania in the case of the MLP’s GP (the “</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right="140" w:firstLine="464"/>
        <w:spacing w:after="0" w:line="259" w:lineRule="auto"/>
        <w:tabs>
          <w:tab w:leader="none" w:pos="63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Loan Document to which the Borrower or the MLP is a party has been duly executed and delivered on behalf of the Borrower or the MLP. Each Loan Document to which the Borrower or the MLP is a party constitutes the legal, valid and binding obligation of the Borrower or the MLP, as the case may be, enforceable in accordance with its respective terms.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Opinion of Counsel</w:t>
      </w:r>
    </w:p>
    <w:p>
      <w:pPr>
        <w:sectPr>
          <w:pgSz w:w="11900" w:h="16838" w:orient="portrait"/>
          <w:cols w:equalWidth="0" w:num="1">
            <w:col w:w="11400"/>
          </w:cols>
          <w:pgMar w:left="240" w:top="280" w:right="259" w:bottom="1440" w:gutter="0" w:footer="0" w:header="0"/>
        </w:sectPr>
      </w:pPr>
    </w:p>
    <w:bookmarkStart w:id="133" w:name="page134"/>
    <w:bookmarkEnd w:id="133"/>
    <w:p>
      <w:pPr>
        <w:ind w:firstLine="464"/>
        <w:spacing w:after="0" w:line="256" w:lineRule="auto"/>
        <w:tabs>
          <w:tab w:leader="none" w:pos="632"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authorization, approval or other action by, and no notice to or filing with, any governmental authority or regulatory body is required under Applicable Law for the due execution, delivery and performance by any Transaction Party of the Credit Documents to which it is a party or the consummation of the transactions contemplated by the Credit Documents, except, in the case of such performance, for such authorizations, approvals, actions, notices and filings which have been made or obtained.</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Transaction Party is required to register as an “investment company” under the Investment Company Act of 1940,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opinions are subject to the following exceptions, limitations and qualifications: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 Our opinion is subject to the effect of applicable bankruptcy, insolvency, reorganization, moratorium, fraudulent conveyance, fraudulent transfer, marshalling or similar laws affecting creditors’ rights and remedies generally; general principles of equity, including without limitation, concepts of materiality, reasonableness, good faith and fair dealing (regardless of whether such enforceability is considered in a proceeding in equity or at law); and limitations on enforceability of rights to indemnification or contribution by federal or state securities laws or regulations or by public policy.</w:t>
      </w:r>
    </w:p>
    <w:p>
      <w:pPr>
        <w:spacing w:after="0" w:line="11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b. We express no opinion as to the application or requirements of federal or state securities (except with respect to the opinion in paragraph 7), patent, trademark, copyright, antitrust and unfair competition, pension or employee benefit, labor, environmental, health and safety or tax laws or state or federal laws and regulations regarding the regulation of utilities in respect of the transactions contemplated by or referred to in the Loan Documents.</w:t>
      </w:r>
    </w:p>
    <w:p>
      <w:pPr>
        <w:spacing w:after="0" w:line="107"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c. We express no opinion with respect to the legality, validity, binding nature or enforceability of any of the following provisions found in the Loan Documents: (i) provisions relating to waivers, precluding a party from asserting certain claims or defenses or from obtaining or exercising certain rights, releases and remedies, or excusing a party from damages, liability or obligations to the extent such provisions may violate public policy or otherwise violate applicable law; (ii) provisions relating to subrogation rights, delay or omission of enforcement of rights or remedies, severability or set offs that violate applicable law;</w:t>
      </w:r>
    </w:p>
    <w:p>
      <w:pPr>
        <w:spacing w:after="0" w:line="3" w:lineRule="exact"/>
        <w:rPr>
          <w:sz w:val="20"/>
          <w:szCs w:val="20"/>
          <w:color w:val="auto"/>
        </w:rPr>
      </w:pPr>
    </w:p>
    <w:p>
      <w:pPr>
        <w:ind w:right="180" w:firstLine="8"/>
        <w:spacing w:after="0" w:line="254" w:lineRule="auto"/>
        <w:tabs>
          <w:tab w:leader="none" w:pos="30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provisions obligating a party to submit to the jurisdiction or venue of any court; (iv) provisions purporting to establish evidentiary standards for suits or proceedings to enforce the Loan Documents; (v) provisions that decisions by a party are conclusive; (vi) provisions purporting to effect the automatic service of process on any person; and (vii) provisions purporting to indemnify or exculpate the Administrative Agent or the Lenders from the consequences of their own negligence, willful misconduct or strict liability.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 With respect to our opinion set forth in paragraph 1 above as to the valid existence and good standing of the Borrower, the Borrower’s GP, the MLP and</w:t>
      </w:r>
    </w:p>
    <w:p>
      <w:pPr>
        <w:spacing w:after="0" w:line="38"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the MLP’s GP, we have relied solely on certificates dated , 2007, of the Secretary of State of the State of Delaware, and the certificate dated , 2007 of the Commonwealth of Pennsylvania and, with respect to the period from that date to the date of this opinion letter, a certificate of an officer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-201295</wp:posOffset>
            </wp:positionV>
            <wp:extent cx="33464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6592570</wp:posOffset>
            </wp:positionH>
            <wp:positionV relativeFrom="paragraph">
              <wp:posOffset>-201295</wp:posOffset>
            </wp:positionV>
            <wp:extent cx="33464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7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express no opinion as to the law of any jurisdiction other than the federal law of the United States and the law of the State of New York and the Limited Partnership Law of the State of Delaware in the case of the Borrower and the MLP, the Limited Liability Company Act of the State of Delaware in the case of the Borrower’s GP and the Limited Liability Company Act of the Commonwealth of Pennsylvania in the case of the MLP’s GP.</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Opinion of Counsel</w:t>
      </w:r>
    </w:p>
    <w:p>
      <w:pPr>
        <w:sectPr>
          <w:pgSz w:w="11900" w:h="16838" w:orient="portrait"/>
          <w:cols w:equalWidth="0" w:num="1">
            <w:col w:w="11420"/>
          </w:cols>
          <w:pgMar w:left="240" w:top="280" w:right="239" w:bottom="1440" w:gutter="0" w:footer="0" w:header="0"/>
        </w:sectPr>
      </w:pPr>
    </w:p>
    <w:bookmarkStart w:id="134" w:name="page135"/>
    <w:bookmarkEnd w:id="134"/>
    <w:p>
      <w:pPr>
        <w:ind w:right="2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copy of this opinion may be delivered by you to each Eligible Assignee and such persons may rely on this opinion to the same extent as – but to no greater extent than – the addressee. This opinion may be relied upon by you and such persons to whom you may deliver copies as provided in the preceding sentence only in connection with the consummation of the transactions described herein and may not be used or relied upon by you or any other person for any other purpose, without in each instance our prior written consent.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opinion is limited to the matters expressly stated herein. No implied opinion may be inferred to extend this opinion beyond the matters expressly stated herein. We do not undertake to advise you or anyone else of any changes in the opinions expressed herein resulting from changes in law, changes in facts or any other matters that hereafter might occur or be brought to our attention.</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Exhibit F-1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Opinion of Counsel</w:t>
      </w:r>
    </w:p>
    <w:p>
      <w:pPr>
        <w:sectPr>
          <w:pgSz w:w="11900" w:h="16838" w:orient="portrait"/>
          <w:cols w:equalWidth="0" w:num="1">
            <w:col w:w="11400"/>
          </w:cols>
          <w:pgMar w:left="240" w:top="280" w:right="25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 OF INTERNAL COUNSEL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8,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each of the Lenders parties to the Credit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Citibank, N.A.,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for the Lenders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have acted as counsel to (i) Sunoco Logistics Partners Operations L.P., a Delaware limited partnership (the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(ii) Sunoco Logistics Partners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GP LLC, a Delaware limited liability company (the “</w:t>
      </w:r>
      <w:r>
        <w:rPr>
          <w:rFonts w:ascii="Arial" w:cs="Arial" w:eastAsia="Arial" w:hAnsi="Arial"/>
          <w:sz w:val="16"/>
          <w:szCs w:val="16"/>
          <w:b w:val="1"/>
          <w:bCs w:val="1"/>
          <w:i w:val="1"/>
          <w:iCs w:val="1"/>
          <w:color w:val="auto"/>
        </w:rPr>
        <w:t>Borrower’s GP</w:t>
      </w:r>
      <w:r>
        <w:rPr>
          <w:rFonts w:ascii="Arial" w:cs="Arial" w:eastAsia="Arial" w:hAnsi="Arial"/>
          <w:sz w:val="16"/>
          <w:szCs w:val="16"/>
          <w:color w:val="auto"/>
        </w:rPr>
        <w:t>”), (iii) Sunoco Logistics Partners L.P., a Delaware limited partnership (the “</w:t>
      </w:r>
      <w:r>
        <w:rPr>
          <w:rFonts w:ascii="Arial" w:cs="Arial" w:eastAsia="Arial" w:hAnsi="Arial"/>
          <w:sz w:val="16"/>
          <w:szCs w:val="16"/>
          <w:b w:val="1"/>
          <w:bCs w:val="1"/>
          <w:i w:val="1"/>
          <w:iCs w:val="1"/>
          <w:color w:val="auto"/>
        </w:rPr>
        <w:t>MLP</w:t>
      </w:r>
      <w:r>
        <w:rPr>
          <w:rFonts w:ascii="Arial" w:cs="Arial" w:eastAsia="Arial" w:hAnsi="Arial"/>
          <w:sz w:val="16"/>
          <w:szCs w:val="16"/>
          <w:color w:val="auto"/>
        </w:rPr>
        <w:t>” 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Guarantor</w:t>
      </w:r>
      <w:r>
        <w:rPr>
          <w:rFonts w:ascii="Arial" w:cs="Arial" w:eastAsia="Arial" w:hAnsi="Arial"/>
          <w:sz w:val="16"/>
          <w:szCs w:val="16"/>
          <w:color w:val="auto"/>
        </w:rPr>
        <w:t xml:space="preserve">”) and (iv) Sunoco Partners LLC, a Pennsylvania limited liability company (the </w:t>
      </w:r>
      <w:r>
        <w:rPr>
          <w:rFonts w:ascii="Arial" w:cs="Arial" w:eastAsia="Arial" w:hAnsi="Arial"/>
          <w:sz w:val="16"/>
          <w:szCs w:val="16"/>
          <w:b w:val="1"/>
          <w:bCs w:val="1"/>
          <w:i w:val="1"/>
          <w:iCs w:val="1"/>
          <w:color w:val="auto"/>
        </w:rPr>
        <w:t>“MLP’s GP,”</w:t>
      </w:r>
      <w:r>
        <w:rPr>
          <w:rFonts w:ascii="Arial" w:cs="Arial" w:eastAsia="Arial" w:hAnsi="Arial"/>
          <w:sz w:val="16"/>
          <w:szCs w:val="16"/>
          <w:color w:val="auto"/>
        </w:rPr>
        <w:t xml:space="preserve"> and together with the Borrower, the Borrower’s GP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MLP, the “</w:t>
      </w:r>
      <w:r>
        <w:rPr>
          <w:rFonts w:ascii="Arial" w:cs="Arial" w:eastAsia="Arial" w:hAnsi="Arial"/>
          <w:sz w:val="16"/>
          <w:szCs w:val="16"/>
          <w:b w:val="1"/>
          <w:bCs w:val="1"/>
          <w:i w:val="1"/>
          <w:iCs w:val="1"/>
          <w:color w:val="auto"/>
        </w:rPr>
        <w:t>Transaction Parties</w:t>
      </w:r>
      <w:r>
        <w:rPr>
          <w:rFonts w:ascii="Arial" w:cs="Arial" w:eastAsia="Arial" w:hAnsi="Arial"/>
          <w:sz w:val="16"/>
          <w:szCs w:val="16"/>
          <w:color w:val="auto"/>
        </w:rPr>
        <w:t>”) in connection with the Credit Agreement dated as of August 8, 2007, by and among the Borrower, the MLP, the Lenders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thereto, Citibank, N.A., as Administrative Agent for the Lenders, and the other agents and lenders therein named (the “</w:t>
      </w:r>
      <w:r>
        <w:rPr>
          <w:rFonts w:ascii="Arial" w:cs="Arial" w:eastAsia="Arial" w:hAnsi="Arial"/>
          <w:sz w:val="16"/>
          <w:szCs w:val="16"/>
          <w:b w:val="1"/>
          <w:bCs w:val="1"/>
          <w:i w:val="1"/>
          <w:iCs w:val="1"/>
          <w:color w:val="auto"/>
        </w:rPr>
        <w:t>Credit Agreement</w:t>
      </w:r>
      <w:r>
        <w:rPr>
          <w:rFonts w:ascii="Arial" w:cs="Arial" w:eastAsia="Arial" w:hAnsi="Arial"/>
          <w:sz w:val="16"/>
          <w:szCs w:val="16"/>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opinions expressed herein, I, or attorneys reporting to me, have examined copies of the following documents:</w:t>
      </w:r>
    </w:p>
    <w:p>
      <w:pPr>
        <w:spacing w:after="0" w:line="90" w:lineRule="exact"/>
        <w:rPr>
          <w:sz w:val="20"/>
          <w:szCs w:val="20"/>
          <w:color w:val="auto"/>
        </w:rPr>
      </w:pPr>
    </w:p>
    <w:p>
      <w:pPr>
        <w:ind w:left="900" w:hanging="446"/>
        <w:spacing w:after="0"/>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Credit Agreement, including all exhibits, schedules, and attachments thereto, and any Notes issued pursuant thereto (the “</w:t>
      </w:r>
      <w:r>
        <w:rPr>
          <w:rFonts w:ascii="Arial" w:cs="Arial" w:eastAsia="Arial" w:hAnsi="Arial"/>
          <w:sz w:val="16"/>
          <w:szCs w:val="16"/>
          <w:b w:val="1"/>
          <w:bCs w:val="1"/>
          <w:i w:val="1"/>
          <w:iCs w:val="1"/>
          <w:color w:val="auto"/>
        </w:rPr>
        <w:t>Notes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Guaranty dated as of even date with the Credit Agreement executed by the Guarantor (the “</w:t>
      </w:r>
      <w:r>
        <w:rPr>
          <w:rFonts w:ascii="Arial" w:cs="Arial" w:eastAsia="Arial" w:hAnsi="Arial"/>
          <w:sz w:val="18"/>
          <w:szCs w:val="18"/>
          <w:b w:val="1"/>
          <w:bCs w:val="1"/>
          <w:i w:val="1"/>
          <w:iCs w:val="1"/>
          <w:color w:val="auto"/>
        </w:rPr>
        <w:t>Guaranty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Organization Documents of the Borrower, the MLP, the Borrower’s GP, and the MLP’s GP (collectively, the “</w:t>
      </w:r>
      <w:r>
        <w:rPr>
          <w:rFonts w:ascii="Arial" w:cs="Arial" w:eastAsia="Arial" w:hAnsi="Arial"/>
          <w:sz w:val="18"/>
          <w:szCs w:val="18"/>
          <w:b w:val="1"/>
          <w:bCs w:val="1"/>
          <w:i w:val="1"/>
          <w:iCs w:val="1"/>
          <w:color w:val="auto"/>
        </w:rPr>
        <w:t>Transaction Parties</w:t>
      </w:r>
      <w:r>
        <w:rPr>
          <w:rFonts w:ascii="Arial" w:cs="Arial" w:eastAsia="Arial" w:hAnsi="Arial"/>
          <w:sz w:val="18"/>
          <w:szCs w:val="18"/>
          <w:color w:val="auto"/>
        </w:rPr>
        <w:t>”)and all amendments thereto;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Material Agreements.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Those documents identified in items (a) and (b) above are collectively referred to herein as the “</w:t>
      </w:r>
      <w:r>
        <w:rPr>
          <w:rFonts w:ascii="Arial" w:cs="Arial" w:eastAsia="Arial" w:hAnsi="Arial"/>
          <w:sz w:val="18"/>
          <w:szCs w:val="18"/>
          <w:b w:val="1"/>
          <w:bCs w:val="1"/>
          <w:i w:val="1"/>
          <w:iCs w:val="1"/>
          <w:color w:val="auto"/>
        </w:rPr>
        <w:t>Credit Documents</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connection with this opinion, I or other attorneys acting under my supervision have (i) investigated such questions of law, (ii) examined such partnership and company documents and records of the Transaction Parties and certificates of public officials, and (iii) received such information from partners, officers and representatives of the Transaction Parties and made such investigations as I or other attorneys under my supervision have deemed necessary or appropriate for the purposes of this opinion. I have not, nor have other attorneys under my supervision, conducted independent investigations or inquiries to determine the existence of matters, actions, proceedings, items, documents, facts, judgments, decrees, franchises, certificates, permits, or the like and have made no independent search of the records of any court, arbitrator, or governmental authority affecting any Person, and no inference as to my knowledge thereof shall be drawn from the fact of my representation of any party or otherwise.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 of Internal Counsel</w:t>
      </w:r>
    </w:p>
    <w:p>
      <w:pPr>
        <w:sectPr>
          <w:pgSz w:w="11900" w:h="16838" w:orient="portrait"/>
          <w:cols w:equalWidth="0" w:num="1">
            <w:col w:w="11420"/>
          </w:cols>
          <w:pgMar w:left="240" w:top="280" w:right="239" w:bottom="1440" w:gutter="0" w:footer="0" w:header="0"/>
        </w:sectPr>
      </w:pPr>
    </w:p>
    <w:bookmarkStart w:id="136" w:name="page137"/>
    <w:bookmarkEnd w:id="13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rendering the opinions herein, I have assumed without independent verification (i) the genuineness of all signatures, (ii) the capacity of all natural persons, and (iii) the authenticity of all documents submitted to me as originals and the conformity with the authentic originals of all documents submitted to me as copies.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Based upon and subject to the foregoing and the other qualifications, limitations, and assumptions set forth below and upon such other matters as I have deemed appropriate, I am of the opinion that:</w:t>
      </w:r>
    </w:p>
    <w:p>
      <w:pPr>
        <w:spacing w:after="0" w:line="51" w:lineRule="exact"/>
        <w:rPr>
          <w:sz w:val="20"/>
          <w:szCs w:val="20"/>
          <w:color w:val="auto"/>
        </w:rPr>
      </w:pPr>
    </w:p>
    <w:p>
      <w:pPr>
        <w:ind w:left="900" w:right="40" w:hanging="446"/>
        <w:spacing w:after="0" w:line="259"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execution, delivery, and performance by the Transaction Parties of the Credit Documents to which each is a party and the consummation of the transactions contemplated by the Credit Documents will not breach or result in a default under any Material Agreement or result in or require the creation or imposition of any Lien prohibited by the Credit Documents.</w:t>
      </w:r>
    </w:p>
    <w:p>
      <w:pPr>
        <w:spacing w:after="0" w:line="59"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To my knowledge there are no pending or overtly threatened actions or proceedings against the Transaction Parties before any court, governmental agency, or arbitrator that (a) purport to affect the legality, validity, binding effect, or enforceability of the Credit Documents; (b) or which seeks in excess of one million dollars except to the extent the Transaction Parties are indemnified by Sunoco, Inc.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expressed in this letter are subject to the following additional qualifications and limitations:</w:t>
      </w:r>
    </w:p>
    <w:p>
      <w:pPr>
        <w:spacing w:after="0" w:line="90" w:lineRule="exact"/>
        <w:rPr>
          <w:sz w:val="20"/>
          <w:szCs w:val="20"/>
          <w:color w:val="auto"/>
        </w:rPr>
      </w:pPr>
    </w:p>
    <w:p>
      <w:pPr>
        <w:ind w:left="900" w:right="200" w:hanging="446"/>
        <w:spacing w:after="0" w:line="298" w:lineRule="auto"/>
        <w:tabs>
          <w:tab w:leader="none" w:pos="9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Qualification of any statement or opinion herein by the use of the words “to my knowledge” means that during the course of the representation in connection with the transactions contemplated by the Credit Agreement, no information has come to my attention that would give me current knowledge of the existence of facts or matters so qualified. I have not undertaken any investigation to determine the existence of facts, and no inference as to my knowledge thereof shall be drawn from the fact of the representation by me of any party or otherwise.</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This opinion letter is limited to the matters stated herein, and no opinions may be implied or inferred beyond the matters expressly stated herein</w:t>
      </w:r>
    </w:p>
    <w:p>
      <w:pPr>
        <w:spacing w:after="0" w:line="113"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opinion expressed herein is as of the date hereof, and I assume no obligation to update or supplement such opinion to reflect any facts or circumstances that may hereafter come to my attention or any changes in law that may hereafter occur.</w:t>
      </w:r>
    </w:p>
    <w:p>
      <w:pPr>
        <w:spacing w:after="0" w:line="5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This opinion is being furnished only to the addressees named above, and has been rendered solely for your benefit in connection with the Credit Agreement and the transactions contemplated thereby and may not be used, circulated, quoted, relied upon or otherwise referred to for any other purpose without our prior written consent;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Person that becomes a Lender or successor Administrative Agent pursuant to the terms of the Credit Agreement may rely on this opinion as if it were addressed to such Person and delivered on the date hereof.</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Exhibit F-2</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 Opinion of Internal Counsel</w:t>
      </w:r>
    </w:p>
    <w:p>
      <w:pPr>
        <w:sectPr>
          <w:pgSz w:w="11900" w:h="16838" w:orient="portrait"/>
          <w:cols w:equalWidth="0" w:num="1">
            <w:col w:w="11300"/>
          </w:cols>
          <w:pgMar w:left="240" w:top="280" w:right="35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Deborah M. Fretz, certify that:</w:t>
      </w:r>
    </w:p>
    <w:p>
      <w:pPr>
        <w:spacing w:after="0" w:line="90"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I have reviewed this Quarterly Report on Form 10-Q/A (Amendment No. 1) of Sunoco Logistics Partners L.P.;</w:t>
      </w:r>
    </w:p>
    <w:p>
      <w:pPr>
        <w:spacing w:after="0" w:line="90" w:lineRule="exact"/>
        <w:rPr>
          <w:rFonts w:ascii="Arial" w:cs="Arial" w:eastAsia="Arial" w:hAnsi="Arial"/>
          <w:sz w:val="18"/>
          <w:szCs w:val="18"/>
          <w:b w:val="1"/>
          <w:bCs w:val="1"/>
          <w:color w:val="auto"/>
        </w:rPr>
      </w:pPr>
    </w:p>
    <w:p>
      <w:pPr>
        <w:ind w:left="460" w:right="60" w:hanging="452"/>
        <w:spacing w:after="0" w:line="262" w:lineRule="auto"/>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18"/>
          <w:szCs w:val="18"/>
          <w:b w:val="1"/>
          <w:bCs w:val="1"/>
          <w:color w:val="auto"/>
        </w:rPr>
      </w:pPr>
    </w:p>
    <w:p>
      <w:pPr>
        <w:ind w:left="460" w:right="20" w:hanging="452"/>
        <w:spacing w:after="0" w:line="334" w:lineRule="auto"/>
        <w:tabs>
          <w:tab w:leader="none" w:pos="460"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b w:val="1"/>
          <w:bCs w:val="1"/>
          <w:color w:val="auto"/>
        </w:rPr>
      </w:pPr>
    </w:p>
    <w:p>
      <w:pPr>
        <w:ind w:left="460" w:right="60" w:hanging="452"/>
        <w:spacing w:after="0" w:line="262" w:lineRule="auto"/>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Arial" w:cs="Arial" w:eastAsia="Arial" w:hAnsi="Arial"/>
          <w:sz w:val="18"/>
          <w:szCs w:val="18"/>
          <w:b w:val="1"/>
          <w:bCs w:val="1"/>
          <w:color w:val="auto"/>
        </w:rPr>
      </w:pPr>
    </w:p>
    <w:p>
      <w:pPr>
        <w:jc w:val="both"/>
        <w:ind w:left="900" w:right="120" w:hanging="446"/>
        <w:spacing w:after="0" w:line="262" w:lineRule="auto"/>
        <w:tabs>
          <w:tab w:leader="none" w:pos="900" w:val="left"/>
        </w:tabs>
        <w:numPr>
          <w:ilvl w:val="1"/>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Designed such disclosure controls and procedures, or caused such disclosure controls and procedures to be designed under our supervision, to ensure that material information relating to the registrant, including its consolidated entities, is made known to us by others within those entities, particularly during the period in which this report is being prepared;</w:t>
      </w:r>
    </w:p>
    <w:p>
      <w:pPr>
        <w:spacing w:after="0" w:line="51" w:lineRule="exact"/>
        <w:rPr>
          <w:rFonts w:ascii="Arial" w:cs="Arial" w:eastAsia="Arial" w:hAnsi="Arial"/>
          <w:sz w:val="18"/>
          <w:szCs w:val="18"/>
          <w:b w:val="1"/>
          <w:bCs w:val="1"/>
          <w:color w:val="auto"/>
        </w:rPr>
      </w:pPr>
    </w:p>
    <w:p>
      <w:pPr>
        <w:ind w:left="900" w:right="160" w:hanging="446"/>
        <w:spacing w:after="0" w:line="262" w:lineRule="auto"/>
        <w:tabs>
          <w:tab w:leader="none" w:pos="900" w:val="left"/>
        </w:tabs>
        <w:numPr>
          <w:ilvl w:val="1"/>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Arial" w:cs="Arial" w:eastAsia="Arial" w:hAnsi="Arial"/>
          <w:sz w:val="18"/>
          <w:szCs w:val="18"/>
          <w:b w:val="1"/>
          <w:bCs w:val="1"/>
          <w:color w:val="auto"/>
        </w:rPr>
      </w:pPr>
    </w:p>
    <w:p>
      <w:pPr>
        <w:jc w:val="both"/>
        <w:ind w:left="900" w:right="400" w:hanging="446"/>
        <w:spacing w:after="0" w:line="378" w:lineRule="auto"/>
        <w:tabs>
          <w:tab w:leader="none" w:pos="900" w:val="left"/>
        </w:tabs>
        <w:numPr>
          <w:ilvl w:val="1"/>
          <w:numId w:val="164"/>
        </w:numPr>
        <w:rPr>
          <w:rFonts w:ascii="Arial" w:cs="Arial" w:eastAsia="Arial" w:hAnsi="Arial"/>
          <w:sz w:val="15"/>
          <w:szCs w:val="15"/>
          <w:b w:val="1"/>
          <w:bCs w:val="1"/>
          <w:color w:val="auto"/>
        </w:rPr>
      </w:pPr>
      <w:r>
        <w:rPr>
          <w:rFonts w:ascii="Arial" w:cs="Arial" w:eastAsia="Arial" w:hAnsi="Arial"/>
          <w:sz w:val="15"/>
          <w:szCs w:val="15"/>
          <w:b w:val="1"/>
          <w:b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ectPr>
          <w:pgSz w:w="11900" w:h="16838" w:orient="portrait"/>
          <w:cols w:equalWidth="0" w:num="1">
            <w:col w:w="11420"/>
          </w:cols>
          <w:pgMar w:left="240" w:top="125" w:right="239" w:bottom="1440" w:gutter="0" w:footer="0" w:header="0"/>
        </w:sectPr>
      </w:pPr>
    </w:p>
    <w:bookmarkStart w:id="138" w:name="page139"/>
    <w:bookmarkEnd w:id="138"/>
    <w:p>
      <w:pPr>
        <w:ind w:left="900" w:right="260" w:hanging="446"/>
        <w:spacing w:after="0" w:line="262" w:lineRule="auto"/>
        <w:tabs>
          <w:tab w:leader="none" w:pos="900" w:val="left"/>
        </w:tabs>
        <w:numPr>
          <w:ilvl w:val="1"/>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1" w:lineRule="exact"/>
        <w:rPr>
          <w:rFonts w:ascii="Arial" w:cs="Arial" w:eastAsia="Arial" w:hAnsi="Arial"/>
          <w:sz w:val="18"/>
          <w:szCs w:val="18"/>
          <w:b w:val="1"/>
          <w:bCs w:val="1"/>
          <w:color w:val="auto"/>
        </w:rPr>
      </w:pPr>
    </w:p>
    <w:p>
      <w:pPr>
        <w:ind w:left="460" w:hanging="452"/>
        <w:spacing w:after="0" w:line="334" w:lineRule="auto"/>
        <w:tabs>
          <w:tab w:leader="none" w:pos="46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b w:val="1"/>
          <w:bCs w:val="1"/>
          <w:color w:val="auto"/>
        </w:rPr>
      </w:pPr>
    </w:p>
    <w:p>
      <w:pPr>
        <w:ind w:left="900" w:right="660" w:hanging="446"/>
        <w:spacing w:after="0" w:line="357" w:lineRule="auto"/>
        <w:tabs>
          <w:tab w:leader="none" w:pos="900" w:val="left"/>
        </w:tabs>
        <w:numPr>
          <w:ilvl w:val="1"/>
          <w:numId w:val="166"/>
        </w:numPr>
        <w:rPr>
          <w:rFonts w:ascii="Arial" w:cs="Arial" w:eastAsia="Arial" w:hAnsi="Arial"/>
          <w:sz w:val="15"/>
          <w:szCs w:val="15"/>
          <w:b w:val="1"/>
          <w:bCs w:val="1"/>
          <w:color w:val="auto"/>
        </w:rPr>
      </w:pPr>
      <w:r>
        <w:rPr>
          <w:rFonts w:ascii="Arial" w:cs="Arial" w:eastAsia="Arial" w:hAnsi="Arial"/>
          <w:sz w:val="15"/>
          <w:szCs w:val="15"/>
          <w:b w:val="1"/>
          <w:b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right="260" w:hanging="446"/>
        <w:spacing w:after="0" w:line="275" w:lineRule="auto"/>
        <w:tabs>
          <w:tab w:leader="none" w:pos="900" w:val="left"/>
        </w:tabs>
        <w:numPr>
          <w:ilvl w:val="1"/>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November 19, 2007</w:t>
      </w:r>
    </w:p>
    <w:p>
      <w:pPr>
        <w:spacing w:after="0" w:line="212"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/s/ DEBORAH M. FRETZ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Deborah M. Fretz</w:t>
      </w:r>
    </w:p>
    <w:p>
      <w:pPr>
        <w:spacing w:after="0" w:line="21"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b w:val="1"/>
          <w:bCs w:val="1"/>
          <w:color w:val="auto"/>
        </w:rPr>
        <w:t>Title:</w:t>
        <w:tab/>
        <w:t>President, and Chief Executive Officer</w:t>
      </w:r>
    </w:p>
    <w:p>
      <w:pPr>
        <w:sectPr>
          <w:pgSz w:w="11900" w:h="16838" w:orient="portrait"/>
          <w:cols w:equalWidth="0" w:num="1">
            <w:col w:w="11380"/>
          </w:cols>
          <w:pgMar w:left="240" w:top="274" w:right="27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Neal E. Murphy, certify that:</w:t>
      </w:r>
    </w:p>
    <w:p>
      <w:pPr>
        <w:spacing w:after="0" w:line="90"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I have reviewed this Quarterly Report on Form 10-Q/A (Amendment No. 1) of Sunoco Logistics Partners L.P.;</w:t>
      </w:r>
    </w:p>
    <w:p>
      <w:pPr>
        <w:spacing w:after="0" w:line="90" w:lineRule="exact"/>
        <w:rPr>
          <w:rFonts w:ascii="Arial" w:cs="Arial" w:eastAsia="Arial" w:hAnsi="Arial"/>
          <w:sz w:val="18"/>
          <w:szCs w:val="18"/>
          <w:b w:val="1"/>
          <w:bCs w:val="1"/>
          <w:color w:val="auto"/>
        </w:rPr>
      </w:pPr>
    </w:p>
    <w:p>
      <w:pPr>
        <w:ind w:left="460" w:right="60" w:hanging="452"/>
        <w:spacing w:after="0" w:line="262" w:lineRule="auto"/>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18"/>
          <w:szCs w:val="18"/>
          <w:b w:val="1"/>
          <w:bCs w:val="1"/>
          <w:color w:val="auto"/>
        </w:rPr>
      </w:pPr>
    </w:p>
    <w:p>
      <w:pPr>
        <w:ind w:left="460" w:right="20" w:hanging="452"/>
        <w:spacing w:after="0" w:line="334" w:lineRule="auto"/>
        <w:tabs>
          <w:tab w:leader="none" w:pos="460"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b w:val="1"/>
          <w:bCs w:val="1"/>
          <w:color w:val="auto"/>
        </w:rPr>
      </w:pPr>
    </w:p>
    <w:p>
      <w:pPr>
        <w:ind w:left="460" w:right="60" w:hanging="452"/>
        <w:spacing w:after="0" w:line="262" w:lineRule="auto"/>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Arial" w:cs="Arial" w:eastAsia="Arial" w:hAnsi="Arial"/>
          <w:sz w:val="18"/>
          <w:szCs w:val="18"/>
          <w:b w:val="1"/>
          <w:bCs w:val="1"/>
          <w:color w:val="auto"/>
        </w:rPr>
      </w:pPr>
    </w:p>
    <w:p>
      <w:pPr>
        <w:jc w:val="both"/>
        <w:ind w:left="900" w:right="120" w:hanging="446"/>
        <w:spacing w:after="0" w:line="262" w:lineRule="auto"/>
        <w:tabs>
          <w:tab w:leader="none" w:pos="900" w:val="left"/>
        </w:tabs>
        <w:numPr>
          <w:ilvl w:val="1"/>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Designed such disclosure controls and procedures, or caused such disclosure controls and procedures to be designed under our supervision, to ensure that material information relating to the registrant, including its consolidated entities, is made known to us by others within those entities, particularly during the period in which this report is being prepared;</w:t>
      </w:r>
    </w:p>
    <w:p>
      <w:pPr>
        <w:spacing w:after="0" w:line="51" w:lineRule="exact"/>
        <w:rPr>
          <w:rFonts w:ascii="Arial" w:cs="Arial" w:eastAsia="Arial" w:hAnsi="Arial"/>
          <w:sz w:val="18"/>
          <w:szCs w:val="18"/>
          <w:b w:val="1"/>
          <w:bCs w:val="1"/>
          <w:color w:val="auto"/>
        </w:rPr>
      </w:pPr>
    </w:p>
    <w:p>
      <w:pPr>
        <w:ind w:left="900" w:right="160" w:hanging="446"/>
        <w:spacing w:after="0" w:line="262" w:lineRule="auto"/>
        <w:tabs>
          <w:tab w:leader="none" w:pos="900" w:val="left"/>
        </w:tabs>
        <w:numPr>
          <w:ilvl w:val="1"/>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Arial" w:cs="Arial" w:eastAsia="Arial" w:hAnsi="Arial"/>
          <w:sz w:val="18"/>
          <w:szCs w:val="18"/>
          <w:b w:val="1"/>
          <w:bCs w:val="1"/>
          <w:color w:val="auto"/>
        </w:rPr>
      </w:pPr>
    </w:p>
    <w:p>
      <w:pPr>
        <w:jc w:val="both"/>
        <w:ind w:left="900" w:right="400" w:hanging="446"/>
        <w:spacing w:after="0" w:line="378" w:lineRule="auto"/>
        <w:tabs>
          <w:tab w:leader="none" w:pos="900" w:val="left"/>
        </w:tabs>
        <w:numPr>
          <w:ilvl w:val="1"/>
          <w:numId w:val="167"/>
        </w:numPr>
        <w:rPr>
          <w:rFonts w:ascii="Arial" w:cs="Arial" w:eastAsia="Arial" w:hAnsi="Arial"/>
          <w:sz w:val="15"/>
          <w:szCs w:val="15"/>
          <w:b w:val="1"/>
          <w:bCs w:val="1"/>
          <w:color w:val="auto"/>
        </w:rPr>
      </w:pPr>
      <w:r>
        <w:rPr>
          <w:rFonts w:ascii="Arial" w:cs="Arial" w:eastAsia="Arial" w:hAnsi="Arial"/>
          <w:sz w:val="15"/>
          <w:szCs w:val="15"/>
          <w:b w:val="1"/>
          <w:b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ectPr>
          <w:pgSz w:w="11900" w:h="16838" w:orient="portrait"/>
          <w:cols w:equalWidth="0" w:num="1">
            <w:col w:w="11420"/>
          </w:cols>
          <w:pgMar w:left="240" w:top="125" w:right="239" w:bottom="1440" w:gutter="0" w:footer="0" w:header="0"/>
        </w:sectPr>
      </w:pPr>
    </w:p>
    <w:bookmarkStart w:id="140" w:name="page141"/>
    <w:bookmarkEnd w:id="140"/>
    <w:p>
      <w:pPr>
        <w:ind w:left="900" w:right="260" w:hanging="446"/>
        <w:spacing w:after="0" w:line="262" w:lineRule="auto"/>
        <w:tabs>
          <w:tab w:leader="none" w:pos="900" w:val="left"/>
        </w:tabs>
        <w:numPr>
          <w:ilvl w:val="1"/>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1" w:lineRule="exact"/>
        <w:rPr>
          <w:rFonts w:ascii="Arial" w:cs="Arial" w:eastAsia="Arial" w:hAnsi="Arial"/>
          <w:sz w:val="18"/>
          <w:szCs w:val="18"/>
          <w:b w:val="1"/>
          <w:bCs w:val="1"/>
          <w:color w:val="auto"/>
        </w:rPr>
      </w:pPr>
    </w:p>
    <w:p>
      <w:pPr>
        <w:ind w:left="460" w:hanging="452"/>
        <w:spacing w:after="0" w:line="334" w:lineRule="auto"/>
        <w:tabs>
          <w:tab w:leader="none" w:pos="460"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b w:val="1"/>
          <w:bCs w:val="1"/>
          <w:color w:val="auto"/>
        </w:rPr>
      </w:pPr>
    </w:p>
    <w:p>
      <w:pPr>
        <w:ind w:left="900" w:right="660" w:hanging="446"/>
        <w:spacing w:after="0" w:line="357" w:lineRule="auto"/>
        <w:tabs>
          <w:tab w:leader="none" w:pos="900" w:val="left"/>
        </w:tabs>
        <w:numPr>
          <w:ilvl w:val="1"/>
          <w:numId w:val="169"/>
        </w:numPr>
        <w:rPr>
          <w:rFonts w:ascii="Arial" w:cs="Arial" w:eastAsia="Arial" w:hAnsi="Arial"/>
          <w:sz w:val="15"/>
          <w:szCs w:val="15"/>
          <w:b w:val="1"/>
          <w:bCs w:val="1"/>
          <w:color w:val="auto"/>
        </w:rPr>
      </w:pPr>
      <w:r>
        <w:rPr>
          <w:rFonts w:ascii="Arial" w:cs="Arial" w:eastAsia="Arial" w:hAnsi="Arial"/>
          <w:sz w:val="15"/>
          <w:szCs w:val="15"/>
          <w:b w:val="1"/>
          <w:b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right="260" w:hanging="446"/>
        <w:spacing w:after="0" w:line="275" w:lineRule="auto"/>
        <w:tabs>
          <w:tab w:leader="none" w:pos="900" w:val="left"/>
        </w:tabs>
        <w:numPr>
          <w:ilvl w:val="1"/>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November 19, 2007</w:t>
      </w:r>
    </w:p>
    <w:p>
      <w:pPr>
        <w:spacing w:after="0" w:line="212"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/s/ NEAL 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Neal E. Murphy</w:t>
      </w:r>
    </w:p>
    <w:p>
      <w:pPr>
        <w:spacing w:after="0" w:line="21"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b w:val="1"/>
          <w:bCs w:val="1"/>
          <w:color w:val="auto"/>
        </w:rPr>
        <w:t>Title:</w:t>
        <w:tab/>
        <w:t>Vice President, and Chief Financial Officer</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
      <w:numFmt w:val="bullet"/>
      <w:start w:val="1"/>
    </w:lvl>
  </w:abstractNum>
  <w:abstractNum w:abstractNumId="2">
    <w:nsid w:val="94211F2"/>
    <w:multiLevelType w:val="hybridMultilevel"/>
    <w:lvl w:ilvl="0">
      <w:lvlJc w:val="left"/>
      <w:lvlText w:val="B"/>
      <w:numFmt w:val="bullet"/>
      <w:start w:val="1"/>
    </w:lvl>
  </w:abstractNum>
  <w:abstractNum w:abstractNumId="3">
    <w:nsid w:val="885E1B"/>
    <w:multiLevelType w:val="hybridMultilevel"/>
    <w:lvl w:ilvl="0">
      <w:lvlJc w:val="left"/>
      <w:lvlText w:val="C"/>
      <w:numFmt w:val="bullet"/>
      <w:start w:val="1"/>
    </w:lvl>
  </w:abstractNum>
  <w:abstractNum w:abstractNumId="4">
    <w:nsid w:val="76272110"/>
    <w:multiLevelType w:val="hybridMultilevel"/>
    <w:lvl w:ilvl="0">
      <w:lvlJc w:val="left"/>
      <w:lvlText w:val="D"/>
      <w:numFmt w:val="bullet"/>
      <w:start w:val="1"/>
    </w:lvl>
  </w:abstractNum>
  <w:abstractNum w:abstractNumId="5">
    <w:nsid w:val="4C04A8AF"/>
    <w:multiLevelType w:val="hybridMultilevel"/>
    <w:lvl w:ilvl="0">
      <w:lvlJc w:val="left"/>
      <w:lvlText w:val="E"/>
      <w:numFmt w:val="bullet"/>
      <w:start w:val="1"/>
    </w:lvl>
  </w:abstractNum>
  <w:abstractNum w:abstractNumId="6">
    <w:nsid w:val="1716703B"/>
    <w:multiLevelType w:val="hybridMultilevel"/>
    <w:lvl w:ilvl="0">
      <w:lvlJc w:val="left"/>
      <w:lvlText w:val="(%1)"/>
      <w:numFmt w:val="lowerLetter"/>
      <w:start w:val="3"/>
    </w:lvl>
  </w:abstractNum>
  <w:abstractNum w:abstractNumId="7">
    <w:nsid w:val="14E17E33"/>
    <w:multiLevelType w:val="hybridMultilevel"/>
    <w:lvl w:ilvl="0">
      <w:lvlJc w:val="left"/>
      <w:lvlText w:val="§"/>
      <w:numFmt w:val="bullet"/>
      <w:start w:val="1"/>
    </w:lvl>
  </w:abstractNum>
  <w:abstractNum w:abstractNumId="8">
    <w:nsid w:val="3222E7CD"/>
    <w:multiLevelType w:val="hybridMultilevel"/>
    <w:lvl w:ilvl="0">
      <w:lvlJc w:val="left"/>
      <w:lvlText w:val="(%1)"/>
      <w:numFmt w:val="lowerLetter"/>
      <w:start w:val="1"/>
    </w:lvl>
  </w:abstractNum>
  <w:abstractNum w:abstractNumId="9">
    <w:nsid w:val="74DE0EE3"/>
    <w:multiLevelType w:val="hybridMultilevel"/>
    <w:lvl w:ilvl="0">
      <w:lvlJc w:val="left"/>
      <w:lvlText w:val="(%1)"/>
      <w:numFmt w:val="lowerLetter"/>
      <w:start w:val="2"/>
    </w:lvl>
  </w:abstractNum>
  <w:abstractNum w:abstractNumId="10">
    <w:nsid w:val="68EBC550"/>
    <w:multiLevelType w:val="hybridMultilevel"/>
    <w:lvl w:ilvl="0">
      <w:lvlJc w:val="left"/>
      <w:lvlText w:val="(%1)"/>
      <w:numFmt w:val="lowerRoman"/>
      <w:start w:val="2"/>
    </w:lvl>
  </w:abstractNum>
  <w:abstractNum w:abstractNumId="11">
    <w:nsid w:val="2DF6D648"/>
    <w:multiLevelType w:val="hybridMultilevel"/>
    <w:lvl w:ilvl="0">
      <w:lvlJc w:val="left"/>
      <w:lvlText w:val="(%1)"/>
      <w:numFmt w:val="lowerLetter"/>
      <w:start w:val="1"/>
    </w:lvl>
  </w:abstractNum>
  <w:abstractNum w:abstractNumId="12">
    <w:nsid w:val="46B7D447"/>
    <w:multiLevelType w:val="hybridMultilevel"/>
    <w:lvl w:ilvl="0">
      <w:lvlJc w:val="left"/>
      <w:lvlText w:val="(%1)"/>
      <w:numFmt w:val="lowerRoman"/>
      <w:start w:val="1"/>
    </w:lvl>
  </w:abstractNum>
  <w:abstractNum w:abstractNumId="13">
    <w:nsid w:val="4A2AC315"/>
    <w:multiLevelType w:val="hybridMultilevel"/>
    <w:lvl w:ilvl="0">
      <w:lvlJc w:val="left"/>
      <w:lvlText w:val="(%1)"/>
      <w:numFmt w:val="lowerLetter"/>
      <w:start w:val="1"/>
    </w:lvl>
  </w:abstractNum>
  <w:abstractNum w:abstractNumId="14">
    <w:nsid w:val="39EE015C"/>
    <w:multiLevelType w:val="hybridMultilevel"/>
    <w:lvl w:ilvl="0">
      <w:lvlJc w:val="left"/>
      <w:lvlText w:val="(%1)"/>
      <w:numFmt w:val="upperLetter"/>
      <w:start w:val="1"/>
    </w:lvl>
  </w:abstractNum>
  <w:abstractNum w:abstractNumId="15">
    <w:nsid w:val="57FC4FBB"/>
    <w:multiLevelType w:val="hybridMultilevel"/>
    <w:lvl w:ilvl="0">
      <w:lvlJc w:val="left"/>
      <w:lvlText w:val="(%1)"/>
      <w:numFmt w:val="upperLetter"/>
      <w:start w:val="2"/>
    </w:lvl>
    <w:lvl w:ilvl="1">
      <w:lvlJc w:val="left"/>
      <w:lvlText w:val="(%2)"/>
      <w:numFmt w:val="lowerRoman"/>
      <w:start w:val="1"/>
    </w:lvl>
  </w:abstractNum>
  <w:abstractNum w:abstractNumId="16">
    <w:nsid w:val="CC1016F"/>
    <w:multiLevelType w:val="hybridMultilevel"/>
    <w:lvl w:ilvl="0">
      <w:lvlJc w:val="left"/>
      <w:lvlText w:val="(%1)"/>
      <w:numFmt w:val="lowerLetter"/>
      <w:start w:val="1"/>
    </w:lvl>
  </w:abstractNum>
  <w:abstractNum w:abstractNumId="17">
    <w:nsid w:val="43F18422"/>
    <w:multiLevelType w:val="hybridMultilevel"/>
    <w:lvl w:ilvl="0">
      <w:lvlJc w:val="left"/>
      <w:lvlText w:val="(%1)"/>
      <w:numFmt w:val="lowerLetter"/>
      <w:start w:val="5"/>
    </w:lvl>
  </w:abstractNum>
  <w:abstractNum w:abstractNumId="18">
    <w:nsid w:val="60EF0119"/>
    <w:multiLevelType w:val="hybridMultilevel"/>
    <w:lvl w:ilvl="0">
      <w:lvlJc w:val="left"/>
      <w:lvlText w:val="(%1)"/>
      <w:numFmt w:val="lowerLetter"/>
      <w:start w:val="1"/>
    </w:lvl>
    <w:lvl w:ilvl="1">
      <w:lvlJc w:val="left"/>
      <w:lvlText w:val="(%2)"/>
      <w:numFmt w:val="lowerRoman"/>
      <w:start w:val="2"/>
    </w:lvl>
  </w:abstractNum>
  <w:abstractNum w:abstractNumId="19">
    <w:nsid w:val="26F324BA"/>
    <w:multiLevelType w:val="hybridMultilevel"/>
    <w:lvl w:ilvl="0">
      <w:lvlJc w:val="left"/>
      <w:lvlText w:val="%1"/>
      <w:numFmt w:val="lowerLetter"/>
      <w:start w:val="1"/>
    </w:lvl>
    <w:lvl w:ilvl="1">
      <w:lvlJc w:val="left"/>
      <w:lvlText w:val="(%2)"/>
      <w:numFmt w:val="lowerRoman"/>
      <w:start w:val="4"/>
    </w:lvl>
  </w:abstractNum>
  <w:abstractNum w:abstractNumId="20">
    <w:nsid w:val="7F01579B"/>
    <w:multiLevelType w:val="hybridMultilevel"/>
    <w:lvl w:ilvl="0">
      <w:lvlJc w:val="left"/>
      <w:lvlText w:val="(%1)"/>
      <w:numFmt w:val="lowerLetter"/>
      <w:start w:val="3"/>
    </w:lvl>
    <w:lvl w:ilvl="1">
      <w:lvlJc w:val="left"/>
      <w:lvlText w:val="%2"/>
      <w:numFmt w:val="lowerRoman"/>
      <w:start w:val="1"/>
    </w:lvl>
  </w:abstractNum>
  <w:abstractNum w:abstractNumId="21">
    <w:nsid w:val="49DA307D"/>
    <w:multiLevelType w:val="hybridMultilevel"/>
    <w:lvl w:ilvl="0">
      <w:lvlJc w:val="left"/>
      <w:lvlText w:val="(%1)"/>
      <w:numFmt w:val="lowerLetter"/>
      <w:start w:val="1"/>
    </w:lvl>
  </w:abstractNum>
  <w:abstractNum w:abstractNumId="22">
    <w:nsid w:val="7055A5F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
    <w:nsid w:val="5FB8370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24">
    <w:nsid w:val="50801EE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25">
    <w:nsid w:val="488AC1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6">
    <w:nsid w:val="5FB8011C"/>
    <w:multiLevelType w:val="hybridMultilevel"/>
    <w:lvl w:ilvl="0">
      <w:lvlJc w:val="left"/>
      <w:lvlText w:val="%1"/>
      <w:numFmt w:val="lowerLetter"/>
      <w:start w:val="1"/>
    </w:lvl>
    <w:lvl w:ilvl="1">
      <w:lvlJc w:val="left"/>
      <w:lvlText w:val="(%2)"/>
      <w:numFmt w:val="lowerRoman"/>
      <w:start w:val="3"/>
    </w:lvl>
  </w:abstractNum>
  <w:abstractNum w:abstractNumId="27">
    <w:nsid w:val="6AA78F7F"/>
    <w:multiLevelType w:val="hybridMultilevel"/>
    <w:lvl w:ilvl="0">
      <w:lvlJc w:val="left"/>
      <w:lvlText w:val="(%1)"/>
      <w:numFmt w:val="lowerLetter"/>
      <w:start w:val="3"/>
    </w:lvl>
    <w:lvl w:ilvl="1">
      <w:lvlJc w:val="left"/>
      <w:lvlText w:val="(%2)"/>
      <w:numFmt w:val="lowerRoman"/>
      <w:start w:val="1"/>
    </w:lvl>
  </w:abstractNum>
  <w:abstractNum w:abstractNumId="28">
    <w:nsid w:val="7672BD23"/>
    <w:multiLevelType w:val="hybridMultilevel"/>
    <w:lvl w:ilvl="0">
      <w:lvlJc w:val="left"/>
      <w:lvlText w:val="%1"/>
      <w:numFmt w:val="lowerLetter"/>
      <w:start w:val="1"/>
    </w:lvl>
    <w:lvl w:ilvl="1">
      <w:lvlJc w:val="left"/>
      <w:lvlText w:val="(%2)"/>
      <w:numFmt w:val="lowerRoman"/>
      <w:start w:val="3"/>
    </w:lvl>
  </w:abstractNum>
  <w:abstractNum w:abstractNumId="29">
    <w:nsid w:val="6FC75AF8"/>
    <w:multiLevelType w:val="hybridMultilevel"/>
    <w:lvl w:ilvl="0">
      <w:lvlJc w:val="left"/>
      <w:lvlText w:val="(%1)"/>
      <w:numFmt w:val="lowerLetter"/>
      <w:start w:val="4"/>
    </w:lvl>
    <w:lvl w:ilvl="1">
      <w:lvlJc w:val="left"/>
      <w:lvlText w:val="(%2)"/>
      <w:numFmt w:val="lowerRoman"/>
      <w:start w:val="1"/>
    </w:lvl>
  </w:abstractNum>
  <w:abstractNum w:abstractNumId="30">
    <w:nsid w:val="6A5F7029"/>
    <w:multiLevelType w:val="hybridMultilevel"/>
    <w:lvl w:ilvl="0">
      <w:lvlJc w:val="left"/>
      <w:lvlText w:val="%1"/>
      <w:numFmt w:val="lowerLetter"/>
      <w:start w:val="1"/>
    </w:lvl>
    <w:lvl w:ilvl="1">
      <w:lvlJc w:val="left"/>
      <w:lvlText w:val="(%2)"/>
      <w:numFmt w:val="lowerLetter"/>
      <w:start w:val="35"/>
    </w:lvl>
  </w:abstractNum>
  <w:abstractNum w:abstractNumId="31">
    <w:nsid w:val="7D5E18F8"/>
    <w:multiLevelType w:val="hybridMultilevel"/>
    <w:lvl w:ilvl="0">
      <w:lvlJc w:val="left"/>
      <w:lvlText w:val="(%1)"/>
      <w:numFmt w:val="lowerLetter"/>
      <w:start w:val="5"/>
    </w:lvl>
    <w:lvl w:ilvl="1">
      <w:lvlJc w:val="left"/>
      <w:lvlText w:val="(%2)"/>
      <w:numFmt w:val="lowerLetter"/>
      <w:start w:val="9"/>
    </w:lvl>
  </w:abstractNum>
  <w:abstractNum w:abstractNumId="32">
    <w:nsid w:val="5F3534A4"/>
    <w:multiLevelType w:val="hybridMultilevel"/>
    <w:lvl w:ilvl="0">
      <w:lvlJc w:val="left"/>
      <w:lvlText w:val="(%1)"/>
      <w:numFmt w:val="lowerRoman"/>
      <w:start w:val="2"/>
    </w:lvl>
  </w:abstractNum>
  <w:abstractNum w:abstractNumId="33">
    <w:nsid w:val="73A1821B"/>
    <w:multiLevelType w:val="hybridMultilevel"/>
    <w:lvl w:ilvl="0">
      <w:lvlJc w:val="left"/>
      <w:lvlText w:val="(%1)"/>
      <w:numFmt w:val="lowerLetter"/>
      <w:start w:val="6"/>
    </w:lvl>
  </w:abstractNum>
  <w:abstractNum w:abstractNumId="34">
    <w:nsid w:val="7DE67713"/>
    <w:multiLevelType w:val="hybridMultilevel"/>
    <w:lvl w:ilvl="0">
      <w:lvlJc w:val="left"/>
      <w:lvlText w:val="(%1)"/>
      <w:numFmt w:val="lowerLetter"/>
      <w:start w:val="7"/>
    </w:lvl>
  </w:abstractNum>
  <w:abstractNum w:abstractNumId="35">
    <w:nsid w:val="555C55B5"/>
    <w:multiLevelType w:val="hybridMultilevel"/>
    <w:lvl w:ilvl="0">
      <w:lvlJc w:val="left"/>
      <w:lvlText w:val="(%1)"/>
      <w:numFmt w:val="lowerLetter"/>
      <w:start w:val="10"/>
    </w:lvl>
  </w:abstractNum>
  <w:abstractNum w:abstractNumId="36">
    <w:nsid w:val="3FA62ACA"/>
    <w:multiLevelType w:val="hybridMultilevel"/>
    <w:lvl w:ilvl="0">
      <w:lvlJc w:val="left"/>
      <w:lvlText w:val="%1"/>
      <w:numFmt w:val="lowerLetter"/>
      <w:start w:val="1"/>
    </w:lvl>
    <w:lvl w:ilvl="1">
      <w:lvlJc w:val="left"/>
      <w:lvlText w:val="(%2)"/>
      <w:numFmt w:val="lowerLetter"/>
      <w:start w:val="1"/>
    </w:lvl>
  </w:abstractNum>
  <w:abstractNum w:abstractNumId="37">
    <w:nsid w:val="14FCE74E"/>
    <w:multiLevelType w:val="hybridMultilevel"/>
    <w:lvl w:ilvl="0">
      <w:lvlJc w:val="left"/>
      <w:lvlText w:val="(%1)"/>
      <w:numFmt w:val="lowerLetter"/>
      <w:start w:val="22"/>
    </w:lvl>
    <w:lvl w:ilvl="1">
      <w:lvlJc w:val="left"/>
      <w:lvlText w:val="(%2)"/>
      <w:numFmt w:val="lowerLetter"/>
      <w:start w:val="2"/>
    </w:lvl>
  </w:abstractNum>
  <w:abstractNum w:abstractNumId="38">
    <w:nsid w:val="6A3DD3E8"/>
    <w:multiLevelType w:val="hybridMultilevel"/>
    <w:lvl w:ilvl="0">
      <w:lvlJc w:val="left"/>
      <w:lvlText w:val="(%1)"/>
      <w:numFmt w:val="lowerLetter"/>
      <w:start w:val="35"/>
    </w:lvl>
    <w:lvl w:ilvl="1">
      <w:lvlJc w:val="left"/>
      <w:lvlText w:val="(%2)"/>
      <w:numFmt w:val="lowerLetter"/>
      <w:start w:val="3"/>
    </w:lvl>
  </w:abstractNum>
  <w:abstractNum w:abstractNumId="39">
    <w:nsid w:val="71C91298"/>
    <w:multiLevelType w:val="hybridMultilevel"/>
    <w:lvl w:ilvl="0">
      <w:lvlJc w:val="left"/>
      <w:lvlText w:val="(%1)"/>
      <w:numFmt w:val="lowerLetter"/>
      <w:start w:val="1"/>
    </w:lvl>
    <w:lvl w:ilvl="1">
      <w:lvlJc w:val="left"/>
      <w:lvlText w:val="(%2)"/>
      <w:numFmt w:val="lowerRoman"/>
      <w:start w:val="1"/>
    </w:lvl>
  </w:abstractNum>
  <w:abstractNum w:abstractNumId="40">
    <w:nsid w:val="9DAF632"/>
    <w:multiLevelType w:val="hybridMultilevel"/>
    <w:lvl w:ilvl="0">
      <w:lvlJc w:val="left"/>
      <w:lvlText w:val="(%1)"/>
      <w:numFmt w:val="lowerLetter"/>
      <w:start w:val="35"/>
    </w:lvl>
    <w:lvl w:ilvl="1">
      <w:lvlJc w:val="left"/>
      <w:lvlText w:val="(%2)"/>
      <w:numFmt w:val="lowerRoman"/>
      <w:start w:val="2"/>
    </w:lvl>
  </w:abstractNum>
  <w:abstractNum w:abstractNumId="41">
    <w:nsid w:val="53299938"/>
    <w:multiLevelType w:val="hybridMultilevel"/>
    <w:lvl w:ilvl="0">
      <w:lvlJc w:val="left"/>
      <w:lvlText w:val="%1"/>
      <w:numFmt w:val="lowerLetter"/>
      <w:start w:val="1"/>
    </w:lvl>
    <w:lvl w:ilvl="1">
      <w:lvlJc w:val="left"/>
      <w:lvlText w:val="(%2)"/>
      <w:numFmt w:val="lowerLetter"/>
      <w:start w:val="61"/>
    </w:lvl>
  </w:abstractNum>
  <w:abstractNum w:abstractNumId="42">
    <w:nsid w:val="1FBFE8E0"/>
    <w:multiLevelType w:val="hybridMultilevel"/>
    <w:lvl w:ilvl="0">
      <w:lvlJc w:val="left"/>
      <w:lvlText w:val="(%1)"/>
      <w:numFmt w:val="lowerLetter"/>
      <w:start w:val="2"/>
    </w:lvl>
    <w:lvl w:ilvl="1">
      <w:lvlJc w:val="left"/>
      <w:lvlText w:val="%2"/>
      <w:numFmt w:val="lowerLetter"/>
      <w:start w:val="1"/>
    </w:lvl>
  </w:abstractNum>
  <w:abstractNum w:abstractNumId="43">
    <w:nsid w:val="5092CA79"/>
    <w:multiLevelType w:val="hybridMultilevel"/>
    <w:lvl w:ilvl="0">
      <w:lvlJc w:val="left"/>
      <w:lvlText w:val="(%1)"/>
      <w:numFmt w:val="lowerRoman"/>
      <w:start w:val="1"/>
    </w:lvl>
  </w:abstractNum>
  <w:abstractNum w:abstractNumId="44">
    <w:nsid w:val="1D545C4D"/>
    <w:multiLevelType w:val="hybridMultilevel"/>
    <w:lvl w:ilvl="0">
      <w:lvlJc w:val="left"/>
      <w:lvlText w:val="(%1)"/>
      <w:numFmt w:val="lowerLetter"/>
      <w:start w:val="1"/>
    </w:lvl>
  </w:abstractNum>
  <w:abstractNum w:abstractNumId="45">
    <w:nsid w:val="59ADEA3D"/>
    <w:multiLevelType w:val="hybridMultilevel"/>
    <w:lvl w:ilvl="0">
      <w:lvlJc w:val="left"/>
      <w:lvlText w:val="(%1)"/>
      <w:numFmt w:val="lowerLetter"/>
      <w:start w:val="1"/>
    </w:lvl>
  </w:abstractNum>
  <w:abstractNum w:abstractNumId="46">
    <w:nsid w:val="288F1A34"/>
    <w:multiLevelType w:val="hybridMultilevel"/>
    <w:lvl w:ilvl="0">
      <w:lvlJc w:val="left"/>
      <w:lvlText w:val="(%1)"/>
      <w:numFmt w:val="lowerLetter"/>
      <w:start w:val="3"/>
    </w:lvl>
  </w:abstractNum>
  <w:abstractNum w:abstractNumId="47">
    <w:nsid w:val="2A155DBC"/>
    <w:multiLevelType w:val="hybridMultilevel"/>
    <w:lvl w:ilvl="0">
      <w:lvlJc w:val="left"/>
      <w:lvlText w:val="(%1)"/>
      <w:numFmt w:val="lowerLetter"/>
      <w:start w:val="1"/>
    </w:lvl>
  </w:abstractNum>
  <w:abstractNum w:abstractNumId="48">
    <w:nsid w:val="1D9F6E5F"/>
    <w:multiLevelType w:val="hybridMultilevel"/>
    <w:lvl w:ilvl="0">
      <w:lvlJc w:val="left"/>
      <w:lvlText w:val="(%1)"/>
      <w:numFmt w:val="lowerLetter"/>
      <w:start w:val="4"/>
    </w:lvl>
  </w:abstractNum>
  <w:abstractNum w:abstractNumId="49">
    <w:nsid w:val="97E1B4E"/>
    <w:multiLevelType w:val="hybridMultilevel"/>
    <w:lvl w:ilvl="0">
      <w:lvlJc w:val="left"/>
      <w:lvlText w:val="(%1)"/>
      <w:numFmt w:val="lowerLetter"/>
      <w:start w:val="1"/>
    </w:lvl>
  </w:abstractNum>
  <w:abstractNum w:abstractNumId="50">
    <w:nsid w:val="51088277"/>
    <w:multiLevelType w:val="hybridMultilevel"/>
    <w:lvl w:ilvl="0">
      <w:lvlJc w:val="left"/>
      <w:lvlText w:val="(%1)"/>
      <w:numFmt w:val="lowerLetter"/>
      <w:start w:val="1"/>
    </w:lvl>
  </w:abstractNum>
  <w:abstractNum w:abstractNumId="51">
    <w:nsid w:val="1CA0C5FA"/>
    <w:multiLevelType w:val="hybridMultilevel"/>
    <w:lvl w:ilvl="0">
      <w:lvlJc w:val="left"/>
      <w:lvlText w:val="(%1)"/>
      <w:numFmt w:val="lowerLetter"/>
      <w:start w:val="2"/>
    </w:lvl>
    <w:lvl w:ilvl="1">
      <w:lvlJc w:val="left"/>
      <w:lvlText w:val="(%2)"/>
      <w:numFmt w:val="lowerRoman"/>
      <w:start w:val="1"/>
    </w:lvl>
  </w:abstractNum>
  <w:abstractNum w:abstractNumId="52">
    <w:nsid w:val="53584BCB"/>
    <w:multiLevelType w:val="hybridMultilevel"/>
    <w:lvl w:ilvl="0">
      <w:lvlJc w:val="left"/>
      <w:lvlText w:val="(%1)"/>
      <w:numFmt w:val="lowerLetter"/>
      <w:start w:val="6"/>
    </w:lvl>
  </w:abstractNum>
  <w:abstractNum w:abstractNumId="53">
    <w:nsid w:val="415E286C"/>
    <w:multiLevelType w:val="hybridMultilevel"/>
    <w:lvl w:ilvl="0">
      <w:lvlJc w:val="left"/>
      <w:lvlText w:val="(%1)"/>
      <w:numFmt w:val="lowerLetter"/>
      <w:start w:val="2"/>
    </w:lvl>
    <w:lvl w:ilvl="1">
      <w:lvlJc w:val="left"/>
      <w:lvlText w:val="(%2)"/>
      <w:numFmt w:val="lowerRoman"/>
      <w:start w:val="1"/>
    </w:lvl>
  </w:abstractNum>
  <w:abstractNum w:abstractNumId="54">
    <w:nsid w:val="7C58FD05"/>
    <w:multiLevelType w:val="hybridMultilevel"/>
    <w:lvl w:ilvl="0">
      <w:lvlJc w:val="left"/>
      <w:lvlText w:val="(%1)"/>
      <w:numFmt w:val="lowerLetter"/>
      <w:start w:val="1"/>
    </w:lvl>
  </w:abstractNum>
  <w:abstractNum w:abstractNumId="55">
    <w:nsid w:val="23D86AAC"/>
    <w:multiLevelType w:val="hybridMultilevel"/>
    <w:lvl w:ilvl="0">
      <w:lvlJc w:val="left"/>
      <w:lvlText w:val="(%1)"/>
      <w:numFmt w:val="lowerLetter"/>
      <w:start w:val="1"/>
    </w:lvl>
  </w:abstractNum>
  <w:abstractNum w:abstractNumId="56">
    <w:nsid w:val="45E6D486"/>
    <w:multiLevelType w:val="hybridMultilevel"/>
    <w:lvl w:ilvl="0">
      <w:lvlJc w:val="left"/>
      <w:lvlText w:val="(%1)"/>
      <w:numFmt w:val="lowerLetter"/>
      <w:start w:val="2"/>
    </w:lvl>
    <w:lvl w:ilvl="1">
      <w:lvlJc w:val="left"/>
      <w:lvlText w:val="(%2)"/>
      <w:numFmt w:val="lowerRoman"/>
      <w:start w:val="1"/>
    </w:lvl>
  </w:abstractNum>
  <w:abstractNum w:abstractNumId="57">
    <w:nsid w:val="5C10FE21"/>
    <w:multiLevelType w:val="hybridMultilevel"/>
    <w:lvl w:ilvl="0">
      <w:lvlJc w:val="left"/>
      <w:lvlText w:val="%1"/>
      <w:numFmt w:val="lowerLetter"/>
      <w:start w:val="1"/>
    </w:lvl>
    <w:lvl w:ilvl="1">
      <w:lvlJc w:val="left"/>
      <w:lvlText w:val="(%2)"/>
      <w:numFmt w:val="lowerLetter"/>
      <w:start w:val="61"/>
    </w:lvl>
  </w:abstractNum>
  <w:abstractNum w:abstractNumId="58">
    <w:nsid w:val="E7FFA2B"/>
    <w:multiLevelType w:val="hybridMultilevel"/>
    <w:lvl w:ilvl="0">
      <w:lvlJc w:val="left"/>
      <w:lvlText w:val="(%1)"/>
      <w:numFmt w:val="lowerLetter"/>
      <w:start w:val="7"/>
    </w:lvl>
    <w:lvl w:ilvl="1">
      <w:lvlJc w:val="left"/>
      <w:lvlText w:val="%2"/>
      <w:numFmt w:val="lowerLetter"/>
      <w:start w:val="1"/>
    </w:lvl>
  </w:abstractNum>
  <w:abstractNum w:abstractNumId="59">
    <w:nsid w:val="3C5991AA"/>
    <w:multiLevelType w:val="hybridMultilevel"/>
    <w:lvl w:ilvl="0">
      <w:lvlJc w:val="left"/>
      <w:lvlText w:val="(%1)"/>
      <w:numFmt w:val="lowerLetter"/>
      <w:start w:val="1"/>
    </w:lvl>
  </w:abstractNum>
  <w:abstractNum w:abstractNumId="60">
    <w:nsid w:val="4BD8591A"/>
    <w:multiLevelType w:val="hybridMultilevel"/>
    <w:lvl w:ilvl="0">
      <w:lvlJc w:val="left"/>
      <w:lvlText w:val="(%1)"/>
      <w:numFmt w:val="lowerLetter"/>
      <w:start w:val="3"/>
    </w:lvl>
    <w:lvl w:ilvl="1">
      <w:lvlJc w:val="left"/>
      <w:lvlText w:val="(%2)"/>
      <w:numFmt w:val="lowerRoman"/>
      <w:start w:val="1"/>
    </w:lvl>
  </w:abstractNum>
  <w:abstractNum w:abstractNumId="61">
    <w:nsid w:val="78DF6A55"/>
    <w:multiLevelType w:val="hybridMultilevel"/>
    <w:lvl w:ilvl="0">
      <w:lvlJc w:val="left"/>
      <w:lvlText w:val="(%1)"/>
      <w:numFmt w:val="lowerLetter"/>
      <w:start w:val="4"/>
    </w:lvl>
    <w:lvl w:ilvl="1">
      <w:lvlJc w:val="left"/>
      <w:lvlText w:val="(%2)"/>
      <w:numFmt w:val="lowerRoman"/>
      <w:start w:val="1"/>
    </w:lvl>
  </w:abstractNum>
  <w:abstractNum w:abstractNumId="62">
    <w:nsid w:val="39B7AAA2"/>
    <w:multiLevelType w:val="hybridMultilevel"/>
    <w:lvl w:ilvl="0">
      <w:lvlJc w:val="left"/>
      <w:lvlText w:val="(%1)"/>
      <w:numFmt w:val="lowerLetter"/>
      <w:start w:val="1"/>
    </w:lvl>
  </w:abstractNum>
  <w:abstractNum w:abstractNumId="63">
    <w:nsid w:val="2B0D8DBE"/>
    <w:multiLevelType w:val="hybridMultilevel"/>
    <w:lvl w:ilvl="0">
      <w:lvlJc w:val="left"/>
      <w:lvlText w:val="(%1)"/>
      <w:numFmt w:val="lowerLetter"/>
      <w:start w:val="2"/>
    </w:lvl>
  </w:abstractNum>
  <w:abstractNum w:abstractNumId="64">
    <w:nsid w:val="6C80EC70"/>
    <w:multiLevelType w:val="hybridMultilevel"/>
    <w:lvl w:ilvl="0">
      <w:lvlJc w:val="left"/>
      <w:lvlText w:val="(%1)"/>
      <w:numFmt w:val="lowerRoman"/>
      <w:start w:val="1"/>
    </w:lvl>
  </w:abstractNum>
  <w:abstractNum w:abstractNumId="65">
    <w:nsid w:val="379E21B5"/>
    <w:multiLevelType w:val="hybridMultilevel"/>
    <w:lvl w:ilvl="0">
      <w:lvlJc w:val="left"/>
      <w:lvlText w:val="%1"/>
      <w:numFmt w:val="lowerLetter"/>
      <w:start w:val="1"/>
    </w:lvl>
    <w:lvl w:ilvl="1">
      <w:lvlJc w:val="left"/>
      <w:lvlText w:val="(%2)"/>
      <w:numFmt w:val="lowerRoman"/>
      <w:start w:val="4"/>
    </w:lvl>
  </w:abstractNum>
  <w:abstractNum w:abstractNumId="66">
    <w:nsid w:val="69E373"/>
    <w:multiLevelType w:val="hybridMultilevel"/>
    <w:lvl w:ilvl="0">
      <w:lvlJc w:val="left"/>
      <w:lvlText w:val="(%1)"/>
      <w:numFmt w:val="lowerLetter"/>
      <w:start w:val="6"/>
    </w:lvl>
    <w:lvl w:ilvl="1">
      <w:lvlJc w:val="left"/>
      <w:lvlText w:val="%2"/>
      <w:numFmt w:val="lowerRoman"/>
      <w:start w:val="1"/>
    </w:lvl>
  </w:abstractNum>
  <w:abstractNum w:abstractNumId="67">
    <w:nsid w:val="2C27173B"/>
    <w:multiLevelType w:val="hybridMultilevel"/>
    <w:lvl w:ilvl="0">
      <w:lvlJc w:val="left"/>
      <w:lvlText w:val="(%1)"/>
      <w:numFmt w:val="lowerLetter"/>
      <w:start w:val="1"/>
    </w:lvl>
    <w:lvl w:ilvl="1">
      <w:lvlJc w:val="left"/>
      <w:lvlText w:val="(%2)"/>
      <w:numFmt w:val="lowerRoman"/>
      <w:start w:val="1"/>
    </w:lvl>
  </w:abstractNum>
  <w:abstractNum w:abstractNumId="68">
    <w:nsid w:val="4C9B0904"/>
    <w:multiLevelType w:val="hybridMultilevel"/>
    <w:lvl w:ilvl="0">
      <w:lvlJc w:val="left"/>
      <w:lvlText w:val="(%1)"/>
      <w:numFmt w:val="lowerLetter"/>
      <w:start w:val="2"/>
    </w:lvl>
  </w:abstractNum>
  <w:abstractNum w:abstractNumId="69">
    <w:nsid w:val="6AA7B75C"/>
    <w:multiLevelType w:val="hybridMultilevel"/>
    <w:lvl w:ilvl="0">
      <w:lvlJc w:val="left"/>
      <w:lvlText w:val="(%1)"/>
      <w:numFmt w:val="lowerLetter"/>
      <w:start w:val="4"/>
    </w:lvl>
  </w:abstractNum>
  <w:abstractNum w:abstractNumId="70">
    <w:nsid w:val="1DF029D3"/>
    <w:multiLevelType w:val="hybridMultilevel"/>
    <w:lvl w:ilvl="0">
      <w:lvlJc w:val="left"/>
      <w:lvlText w:val="(%1)"/>
      <w:numFmt w:val="lowerLetter"/>
      <w:start w:val="1"/>
    </w:lvl>
  </w:abstractNum>
  <w:abstractNum w:abstractNumId="71">
    <w:nsid w:val="5675FF36"/>
    <w:multiLevelType w:val="hybridMultilevel"/>
    <w:lvl w:ilvl="0">
      <w:lvlJc w:val="left"/>
      <w:lvlText w:val="(%1)"/>
      <w:numFmt w:val="lowerLetter"/>
      <w:start w:val="1"/>
    </w:lvl>
  </w:abstractNum>
  <w:abstractNum w:abstractNumId="72">
    <w:nsid w:val="3DD15094"/>
    <w:multiLevelType w:val="hybridMultilevel"/>
    <w:lvl w:ilvl="0">
      <w:lvlJc w:val="left"/>
      <w:lvlText w:val="(%1)"/>
      <w:numFmt w:val="lowerLetter"/>
      <w:start w:val="2"/>
    </w:lvl>
    <w:lvl w:ilvl="1">
      <w:lvlJc w:val="left"/>
      <w:lvlText w:val="(%2)"/>
      <w:numFmt w:val="lowerRoman"/>
      <w:start w:val="1"/>
    </w:lvl>
  </w:abstractNum>
  <w:abstractNum w:abstractNumId="73">
    <w:nsid w:val="3DB012B3"/>
    <w:multiLevelType w:val="hybridMultilevel"/>
    <w:lvl w:ilvl="0">
      <w:lvlJc w:val="left"/>
      <w:lvlText w:val="(%1)"/>
      <w:numFmt w:val="lowerLetter"/>
      <w:start w:val="1"/>
    </w:lvl>
    <w:lvl w:ilvl="1">
      <w:lvlJc w:val="left"/>
      <w:lvlText w:val="(%2)"/>
      <w:numFmt w:val="lowerLetter"/>
      <w:start w:val="9"/>
    </w:lvl>
  </w:abstractNum>
  <w:abstractNum w:abstractNumId="74">
    <w:nsid w:val="2708C9AF"/>
    <w:multiLevelType w:val="hybridMultilevel"/>
    <w:lvl w:ilvl="0">
      <w:lvlJc w:val="left"/>
      <w:lvlText w:val="(%1)"/>
      <w:numFmt w:val="lowerRoman"/>
      <w:start w:val="2"/>
    </w:lvl>
  </w:abstractNum>
  <w:abstractNum w:abstractNumId="75">
    <w:nsid w:val="5B25ACE2"/>
    <w:multiLevelType w:val="hybridMultilevel"/>
    <w:lvl w:ilvl="0">
      <w:lvlJc w:val="left"/>
      <w:lvlText w:val="(%1)"/>
      <w:numFmt w:val="lowerLetter"/>
      <w:start w:val="1"/>
    </w:lvl>
  </w:abstractNum>
  <w:abstractNum w:abstractNumId="76">
    <w:nsid w:val="175DFCF0"/>
    <w:multiLevelType w:val="hybridMultilevel"/>
    <w:lvl w:ilvl="0">
      <w:lvlJc w:val="left"/>
      <w:lvlText w:val="(%1)"/>
      <w:numFmt w:val="lowerLetter"/>
      <w:start w:val="1"/>
    </w:lvl>
  </w:abstractNum>
  <w:abstractNum w:abstractNumId="77">
    <w:nsid w:val="4F97E3E4"/>
    <w:multiLevelType w:val="hybridMultilevel"/>
    <w:lvl w:ilvl="0">
      <w:lvlJc w:val="left"/>
      <w:lvlText w:val="(%1)"/>
      <w:numFmt w:val="lowerLetter"/>
      <w:start w:val="1"/>
    </w:lvl>
  </w:abstractNum>
  <w:abstractNum w:abstractNumId="78">
    <w:nsid w:val="53B0A9E"/>
    <w:multiLevelType w:val="hybridMultilevel"/>
    <w:lvl w:ilvl="0">
      <w:lvlJc w:val="left"/>
      <w:lvlText w:val="(%1)"/>
      <w:numFmt w:val="lowerLetter"/>
      <w:start w:val="2"/>
    </w:lvl>
  </w:abstractNum>
  <w:abstractNum w:abstractNumId="79">
    <w:nsid w:val="34FD6B4F"/>
    <w:multiLevelType w:val="hybridMultilevel"/>
    <w:lvl w:ilvl="0">
      <w:lvlJc w:val="left"/>
      <w:lvlText w:val="(%1)"/>
      <w:numFmt w:val="lowerLetter"/>
      <w:start w:val="1"/>
    </w:lvl>
  </w:abstractNum>
  <w:abstractNum w:abstractNumId="80">
    <w:nsid w:val="5915FF32"/>
    <w:multiLevelType w:val="hybridMultilevel"/>
    <w:lvl w:ilvl="0">
      <w:lvlJc w:val="left"/>
      <w:lvlText w:val="(%1)"/>
      <w:numFmt w:val="lowerLetter"/>
      <w:start w:val="1"/>
    </w:lvl>
  </w:abstractNum>
  <w:abstractNum w:abstractNumId="81">
    <w:nsid w:val="56438D15"/>
    <w:multiLevelType w:val="hybridMultilevel"/>
    <w:lvl w:ilvl="0">
      <w:lvlJc w:val="left"/>
      <w:lvlText w:val="(%1)"/>
      <w:numFmt w:val="lowerLetter"/>
      <w:start w:val="1"/>
    </w:lvl>
  </w:abstractNum>
  <w:abstractNum w:abstractNumId="82">
    <w:nsid w:val="519E3149"/>
    <w:multiLevelType w:val="hybridMultilevel"/>
    <w:lvl w:ilvl="0">
      <w:lvlJc w:val="left"/>
      <w:lvlText w:val="(%1)"/>
      <w:numFmt w:val="lowerLetter"/>
      <w:start w:val="1"/>
    </w:lvl>
  </w:abstractNum>
  <w:abstractNum w:abstractNumId="83">
    <w:nsid w:val="2C6E4AFD"/>
    <w:multiLevelType w:val="hybridMultilevel"/>
    <w:lvl w:ilvl="0">
      <w:lvlJc w:val="left"/>
      <w:lvlText w:val="(%1)"/>
      <w:numFmt w:val="lowerLetter"/>
      <w:start w:val="25"/>
    </w:lvl>
  </w:abstractNum>
  <w:abstractNum w:abstractNumId="84">
    <w:nsid w:val="17A1B582"/>
    <w:multiLevelType w:val="hybridMultilevel"/>
    <w:lvl w:ilvl="0">
      <w:lvlJc w:val="left"/>
      <w:lvlText w:val="(%1)"/>
      <w:numFmt w:val="lowerLetter"/>
      <w:start w:val="1"/>
    </w:lvl>
    <w:lvl w:ilvl="1">
      <w:lvlJc w:val="left"/>
      <w:lvlText w:val="(%2)"/>
      <w:numFmt w:val="lowerRoman"/>
      <w:start w:val="2"/>
    </w:lvl>
  </w:abstractNum>
  <w:abstractNum w:abstractNumId="85">
    <w:nsid w:val="4DF72E4E"/>
    <w:multiLevelType w:val="hybridMultilevel"/>
    <w:lvl w:ilvl="0">
      <w:lvlJc w:val="left"/>
      <w:lvlText w:val="(%1)"/>
      <w:numFmt w:val="lowerLetter"/>
      <w:start w:val="4"/>
    </w:lvl>
  </w:abstractNum>
  <w:abstractNum w:abstractNumId="86">
    <w:nsid w:val="5046B5A9"/>
    <w:multiLevelType w:val="hybridMultilevel"/>
    <w:lvl w:ilvl="0">
      <w:lvlJc w:val="left"/>
      <w:lvlText w:val="(%1)"/>
      <w:numFmt w:val="lowerLetter"/>
      <w:start w:val="1"/>
    </w:lvl>
  </w:abstractNum>
  <w:abstractNum w:abstractNumId="87">
    <w:nsid w:val="5D888A08"/>
    <w:multiLevelType w:val="hybridMultilevel"/>
    <w:lvl w:ilvl="0">
      <w:lvlJc w:val="left"/>
      <w:lvlText w:val="(%1)"/>
      <w:numFmt w:val="lowerLetter"/>
      <w:start w:val="6"/>
    </w:lvl>
  </w:abstractNum>
  <w:abstractNum w:abstractNumId="88">
    <w:nsid w:val="2A082C70"/>
    <w:multiLevelType w:val="hybridMultilevel"/>
    <w:lvl w:ilvl="0">
      <w:lvlJc w:val="left"/>
      <w:lvlText w:val="(%1)"/>
      <w:numFmt w:val="lowerLetter"/>
      <w:start w:val="1"/>
    </w:lvl>
  </w:abstractNum>
  <w:abstractNum w:abstractNumId="89">
    <w:nsid w:val="5EC6AFD4"/>
    <w:multiLevelType w:val="hybridMultilevel"/>
    <w:lvl w:ilvl="0">
      <w:lvlJc w:val="left"/>
      <w:lvlText w:val="(%1)"/>
      <w:numFmt w:val="lowerRoman"/>
      <w:start w:val="1"/>
    </w:lvl>
  </w:abstractNum>
  <w:abstractNum w:abstractNumId="90">
    <w:nsid w:val="19E21BB2"/>
    <w:multiLevelType w:val="hybridMultilevel"/>
    <w:lvl w:ilvl="0">
      <w:lvlJc w:val="left"/>
      <w:lvlText w:val="(%1)"/>
      <w:numFmt w:val="lowerLetter"/>
      <w:start w:val="5"/>
    </w:lvl>
  </w:abstractNum>
  <w:abstractNum w:abstractNumId="91">
    <w:nsid w:val="75E0858A"/>
    <w:multiLevelType w:val="hybridMultilevel"/>
    <w:lvl w:ilvl="0">
      <w:lvlJc w:val="left"/>
      <w:lvlText w:val="(%1)"/>
      <w:numFmt w:val="upperLetter"/>
      <w:start w:val="1"/>
    </w:lvl>
  </w:abstractNum>
  <w:abstractNum w:abstractNumId="92">
    <w:nsid w:val="57A61A29"/>
    <w:multiLevelType w:val="hybridMultilevel"/>
    <w:lvl w:ilvl="0">
      <w:lvlJc w:val="left"/>
      <w:lvlText w:val="(%1)"/>
      <w:numFmt w:val="lowerLetter"/>
      <w:start w:val="1"/>
    </w:lvl>
  </w:abstractNum>
  <w:abstractNum w:abstractNumId="93">
    <w:nsid w:val="5399C654"/>
    <w:multiLevelType w:val="hybridMultilevel"/>
    <w:lvl w:ilvl="0">
      <w:lvlJc w:val="left"/>
      <w:lvlText w:val="(%1)"/>
      <w:numFmt w:val="lowerLetter"/>
      <w:start w:val="1"/>
    </w:lvl>
  </w:abstractNum>
  <w:abstractNum w:abstractNumId="94">
    <w:nsid w:val="20EE1348"/>
    <w:multiLevelType w:val="hybridMultilevel"/>
    <w:lvl w:ilvl="0">
      <w:lvlJc w:val="left"/>
      <w:lvlText w:val="(%1)"/>
      <w:numFmt w:val="lowerLetter"/>
      <w:start w:val="1"/>
    </w:lvl>
    <w:lvl w:ilvl="1">
      <w:lvlJc w:val="left"/>
      <w:lvlText w:val="(%2)"/>
      <w:numFmt w:val="lowerRoman"/>
      <w:start w:val="1"/>
    </w:lvl>
  </w:abstractNum>
  <w:abstractNum w:abstractNumId="95">
    <w:nsid w:val="4427069A"/>
    <w:multiLevelType w:val="hybridMultilevel"/>
    <w:lvl w:ilvl="0">
      <w:lvlJc w:val="left"/>
      <w:lvlText w:val="(%1)"/>
      <w:numFmt w:val="lowerLetter"/>
      <w:start w:val="1"/>
    </w:lvl>
  </w:abstractNum>
  <w:abstractNum w:abstractNumId="96">
    <w:nsid w:val="B37E80A"/>
    <w:multiLevelType w:val="hybridMultilevel"/>
    <w:lvl w:ilvl="0">
      <w:lvlJc w:val="left"/>
      <w:lvlText w:val="%1"/>
      <w:numFmt w:val="lowerLetter"/>
      <w:start w:val="1"/>
    </w:lvl>
    <w:lvl w:ilvl="1">
      <w:lvlJc w:val="left"/>
      <w:lvlText w:val="(%2)"/>
      <w:numFmt w:val="lowerLetter"/>
      <w:start w:val="1"/>
    </w:lvl>
  </w:abstractNum>
  <w:abstractNum w:abstractNumId="97">
    <w:nsid w:val="2157F6BC"/>
    <w:multiLevelType w:val="hybridMultilevel"/>
    <w:lvl w:ilvl="0">
      <w:lvlJc w:val="left"/>
      <w:lvlText w:val="(%1)"/>
      <w:numFmt w:val="lowerLetter"/>
      <w:start w:val="35"/>
    </w:lvl>
    <w:lvl w:ilvl="1">
      <w:lvlJc w:val="left"/>
      <w:lvlText w:val="(%2)"/>
      <w:numFmt w:val="lowerLetter"/>
      <w:start w:val="2"/>
    </w:lvl>
  </w:abstractNum>
  <w:abstractNum w:abstractNumId="98">
    <w:nsid w:val="704E1DD5"/>
    <w:multiLevelType w:val="hybridMultilevel"/>
    <w:lvl w:ilvl="0">
      <w:lvlJc w:val="left"/>
      <w:lvlText w:val="(%1)"/>
      <w:numFmt w:val="lowerLetter"/>
      <w:start w:val="3"/>
    </w:lvl>
  </w:abstractNum>
  <w:abstractNum w:abstractNumId="99">
    <w:nsid w:val="57D2F10E"/>
    <w:multiLevelType w:val="hybridMultilevel"/>
    <w:lvl w:ilvl="0">
      <w:lvlJc w:val="left"/>
      <w:lvlText w:val="(%1)"/>
      <w:numFmt w:val="lowerLetter"/>
      <w:start w:val="8"/>
    </w:lvl>
  </w:abstractNum>
  <w:abstractNum w:abstractNumId="100">
    <w:nsid w:val="BFFAE18"/>
    <w:multiLevelType w:val="hybridMultilevel"/>
    <w:lvl w:ilvl="0">
      <w:lvlJc w:val="left"/>
      <w:lvlText w:val="(%1)"/>
      <w:numFmt w:val="lowerLetter"/>
      <w:start w:val="1"/>
    </w:lvl>
  </w:abstractNum>
  <w:abstractNum w:abstractNumId="101">
    <w:nsid w:val="E3E47A8"/>
    <w:multiLevelType w:val="hybridMultilevel"/>
    <w:lvl w:ilvl="0">
      <w:lvlJc w:val="left"/>
      <w:lvlText w:val="(%1)"/>
      <w:numFmt w:val="lowerLetter"/>
      <w:start w:val="2"/>
    </w:lvl>
  </w:abstractNum>
  <w:abstractNum w:abstractNumId="102">
    <w:nsid w:val="2E48F044"/>
    <w:multiLevelType w:val="hybridMultilevel"/>
    <w:lvl w:ilvl="0">
      <w:lvlJc w:val="left"/>
      <w:lvlText w:val="(%1)"/>
      <w:numFmt w:val="lowerLetter"/>
      <w:start w:val="1"/>
    </w:lvl>
  </w:abstractNum>
  <w:abstractNum w:abstractNumId="103">
    <w:nsid w:val="49D0FEAC"/>
    <w:multiLevelType w:val="hybridMultilevel"/>
    <w:lvl w:ilvl="0">
      <w:lvlJc w:val="left"/>
      <w:lvlText w:val="(%1)"/>
      <w:numFmt w:val="lowerLetter"/>
      <w:start w:val="3"/>
    </w:lvl>
  </w:abstractNum>
  <w:abstractNum w:abstractNumId="104">
    <w:nsid w:val="4BEE5A5B"/>
    <w:multiLevelType w:val="hybridMultilevel"/>
    <w:lvl w:ilvl="0">
      <w:lvlJc w:val="left"/>
      <w:lvlText w:val="(%1)"/>
      <w:numFmt w:val="lowerLetter"/>
      <w:start w:val="1"/>
    </w:lvl>
  </w:abstractNum>
  <w:abstractNum w:abstractNumId="105">
    <w:nsid w:val="5551B9F3"/>
    <w:multiLevelType w:val="hybridMultilevel"/>
    <w:lvl w:ilvl="0">
      <w:lvlJc w:val="left"/>
      <w:lvlText w:val="%1"/>
      <w:numFmt w:val="lowerLetter"/>
      <w:start w:val="1"/>
    </w:lvl>
    <w:lvl w:ilvl="1">
      <w:lvlJc w:val="left"/>
      <w:lvlText w:val="(%2)"/>
      <w:numFmt w:val="lowerLetter"/>
      <w:start w:val="1"/>
    </w:lvl>
  </w:abstractNum>
  <w:abstractNum w:abstractNumId="106">
    <w:nsid w:val="24F6AB8E"/>
    <w:multiLevelType w:val="hybridMultilevel"/>
    <w:lvl w:ilvl="0">
      <w:lvlJc w:val="left"/>
      <w:lvlText w:val="(%1)"/>
      <w:numFmt w:val="lowerLetter"/>
      <w:start w:val="2"/>
    </w:lvl>
    <w:lvl w:ilvl="1">
      <w:lvlJc w:val="left"/>
      <w:lvlText w:val="(%2)"/>
      <w:numFmt w:val="lowerLetter"/>
      <w:start w:val="2"/>
    </w:lvl>
  </w:abstractNum>
  <w:abstractNum w:abstractNumId="107">
    <w:nsid w:val="634C574C"/>
    <w:multiLevelType w:val="hybridMultilevel"/>
    <w:lvl w:ilvl="0">
      <w:lvlJc w:val="left"/>
      <w:lvlText w:val="%1"/>
      <w:numFmt w:val="lowerLetter"/>
      <w:start w:val="1"/>
    </w:lvl>
    <w:lvl w:ilvl="1">
      <w:lvlJc w:val="left"/>
      <w:lvlText w:val="(%2)"/>
      <w:numFmt w:val="lowerLetter"/>
      <w:start w:val="3"/>
    </w:lvl>
  </w:abstractNum>
  <w:abstractNum w:abstractNumId="108">
    <w:nsid w:val="24E99DD7"/>
    <w:multiLevelType w:val="hybridMultilevel"/>
    <w:lvl w:ilvl="0">
      <w:lvlJc w:val="left"/>
      <w:lvlText w:val="(%1)"/>
      <w:numFmt w:val="lowerLetter"/>
      <w:start w:val="35"/>
    </w:lvl>
    <w:lvl w:ilvl="1">
      <w:lvlJc w:val="left"/>
      <w:lvlText w:val="%2"/>
      <w:numFmt w:val="lowerLetter"/>
      <w:start w:val="1"/>
    </w:lvl>
  </w:abstractNum>
  <w:abstractNum w:abstractNumId="109">
    <w:nsid w:val="2A31B62D"/>
    <w:multiLevelType w:val="hybridMultilevel"/>
    <w:lvl w:ilvl="0">
      <w:lvlJc w:val="left"/>
      <w:lvlText w:val="(%1)"/>
      <w:numFmt w:val="lowerLetter"/>
      <w:start w:val="6"/>
    </w:lvl>
  </w:abstractNum>
  <w:abstractNum w:abstractNumId="110">
    <w:nsid w:val="1849C29B"/>
    <w:multiLevelType w:val="hybridMultilevel"/>
    <w:lvl w:ilvl="0">
      <w:lvlJc w:val="left"/>
      <w:lvlText w:val="%1"/>
      <w:numFmt w:val="lowerLetter"/>
      <w:start w:val="1"/>
    </w:lvl>
    <w:lvl w:ilvl="1">
      <w:lvlJc w:val="left"/>
      <w:lvlText w:val="(%2)"/>
      <w:numFmt w:val="lowerLetter"/>
      <w:start w:val="1"/>
    </w:lvl>
  </w:abstractNum>
  <w:abstractNum w:abstractNumId="111">
    <w:nsid w:val="7DFF9D09"/>
    <w:multiLevelType w:val="hybridMultilevel"/>
    <w:lvl w:ilvl="0">
      <w:lvlJc w:val="left"/>
      <w:lvlText w:val="(%1)"/>
      <w:numFmt w:val="lowerLetter"/>
      <w:start w:val="35"/>
    </w:lvl>
    <w:lvl w:ilvl="1">
      <w:lvlJc w:val="left"/>
      <w:lvlText w:val="%2"/>
      <w:numFmt w:val="lowerLetter"/>
      <w:start w:val="1"/>
    </w:lvl>
  </w:abstractNum>
  <w:abstractNum w:abstractNumId="112">
    <w:nsid w:val="75434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3">
    <w:nsid w:val="69E7F3E5"/>
    <w:multiLevelType w:val="hybridMultilevel"/>
    <w:lvl w:ilvl="0">
      <w:lvlJc w:val="left"/>
      <w:lvlText w:val="(%1)"/>
      <w:numFmt w:val="lowerRoman"/>
      <w:start w:val="4"/>
    </w:lvl>
  </w:abstractNum>
  <w:abstractNum w:abstractNumId="114">
    <w:nsid w:val="2A6DE806"/>
    <w:multiLevelType w:val="hybridMultilevel"/>
    <w:lvl w:ilvl="0">
      <w:lvlJc w:val="left"/>
      <w:lvlText w:val="(%1)"/>
      <w:numFmt w:val="lowerLetter"/>
      <w:start w:val="3"/>
    </w:lvl>
  </w:abstractNum>
  <w:abstractNum w:abstractNumId="115">
    <w:nsid w:val="1816F8C4"/>
    <w:multiLevelType w:val="hybridMultilevel"/>
    <w:lvl w:ilvl="0">
      <w:lvlJc w:val="left"/>
      <w:lvlText w:val="(%1)"/>
      <w:numFmt w:val="lowerLetter"/>
      <w:start w:val="5"/>
    </w:lvl>
  </w:abstractNum>
  <w:abstractNum w:abstractNumId="116">
    <w:nsid w:val="37DF2233"/>
    <w:multiLevelType w:val="hybridMultilevel"/>
    <w:lvl w:ilvl="0">
      <w:lvlJc w:val="left"/>
      <w:lvlText w:val="(%1)"/>
      <w:numFmt w:val="lowerRoman"/>
      <w:start w:val="1"/>
    </w:lvl>
  </w:abstractNum>
  <w:abstractNum w:abstractNumId="117">
    <w:nsid w:val="7AB49DAF"/>
    <w:multiLevelType w:val="hybridMultilevel"/>
    <w:lvl w:ilvl="0">
      <w:lvlJc w:val="left"/>
      <w:lvlText w:val="(%1)"/>
      <w:numFmt w:val="lowerLetter"/>
      <w:start w:val="1"/>
    </w:lvl>
  </w:abstractNum>
  <w:abstractNum w:abstractNumId="118">
    <w:nsid w:val="759F82CD"/>
    <w:multiLevelType w:val="hybridMultilevel"/>
    <w:lvl w:ilvl="0">
      <w:lvlJc w:val="left"/>
      <w:lvlText w:val="(%1)"/>
      <w:numFmt w:val="lowerLetter"/>
      <w:start w:val="1"/>
    </w:lvl>
  </w:abstractNum>
  <w:abstractNum w:abstractNumId="119">
    <w:nsid w:val="61E74EA3"/>
    <w:multiLevelType w:val="hybridMultilevel"/>
    <w:lvl w:ilvl="0">
      <w:lvlJc w:val="left"/>
      <w:lvlText w:val="(%1)"/>
      <w:numFmt w:val="lowerLetter"/>
      <w:start w:val="2"/>
    </w:lvl>
  </w:abstractNum>
  <w:abstractNum w:abstractNumId="120">
    <w:nsid w:val="597B4D84"/>
    <w:multiLevelType w:val="hybridMultilevel"/>
    <w:lvl w:ilvl="0">
      <w:lvlJc w:val="left"/>
      <w:lvlText w:val="(%1)"/>
      <w:numFmt w:val="lowerLetter"/>
      <w:start w:val="1"/>
    </w:lvl>
  </w:abstractNum>
  <w:abstractNum w:abstractNumId="121">
    <w:nsid w:val="F819E7F"/>
    <w:multiLevelType w:val="hybridMultilevel"/>
    <w:lvl w:ilvl="0">
      <w:lvlJc w:val="left"/>
      <w:lvlText w:val="(%1)"/>
      <w:numFmt w:val="lowerLetter"/>
      <w:start w:val="2"/>
    </w:lvl>
  </w:abstractNum>
  <w:abstractNum w:abstractNumId="122">
    <w:nsid w:val="57C7D42D"/>
    <w:multiLevelType w:val="hybridMultilevel"/>
    <w:lvl w:ilvl="0">
      <w:lvlJc w:val="left"/>
      <w:lvlText w:val="%1."/>
      <w:numFmt w:val="decimal"/>
      <w:start w:val="1"/>
    </w:lvl>
  </w:abstractNum>
  <w:abstractNum w:abstractNumId="123">
    <w:nsid w:val="312167AD"/>
    <w:multiLevelType w:val="hybridMultilevel"/>
    <w:lvl w:ilvl="0">
      <w:lvlJc w:val="left"/>
      <w:lvlText w:val="(%1)"/>
      <w:numFmt w:val="lowerLetter"/>
      <w:start w:val="3"/>
    </w:lvl>
  </w:abstractNum>
  <w:abstractNum w:abstractNumId="124">
    <w:nsid w:val="631B64D4"/>
    <w:multiLevelType w:val="hybridMultilevel"/>
    <w:lvl w:ilvl="0">
      <w:lvlJc w:val="left"/>
      <w:lvlText w:val="%1."/>
      <w:numFmt w:val="decimal"/>
      <w:start w:val="1"/>
    </w:lvl>
  </w:abstractNum>
  <w:abstractNum w:abstractNumId="125">
    <w:nsid w:val="78B5E776"/>
    <w:multiLevelType w:val="hybridMultilevel"/>
    <w:lvl w:ilvl="0">
      <w:lvlJc w:val="left"/>
      <w:lvlText w:val="%1."/>
      <w:numFmt w:val="decimal"/>
      <w:start w:val="2"/>
    </w:lvl>
  </w:abstractNum>
  <w:abstractNum w:abstractNumId="126">
    <w:nsid w:val="75486E47"/>
    <w:multiLevelType w:val="hybridMultilevel"/>
    <w:lvl w:ilvl="0">
      <w:lvlJc w:val="left"/>
      <w:lvlText w:val="%1."/>
      <w:numFmt w:val="decimal"/>
      <w:start w:val="1"/>
    </w:lvl>
  </w:abstractNum>
  <w:abstractNum w:abstractNumId="127">
    <w:nsid w:val="6E534CDE"/>
    <w:multiLevelType w:val="hybridMultilevel"/>
    <w:lvl w:ilvl="0">
      <w:lvlJc w:val="left"/>
      <w:lvlText w:val="(%1)"/>
      <w:numFmt w:val="lowerLetter"/>
      <w:start w:val="2"/>
    </w:lvl>
  </w:abstractNum>
  <w:abstractNum w:abstractNumId="128">
    <w:nsid w:val="1A0DDE32"/>
    <w:multiLevelType w:val="hybridMultilevel"/>
    <w:lvl w:ilvl="0">
      <w:lvlJc w:val="left"/>
      <w:lvlText w:val="(%1)"/>
      <w:numFmt w:val="lowerLetter"/>
      <w:start w:val="1"/>
    </w:lvl>
  </w:abstractNum>
  <w:abstractNum w:abstractNumId="129">
    <w:nsid w:val="65968C1C"/>
    <w:multiLevelType w:val="hybridMultilevel"/>
    <w:lvl w:ilvl="0">
      <w:lvlJc w:val="left"/>
      <w:lvlText w:val="(%1)"/>
      <w:numFmt w:val="lowerLetter"/>
      <w:start w:val="2"/>
    </w:lvl>
    <w:lvl w:ilvl="1">
      <w:lvlJc w:val="left"/>
      <w:lvlText w:val="(%2)"/>
      <w:numFmt w:val="lowerRoman"/>
      <w:start w:val="1"/>
    </w:lvl>
  </w:abstractNum>
  <w:abstractNum w:abstractNumId="130">
    <w:nsid w:val="46263DEC"/>
    <w:multiLevelType w:val="hybridMultilevel"/>
    <w:lvl w:ilvl="0">
      <w:lvlJc w:val="left"/>
      <w:lvlText w:val="%1."/>
      <w:numFmt w:val="decimal"/>
      <w:start w:val="5"/>
    </w:lvl>
  </w:abstractNum>
  <w:abstractNum w:abstractNumId="131">
    <w:nsid w:val="260D8C4A"/>
    <w:multiLevelType w:val="hybridMultilevel"/>
    <w:lvl w:ilvl="0">
      <w:lvlJc w:val="left"/>
      <w:lvlText w:val="(%1)"/>
      <w:numFmt w:val="lowerLetter"/>
      <w:start w:val="2"/>
    </w:lvl>
  </w:abstractNum>
  <w:abstractNum w:abstractNumId="132">
    <w:nsid w:val="73D4D3C4"/>
    <w:multiLevelType w:val="hybridMultilevel"/>
    <w:lvl w:ilvl="0">
      <w:lvlJc w:val="left"/>
      <w:lvlText w:val="(%1)"/>
      <w:numFmt w:val="lowerRoman"/>
      <w:start w:val="1"/>
    </w:lvl>
  </w:abstractNum>
  <w:abstractNum w:abstractNumId="133">
    <w:nsid w:val="746F2E30"/>
    <w:multiLevelType w:val="hybridMultilevel"/>
    <w:lvl w:ilvl="0">
      <w:lvlJc w:val="left"/>
      <w:lvlText w:val="%1."/>
      <w:numFmt w:val="decimal"/>
      <w:start w:val="2"/>
    </w:lvl>
  </w:abstractNum>
  <w:abstractNum w:abstractNumId="134">
    <w:nsid w:val="6FDE8AF6"/>
    <w:multiLevelType w:val="hybridMultilevel"/>
    <w:lvl w:ilvl="0">
      <w:lvlJc w:val="left"/>
      <w:lvlText w:val="(%1)"/>
      <w:numFmt w:val="lowerLetter"/>
      <w:start w:val="1"/>
    </w:lvl>
  </w:abstractNum>
  <w:abstractNum w:abstractNumId="135">
    <w:nsid w:val="3FC32E20"/>
    <w:multiLevelType w:val="hybridMultilevel"/>
    <w:lvl w:ilvl="0">
      <w:lvlJc w:val="left"/>
      <w:lvlText w:val="%1."/>
      <w:numFmt w:val="decimal"/>
      <w:start w:val="1"/>
    </w:lvl>
  </w:abstractNum>
  <w:abstractNum w:abstractNumId="136">
    <w:nsid w:val="49C0E823"/>
    <w:multiLevelType w:val="hybridMultilevel"/>
    <w:lvl w:ilvl="0">
      <w:lvlJc w:val="left"/>
      <w:lvlText w:val="."/>
      <w:numFmt w:val="bullet"/>
      <w:start w:val="1"/>
    </w:lvl>
  </w:abstractNum>
  <w:abstractNum w:abstractNumId="137">
    <w:nsid w:val="14D53685"/>
    <w:multiLevelType w:val="hybridMultilevel"/>
    <w:lvl w:ilvl="0">
      <w:lvlJc w:val="left"/>
      <w:lvlText w:val="%1"/>
      <w:numFmt w:val="upperLetter"/>
      <w:start w:val="1"/>
    </w:lvl>
    <w:lvl w:ilvl="1">
      <w:lvlJc w:val="left"/>
      <w:lvlText w:val="%2."/>
      <w:numFmt w:val="decimal"/>
      <w:start w:val="9"/>
    </w:lvl>
  </w:abstractNum>
  <w:abstractNum w:abstractNumId="138">
    <w:nsid w:val="230F856C"/>
    <w:multiLevelType w:val="hybridMultilevel"/>
    <w:lvl w:ilvl="0">
      <w:lvlJc w:val="left"/>
      <w:lvlText w:val="%1."/>
      <w:numFmt w:val="upperLetter"/>
      <w:start w:val="61"/>
    </w:lvl>
    <w:lvl w:ilvl="1">
      <w:lvlJc w:val="left"/>
      <w:lvlText w:val="%2"/>
      <w:numFmt w:val="decimal"/>
      <w:start w:val="1"/>
    </w:lvl>
  </w:abstractNum>
  <w:abstractNum w:abstractNumId="139">
    <w:nsid w:val="6EAA85FB"/>
    <w:multiLevelType w:val="hybridMultilevel"/>
    <w:lvl w:ilvl="0">
      <w:lvlJc w:val="left"/>
      <w:lvlText w:val="%1."/>
      <w:numFmt w:val="upperLetter"/>
      <w:start w:val="2"/>
    </w:lvl>
    <w:lvl w:ilvl="1">
      <w:lvlJc w:val="left"/>
      <w:lvlText w:val="%2."/>
      <w:numFmt w:val="decimal"/>
      <w:start w:val="1"/>
    </w:lvl>
  </w:abstractNum>
  <w:abstractNum w:abstractNumId="140">
    <w:nsid w:val="3F06ECB2"/>
    <w:multiLevelType w:val="hybridMultilevel"/>
    <w:lvl w:ilvl="0">
      <w:lvlJc w:val="left"/>
      <w:lvlText w:val="%1."/>
      <w:numFmt w:val="decimal"/>
      <w:start w:val="1"/>
    </w:lvl>
  </w:abstractNum>
  <w:abstractNum w:abstractNumId="141">
    <w:nsid w:val="3B594807"/>
    <w:multiLevelType w:val="hybridMultilevel"/>
    <w:lvl w:ilvl="0">
      <w:lvlJc w:val="left"/>
      <w:lvlText w:val="%1."/>
      <w:numFmt w:val="decimal"/>
      <w:start w:val="6"/>
    </w:lvl>
  </w:abstractNum>
  <w:abstractNum w:abstractNumId="142">
    <w:nsid w:val="6CAA2304"/>
    <w:multiLevelType w:val="hybridMultilevel"/>
    <w:lvl w:ilvl="0">
      <w:lvlJc w:val="left"/>
      <w:lvlText w:val="%1"/>
      <w:numFmt w:val="decimal"/>
      <w:start w:val="10"/>
    </w:lvl>
  </w:abstractNum>
  <w:abstractNum w:abstractNumId="143">
    <w:nsid w:val="3F7C2FF4"/>
    <w:multiLevelType w:val="hybridMultilevel"/>
    <w:lvl w:ilvl="0">
      <w:lvlJc w:val="left"/>
      <w:lvlText w:val="%1."/>
      <w:numFmt w:val="decimal"/>
      <w:start w:val="1"/>
    </w:lvl>
  </w:abstractNum>
  <w:abstractNum w:abstractNumId="144">
    <w:nsid w:val="25413BEC"/>
    <w:multiLevelType w:val="hybridMultilevel"/>
    <w:lvl w:ilvl="0">
      <w:lvlJc w:val="left"/>
      <w:lvlText w:val="(%1)"/>
      <w:numFmt w:val="lowerRoman"/>
      <w:start w:val="2"/>
    </w:lvl>
  </w:abstractNum>
  <w:abstractNum w:abstractNumId="145">
    <w:nsid w:val="17180B0B"/>
    <w:multiLevelType w:val="hybridMultilevel"/>
    <w:lvl w:ilvl="0">
      <w:lvlJc w:val="left"/>
      <w:lvlText w:val="(%1)"/>
      <w:numFmt w:val="lowerRoman"/>
      <w:start w:val="3"/>
    </w:lvl>
    <w:lvl w:ilvl="1">
      <w:lvlJc w:val="left"/>
      <w:lvlText w:val="%2."/>
      <w:numFmt w:val="decimal"/>
      <w:start w:val="2"/>
    </w:lvl>
  </w:abstractNum>
  <w:abstractNum w:abstractNumId="146">
    <w:nsid w:val="579328B9"/>
    <w:multiLevelType w:val="hybridMultilevel"/>
    <w:lvl w:ilvl="0">
      <w:lvlJc w:val="left"/>
      <w:lvlText w:val="%1."/>
      <w:numFmt w:val="decimal"/>
      <w:start w:val="3"/>
    </w:lvl>
  </w:abstractNum>
  <w:abstractNum w:abstractNumId="147">
    <w:nsid w:val="5D205E20"/>
    <w:multiLevelType w:val="hybridMultilevel"/>
    <w:lvl w:ilvl="0">
      <w:lvlJc w:val="left"/>
      <w:lvlText w:val="%1."/>
      <w:numFmt w:val="decimal"/>
      <w:start w:val="1"/>
    </w:lvl>
  </w:abstractNum>
  <w:abstractNum w:abstractNumId="148">
    <w:nsid w:val="11CCA8BA"/>
    <w:multiLevelType w:val="hybridMultilevel"/>
    <w:lvl w:ilvl="0">
      <w:lvlJc w:val="left"/>
      <w:lvlText w:val="(%1)"/>
      <w:numFmt w:val="lowerLetter"/>
      <w:start w:val="4"/>
    </w:lvl>
    <w:lvl w:ilvl="1">
      <w:lvlJc w:val="left"/>
      <w:lvlText w:val="%2."/>
      <w:numFmt w:val="decimal"/>
      <w:start w:val="2"/>
    </w:lvl>
  </w:abstractNum>
  <w:abstractNum w:abstractNumId="149">
    <w:nsid w:val="4D32AB86"/>
    <w:multiLevelType w:val="hybridMultilevel"/>
    <w:lvl w:ilvl="0">
      <w:lvlJc w:val="left"/>
      <w:lvlText w:val="(%1)"/>
      <w:numFmt w:val="lowerLetter"/>
      <w:start w:val="2"/>
    </w:lvl>
  </w:abstractNum>
  <w:abstractNum w:abstractNumId="150">
    <w:nsid w:val="3F07ACC3"/>
    <w:multiLevelType w:val="hybridMultilevel"/>
    <w:lvl w:ilvl="0">
      <w:lvlJc w:val="left"/>
      <w:lvlText w:val="%1."/>
      <w:numFmt w:val="decimal"/>
      <w:start w:val="3"/>
    </w:lvl>
  </w:abstractNum>
  <w:abstractNum w:abstractNumId="151">
    <w:nsid w:val="6B47F63E"/>
    <w:multiLevelType w:val="hybridMultilevel"/>
    <w:lvl w:ilvl="0">
      <w:lvlJc w:val="left"/>
      <w:lvlText w:val="(%1)"/>
      <w:numFmt w:val="lowerLetter"/>
      <w:start w:val="2"/>
    </w:lvl>
  </w:abstractNum>
  <w:abstractNum w:abstractNumId="152">
    <w:nsid w:val="5CB44A05"/>
    <w:multiLevelType w:val="hybridMultilevel"/>
    <w:lvl w:ilvl="0">
      <w:lvlJc w:val="left"/>
      <w:lvlText w:val="%1."/>
      <w:numFmt w:val="decimal"/>
      <w:start w:val="6"/>
    </w:lvl>
  </w:abstractNum>
  <w:abstractNum w:abstractNumId="153">
    <w:nsid w:val="16CF80F1"/>
    <w:multiLevelType w:val="hybridMultilevel"/>
    <w:lvl w:ilvl="0">
      <w:lvlJc w:val="left"/>
      <w:lvlText w:val="%1."/>
      <w:numFmt w:val="decimal"/>
      <w:start w:val="9"/>
    </w:lvl>
  </w:abstractNum>
  <w:abstractNum w:abstractNumId="154">
    <w:nsid w:val="1C695DEC"/>
    <w:multiLevelType w:val="hybridMultilevel"/>
    <w:lvl w:ilvl="0">
      <w:lvlJc w:val="left"/>
      <w:lvlText w:val="%1."/>
      <w:numFmt w:val="decimal"/>
      <w:start w:val="12"/>
    </w:lvl>
  </w:abstractNum>
  <w:abstractNum w:abstractNumId="155">
    <w:nsid w:val="3FCFAED9"/>
    <w:multiLevelType w:val="hybridMultilevel"/>
    <w:lvl w:ilvl="0">
      <w:lvlJc w:val="left"/>
      <w:lvlText w:val="(%1)"/>
      <w:numFmt w:val="lowerRoman"/>
      <w:start w:val="4"/>
    </w:lvl>
  </w:abstractNum>
  <w:abstractNum w:abstractNumId="156">
    <w:nsid w:val="F856867"/>
    <w:multiLevelType w:val="hybridMultilevel"/>
    <w:lvl w:ilvl="0">
      <w:lvlJc w:val="left"/>
      <w:lvlText w:val="(%1)"/>
      <w:numFmt w:val="lowerLetter"/>
      <w:start w:val="1"/>
    </w:lvl>
  </w:abstractNum>
  <w:abstractNum w:abstractNumId="157">
    <w:nsid w:val="11B1CC33"/>
    <w:multiLevelType w:val="hybridMultilevel"/>
    <w:lvl w:ilvl="0">
      <w:lvlJc w:val="left"/>
      <w:lvlText w:val="%1."/>
      <w:numFmt w:val="decimal"/>
      <w:start w:val="1"/>
    </w:lvl>
  </w:abstractNum>
  <w:abstractNum w:abstractNumId="158">
    <w:nsid w:val="2E22FBB7"/>
    <w:multiLevelType w:val="hybridMultilevel"/>
    <w:lvl w:ilvl="0">
      <w:lvlJc w:val="left"/>
      <w:lvlText w:val="%1."/>
      <w:numFmt w:val="decimal"/>
      <w:start w:val="6"/>
    </w:lvl>
  </w:abstractNum>
  <w:abstractNum w:abstractNumId="159">
    <w:nsid w:val="29934699"/>
    <w:multiLevelType w:val="hybridMultilevel"/>
    <w:lvl w:ilvl="0">
      <w:lvlJc w:val="left"/>
      <w:lvlText w:val="(%1)"/>
      <w:numFmt w:val="lowerRoman"/>
      <w:start w:val="3"/>
    </w:lvl>
  </w:abstractNum>
  <w:abstractNum w:abstractNumId="160">
    <w:nsid w:val="77485850"/>
    <w:multiLevelType w:val="hybridMultilevel"/>
    <w:lvl w:ilvl="0">
      <w:lvlJc w:val="left"/>
      <w:lvlText w:val="(%1)"/>
      <w:numFmt w:val="lowerLetter"/>
      <w:start w:val="1"/>
    </w:lvl>
  </w:abstractNum>
  <w:abstractNum w:abstractNumId="161">
    <w:nsid w:val="744939A3"/>
    <w:multiLevelType w:val="hybridMultilevel"/>
    <w:lvl w:ilvl="0">
      <w:lvlJc w:val="left"/>
      <w:lvlText w:val="%1."/>
      <w:numFmt w:val="decimal"/>
      <w:start w:val="1"/>
    </w:lvl>
  </w:abstractNum>
  <w:abstractNum w:abstractNumId="162">
    <w:nsid w:val="4FA0D2E3"/>
    <w:multiLevelType w:val="hybridMultilevel"/>
    <w:lvl w:ilvl="0">
      <w:lvlJc w:val="left"/>
      <w:lvlText w:val="%1."/>
      <w:numFmt w:val="decimal"/>
      <w:start w:val="1"/>
    </w:lvl>
  </w:abstractNum>
  <w:abstractNum w:abstractNumId="163">
    <w:nsid w:val="6B1D2C14"/>
    <w:multiLevelType w:val="hybridMultilevel"/>
    <w:lvl w:ilvl="0">
      <w:lvlJc w:val="left"/>
      <w:lvlText w:val="%1."/>
      <w:numFmt w:val="decimal"/>
      <w:start w:val="1"/>
    </w:lvl>
    <w:lvl w:ilvl="1">
      <w:lvlJc w:val="left"/>
      <w:lvlText w:val="%2)"/>
      <w:numFmt w:val="lowerLetter"/>
      <w:start w:val="1"/>
    </w:lvl>
  </w:abstractNum>
  <w:abstractNum w:abstractNumId="164">
    <w:nsid w:val="68B867D3"/>
    <w:multiLevelType w:val="hybridMultilevel"/>
    <w:lvl w:ilvl="0">
      <w:lvlJc w:val="left"/>
      <w:lvlText w:val="%1"/>
      <w:numFmt w:val="decimal"/>
      <w:start w:val="1"/>
    </w:lvl>
    <w:lvl w:ilvl="1">
      <w:lvlJc w:val="left"/>
      <w:lvlText w:val="%2)"/>
      <w:numFmt w:val="lowerLetter"/>
      <w:start w:val="4"/>
    </w:lvl>
  </w:abstractNum>
  <w:abstractNum w:abstractNumId="165">
    <w:nsid w:val="3F7F5DD9"/>
    <w:multiLevelType w:val="hybridMultilevel"/>
    <w:lvl w:ilvl="0">
      <w:lvlJc w:val="left"/>
      <w:lvlText w:val="%1."/>
      <w:numFmt w:val="decimal"/>
      <w:start w:val="5"/>
    </w:lvl>
    <w:lvl w:ilvl="1">
      <w:lvlJc w:val="left"/>
      <w:lvlText w:val="%2)"/>
      <w:numFmt w:val="lowerLetter"/>
      <w:start w:val="1"/>
    </w:lvl>
  </w:abstractNum>
  <w:abstractNum w:abstractNumId="166">
    <w:nsid w:val="2AE05A34"/>
    <w:multiLevelType w:val="hybridMultilevel"/>
    <w:lvl w:ilvl="0">
      <w:lvlJc w:val="left"/>
      <w:lvlText w:val="%1."/>
      <w:numFmt w:val="decimal"/>
      <w:start w:val="1"/>
    </w:lvl>
    <w:lvl w:ilvl="1">
      <w:lvlJc w:val="left"/>
      <w:lvlText w:val="%2)"/>
      <w:numFmt w:val="lowerLetter"/>
      <w:start w:val="1"/>
    </w:lvl>
  </w:abstractNum>
  <w:abstractNum w:abstractNumId="167">
    <w:nsid w:val="32794FF7"/>
    <w:multiLevelType w:val="hybridMultilevel"/>
    <w:lvl w:ilvl="0">
      <w:lvlJc w:val="left"/>
      <w:lvlText w:val="%1"/>
      <w:numFmt w:val="decimal"/>
      <w:start w:val="1"/>
    </w:lvl>
    <w:lvl w:ilvl="1">
      <w:lvlJc w:val="left"/>
      <w:lvlText w:val="%2)"/>
      <w:numFmt w:val="lowerLetter"/>
      <w:start w:val="4"/>
    </w:lvl>
  </w:abstractNum>
  <w:abstractNum w:abstractNumId="168">
    <w:nsid w:val="5454945E"/>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2019-12-15T05:46:09Z</dcterms:created>
  <dcterms:modified xsi:type="dcterms:W3CDTF">2019-12-15T05:46:09Z</dcterms:modified>
</cp:coreProperties>
</file>