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34"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1-32740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ENERGY TRANSFER LP</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80" w:type="dxa"/>
            <w:vAlign w:val="bottom"/>
          </w:tcPr>
          <w:p>
            <w:pPr>
              <w:jc w:val="center"/>
              <w:ind w:left="1999"/>
              <w:spacing w:after="0"/>
              <w:rPr>
                <w:sz w:val="20"/>
                <w:szCs w:val="20"/>
                <w:color w:val="auto"/>
              </w:rPr>
            </w:pPr>
            <w:r>
              <w:rPr>
                <w:rFonts w:ascii="Arial" w:cs="Arial" w:eastAsia="Arial" w:hAnsi="Arial"/>
                <w:sz w:val="18"/>
                <w:szCs w:val="18"/>
                <w:b w:val="1"/>
                <w:bCs w:val="1"/>
                <w:color w:val="auto"/>
                <w:w w:val="91"/>
              </w:rPr>
              <w:t>Delaware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00" w:type="dxa"/>
            <w:vAlign w:val="bottom"/>
          </w:tcPr>
          <w:p>
            <w:pPr>
              <w:jc w:val="right"/>
              <w:ind w:right="2179"/>
              <w:spacing w:after="0"/>
              <w:rPr>
                <w:sz w:val="20"/>
                <w:szCs w:val="20"/>
                <w:color w:val="auto"/>
              </w:rPr>
            </w:pPr>
            <w:r>
              <w:rPr>
                <w:rFonts w:ascii="Arial" w:cs="Arial" w:eastAsia="Arial" w:hAnsi="Arial"/>
                <w:sz w:val="18"/>
                <w:szCs w:val="18"/>
                <w:b w:val="1"/>
                <w:bCs w:val="1"/>
                <w:color w:val="auto"/>
              </w:rPr>
              <w:t>30-0108820</w:t>
            </w:r>
          </w:p>
        </w:tc>
      </w:tr>
      <w:tr>
        <w:trPr>
          <w:trHeight w:val="182"/>
        </w:trPr>
        <w:tc>
          <w:tcPr>
            <w:tcW w:w="20" w:type="dxa"/>
            <w:vAlign w:val="bottom"/>
          </w:tcPr>
          <w:p>
            <w:pPr>
              <w:spacing w:after="0"/>
              <w:rPr>
                <w:sz w:val="15"/>
                <w:szCs w:val="15"/>
                <w:color w:val="auto"/>
              </w:rPr>
            </w:pPr>
          </w:p>
        </w:tc>
        <w:tc>
          <w:tcPr>
            <w:tcW w:w="7300" w:type="dxa"/>
            <w:vAlign w:val="bottom"/>
            <w:gridSpan w:val="6"/>
          </w:tcPr>
          <w:p>
            <w:pPr>
              <w:jc w:val="center"/>
              <w:ind w:right="19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00" w:type="dxa"/>
            <w:vAlign w:val="bottom"/>
          </w:tcPr>
          <w:p>
            <w:pPr>
              <w:jc w:val="center"/>
              <w:ind w:right="1419"/>
              <w:spacing w:after="0"/>
              <w:rPr>
                <w:sz w:val="20"/>
                <w:szCs w:val="20"/>
                <w:color w:val="auto"/>
              </w:rPr>
            </w:pPr>
            <w:r>
              <w:rPr>
                <w:rFonts w:ascii="Arial" w:cs="Arial" w:eastAsia="Arial" w:hAnsi="Arial"/>
                <w:sz w:val="14"/>
                <w:szCs w:val="14"/>
                <w:color w:val="auto"/>
                <w:w w:val="96"/>
              </w:rPr>
              <w:t>(I.R.S. Employer Identification No.)</w:t>
            </w:r>
          </w:p>
        </w:tc>
      </w:tr>
      <w:tr>
        <w:trPr>
          <w:trHeight w:val="31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920" w:type="dxa"/>
            <w:vAlign w:val="bottom"/>
            <w:gridSpan w:val="6"/>
          </w:tcPr>
          <w:p>
            <w:pPr>
              <w:jc w:val="center"/>
              <w:ind w:right="3199"/>
              <w:spacing w:after="0"/>
              <w:rPr>
                <w:sz w:val="20"/>
                <w:szCs w:val="20"/>
                <w:color w:val="auto"/>
              </w:rPr>
            </w:pPr>
            <w:r>
              <w:rPr>
                <w:rFonts w:ascii="Arial" w:cs="Arial" w:eastAsia="Arial" w:hAnsi="Arial"/>
                <w:sz w:val="18"/>
                <w:szCs w:val="18"/>
                <w:b w:val="1"/>
                <w:bCs w:val="1"/>
                <w:color w:val="auto"/>
                <w:w w:val="88"/>
              </w:rPr>
              <w:t>8111 Westchester Drive, Suite 600, Dallas, Texas 75225</w:t>
            </w: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20" w:type="dxa"/>
            <w:vAlign w:val="bottom"/>
            <w:gridSpan w:val="5"/>
          </w:tcPr>
          <w:p>
            <w:pPr>
              <w:jc w:val="center"/>
              <w:ind w:left="559"/>
              <w:spacing w:after="0"/>
              <w:rPr>
                <w:sz w:val="20"/>
                <w:szCs w:val="20"/>
                <w:color w:val="auto"/>
              </w:rPr>
            </w:pPr>
            <w:r>
              <w:rPr>
                <w:rFonts w:ascii="Arial" w:cs="Arial" w:eastAsia="Arial" w:hAnsi="Arial"/>
                <w:sz w:val="14"/>
                <w:szCs w:val="14"/>
                <w:color w:val="auto"/>
                <w:w w:val="95"/>
              </w:rPr>
              <w:t>(Address of principal executive offices) (zip code)</w:t>
            </w:r>
          </w:p>
        </w:tc>
        <w:tc>
          <w:tcPr>
            <w:tcW w:w="39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40" w:type="dxa"/>
            <w:vAlign w:val="bottom"/>
            <w:gridSpan w:val="3"/>
          </w:tcPr>
          <w:p>
            <w:pPr>
              <w:jc w:val="center"/>
              <w:ind w:left="1119"/>
              <w:spacing w:after="0"/>
              <w:rPr>
                <w:sz w:val="20"/>
                <w:szCs w:val="20"/>
                <w:color w:val="auto"/>
              </w:rPr>
            </w:pPr>
            <w:r>
              <w:rPr>
                <w:rFonts w:ascii="Arial" w:cs="Arial" w:eastAsia="Arial" w:hAnsi="Arial"/>
                <w:sz w:val="18"/>
                <w:szCs w:val="18"/>
                <w:b w:val="1"/>
                <w:bCs w:val="1"/>
                <w:color w:val="auto"/>
                <w:w w:val="90"/>
              </w:rPr>
              <w:t>(214) 981-0700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020" w:type="dxa"/>
            <w:vAlign w:val="bottom"/>
            <w:gridSpan w:val="5"/>
          </w:tcPr>
          <w:p>
            <w:pPr>
              <w:jc w:val="center"/>
              <w:ind w:left="539"/>
              <w:spacing w:after="0"/>
              <w:rPr>
                <w:sz w:val="20"/>
                <w:szCs w:val="20"/>
                <w:color w:val="auto"/>
              </w:rPr>
            </w:pPr>
            <w:r>
              <w:rPr>
                <w:rFonts w:ascii="Arial" w:cs="Arial" w:eastAsia="Arial" w:hAnsi="Arial"/>
                <w:sz w:val="14"/>
                <w:szCs w:val="14"/>
                <w:color w:val="auto"/>
                <w:w w:val="92"/>
              </w:rPr>
              <w:t>(Registrant’s telephone number, including area code)</w:t>
            </w:r>
          </w:p>
        </w:tc>
        <w:tc>
          <w:tcPr>
            <w:tcW w:w="3900" w:type="dxa"/>
            <w:vAlign w:val="bottom"/>
          </w:tcPr>
          <w:p>
            <w:pPr>
              <w:spacing w:after="0"/>
              <w:rPr>
                <w:sz w:val="15"/>
                <w:szCs w:val="15"/>
                <w:color w:val="auto"/>
              </w:rPr>
            </w:pPr>
          </w:p>
        </w:tc>
      </w:tr>
      <w:tr>
        <w:trPr>
          <w:trHeight w:val="268"/>
        </w:trPr>
        <w:tc>
          <w:tcPr>
            <w:tcW w:w="73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900" w:type="dxa"/>
            <w:vAlign w:val="bottom"/>
          </w:tcPr>
          <w:p>
            <w:pPr>
              <w:spacing w:after="0"/>
              <w:rPr>
                <w:sz w:val="23"/>
                <w:szCs w:val="23"/>
                <w:color w:val="auto"/>
              </w:rPr>
            </w:pPr>
          </w:p>
        </w:tc>
      </w:tr>
      <w:tr>
        <w:trPr>
          <w:trHeight w:val="334"/>
        </w:trPr>
        <w:tc>
          <w:tcPr>
            <w:tcW w:w="20" w:type="dxa"/>
            <w:vAlign w:val="bottom"/>
          </w:tcPr>
          <w:p>
            <w:pPr>
              <w:spacing w:after="0"/>
              <w:rPr>
                <w:sz w:val="24"/>
                <w:szCs w:val="24"/>
                <w:color w:val="auto"/>
              </w:rPr>
            </w:pPr>
          </w:p>
        </w:tc>
        <w:tc>
          <w:tcPr>
            <w:tcW w:w="3280" w:type="dxa"/>
            <w:vAlign w:val="bottom"/>
          </w:tcPr>
          <w:p>
            <w:pPr>
              <w:jc w:val="center"/>
              <w:ind w:left="999"/>
              <w:spacing w:after="0"/>
              <w:rPr>
                <w:sz w:val="20"/>
                <w:szCs w:val="20"/>
                <w:color w:val="auto"/>
              </w:rPr>
            </w:pPr>
            <w:r>
              <w:rPr>
                <w:rFonts w:ascii="Arial" w:cs="Arial" w:eastAsia="Arial" w:hAnsi="Arial"/>
                <w:sz w:val="16"/>
                <w:szCs w:val="16"/>
                <w:color w:val="auto"/>
                <w:w w:val="90"/>
              </w:rPr>
              <w:t>Title of each class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580"/>
              <w:spacing w:after="0"/>
              <w:rPr>
                <w:sz w:val="20"/>
                <w:szCs w:val="20"/>
                <w:color w:val="auto"/>
              </w:rPr>
            </w:pPr>
            <w:r>
              <w:rPr>
                <w:rFonts w:ascii="Arial" w:cs="Arial" w:eastAsia="Arial" w:hAnsi="Arial"/>
                <w:sz w:val="16"/>
                <w:szCs w:val="16"/>
                <w:color w:val="auto"/>
                <w:w w:val="93"/>
              </w:rPr>
              <w:t>Trading Symbol(s)</w:t>
            </w:r>
          </w:p>
        </w:tc>
        <w:tc>
          <w:tcPr>
            <w:tcW w:w="3900" w:type="dxa"/>
            <w:vAlign w:val="bottom"/>
          </w:tcPr>
          <w:p>
            <w:pPr>
              <w:jc w:val="center"/>
              <w:ind w:right="379"/>
              <w:spacing w:after="0"/>
              <w:rPr>
                <w:sz w:val="20"/>
                <w:szCs w:val="20"/>
                <w:color w:val="auto"/>
              </w:rPr>
            </w:pPr>
            <w:r>
              <w:rPr>
                <w:rFonts w:ascii="Arial" w:cs="Arial" w:eastAsia="Arial" w:hAnsi="Arial"/>
                <w:sz w:val="16"/>
                <w:szCs w:val="16"/>
                <w:color w:val="auto"/>
                <w:w w:val="90"/>
              </w:rPr>
              <w:t>Name of each exchange on which registered</w:t>
            </w:r>
          </w:p>
        </w:tc>
      </w:tr>
      <w:tr>
        <w:trPr>
          <w:trHeight w:val="207"/>
        </w:trPr>
        <w:tc>
          <w:tcPr>
            <w:tcW w:w="20" w:type="dxa"/>
            <w:vAlign w:val="bottom"/>
          </w:tcPr>
          <w:p>
            <w:pPr>
              <w:spacing w:after="0"/>
              <w:rPr>
                <w:sz w:val="17"/>
                <w:szCs w:val="17"/>
                <w:color w:val="auto"/>
              </w:rPr>
            </w:pPr>
          </w:p>
        </w:tc>
        <w:tc>
          <w:tcPr>
            <w:tcW w:w="3280" w:type="dxa"/>
            <w:vAlign w:val="bottom"/>
            <w:tcBorders>
              <w:top w:val="single" w:sz="8" w:color="auto"/>
            </w:tcBorders>
          </w:tcPr>
          <w:p>
            <w:pPr>
              <w:jc w:val="center"/>
              <w:ind w:left="999"/>
              <w:spacing w:after="0"/>
              <w:rPr>
                <w:sz w:val="20"/>
                <w:szCs w:val="20"/>
                <w:color w:val="auto"/>
              </w:rPr>
            </w:pPr>
            <w:r>
              <w:rPr>
                <w:rFonts w:ascii="Arial" w:cs="Arial" w:eastAsia="Arial" w:hAnsi="Arial"/>
                <w:sz w:val="16"/>
                <w:szCs w:val="16"/>
                <w:b w:val="1"/>
                <w:bCs w:val="1"/>
                <w:color w:val="auto"/>
                <w:w w:val="91"/>
              </w:rPr>
              <w:t>Common Units</w:t>
            </w: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ET</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13" w:lineRule="exact"/>
        <w:rPr>
          <w:sz w:val="24"/>
          <w:szCs w:val="24"/>
          <w:color w:val="auto"/>
        </w:rPr>
      </w:pPr>
    </w:p>
    <w:p>
      <w:pPr>
        <w:jc w:val="both"/>
        <w:ind w:right="3560" w:firstLine="3562"/>
        <w:spacing w:after="0" w:line="238" w:lineRule="exact"/>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r>
        <w:rPr>
          <w:rFonts w:ascii="Arial" w:cs="Arial" w:eastAsia="Arial" w:hAnsi="Arial"/>
          <w:sz w:val="16"/>
          <w:szCs w:val="16"/>
          <w:color w:val="auto"/>
        </w:rPr>
        <w:t xml:space="preserve"> 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5"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jc w:val="both"/>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184" w:lineRule="exact"/>
        <w:tabs>
          <w:tab w:leader="none" w:pos="1820" w:val="left"/>
          <w:tab w:leader="none" w:pos="3300" w:val="left"/>
          <w:tab w:leader="none" w:pos="5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89"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5" w:lineRule="exact"/>
        <w:rPr>
          <w:sz w:val="24"/>
          <w:szCs w:val="24"/>
          <w:color w:val="auto"/>
        </w:rPr>
      </w:pPr>
    </w:p>
    <w:p>
      <w:pPr>
        <w:spacing w:after="0" w:line="184" w:lineRule="exact"/>
        <w:tabs>
          <w:tab w:leader="none" w:pos="620" w:val="left"/>
          <w:tab w:leader="none" w:pos="1180" w:val="left"/>
          <w:tab w:leader="none" w:pos="1780" w:val="left"/>
        </w:tabs>
        <w:rPr>
          <w:sz w:val="20"/>
          <w:szCs w:val="20"/>
          <w:color w:val="auto"/>
        </w:rPr>
      </w:pP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83" w:lineRule="exact"/>
        <w:rPr>
          <w:sz w:val="24"/>
          <w:szCs w:val="24"/>
          <w:color w:val="auto"/>
        </w:rPr>
      </w:pPr>
    </w:p>
    <w:p>
      <w:pPr>
        <w:jc w:val="both"/>
        <w:spacing w:after="0" w:line="256" w:lineRule="auto"/>
        <w:rPr>
          <w:sz w:val="20"/>
          <w:szCs w:val="20"/>
          <w:color w:val="auto"/>
        </w:rPr>
      </w:pPr>
      <w:r>
        <w:rPr>
          <w:rFonts w:ascii="Arial" w:cs="Arial" w:eastAsia="Arial" w:hAnsi="Arial"/>
          <w:sz w:val="16"/>
          <w:szCs w:val="16"/>
          <w:color w:val="auto"/>
        </w:rPr>
        <w:t>The aggregate market value as of June 30, 2020, of the registrant’s Common Units held by non-affiliates of the registrant, based on the reported closing price of such Common Units on the New York Stock Exchange on such date, was $16.46 billion. Common Units held by each executive officer and director and by each person who owns 5% or more of the outstanding Common Units have been excluded in that such persons may be deemed to be affiliates. This determination of affiliate status is not necessarily a conclusive determination for other purposes.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At February 12, 2021, the registrant had 2,702,436,307 Common Units outstanding.</w:t>
      </w:r>
    </w:p>
    <w:p>
      <w:pPr>
        <w:spacing w:after="0" w:line="5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55"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gridSpan w:val="3"/>
          </w:tcPr>
          <w:p>
            <w:pPr>
              <w:jc w:val="center"/>
              <w:ind w:right="2740"/>
              <w:spacing w:after="0"/>
              <w:rPr>
                <w:rFonts w:ascii="Arial" w:cs="Arial" w:eastAsia="Arial" w:hAnsi="Arial"/>
                <w:sz w:val="18"/>
                <w:szCs w:val="18"/>
                <w:b w:val="1"/>
                <w:bCs w:val="1"/>
                <w:u w:val="single" w:color="auto"/>
                <w:color w:val="0000FF"/>
                <w:w w:val="98"/>
              </w:rPr>
            </w:pPr>
            <w:hyperlink w:anchor="page7">
              <w:r>
                <w:rPr>
                  <w:rFonts w:ascii="Arial" w:cs="Arial" w:eastAsia="Arial" w:hAnsi="Arial"/>
                  <w:sz w:val="18"/>
                  <w:szCs w:val="18"/>
                  <w:b w:val="1"/>
                  <w:bCs w:val="1"/>
                  <w:u w:val="single" w:color="auto"/>
                  <w:color w:val="0000FF"/>
                  <w:w w:val="98"/>
                </w:rPr>
                <w:t>PART I</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7"/>
              </w:rPr>
              <w:t>PAGE</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5"/>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BUSINESS</w:t>
              </w:r>
            </w:hyperlink>
          </w:p>
        </w:tc>
        <w:tc>
          <w:tcPr>
            <w:tcW w:w="4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5"/>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RISK FACTORS</w:t>
              </w:r>
            </w:hyperlink>
          </w:p>
        </w:tc>
        <w:tc>
          <w:tcPr>
            <w:tcW w:w="4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1B.</w:t>
            </w:r>
          </w:p>
        </w:tc>
        <w:tc>
          <w:tcPr>
            <w:tcW w:w="9560" w:type="dxa"/>
            <w:vAlign w:val="bottom"/>
            <w:gridSpan w:val="5"/>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UNRESOLVED STAFF COMMENTS</w:t>
              </w:r>
            </w:hyperlink>
          </w:p>
        </w:tc>
        <w:tc>
          <w:tcPr>
            <w:tcW w:w="4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73</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5"/>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PROPERTIES</w:t>
              </w:r>
            </w:hyperlink>
          </w:p>
        </w:tc>
        <w:tc>
          <w:tcPr>
            <w:tcW w:w="4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73</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5"/>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LEGAL PROCEEDINGS</w:t>
              </w:r>
            </w:hyperlink>
          </w:p>
        </w:tc>
        <w:tc>
          <w:tcPr>
            <w:tcW w:w="4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73</w:t>
              </w:r>
            </w:hyperlink>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5"/>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MINE SAFETY DISCLOSURES</w:t>
              </w:r>
            </w:hyperlink>
          </w:p>
        </w:tc>
        <w:tc>
          <w:tcPr>
            <w:tcW w:w="46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75</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gridSpan w:val="3"/>
          </w:tcPr>
          <w:p>
            <w:pPr>
              <w:jc w:val="center"/>
              <w:ind w:right="2740"/>
              <w:spacing w:after="0"/>
              <w:rPr>
                <w:rFonts w:ascii="Arial" w:cs="Arial" w:eastAsia="Arial" w:hAnsi="Arial"/>
                <w:sz w:val="18"/>
                <w:szCs w:val="18"/>
                <w:b w:val="1"/>
                <w:bCs w:val="1"/>
                <w:u w:val="single" w:color="auto"/>
                <w:color w:val="0000FF"/>
              </w:rPr>
            </w:pPr>
            <w:hyperlink w:anchor="page82">
              <w:r>
                <w:rPr>
                  <w:rFonts w:ascii="Arial" w:cs="Arial" w:eastAsia="Arial" w:hAnsi="Arial"/>
                  <w:sz w:val="18"/>
                  <w:szCs w:val="18"/>
                  <w:b w:val="1"/>
                  <w:bCs w:val="1"/>
                  <w:u w:val="single" w:color="auto"/>
                  <w:color w:val="0000FF"/>
                </w:rPr>
                <w:t>PART II</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5"/>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MARKET FOR REGISTRANT’S COMMON UNITS, RELATED UNITHOLDER MATTERS AND ISSUER PURCHASES</w:t>
              </w:r>
            </w:hyperlink>
          </w:p>
        </w:tc>
        <w:tc>
          <w:tcPr>
            <w:tcW w:w="460" w:type="dxa"/>
            <w:vAlign w:val="bottom"/>
            <w:vMerge w:val="restart"/>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w:anchor="page83">
              <w:r>
                <w:rPr>
                  <w:rFonts w:ascii="Arial" w:cs="Arial" w:eastAsia="Arial" w:hAnsi="Arial"/>
                  <w:sz w:val="18"/>
                  <w:szCs w:val="18"/>
                  <w:color w:val="0000FF"/>
                  <w:w w:val="95"/>
                </w:rPr>
                <w:t>OF EQUITY SECURITIES</w:t>
              </w:r>
            </w:hyperlink>
          </w:p>
        </w:tc>
        <w:tc>
          <w:tcPr>
            <w:tcW w:w="7060" w:type="dxa"/>
            <w:vAlign w:val="bottom"/>
            <w:tcBorders>
              <w:top w:val="single" w:sz="8" w:color="0000FF"/>
            </w:tcBorders>
            <w:gridSpan w:val="3"/>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5"/>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SELECTED FINANCIAL DATA</w:t>
              </w:r>
            </w:hyperlink>
          </w:p>
        </w:tc>
        <w:tc>
          <w:tcPr>
            <w:tcW w:w="46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9560" w:type="dxa"/>
            <w:vAlign w:val="bottom"/>
            <w:gridSpan w:val="5"/>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7A.</w:t>
            </w:r>
          </w:p>
        </w:tc>
        <w:tc>
          <w:tcPr>
            <w:tcW w:w="9560" w:type="dxa"/>
            <w:vAlign w:val="bottom"/>
            <w:gridSpan w:val="5"/>
          </w:tcPr>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QUANTITATIVE AND QUALITATIVE DISCLOSURES ABOUT MARKET RISK</w:t>
              </w:r>
            </w:hyperlink>
          </w:p>
        </w:tc>
        <w:tc>
          <w:tcPr>
            <w:tcW w:w="460" w:type="dxa"/>
            <w:vAlign w:val="bottom"/>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122</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9560" w:type="dxa"/>
            <w:vAlign w:val="bottom"/>
            <w:gridSpan w:val="5"/>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FINANCIAL STATEMENTS AND SUPPLEMENTARY DATA</w:t>
              </w:r>
            </w:hyperlink>
          </w:p>
        </w:tc>
        <w:tc>
          <w:tcPr>
            <w:tcW w:w="460" w:type="dxa"/>
            <w:vAlign w:val="bottom"/>
          </w:tcPr>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124</w:t>
              </w:r>
            </w:hyperlink>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ITEM 9.</w:t>
            </w:r>
          </w:p>
        </w:tc>
        <w:tc>
          <w:tcPr>
            <w:tcW w:w="9560" w:type="dxa"/>
            <w:vAlign w:val="bottom"/>
            <w:gridSpan w:val="5"/>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CHANGES IN AND DISAGREEMENTS WITH ACCOUNTANTS ON ACCOUNTING AND FINANCIAL DISCLOSURE</w:t>
              </w:r>
            </w:hyperlink>
          </w:p>
        </w:tc>
        <w:tc>
          <w:tcPr>
            <w:tcW w:w="460" w:type="dxa"/>
            <w:vAlign w:val="bottom"/>
          </w:tcPr>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124</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9A.</w:t>
            </w:r>
          </w:p>
        </w:tc>
        <w:tc>
          <w:tcPr>
            <w:tcW w:w="9560" w:type="dxa"/>
            <w:vAlign w:val="bottom"/>
            <w:gridSpan w:val="5"/>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CONTROLS AND PROCEDURES</w:t>
              </w:r>
            </w:hyperlink>
          </w:p>
        </w:tc>
        <w:tc>
          <w:tcPr>
            <w:tcW w:w="460" w:type="dxa"/>
            <w:vAlign w:val="bottom"/>
          </w:tcPr>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125</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9B.</w:t>
            </w:r>
          </w:p>
        </w:tc>
        <w:tc>
          <w:tcPr>
            <w:tcW w:w="9560" w:type="dxa"/>
            <w:vAlign w:val="bottom"/>
            <w:gridSpan w:val="5"/>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OTHER INFORMATION</w:t>
              </w:r>
            </w:hyperlink>
          </w:p>
        </w:tc>
        <w:tc>
          <w:tcPr>
            <w:tcW w:w="46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127</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gridSpan w:val="3"/>
          </w:tcPr>
          <w:p>
            <w:pPr>
              <w:jc w:val="center"/>
              <w:ind w:right="2740"/>
              <w:spacing w:after="0"/>
              <w:rPr>
                <w:rFonts w:ascii="Arial" w:cs="Arial" w:eastAsia="Arial" w:hAnsi="Arial"/>
                <w:sz w:val="18"/>
                <w:szCs w:val="18"/>
                <w:b w:val="1"/>
                <w:bCs w:val="1"/>
                <w:u w:val="single" w:color="auto"/>
                <w:color w:val="0000FF"/>
              </w:rPr>
            </w:pPr>
            <w:hyperlink w:anchor="page134">
              <w:r>
                <w:rPr>
                  <w:rFonts w:ascii="Arial" w:cs="Arial" w:eastAsia="Arial" w:hAnsi="Arial"/>
                  <w:sz w:val="18"/>
                  <w:szCs w:val="18"/>
                  <w:b w:val="1"/>
                  <w:bCs w:val="1"/>
                  <w:u w:val="single" w:color="auto"/>
                  <w:color w:val="0000FF"/>
                </w:rPr>
                <w:t>PART III</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9560" w:type="dxa"/>
            <w:vAlign w:val="bottom"/>
            <w:gridSpan w:val="5"/>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DIRECTORS, EXECUTIVE OFFICERS AND CORPORATE GOVERNANCE</w:t>
              </w:r>
            </w:hyperlink>
          </w:p>
        </w:tc>
        <w:tc>
          <w:tcPr>
            <w:tcW w:w="460" w:type="dxa"/>
            <w:vAlign w:val="bottom"/>
          </w:tcPr>
          <w:p>
            <w:pPr>
              <w:jc w:val="right"/>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128</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11.</w:t>
            </w:r>
          </w:p>
        </w:tc>
        <w:tc>
          <w:tcPr>
            <w:tcW w:w="9560" w:type="dxa"/>
            <w:vAlign w:val="bottom"/>
            <w:gridSpan w:val="5"/>
          </w:tcPr>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EXECUTIVE COMPENSATION</w:t>
              </w:r>
            </w:hyperlink>
          </w:p>
        </w:tc>
        <w:tc>
          <w:tcPr>
            <w:tcW w:w="460" w:type="dxa"/>
            <w:vAlign w:val="bottom"/>
          </w:tcPr>
          <w:p>
            <w:pPr>
              <w:jc w:val="right"/>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ITEM 12.</w:t>
            </w:r>
          </w:p>
        </w:tc>
        <w:tc>
          <w:tcPr>
            <w:tcW w:w="9560" w:type="dxa"/>
            <w:vAlign w:val="bottom"/>
            <w:gridSpan w:val="5"/>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SECURITY OWNERSHIP OF CERTAIN BENEFICIAL OWNERS AND MANAGEMENT AND RELATED</w:t>
              </w:r>
            </w:hyperlink>
          </w:p>
        </w:tc>
        <w:tc>
          <w:tcPr>
            <w:tcW w:w="460" w:type="dxa"/>
            <w:vAlign w:val="bottom"/>
            <w:vMerge w:val="restart"/>
          </w:tcPr>
          <w:p>
            <w:pPr>
              <w:jc w:val="right"/>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149</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w:anchor="page156">
              <w:r>
                <w:rPr>
                  <w:rFonts w:ascii="Arial" w:cs="Arial" w:eastAsia="Arial" w:hAnsi="Arial"/>
                  <w:sz w:val="18"/>
                  <w:szCs w:val="18"/>
                  <w:color w:val="0000FF"/>
                  <w:w w:val="97"/>
                </w:rPr>
                <w:t>UNITHOLDER MATTERS</w:t>
              </w:r>
            </w:hyperlink>
          </w:p>
        </w:tc>
        <w:tc>
          <w:tcPr>
            <w:tcW w:w="5980" w:type="dxa"/>
            <w:vAlign w:val="bottom"/>
            <w:tcBorders>
              <w:top w:val="single" w:sz="8" w:color="0000FF"/>
            </w:tcBorders>
          </w:tcPr>
          <w:p>
            <w:pPr>
              <w:spacing w:after="0"/>
              <w:rPr>
                <w:sz w:val="13"/>
                <w:szCs w:val="13"/>
                <w:color w:val="auto"/>
              </w:rPr>
            </w:pPr>
          </w:p>
        </w:tc>
        <w:tc>
          <w:tcPr>
            <w:tcW w:w="1540" w:type="dxa"/>
            <w:vAlign w:val="bottom"/>
            <w:gridSpan w:val="2"/>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13.</w:t>
            </w:r>
          </w:p>
        </w:tc>
        <w:tc>
          <w:tcPr>
            <w:tcW w:w="9560" w:type="dxa"/>
            <w:vAlign w:val="bottom"/>
            <w:gridSpan w:val="5"/>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CERTAIN RELATIONSHIPS AND RELATED TRANSACTIONS, AND DIRECTOR INDEPENDENCE</w:t>
              </w:r>
            </w:hyperlink>
          </w:p>
        </w:tc>
        <w:tc>
          <w:tcPr>
            <w:tcW w:w="460" w:type="dxa"/>
            <w:vAlign w:val="bottom"/>
          </w:tcPr>
          <w:p>
            <w:pPr>
              <w:jc w:val="right"/>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151</w:t>
              </w:r>
            </w:hyperlink>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ITEM 14.</w:t>
            </w:r>
          </w:p>
        </w:tc>
        <w:tc>
          <w:tcPr>
            <w:tcW w:w="9560" w:type="dxa"/>
            <w:vAlign w:val="bottom"/>
            <w:gridSpan w:val="5"/>
          </w:tcPr>
          <w:p>
            <w:pPr>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PRINCIPAL ACCOUNTANT FEES AND SERVICES</w:t>
              </w:r>
            </w:hyperlink>
          </w:p>
        </w:tc>
        <w:tc>
          <w:tcPr>
            <w:tcW w:w="460" w:type="dxa"/>
            <w:vAlign w:val="bottom"/>
          </w:tcPr>
          <w:p>
            <w:pPr>
              <w:jc w:val="right"/>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152</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gridSpan w:val="3"/>
          </w:tcPr>
          <w:p>
            <w:pPr>
              <w:jc w:val="center"/>
              <w:ind w:right="2740"/>
              <w:spacing w:after="0"/>
              <w:rPr>
                <w:rFonts w:ascii="Arial" w:cs="Arial" w:eastAsia="Arial" w:hAnsi="Arial"/>
                <w:sz w:val="18"/>
                <w:szCs w:val="18"/>
                <w:b w:val="1"/>
                <w:bCs w:val="1"/>
                <w:u w:val="single" w:color="auto"/>
                <w:color w:val="0000FF"/>
                <w:w w:val="98"/>
              </w:rPr>
            </w:pPr>
            <w:hyperlink w:anchor="page159">
              <w:r>
                <w:rPr>
                  <w:rFonts w:ascii="Arial" w:cs="Arial" w:eastAsia="Arial" w:hAnsi="Arial"/>
                  <w:sz w:val="18"/>
                  <w:szCs w:val="18"/>
                  <w:b w:val="1"/>
                  <w:bCs w:val="1"/>
                  <w:u w:val="single" w:color="auto"/>
                  <w:color w:val="0000FF"/>
                  <w:w w:val="98"/>
                </w:rPr>
                <w:t>PART IV</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9560" w:type="dxa"/>
            <w:vAlign w:val="bottom"/>
            <w:gridSpan w:val="5"/>
          </w:tcPr>
          <w:p>
            <w:pPr>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EXHIBITS AND FINANCIAL STATEMENT SCHEDULES</w:t>
              </w:r>
            </w:hyperlink>
          </w:p>
        </w:tc>
        <w:tc>
          <w:tcPr>
            <w:tcW w:w="460" w:type="dxa"/>
            <w:vAlign w:val="bottom"/>
          </w:tcPr>
          <w:p>
            <w:pPr>
              <w:jc w:val="right"/>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153</w:t>
              </w:r>
            </w:hyperlink>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ITEM 16.</w:t>
            </w:r>
          </w:p>
        </w:tc>
        <w:tc>
          <w:tcPr>
            <w:tcW w:w="9560" w:type="dxa"/>
            <w:vAlign w:val="bottom"/>
            <w:gridSpan w:val="5"/>
          </w:tcPr>
          <w:p>
            <w:pPr>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FORM 10-K SUMMARY</w:t>
              </w:r>
            </w:hyperlink>
          </w:p>
        </w:tc>
        <w:tc>
          <w:tcPr>
            <w:tcW w:w="460" w:type="dxa"/>
            <w:vAlign w:val="bottom"/>
          </w:tcPr>
          <w:p>
            <w:pPr>
              <w:jc w:val="right"/>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154</w:t>
              </w:r>
            </w:hyperlink>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9560" w:type="dxa"/>
            <w:vAlign w:val="bottom"/>
            <w:gridSpan w:val="5"/>
          </w:tcPr>
          <w:p>
            <w:pPr>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Signatures</w:t>
              </w:r>
            </w:hyperlink>
          </w:p>
        </w:tc>
        <w:tc>
          <w:tcPr>
            <w:tcW w:w="460" w:type="dxa"/>
            <w:vAlign w:val="bottom"/>
          </w:tcPr>
          <w:p>
            <w:pPr>
              <w:jc w:val="right"/>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159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certain acronyms and terms used throughout this document: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/d</w:t>
            </w:r>
          </w:p>
        </w:tc>
        <w:tc>
          <w:tcPr>
            <w:tcW w:w="9240" w:type="dxa"/>
            <w:vAlign w:val="bottom"/>
          </w:tcPr>
          <w:p>
            <w:pPr>
              <w:ind w:left="220"/>
              <w:spacing w:after="0"/>
              <w:rPr>
                <w:sz w:val="20"/>
                <w:szCs w:val="20"/>
                <w:color w:val="auto"/>
              </w:rPr>
            </w:pPr>
            <w:r>
              <w:rPr>
                <w:rFonts w:ascii="Arial" w:cs="Arial" w:eastAsia="Arial" w:hAnsi="Arial"/>
                <w:sz w:val="18"/>
                <w:szCs w:val="18"/>
                <w:color w:val="auto"/>
              </w:rPr>
              <w:t>per day</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AOCI</w:t>
            </w:r>
          </w:p>
        </w:tc>
        <w:tc>
          <w:tcPr>
            <w:tcW w:w="92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AROs</w:t>
            </w:r>
          </w:p>
        </w:tc>
        <w:tc>
          <w:tcPr>
            <w:tcW w:w="924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Bbls</w:t>
            </w:r>
          </w:p>
        </w:tc>
        <w:tc>
          <w:tcPr>
            <w:tcW w:w="9240" w:type="dxa"/>
            <w:vAlign w:val="bottom"/>
          </w:tcPr>
          <w:p>
            <w:pPr>
              <w:ind w:left="220"/>
              <w:spacing w:after="0"/>
              <w:rPr>
                <w:sz w:val="20"/>
                <w:szCs w:val="20"/>
                <w:color w:val="auto"/>
              </w:rPr>
            </w:pPr>
            <w:r>
              <w:rPr>
                <w:rFonts w:ascii="Arial" w:cs="Arial" w:eastAsia="Arial" w:hAnsi="Arial"/>
                <w:sz w:val="18"/>
                <w:szCs w:val="18"/>
                <w:color w:val="auto"/>
              </w:rPr>
              <w:t>barrels</w:t>
            </w:r>
          </w:p>
        </w:tc>
      </w:tr>
      <w:tr>
        <w:trPr>
          <w:trHeight w:val="284"/>
        </w:trPr>
        <w:tc>
          <w:tcPr>
            <w:tcW w:w="2000" w:type="dxa"/>
            <w:vAlign w:val="bottom"/>
          </w:tcPr>
          <w:p>
            <w:pPr>
              <w:ind w:left="20"/>
              <w:spacing w:after="0"/>
              <w:rPr>
                <w:sz w:val="20"/>
                <w:szCs w:val="20"/>
                <w:color w:val="auto"/>
              </w:rPr>
            </w:pPr>
            <w:r>
              <w:rPr>
                <w:rFonts w:ascii="Arial" w:cs="Arial" w:eastAsia="Arial" w:hAnsi="Arial"/>
                <w:sz w:val="18"/>
                <w:szCs w:val="18"/>
                <w:color w:val="auto"/>
              </w:rPr>
              <w:t>BBtu</w:t>
            </w:r>
          </w:p>
        </w:tc>
        <w:tc>
          <w:tcPr>
            <w:tcW w:w="9240" w:type="dxa"/>
            <w:vAlign w:val="bottom"/>
          </w:tcPr>
          <w:p>
            <w:pPr>
              <w:ind w:left="220"/>
              <w:spacing w:after="0"/>
              <w:rPr>
                <w:sz w:val="20"/>
                <w:szCs w:val="20"/>
                <w:color w:val="auto"/>
              </w:rPr>
            </w:pPr>
            <w:r>
              <w:rPr>
                <w:rFonts w:ascii="Arial" w:cs="Arial" w:eastAsia="Arial" w:hAnsi="Arial"/>
                <w:sz w:val="18"/>
                <w:szCs w:val="18"/>
                <w:color w:val="auto"/>
              </w:rPr>
              <w:t>billion British thermal units</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Bcf</w:t>
            </w:r>
          </w:p>
        </w:tc>
        <w:tc>
          <w:tcPr>
            <w:tcW w:w="9240" w:type="dxa"/>
            <w:vAlign w:val="bottom"/>
          </w:tcPr>
          <w:p>
            <w:pPr>
              <w:ind w:left="220"/>
              <w:spacing w:after="0"/>
              <w:rPr>
                <w:sz w:val="20"/>
                <w:szCs w:val="20"/>
                <w:color w:val="auto"/>
              </w:rPr>
            </w:pPr>
            <w:r>
              <w:rPr>
                <w:rFonts w:ascii="Arial" w:cs="Arial" w:eastAsia="Arial" w:hAnsi="Arial"/>
                <w:sz w:val="18"/>
                <w:szCs w:val="18"/>
                <w:color w:val="auto"/>
              </w:rPr>
              <w:t>billion cubic feet</w:t>
            </w: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Btu</w:t>
            </w:r>
          </w:p>
        </w:tc>
        <w:tc>
          <w:tcPr>
            <w:tcW w:w="9240" w:type="dxa"/>
            <w:vAlign w:val="bottom"/>
          </w:tcPr>
          <w:p>
            <w:pPr>
              <w:ind w:left="220"/>
              <w:spacing w:after="0"/>
              <w:rPr>
                <w:sz w:val="20"/>
                <w:szCs w:val="20"/>
                <w:color w:val="auto"/>
              </w:rPr>
            </w:pPr>
            <w:r>
              <w:rPr>
                <w:rFonts w:ascii="Arial" w:cs="Arial" w:eastAsia="Arial" w:hAnsi="Arial"/>
                <w:sz w:val="18"/>
                <w:szCs w:val="18"/>
                <w:color w:val="auto"/>
                <w:w w:val="99"/>
              </w:rPr>
              <w:t>British thermal unit, an energy measurement used by gas companies to convert the volume of gas used to its heat</w:t>
            </w:r>
          </w:p>
        </w:tc>
      </w:tr>
      <w:tr>
        <w:trPr>
          <w:trHeight w:val="230"/>
        </w:trPr>
        <w:tc>
          <w:tcPr>
            <w:tcW w:w="2000" w:type="dxa"/>
            <w:vAlign w:val="bottom"/>
          </w:tcPr>
          <w:p>
            <w:pPr>
              <w:spacing w:after="0"/>
              <w:rPr>
                <w:sz w:val="20"/>
                <w:szCs w:val="20"/>
                <w:color w:val="auto"/>
              </w:rPr>
            </w:pPr>
          </w:p>
        </w:tc>
        <w:tc>
          <w:tcPr>
            <w:tcW w:w="9240" w:type="dxa"/>
            <w:vAlign w:val="bottom"/>
          </w:tcPr>
          <w:p>
            <w:pPr>
              <w:ind w:left="220"/>
              <w:spacing w:after="0"/>
              <w:rPr>
                <w:sz w:val="20"/>
                <w:szCs w:val="20"/>
                <w:color w:val="auto"/>
              </w:rPr>
            </w:pPr>
            <w:r>
              <w:rPr>
                <w:rFonts w:ascii="Arial" w:cs="Arial" w:eastAsia="Arial" w:hAnsi="Arial"/>
                <w:sz w:val="18"/>
                <w:szCs w:val="18"/>
                <w:color w:val="auto"/>
              </w:rPr>
              <w:t>equivalent, and thus calculate the actual energy content</w:t>
            </w: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Capacity</w:t>
            </w:r>
          </w:p>
        </w:tc>
        <w:tc>
          <w:tcPr>
            <w:tcW w:w="9240" w:type="dxa"/>
            <w:vAlign w:val="bottom"/>
          </w:tcPr>
          <w:p>
            <w:pPr>
              <w:ind w:left="220"/>
              <w:spacing w:after="0"/>
              <w:rPr>
                <w:sz w:val="20"/>
                <w:szCs w:val="20"/>
                <w:color w:val="auto"/>
              </w:rPr>
            </w:pPr>
            <w:r>
              <w:rPr>
                <w:rFonts w:ascii="Arial" w:cs="Arial" w:eastAsia="Arial" w:hAnsi="Arial"/>
                <w:sz w:val="18"/>
                <w:szCs w:val="18"/>
                <w:color w:val="auto"/>
              </w:rPr>
              <w:t>capacity of a pipeline, processing plant or storage facility refers to the maximum capacity under normal operating</w:t>
            </w:r>
          </w:p>
        </w:tc>
      </w:tr>
      <w:tr>
        <w:trPr>
          <w:trHeight w:val="175"/>
        </w:trPr>
        <w:tc>
          <w:tcPr>
            <w:tcW w:w="2000" w:type="dxa"/>
            <w:vAlign w:val="bottom"/>
          </w:tcPr>
          <w:p>
            <w:pPr>
              <w:spacing w:after="0"/>
              <w:rPr>
                <w:sz w:val="15"/>
                <w:szCs w:val="15"/>
                <w:color w:val="auto"/>
              </w:rPr>
            </w:pPr>
          </w:p>
        </w:tc>
        <w:tc>
          <w:tcPr>
            <w:tcW w:w="9240" w:type="dxa"/>
            <w:vAlign w:val="bottom"/>
          </w:tcPr>
          <w:p>
            <w:pPr>
              <w:ind w:left="220"/>
              <w:spacing w:after="0" w:line="176" w:lineRule="exact"/>
              <w:rPr>
                <w:sz w:val="20"/>
                <w:szCs w:val="20"/>
                <w:color w:val="auto"/>
              </w:rPr>
            </w:pPr>
            <w:r>
              <w:rPr>
                <w:rFonts w:ascii="Arial" w:cs="Arial" w:eastAsia="Arial" w:hAnsi="Arial"/>
                <w:sz w:val="18"/>
                <w:szCs w:val="18"/>
                <w:color w:val="auto"/>
                <w:w w:val="99"/>
              </w:rPr>
              <w:t>conditions and, with respect to pipeline transportation capacity, is subject to multiple factors (including natural gas</w:t>
            </w:r>
          </w:p>
        </w:tc>
      </w:tr>
      <w:tr>
        <w:trPr>
          <w:trHeight w:val="176"/>
        </w:trPr>
        <w:tc>
          <w:tcPr>
            <w:tcW w:w="2000" w:type="dxa"/>
            <w:vAlign w:val="bottom"/>
          </w:tcPr>
          <w:p>
            <w:pPr>
              <w:spacing w:after="0"/>
              <w:rPr>
                <w:sz w:val="15"/>
                <w:szCs w:val="15"/>
                <w:color w:val="auto"/>
              </w:rPr>
            </w:pPr>
          </w:p>
        </w:tc>
        <w:tc>
          <w:tcPr>
            <w:tcW w:w="9240" w:type="dxa"/>
            <w:vAlign w:val="bottom"/>
          </w:tcPr>
          <w:p>
            <w:pPr>
              <w:ind w:left="220"/>
              <w:spacing w:after="0" w:line="176" w:lineRule="exact"/>
              <w:rPr>
                <w:sz w:val="20"/>
                <w:szCs w:val="20"/>
                <w:color w:val="auto"/>
              </w:rPr>
            </w:pPr>
            <w:r>
              <w:rPr>
                <w:rFonts w:ascii="Arial" w:cs="Arial" w:eastAsia="Arial" w:hAnsi="Arial"/>
                <w:sz w:val="18"/>
                <w:szCs w:val="18"/>
                <w:color w:val="auto"/>
                <w:w w:val="97"/>
              </w:rPr>
              <w:t>injections and withdrawals at various delivery points along the pipeline and the utilization of compression) which may</w:t>
            </w:r>
          </w:p>
        </w:tc>
      </w:tr>
      <w:tr>
        <w:trPr>
          <w:trHeight w:val="230"/>
        </w:trPr>
        <w:tc>
          <w:tcPr>
            <w:tcW w:w="2000" w:type="dxa"/>
            <w:vAlign w:val="bottom"/>
          </w:tcPr>
          <w:p>
            <w:pPr>
              <w:spacing w:after="0"/>
              <w:rPr>
                <w:sz w:val="20"/>
                <w:szCs w:val="20"/>
                <w:color w:val="auto"/>
              </w:rPr>
            </w:pPr>
          </w:p>
        </w:tc>
        <w:tc>
          <w:tcPr>
            <w:tcW w:w="9240" w:type="dxa"/>
            <w:vAlign w:val="bottom"/>
          </w:tcPr>
          <w:p>
            <w:pPr>
              <w:ind w:left="220"/>
              <w:spacing w:after="0"/>
              <w:rPr>
                <w:sz w:val="20"/>
                <w:szCs w:val="20"/>
                <w:color w:val="auto"/>
              </w:rPr>
            </w:pPr>
            <w:r>
              <w:rPr>
                <w:rFonts w:ascii="Arial" w:cs="Arial" w:eastAsia="Arial" w:hAnsi="Arial"/>
                <w:sz w:val="18"/>
                <w:szCs w:val="18"/>
                <w:color w:val="auto"/>
              </w:rPr>
              <w:t>reduce the throughput capacity from specified capacity levels</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CDM</w:t>
            </w:r>
          </w:p>
        </w:tc>
        <w:tc>
          <w:tcPr>
            <w:tcW w:w="9240" w:type="dxa"/>
            <w:vAlign w:val="bottom"/>
          </w:tcPr>
          <w:p>
            <w:pPr>
              <w:ind w:left="220"/>
              <w:spacing w:after="0"/>
              <w:rPr>
                <w:sz w:val="20"/>
                <w:szCs w:val="20"/>
                <w:color w:val="auto"/>
              </w:rPr>
            </w:pPr>
            <w:r>
              <w:rPr>
                <w:rFonts w:ascii="Arial" w:cs="Arial" w:eastAsia="Arial" w:hAnsi="Arial"/>
                <w:sz w:val="18"/>
                <w:szCs w:val="18"/>
                <w:color w:val="auto"/>
              </w:rPr>
              <w:t>CDM Resource Management LLC and CDM Environmental &amp; Technical Services LLC, collectively</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Citrus</w:t>
            </w:r>
          </w:p>
        </w:tc>
        <w:tc>
          <w:tcPr>
            <w:tcW w:w="9240" w:type="dxa"/>
            <w:vAlign w:val="bottom"/>
          </w:tcPr>
          <w:p>
            <w:pPr>
              <w:ind w:left="220"/>
              <w:spacing w:after="0"/>
              <w:rPr>
                <w:sz w:val="20"/>
                <w:szCs w:val="20"/>
                <w:color w:val="auto"/>
              </w:rPr>
            </w:pPr>
            <w:r>
              <w:rPr>
                <w:rFonts w:ascii="Arial" w:cs="Arial" w:eastAsia="Arial" w:hAnsi="Arial"/>
                <w:sz w:val="18"/>
                <w:szCs w:val="18"/>
                <w:color w:val="auto"/>
              </w:rPr>
              <w:t>Citrus, LLC, a 50/50 joint venture which owns FGT</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Dakota Access</w:t>
            </w:r>
          </w:p>
        </w:tc>
        <w:tc>
          <w:tcPr>
            <w:tcW w:w="9240" w:type="dxa"/>
            <w:vAlign w:val="bottom"/>
          </w:tcPr>
          <w:p>
            <w:pPr>
              <w:ind w:left="220"/>
              <w:spacing w:after="0"/>
              <w:rPr>
                <w:sz w:val="20"/>
                <w:szCs w:val="20"/>
                <w:color w:val="auto"/>
              </w:rPr>
            </w:pPr>
            <w:r>
              <w:rPr>
                <w:rFonts w:ascii="Arial" w:cs="Arial" w:eastAsia="Arial" w:hAnsi="Arial"/>
                <w:sz w:val="18"/>
                <w:szCs w:val="18"/>
                <w:color w:val="auto"/>
              </w:rPr>
              <w:t>Dakota Access, LLC, a less than wholly-owned subsidiary of ETO</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DOE</w:t>
            </w:r>
          </w:p>
        </w:tc>
        <w:tc>
          <w:tcPr>
            <w:tcW w:w="9240" w:type="dxa"/>
            <w:vAlign w:val="bottom"/>
          </w:tcPr>
          <w:p>
            <w:pPr>
              <w:ind w:left="220"/>
              <w:spacing w:after="0"/>
              <w:rPr>
                <w:sz w:val="20"/>
                <w:szCs w:val="20"/>
                <w:color w:val="auto"/>
              </w:rPr>
            </w:pPr>
            <w:r>
              <w:rPr>
                <w:rFonts w:ascii="Arial" w:cs="Arial" w:eastAsia="Arial" w:hAnsi="Arial"/>
                <w:sz w:val="18"/>
                <w:szCs w:val="18"/>
                <w:color w:val="auto"/>
              </w:rPr>
              <w:t>United States Department of Energy</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DOJ</w:t>
            </w:r>
          </w:p>
        </w:tc>
        <w:tc>
          <w:tcPr>
            <w:tcW w:w="9240" w:type="dxa"/>
            <w:vAlign w:val="bottom"/>
          </w:tcPr>
          <w:p>
            <w:pPr>
              <w:ind w:left="220"/>
              <w:spacing w:after="0"/>
              <w:rPr>
                <w:sz w:val="20"/>
                <w:szCs w:val="20"/>
                <w:color w:val="auto"/>
              </w:rPr>
            </w:pPr>
            <w:r>
              <w:rPr>
                <w:rFonts w:ascii="Arial" w:cs="Arial" w:eastAsia="Arial" w:hAnsi="Arial"/>
                <w:sz w:val="18"/>
                <w:szCs w:val="18"/>
                <w:color w:val="auto"/>
              </w:rPr>
              <w:t>United States Department of Justice</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DOT</w:t>
            </w:r>
          </w:p>
        </w:tc>
        <w:tc>
          <w:tcPr>
            <w:tcW w:w="9240" w:type="dxa"/>
            <w:vAlign w:val="bottom"/>
          </w:tcPr>
          <w:p>
            <w:pPr>
              <w:ind w:left="220"/>
              <w:spacing w:after="0"/>
              <w:rPr>
                <w:sz w:val="20"/>
                <w:szCs w:val="20"/>
                <w:color w:val="auto"/>
              </w:rPr>
            </w:pPr>
            <w:r>
              <w:rPr>
                <w:rFonts w:ascii="Arial" w:cs="Arial" w:eastAsia="Arial" w:hAnsi="Arial"/>
                <w:sz w:val="18"/>
                <w:szCs w:val="18"/>
                <w:color w:val="auto"/>
              </w:rPr>
              <w:t>United States Department of Transportation</w:t>
            </w:r>
          </w:p>
        </w:tc>
      </w:tr>
      <w:tr>
        <w:trPr>
          <w:trHeight w:val="284"/>
        </w:trPr>
        <w:tc>
          <w:tcPr>
            <w:tcW w:w="2000" w:type="dxa"/>
            <w:vAlign w:val="bottom"/>
          </w:tcPr>
          <w:p>
            <w:pPr>
              <w:ind w:left="20"/>
              <w:spacing w:after="0"/>
              <w:rPr>
                <w:sz w:val="20"/>
                <w:szCs w:val="20"/>
                <w:color w:val="auto"/>
              </w:rPr>
            </w:pPr>
            <w:r>
              <w:rPr>
                <w:rFonts w:ascii="Arial" w:cs="Arial" w:eastAsia="Arial" w:hAnsi="Arial"/>
                <w:sz w:val="18"/>
                <w:szCs w:val="18"/>
                <w:color w:val="auto"/>
              </w:rPr>
              <w:t>Enable</w:t>
            </w:r>
          </w:p>
        </w:tc>
        <w:tc>
          <w:tcPr>
            <w:tcW w:w="9240" w:type="dxa"/>
            <w:vAlign w:val="bottom"/>
          </w:tcPr>
          <w:p>
            <w:pPr>
              <w:ind w:left="220"/>
              <w:spacing w:after="0"/>
              <w:rPr>
                <w:sz w:val="20"/>
                <w:szCs w:val="20"/>
                <w:color w:val="auto"/>
              </w:rPr>
            </w:pPr>
            <w:r>
              <w:rPr>
                <w:rFonts w:ascii="Arial" w:cs="Arial" w:eastAsia="Arial" w:hAnsi="Arial"/>
                <w:sz w:val="18"/>
                <w:szCs w:val="18"/>
                <w:color w:val="auto"/>
              </w:rPr>
              <w:t>Enable Midstream Partners, LP, a Delaware limited partnership</w:t>
            </w:r>
          </w:p>
        </w:tc>
      </w:tr>
      <w:tr>
        <w:trPr>
          <w:trHeight w:val="284"/>
        </w:trPr>
        <w:tc>
          <w:tcPr>
            <w:tcW w:w="2000" w:type="dxa"/>
            <w:vAlign w:val="bottom"/>
          </w:tcPr>
          <w:p>
            <w:pPr>
              <w:ind w:left="20"/>
              <w:spacing w:after="0"/>
              <w:rPr>
                <w:sz w:val="20"/>
                <w:szCs w:val="20"/>
                <w:color w:val="auto"/>
              </w:rPr>
            </w:pPr>
            <w:r>
              <w:rPr>
                <w:rFonts w:ascii="Arial" w:cs="Arial" w:eastAsia="Arial" w:hAnsi="Arial"/>
                <w:sz w:val="18"/>
                <w:szCs w:val="18"/>
                <w:color w:val="auto"/>
                <w:w w:val="99"/>
              </w:rPr>
              <w:t>Energy Transfer Canada</w:t>
            </w:r>
          </w:p>
        </w:tc>
        <w:tc>
          <w:tcPr>
            <w:tcW w:w="9240" w:type="dxa"/>
            <w:vAlign w:val="bottom"/>
          </w:tcPr>
          <w:p>
            <w:pPr>
              <w:ind w:left="220"/>
              <w:spacing w:after="0"/>
              <w:rPr>
                <w:sz w:val="20"/>
                <w:szCs w:val="20"/>
                <w:color w:val="auto"/>
              </w:rPr>
            </w:pPr>
            <w:r>
              <w:rPr>
                <w:rFonts w:ascii="Arial" w:cs="Arial" w:eastAsia="Arial" w:hAnsi="Arial"/>
                <w:sz w:val="18"/>
                <w:szCs w:val="18"/>
                <w:color w:val="auto"/>
                <w:w w:val="99"/>
              </w:rPr>
              <w:t>Energy Transfer Canada ULC (formerly SemCAMS Midstream ULC), a less than wholly-owned subsidiary of ETO</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EPA</w:t>
            </w:r>
          </w:p>
        </w:tc>
        <w:tc>
          <w:tcPr>
            <w:tcW w:w="9240" w:type="dxa"/>
            <w:vAlign w:val="bottom"/>
          </w:tcPr>
          <w:p>
            <w:pPr>
              <w:ind w:left="220"/>
              <w:spacing w:after="0"/>
              <w:rPr>
                <w:sz w:val="20"/>
                <w:szCs w:val="20"/>
                <w:color w:val="auto"/>
              </w:rPr>
            </w:pPr>
            <w:r>
              <w:rPr>
                <w:rFonts w:ascii="Arial" w:cs="Arial" w:eastAsia="Arial" w:hAnsi="Arial"/>
                <w:sz w:val="18"/>
                <w:szCs w:val="18"/>
                <w:color w:val="auto"/>
              </w:rPr>
              <w:t>United States Environmental Protection Agency</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ETC Sunoco</w:t>
            </w:r>
          </w:p>
        </w:tc>
        <w:tc>
          <w:tcPr>
            <w:tcW w:w="9240" w:type="dxa"/>
            <w:vAlign w:val="bottom"/>
          </w:tcPr>
          <w:p>
            <w:pPr>
              <w:ind w:left="220"/>
              <w:spacing w:after="0"/>
              <w:rPr>
                <w:sz w:val="20"/>
                <w:szCs w:val="20"/>
                <w:color w:val="auto"/>
              </w:rPr>
            </w:pPr>
            <w:r>
              <w:rPr>
                <w:rFonts w:ascii="Arial" w:cs="Arial" w:eastAsia="Arial" w:hAnsi="Arial"/>
                <w:sz w:val="18"/>
                <w:szCs w:val="18"/>
                <w:color w:val="auto"/>
              </w:rPr>
              <w:t>ETC Sunoco Holdings LLC (formerly Sunoco Inc.), a wholly-owned subsidiary of ETO</w:t>
            </w:r>
          </w:p>
        </w:tc>
      </w:tr>
      <w:tr>
        <w:trPr>
          <w:trHeight w:val="284"/>
        </w:trPr>
        <w:tc>
          <w:tcPr>
            <w:tcW w:w="2000" w:type="dxa"/>
            <w:vAlign w:val="bottom"/>
          </w:tcPr>
          <w:p>
            <w:pPr>
              <w:ind w:left="20"/>
              <w:spacing w:after="0"/>
              <w:rPr>
                <w:sz w:val="20"/>
                <w:szCs w:val="20"/>
                <w:color w:val="auto"/>
              </w:rPr>
            </w:pPr>
            <w:r>
              <w:rPr>
                <w:rFonts w:ascii="Arial" w:cs="Arial" w:eastAsia="Arial" w:hAnsi="Arial"/>
                <w:sz w:val="18"/>
                <w:szCs w:val="18"/>
                <w:color w:val="auto"/>
              </w:rPr>
              <w:t>ETC Tiger</w:t>
            </w:r>
          </w:p>
        </w:tc>
        <w:tc>
          <w:tcPr>
            <w:tcW w:w="9240" w:type="dxa"/>
            <w:vAlign w:val="bottom"/>
          </w:tcPr>
          <w:p>
            <w:pPr>
              <w:ind w:left="220"/>
              <w:spacing w:after="0"/>
              <w:rPr>
                <w:sz w:val="20"/>
                <w:szCs w:val="20"/>
                <w:color w:val="auto"/>
              </w:rPr>
            </w:pPr>
            <w:r>
              <w:rPr>
                <w:rFonts w:ascii="Arial" w:cs="Arial" w:eastAsia="Arial" w:hAnsi="Arial"/>
                <w:sz w:val="18"/>
                <w:szCs w:val="18"/>
                <w:color w:val="auto"/>
              </w:rPr>
              <w:t>ETC Tiger Pipeline, LLC, a wholly-owned subsidiary of ETO, which owns the Tiger Pipeline</w:t>
            </w:r>
          </w:p>
        </w:tc>
      </w:tr>
      <w:tr>
        <w:trPr>
          <w:trHeight w:val="283"/>
        </w:trPr>
        <w:tc>
          <w:tcPr>
            <w:tcW w:w="2000" w:type="dxa"/>
            <w:vAlign w:val="bottom"/>
          </w:tcPr>
          <w:p>
            <w:pPr>
              <w:ind w:left="20"/>
              <w:spacing w:after="0"/>
              <w:rPr>
                <w:sz w:val="20"/>
                <w:szCs w:val="20"/>
                <w:color w:val="auto"/>
              </w:rPr>
            </w:pPr>
            <w:r>
              <w:rPr>
                <w:rFonts w:ascii="Arial" w:cs="Arial" w:eastAsia="Arial" w:hAnsi="Arial"/>
                <w:sz w:val="18"/>
                <w:szCs w:val="18"/>
                <w:color w:val="auto"/>
              </w:rPr>
              <w:t>ETO</w:t>
            </w:r>
          </w:p>
        </w:tc>
        <w:tc>
          <w:tcPr>
            <w:tcW w:w="9240" w:type="dxa"/>
            <w:vAlign w:val="bottom"/>
          </w:tcPr>
          <w:p>
            <w:pPr>
              <w:ind w:left="220"/>
              <w:spacing w:after="0"/>
              <w:rPr>
                <w:sz w:val="20"/>
                <w:szCs w:val="20"/>
                <w:color w:val="auto"/>
              </w:rPr>
            </w:pPr>
            <w:r>
              <w:rPr>
                <w:rFonts w:ascii="Arial" w:cs="Arial" w:eastAsia="Arial" w:hAnsi="Arial"/>
                <w:sz w:val="18"/>
                <w:szCs w:val="18"/>
                <w:color w:val="auto"/>
              </w:rPr>
              <w:t>Energy Transfer Operating, L.P.</w:t>
            </w: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Preferred Units</w:t>
            </w:r>
          </w:p>
        </w:tc>
        <w:tc>
          <w:tcPr>
            <w:tcW w:w="9240" w:type="dxa"/>
            <w:vAlign w:val="bottom"/>
          </w:tcPr>
          <w:p>
            <w:pPr>
              <w:ind w:left="220"/>
              <w:spacing w:after="0"/>
              <w:rPr>
                <w:sz w:val="20"/>
                <w:szCs w:val="20"/>
                <w:color w:val="auto"/>
              </w:rPr>
            </w:pPr>
            <w:r>
              <w:rPr>
                <w:rFonts w:ascii="Arial" w:cs="Arial" w:eastAsia="Arial" w:hAnsi="Arial"/>
                <w:sz w:val="18"/>
                <w:szCs w:val="18"/>
                <w:color w:val="auto"/>
                <w:w w:val="91"/>
              </w:rPr>
              <w:t>ETO Series A Preferred Units, ETO Series B Preferred Units, ETO Series D Preferred Units, ETO Series E Preferred Units,</w:t>
            </w:r>
          </w:p>
        </w:tc>
      </w:tr>
      <w:tr>
        <w:trPr>
          <w:trHeight w:val="230"/>
        </w:trPr>
        <w:tc>
          <w:tcPr>
            <w:tcW w:w="2000" w:type="dxa"/>
            <w:vAlign w:val="bottom"/>
          </w:tcPr>
          <w:p>
            <w:pPr>
              <w:spacing w:after="0"/>
              <w:rPr>
                <w:sz w:val="20"/>
                <w:szCs w:val="20"/>
                <w:color w:val="auto"/>
              </w:rPr>
            </w:pPr>
          </w:p>
        </w:tc>
        <w:tc>
          <w:tcPr>
            <w:tcW w:w="9240" w:type="dxa"/>
            <w:vAlign w:val="bottom"/>
          </w:tcPr>
          <w:p>
            <w:pPr>
              <w:ind w:left="220"/>
              <w:spacing w:after="0"/>
              <w:rPr>
                <w:sz w:val="20"/>
                <w:szCs w:val="20"/>
                <w:color w:val="auto"/>
              </w:rPr>
            </w:pPr>
            <w:r>
              <w:rPr>
                <w:rFonts w:ascii="Arial" w:cs="Arial" w:eastAsia="Arial" w:hAnsi="Arial"/>
                <w:sz w:val="18"/>
                <w:szCs w:val="18"/>
                <w:color w:val="auto"/>
              </w:rPr>
              <w:t>ETO Series F Preferred Units and ETO Series G Preferred Units, collectively</w:t>
            </w: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A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6.250% Series A Fixed-to-Floating Rate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B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6.625% Series B Fixed-to-Floating Rate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C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7.375% Series C Fixed-to-Floating Rate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D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7.625% Series D Fixed-to-Floating Rate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E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7.600% Series E Fixed-to-Floating Rate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F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6.750% Series F Fixed-Rate Reset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ETO Series G Preferred</w:t>
            </w:r>
          </w:p>
        </w:tc>
        <w:tc>
          <w:tcPr>
            <w:tcW w:w="9240" w:type="dxa"/>
            <w:vAlign w:val="bottom"/>
          </w:tcPr>
          <w:p>
            <w:pPr>
              <w:ind w:left="220"/>
              <w:spacing w:after="0"/>
              <w:rPr>
                <w:sz w:val="20"/>
                <w:szCs w:val="20"/>
                <w:color w:val="auto"/>
              </w:rPr>
            </w:pPr>
            <w:r>
              <w:rPr>
                <w:rFonts w:ascii="Arial" w:cs="Arial" w:eastAsia="Arial" w:hAnsi="Arial"/>
                <w:sz w:val="18"/>
                <w:szCs w:val="18"/>
                <w:color w:val="auto"/>
              </w:rPr>
              <w:t>7.125% Series G Fixed-Rate Reset Cumulative Redeemable Perpetual Preferred Units</w:t>
            </w: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Units</w:t>
            </w:r>
          </w:p>
        </w:tc>
        <w:tc>
          <w:tcPr>
            <w:tcW w:w="9240" w:type="dxa"/>
            <w:vAlign w:val="bottom"/>
          </w:tcPr>
          <w:p>
            <w:pPr>
              <w:spacing w:after="0"/>
              <w:rPr>
                <w:sz w:val="20"/>
                <w:szCs w:val="20"/>
                <w:color w:val="auto"/>
              </w:rPr>
            </w:pPr>
          </w:p>
        </w:tc>
      </w:tr>
      <w:tr>
        <w:trPr>
          <w:trHeight w:val="904"/>
        </w:trPr>
        <w:tc>
          <w:tcPr>
            <w:tcW w:w="2000" w:type="dxa"/>
            <w:vAlign w:val="bottom"/>
          </w:tcPr>
          <w:p>
            <w:pPr>
              <w:spacing w:after="0"/>
              <w:rPr>
                <w:sz w:val="24"/>
                <w:szCs w:val="24"/>
                <w:color w:val="auto"/>
              </w:rPr>
            </w:pPr>
          </w:p>
        </w:tc>
        <w:tc>
          <w:tcPr>
            <w:tcW w:w="9240" w:type="dxa"/>
            <w:vAlign w:val="bottom"/>
          </w:tcPr>
          <w:p>
            <w:pPr>
              <w:ind w:left="3540"/>
              <w:spacing w:after="0"/>
              <w:rPr>
                <w:sz w:val="20"/>
                <w:szCs w:val="20"/>
                <w:color w:val="auto"/>
              </w:rPr>
            </w:pPr>
            <w:r>
              <w:rPr>
                <w:rFonts w:ascii="Arial" w:cs="Arial" w:eastAsia="Arial" w:hAnsi="Arial"/>
                <w:sz w:val="18"/>
                <w:szCs w:val="18"/>
                <w:color w:val="auto"/>
              </w:rPr>
              <w:t>iii</w:t>
            </w:r>
          </w:p>
        </w:tc>
      </w:tr>
      <w:tr>
        <w:trPr>
          <w:trHeight w:val="115"/>
        </w:trPr>
        <w:tc>
          <w:tcPr>
            <w:tcW w:w="2000" w:type="dxa"/>
            <w:vAlign w:val="bottom"/>
            <w:tcBorders>
              <w:bottom w:val="single" w:sz="8" w:color="9A9A9A"/>
            </w:tcBorders>
          </w:tcPr>
          <w:p>
            <w:pPr>
              <w:spacing w:after="0"/>
              <w:rPr>
                <w:sz w:val="10"/>
                <w:szCs w:val="10"/>
                <w:color w:val="auto"/>
              </w:rPr>
            </w:pPr>
          </w:p>
        </w:tc>
        <w:tc>
          <w:tcPr>
            <w:tcW w:w="9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ETP GP</w:t>
            </w:r>
          </w:p>
        </w:tc>
        <w:tc>
          <w:tcPr>
            <w:tcW w:w="9420" w:type="dxa"/>
            <w:vAlign w:val="bottom"/>
          </w:tcPr>
          <w:p>
            <w:pPr>
              <w:ind w:left="400"/>
              <w:spacing w:after="0"/>
              <w:rPr>
                <w:sz w:val="20"/>
                <w:szCs w:val="20"/>
                <w:color w:val="auto"/>
              </w:rPr>
            </w:pPr>
            <w:r>
              <w:rPr>
                <w:rFonts w:ascii="Arial" w:cs="Arial" w:eastAsia="Arial" w:hAnsi="Arial"/>
                <w:sz w:val="18"/>
                <w:szCs w:val="18"/>
                <w:color w:val="auto"/>
              </w:rPr>
              <w:t>Energy Transfer Partners GP, L.P., the general partner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ETP Holdco</w:t>
            </w:r>
          </w:p>
        </w:tc>
        <w:tc>
          <w:tcPr>
            <w:tcW w:w="9420" w:type="dxa"/>
            <w:vAlign w:val="bottom"/>
          </w:tcPr>
          <w:p>
            <w:pPr>
              <w:ind w:left="400"/>
              <w:spacing w:after="0"/>
              <w:rPr>
                <w:sz w:val="20"/>
                <w:szCs w:val="20"/>
                <w:color w:val="auto"/>
              </w:rPr>
            </w:pPr>
            <w:r>
              <w:rPr>
                <w:rFonts w:ascii="Arial" w:cs="Arial" w:eastAsia="Arial" w:hAnsi="Arial"/>
                <w:sz w:val="18"/>
                <w:szCs w:val="18"/>
                <w:color w:val="auto"/>
              </w:rPr>
              <w:t>ETP Holdco Corporation, a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ETP LLC</w:t>
            </w:r>
          </w:p>
        </w:tc>
        <w:tc>
          <w:tcPr>
            <w:tcW w:w="9420" w:type="dxa"/>
            <w:vAlign w:val="bottom"/>
          </w:tcPr>
          <w:p>
            <w:pPr>
              <w:ind w:left="400"/>
              <w:spacing w:after="0"/>
              <w:rPr>
                <w:sz w:val="20"/>
                <w:szCs w:val="20"/>
                <w:color w:val="auto"/>
              </w:rPr>
            </w:pPr>
            <w:r>
              <w:rPr>
                <w:rFonts w:ascii="Arial" w:cs="Arial" w:eastAsia="Arial" w:hAnsi="Arial"/>
                <w:sz w:val="18"/>
                <w:szCs w:val="18"/>
                <w:color w:val="auto"/>
              </w:rPr>
              <w:t>Energy Transfer Partners, L.L.C., the general partner of ETP GP</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420" w:type="dxa"/>
            <w:vAlign w:val="bottom"/>
          </w:tcPr>
          <w:p>
            <w:pPr>
              <w:ind w:left="400"/>
              <w:spacing w:after="0"/>
              <w:rPr>
                <w:sz w:val="20"/>
                <w:szCs w:val="20"/>
                <w:color w:val="auto"/>
              </w:rPr>
            </w:pPr>
            <w:r>
              <w:rPr>
                <w:rFonts w:ascii="Arial" w:cs="Arial" w:eastAsia="Arial" w:hAnsi="Arial"/>
                <w:sz w:val="18"/>
                <w:szCs w:val="18"/>
                <w:color w:val="auto"/>
              </w:rPr>
              <w:t>Securities Exchange Act of 1934</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ExxonMobil</w:t>
            </w:r>
          </w:p>
        </w:tc>
        <w:tc>
          <w:tcPr>
            <w:tcW w:w="9420" w:type="dxa"/>
            <w:vAlign w:val="bottom"/>
          </w:tcPr>
          <w:p>
            <w:pPr>
              <w:ind w:left="400"/>
              <w:spacing w:after="0"/>
              <w:rPr>
                <w:sz w:val="20"/>
                <w:szCs w:val="20"/>
                <w:color w:val="auto"/>
              </w:rPr>
            </w:pPr>
            <w:r>
              <w:rPr>
                <w:rFonts w:ascii="Arial" w:cs="Arial" w:eastAsia="Arial" w:hAnsi="Arial"/>
                <w:sz w:val="18"/>
                <w:szCs w:val="18"/>
                <w:color w:val="auto"/>
              </w:rPr>
              <w:t>Exxon Mobil Corporation</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FEP</w:t>
            </w:r>
          </w:p>
        </w:tc>
        <w:tc>
          <w:tcPr>
            <w:tcW w:w="9420" w:type="dxa"/>
            <w:vAlign w:val="bottom"/>
          </w:tcPr>
          <w:p>
            <w:pPr>
              <w:ind w:left="400"/>
              <w:spacing w:after="0"/>
              <w:rPr>
                <w:sz w:val="20"/>
                <w:szCs w:val="20"/>
                <w:color w:val="auto"/>
              </w:rPr>
            </w:pPr>
            <w:r>
              <w:rPr>
                <w:rFonts w:ascii="Arial" w:cs="Arial" w:eastAsia="Arial" w:hAnsi="Arial"/>
                <w:sz w:val="18"/>
                <w:szCs w:val="18"/>
                <w:color w:val="auto"/>
              </w:rPr>
              <w:t>Fayetteville Express Pipeline LLC</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FERC</w:t>
            </w:r>
          </w:p>
        </w:tc>
        <w:tc>
          <w:tcPr>
            <w:tcW w:w="9420" w:type="dxa"/>
            <w:vAlign w:val="bottom"/>
          </w:tcPr>
          <w:p>
            <w:pPr>
              <w:ind w:left="400"/>
              <w:spacing w:after="0"/>
              <w:rPr>
                <w:sz w:val="20"/>
                <w:szCs w:val="20"/>
                <w:color w:val="auto"/>
              </w:rPr>
            </w:pPr>
            <w:r>
              <w:rPr>
                <w:rFonts w:ascii="Arial" w:cs="Arial" w:eastAsia="Arial" w:hAnsi="Arial"/>
                <w:sz w:val="18"/>
                <w:szCs w:val="18"/>
                <w:color w:val="auto"/>
              </w:rPr>
              <w:t>Federal Energy Regulatory Commission</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FGT</w:t>
            </w:r>
          </w:p>
        </w:tc>
        <w:tc>
          <w:tcPr>
            <w:tcW w:w="9420" w:type="dxa"/>
            <w:vAlign w:val="bottom"/>
          </w:tcPr>
          <w:p>
            <w:pPr>
              <w:ind w:left="400"/>
              <w:spacing w:after="0"/>
              <w:rPr>
                <w:sz w:val="20"/>
                <w:szCs w:val="20"/>
                <w:color w:val="auto"/>
              </w:rPr>
            </w:pPr>
            <w:r>
              <w:rPr>
                <w:rFonts w:ascii="Arial" w:cs="Arial" w:eastAsia="Arial" w:hAnsi="Arial"/>
                <w:sz w:val="18"/>
                <w:szCs w:val="18"/>
                <w:color w:val="auto"/>
                <w:w w:val="94"/>
              </w:rPr>
              <w:t>Florida Gas Transmission Pipeline and/or Florida Gas Transmission Company, LLC, a wholly-owned subsidiary of Citrus</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GAAP</w:t>
            </w:r>
          </w:p>
        </w:tc>
        <w:tc>
          <w:tcPr>
            <w:tcW w:w="9420" w:type="dxa"/>
            <w:vAlign w:val="bottom"/>
          </w:tcPr>
          <w:p>
            <w:pPr>
              <w:ind w:left="4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General Partner</w:t>
            </w:r>
          </w:p>
        </w:tc>
        <w:tc>
          <w:tcPr>
            <w:tcW w:w="9420" w:type="dxa"/>
            <w:vAlign w:val="bottom"/>
          </w:tcPr>
          <w:p>
            <w:pPr>
              <w:ind w:left="400"/>
              <w:spacing w:after="0"/>
              <w:rPr>
                <w:sz w:val="20"/>
                <w:szCs w:val="20"/>
                <w:color w:val="auto"/>
              </w:rPr>
            </w:pPr>
            <w:r>
              <w:rPr>
                <w:rFonts w:ascii="Arial" w:cs="Arial" w:eastAsia="Arial" w:hAnsi="Arial"/>
                <w:sz w:val="18"/>
                <w:szCs w:val="18"/>
                <w:color w:val="auto"/>
              </w:rPr>
              <w:t>LE GP, LLC, the general partner of ET</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HFOTCO</w:t>
            </w:r>
          </w:p>
        </w:tc>
        <w:tc>
          <w:tcPr>
            <w:tcW w:w="9420" w:type="dxa"/>
            <w:vAlign w:val="bottom"/>
          </w:tcPr>
          <w:p>
            <w:pPr>
              <w:ind w:left="400"/>
              <w:spacing w:after="0"/>
              <w:rPr>
                <w:sz w:val="20"/>
                <w:szCs w:val="20"/>
                <w:color w:val="auto"/>
              </w:rPr>
            </w:pPr>
            <w:r>
              <w:rPr>
                <w:rFonts w:ascii="Arial" w:cs="Arial" w:eastAsia="Arial" w:hAnsi="Arial"/>
                <w:sz w:val="18"/>
                <w:szCs w:val="18"/>
                <w:color w:val="auto"/>
              </w:rPr>
              <w:t>Houston Fuel Oil Terminal Company, a wholly-owned subsidiary of ETO, which owns the Houston Terminal</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IDRs</w:t>
            </w:r>
          </w:p>
        </w:tc>
        <w:tc>
          <w:tcPr>
            <w:tcW w:w="9420" w:type="dxa"/>
            <w:vAlign w:val="bottom"/>
          </w:tcPr>
          <w:p>
            <w:pPr>
              <w:ind w:left="400"/>
              <w:spacing w:after="0"/>
              <w:rPr>
                <w:sz w:val="20"/>
                <w:szCs w:val="20"/>
                <w:color w:val="auto"/>
              </w:rPr>
            </w:pPr>
            <w:r>
              <w:rPr>
                <w:rFonts w:ascii="Arial" w:cs="Arial" w:eastAsia="Arial" w:hAnsi="Arial"/>
                <w:sz w:val="18"/>
                <w:szCs w:val="18"/>
                <w:color w:val="auto"/>
              </w:rPr>
              <w:t>incentive distribution rights</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KMI</w:t>
            </w:r>
          </w:p>
        </w:tc>
        <w:tc>
          <w:tcPr>
            <w:tcW w:w="9420" w:type="dxa"/>
            <w:vAlign w:val="bottom"/>
          </w:tcPr>
          <w:p>
            <w:pPr>
              <w:ind w:left="400"/>
              <w:spacing w:after="0"/>
              <w:rPr>
                <w:sz w:val="20"/>
                <w:szCs w:val="20"/>
                <w:color w:val="auto"/>
              </w:rPr>
            </w:pPr>
            <w:r>
              <w:rPr>
                <w:rFonts w:ascii="Arial" w:cs="Arial" w:eastAsia="Arial" w:hAnsi="Arial"/>
                <w:sz w:val="18"/>
                <w:szCs w:val="18"/>
                <w:color w:val="auto"/>
              </w:rPr>
              <w:t>Kinder Morgan Inc.</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Lake Charles LNG</w:t>
            </w:r>
          </w:p>
        </w:tc>
        <w:tc>
          <w:tcPr>
            <w:tcW w:w="9420" w:type="dxa"/>
            <w:vAlign w:val="bottom"/>
          </w:tcPr>
          <w:p>
            <w:pPr>
              <w:ind w:left="400"/>
              <w:spacing w:after="0"/>
              <w:rPr>
                <w:sz w:val="20"/>
                <w:szCs w:val="20"/>
                <w:color w:val="auto"/>
              </w:rPr>
            </w:pPr>
            <w:r>
              <w:rPr>
                <w:rFonts w:ascii="Arial" w:cs="Arial" w:eastAsia="Arial" w:hAnsi="Arial"/>
                <w:sz w:val="18"/>
                <w:szCs w:val="18"/>
                <w:color w:val="auto"/>
              </w:rPr>
              <w:t>Lake Charles LNG Company, LLC, a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LCL</w:t>
            </w:r>
          </w:p>
        </w:tc>
        <w:tc>
          <w:tcPr>
            <w:tcW w:w="9420" w:type="dxa"/>
            <w:vAlign w:val="bottom"/>
          </w:tcPr>
          <w:p>
            <w:pPr>
              <w:ind w:left="400"/>
              <w:spacing w:after="0"/>
              <w:rPr>
                <w:sz w:val="20"/>
                <w:szCs w:val="20"/>
                <w:color w:val="auto"/>
              </w:rPr>
            </w:pPr>
            <w:r>
              <w:rPr>
                <w:rFonts w:ascii="Arial" w:cs="Arial" w:eastAsia="Arial" w:hAnsi="Arial"/>
                <w:sz w:val="18"/>
                <w:szCs w:val="18"/>
                <w:color w:val="auto"/>
              </w:rPr>
              <w:t>Lake Charles LNG Export Company, LLC, a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LIBOR</w:t>
            </w:r>
          </w:p>
        </w:tc>
        <w:tc>
          <w:tcPr>
            <w:tcW w:w="9420" w:type="dxa"/>
            <w:vAlign w:val="bottom"/>
          </w:tcPr>
          <w:p>
            <w:pPr>
              <w:ind w:left="400"/>
              <w:spacing w:after="0"/>
              <w:rPr>
                <w:sz w:val="20"/>
                <w:szCs w:val="20"/>
                <w:color w:val="auto"/>
              </w:rPr>
            </w:pPr>
            <w:r>
              <w:rPr>
                <w:rFonts w:ascii="Arial" w:cs="Arial" w:eastAsia="Arial" w:hAnsi="Arial"/>
                <w:sz w:val="18"/>
                <w:szCs w:val="18"/>
                <w:color w:val="auto"/>
              </w:rPr>
              <w:t>London Interbank Offered Rate</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LNG</w:t>
            </w:r>
          </w:p>
        </w:tc>
        <w:tc>
          <w:tcPr>
            <w:tcW w:w="9420" w:type="dxa"/>
            <w:vAlign w:val="bottom"/>
          </w:tcPr>
          <w:p>
            <w:pPr>
              <w:ind w:left="400"/>
              <w:spacing w:after="0"/>
              <w:rPr>
                <w:sz w:val="20"/>
                <w:szCs w:val="20"/>
                <w:color w:val="auto"/>
              </w:rPr>
            </w:pPr>
            <w:r>
              <w:rPr>
                <w:rFonts w:ascii="Arial" w:cs="Arial" w:eastAsia="Arial" w:hAnsi="Arial"/>
                <w:sz w:val="18"/>
                <w:szCs w:val="18"/>
                <w:color w:val="auto"/>
              </w:rPr>
              <w:t>liquefied natural gas</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Lone Star</w:t>
            </w:r>
          </w:p>
        </w:tc>
        <w:tc>
          <w:tcPr>
            <w:tcW w:w="9420" w:type="dxa"/>
            <w:vAlign w:val="bottom"/>
          </w:tcPr>
          <w:p>
            <w:pPr>
              <w:ind w:left="400"/>
              <w:spacing w:after="0"/>
              <w:rPr>
                <w:sz w:val="20"/>
                <w:szCs w:val="20"/>
                <w:color w:val="auto"/>
              </w:rPr>
            </w:pPr>
            <w:r>
              <w:rPr>
                <w:rFonts w:ascii="Arial" w:cs="Arial" w:eastAsia="Arial" w:hAnsi="Arial"/>
                <w:sz w:val="18"/>
                <w:szCs w:val="18"/>
                <w:color w:val="auto"/>
              </w:rPr>
              <w:t>Lone Star NGL LLC, a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MBbls</w:t>
            </w:r>
          </w:p>
        </w:tc>
        <w:tc>
          <w:tcPr>
            <w:tcW w:w="9420" w:type="dxa"/>
            <w:vAlign w:val="bottom"/>
          </w:tcPr>
          <w:p>
            <w:pPr>
              <w:ind w:left="400"/>
              <w:spacing w:after="0"/>
              <w:rPr>
                <w:sz w:val="20"/>
                <w:szCs w:val="20"/>
                <w:color w:val="auto"/>
              </w:rPr>
            </w:pPr>
            <w:r>
              <w:rPr>
                <w:rFonts w:ascii="Arial" w:cs="Arial" w:eastAsia="Arial" w:hAnsi="Arial"/>
                <w:sz w:val="18"/>
                <w:szCs w:val="18"/>
                <w:color w:val="auto"/>
              </w:rPr>
              <w:t>thousand barrels</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MEP</w:t>
            </w:r>
          </w:p>
        </w:tc>
        <w:tc>
          <w:tcPr>
            <w:tcW w:w="9420" w:type="dxa"/>
            <w:vAlign w:val="bottom"/>
          </w:tcPr>
          <w:p>
            <w:pPr>
              <w:ind w:left="400"/>
              <w:spacing w:after="0"/>
              <w:rPr>
                <w:sz w:val="20"/>
                <w:szCs w:val="20"/>
                <w:color w:val="auto"/>
              </w:rPr>
            </w:pPr>
            <w:r>
              <w:rPr>
                <w:rFonts w:ascii="Arial" w:cs="Arial" w:eastAsia="Arial" w:hAnsi="Arial"/>
                <w:sz w:val="18"/>
                <w:szCs w:val="18"/>
                <w:color w:val="auto"/>
              </w:rPr>
              <w:t>Midcontinent Express Pipeline LLC</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Mid-Valley</w:t>
            </w:r>
          </w:p>
        </w:tc>
        <w:tc>
          <w:tcPr>
            <w:tcW w:w="9420" w:type="dxa"/>
            <w:vAlign w:val="bottom"/>
          </w:tcPr>
          <w:p>
            <w:pPr>
              <w:ind w:left="400"/>
              <w:spacing w:after="0"/>
              <w:rPr>
                <w:sz w:val="20"/>
                <w:szCs w:val="20"/>
                <w:color w:val="auto"/>
              </w:rPr>
            </w:pPr>
            <w:r>
              <w:rPr>
                <w:rFonts w:ascii="Arial" w:cs="Arial" w:eastAsia="Arial" w:hAnsi="Arial"/>
                <w:sz w:val="18"/>
                <w:szCs w:val="18"/>
                <w:color w:val="auto"/>
              </w:rPr>
              <w:t>Mid-Valley Pipeline Company, a wholly-owned subsidiary of ETO</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MMBbls</w:t>
            </w:r>
          </w:p>
        </w:tc>
        <w:tc>
          <w:tcPr>
            <w:tcW w:w="9420" w:type="dxa"/>
            <w:vAlign w:val="bottom"/>
          </w:tcPr>
          <w:p>
            <w:pPr>
              <w:ind w:left="400"/>
              <w:spacing w:after="0"/>
              <w:rPr>
                <w:sz w:val="20"/>
                <w:szCs w:val="20"/>
                <w:color w:val="auto"/>
              </w:rPr>
            </w:pPr>
            <w:r>
              <w:rPr>
                <w:rFonts w:ascii="Arial" w:cs="Arial" w:eastAsia="Arial" w:hAnsi="Arial"/>
                <w:sz w:val="18"/>
                <w:szCs w:val="18"/>
                <w:color w:val="auto"/>
              </w:rPr>
              <w:t>million barrels</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MMcf</w:t>
            </w:r>
          </w:p>
        </w:tc>
        <w:tc>
          <w:tcPr>
            <w:tcW w:w="9420" w:type="dxa"/>
            <w:vAlign w:val="bottom"/>
          </w:tcPr>
          <w:p>
            <w:pPr>
              <w:ind w:left="400"/>
              <w:spacing w:after="0"/>
              <w:rPr>
                <w:sz w:val="20"/>
                <w:szCs w:val="20"/>
                <w:color w:val="auto"/>
              </w:rPr>
            </w:pPr>
            <w:r>
              <w:rPr>
                <w:rFonts w:ascii="Arial" w:cs="Arial" w:eastAsia="Arial" w:hAnsi="Arial"/>
                <w:sz w:val="18"/>
                <w:szCs w:val="18"/>
                <w:color w:val="auto"/>
              </w:rPr>
              <w:t>million cubic feet</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MTBE</w:t>
            </w:r>
          </w:p>
        </w:tc>
        <w:tc>
          <w:tcPr>
            <w:tcW w:w="9420" w:type="dxa"/>
            <w:vAlign w:val="bottom"/>
          </w:tcPr>
          <w:p>
            <w:pPr>
              <w:ind w:left="400"/>
              <w:spacing w:after="0"/>
              <w:rPr>
                <w:sz w:val="20"/>
                <w:szCs w:val="20"/>
                <w:color w:val="auto"/>
              </w:rPr>
            </w:pPr>
            <w:r>
              <w:rPr>
                <w:rFonts w:ascii="Arial" w:cs="Arial" w:eastAsia="Arial" w:hAnsi="Arial"/>
                <w:sz w:val="18"/>
                <w:szCs w:val="18"/>
                <w:color w:val="auto"/>
              </w:rPr>
              <w:t>methyl tertiary butyl ether</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NGL</w:t>
            </w:r>
          </w:p>
        </w:tc>
        <w:tc>
          <w:tcPr>
            <w:tcW w:w="9420" w:type="dxa"/>
            <w:vAlign w:val="bottom"/>
          </w:tcPr>
          <w:p>
            <w:pPr>
              <w:ind w:left="400"/>
              <w:spacing w:after="0"/>
              <w:rPr>
                <w:sz w:val="20"/>
                <w:szCs w:val="20"/>
                <w:color w:val="auto"/>
              </w:rPr>
            </w:pPr>
            <w:r>
              <w:rPr>
                <w:rFonts w:ascii="Arial" w:cs="Arial" w:eastAsia="Arial" w:hAnsi="Arial"/>
                <w:sz w:val="18"/>
                <w:szCs w:val="18"/>
                <w:color w:val="auto"/>
              </w:rPr>
              <w:t>natural gas liquid, such as propane, butane and natural gasoline</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NYMEX</w:t>
            </w:r>
          </w:p>
        </w:tc>
        <w:tc>
          <w:tcPr>
            <w:tcW w:w="9420" w:type="dxa"/>
            <w:vAlign w:val="bottom"/>
          </w:tcPr>
          <w:p>
            <w:pPr>
              <w:ind w:left="400"/>
              <w:spacing w:after="0"/>
              <w:rPr>
                <w:sz w:val="20"/>
                <w:szCs w:val="20"/>
                <w:color w:val="auto"/>
              </w:rPr>
            </w:pPr>
            <w:r>
              <w:rPr>
                <w:rFonts w:ascii="Arial" w:cs="Arial" w:eastAsia="Arial" w:hAnsi="Arial"/>
                <w:sz w:val="18"/>
                <w:szCs w:val="18"/>
                <w:color w:val="auto"/>
              </w:rPr>
              <w:t>New York Mercantile Exchange</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NYSE</w:t>
            </w:r>
          </w:p>
        </w:tc>
        <w:tc>
          <w:tcPr>
            <w:tcW w:w="9420" w:type="dxa"/>
            <w:vAlign w:val="bottom"/>
          </w:tcPr>
          <w:p>
            <w:pPr>
              <w:ind w:left="400"/>
              <w:spacing w:after="0"/>
              <w:rPr>
                <w:sz w:val="20"/>
                <w:szCs w:val="20"/>
                <w:color w:val="auto"/>
              </w:rPr>
            </w:pPr>
            <w:r>
              <w:rPr>
                <w:rFonts w:ascii="Arial" w:cs="Arial" w:eastAsia="Arial" w:hAnsi="Arial"/>
                <w:sz w:val="18"/>
                <w:szCs w:val="18"/>
                <w:color w:val="auto"/>
              </w:rPr>
              <w:t>New York Stock Exchange</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ORS</w:t>
            </w:r>
          </w:p>
        </w:tc>
        <w:tc>
          <w:tcPr>
            <w:tcW w:w="9420" w:type="dxa"/>
            <w:vAlign w:val="bottom"/>
          </w:tcPr>
          <w:p>
            <w:pPr>
              <w:ind w:left="400"/>
              <w:spacing w:after="0"/>
              <w:rPr>
                <w:sz w:val="20"/>
                <w:szCs w:val="20"/>
                <w:color w:val="auto"/>
              </w:rPr>
            </w:pPr>
            <w:r>
              <w:rPr>
                <w:rFonts w:ascii="Arial" w:cs="Arial" w:eastAsia="Arial" w:hAnsi="Arial"/>
                <w:sz w:val="18"/>
                <w:szCs w:val="18"/>
                <w:color w:val="auto"/>
              </w:rPr>
              <w:t>Ohio River System LLC, a less than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OSHA</w:t>
            </w:r>
          </w:p>
        </w:tc>
        <w:tc>
          <w:tcPr>
            <w:tcW w:w="9420" w:type="dxa"/>
            <w:vAlign w:val="bottom"/>
          </w:tcPr>
          <w:p>
            <w:pPr>
              <w:ind w:left="400"/>
              <w:spacing w:after="0"/>
              <w:rPr>
                <w:sz w:val="20"/>
                <w:szCs w:val="20"/>
                <w:color w:val="auto"/>
              </w:rPr>
            </w:pPr>
            <w:r>
              <w:rPr>
                <w:rFonts w:ascii="Arial" w:cs="Arial" w:eastAsia="Arial" w:hAnsi="Arial"/>
                <w:sz w:val="18"/>
                <w:szCs w:val="18"/>
                <w:color w:val="auto"/>
              </w:rPr>
              <w:t>Federal Occupational Safety and Health Act</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OTC</w:t>
            </w:r>
          </w:p>
        </w:tc>
        <w:tc>
          <w:tcPr>
            <w:tcW w:w="9420" w:type="dxa"/>
            <w:vAlign w:val="bottom"/>
          </w:tcPr>
          <w:p>
            <w:pPr>
              <w:ind w:left="400"/>
              <w:spacing w:after="0"/>
              <w:rPr>
                <w:sz w:val="20"/>
                <w:szCs w:val="20"/>
                <w:color w:val="auto"/>
              </w:rPr>
            </w:pPr>
            <w:r>
              <w:rPr>
                <w:rFonts w:ascii="Arial" w:cs="Arial" w:eastAsia="Arial" w:hAnsi="Arial"/>
                <w:sz w:val="18"/>
                <w:szCs w:val="18"/>
                <w:color w:val="auto"/>
              </w:rPr>
              <w:t>over-the-counter</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Panhandle</w:t>
            </w:r>
          </w:p>
        </w:tc>
        <w:tc>
          <w:tcPr>
            <w:tcW w:w="9420" w:type="dxa"/>
            <w:vAlign w:val="bottom"/>
          </w:tcPr>
          <w:p>
            <w:pPr>
              <w:ind w:left="400"/>
              <w:spacing w:after="0"/>
              <w:rPr>
                <w:sz w:val="20"/>
                <w:szCs w:val="20"/>
                <w:color w:val="auto"/>
              </w:rPr>
            </w:pPr>
            <w:r>
              <w:rPr>
                <w:rFonts w:ascii="Arial" w:cs="Arial" w:eastAsia="Arial" w:hAnsi="Arial"/>
                <w:sz w:val="18"/>
                <w:szCs w:val="18"/>
                <w:color w:val="auto"/>
              </w:rPr>
              <w:t>Panhandle Eastern Pipe Line Company, LP, a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PCBs</w:t>
            </w:r>
          </w:p>
        </w:tc>
        <w:tc>
          <w:tcPr>
            <w:tcW w:w="9420" w:type="dxa"/>
            <w:vAlign w:val="bottom"/>
          </w:tcPr>
          <w:p>
            <w:pPr>
              <w:ind w:left="400"/>
              <w:spacing w:after="0"/>
              <w:rPr>
                <w:sz w:val="20"/>
                <w:szCs w:val="20"/>
                <w:color w:val="auto"/>
              </w:rPr>
            </w:pPr>
            <w:r>
              <w:rPr>
                <w:rFonts w:ascii="Arial" w:cs="Arial" w:eastAsia="Arial" w:hAnsi="Arial"/>
                <w:sz w:val="18"/>
                <w:szCs w:val="18"/>
                <w:color w:val="auto"/>
              </w:rPr>
              <w:t>polychlorinated biphenyls</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PEP</w:t>
            </w:r>
          </w:p>
        </w:tc>
        <w:tc>
          <w:tcPr>
            <w:tcW w:w="9420" w:type="dxa"/>
            <w:vAlign w:val="bottom"/>
          </w:tcPr>
          <w:p>
            <w:pPr>
              <w:ind w:left="400"/>
              <w:spacing w:after="0"/>
              <w:rPr>
                <w:sz w:val="20"/>
                <w:szCs w:val="20"/>
                <w:color w:val="auto"/>
              </w:rPr>
            </w:pPr>
            <w:r>
              <w:rPr>
                <w:rFonts w:ascii="Arial" w:cs="Arial" w:eastAsia="Arial" w:hAnsi="Arial"/>
                <w:sz w:val="18"/>
                <w:szCs w:val="18"/>
                <w:color w:val="auto"/>
              </w:rPr>
              <w:t>Permian Express Partners LLC, a less than wholly-owned subsidiary of ETO</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PES</w:t>
            </w:r>
          </w:p>
        </w:tc>
        <w:tc>
          <w:tcPr>
            <w:tcW w:w="9420" w:type="dxa"/>
            <w:vAlign w:val="bottom"/>
          </w:tcPr>
          <w:p>
            <w:pPr>
              <w:ind w:left="400"/>
              <w:spacing w:after="0"/>
              <w:rPr>
                <w:sz w:val="20"/>
                <w:szCs w:val="20"/>
                <w:color w:val="auto"/>
              </w:rPr>
            </w:pPr>
            <w:r>
              <w:rPr>
                <w:rFonts w:ascii="Arial" w:cs="Arial" w:eastAsia="Arial" w:hAnsi="Arial"/>
                <w:sz w:val="18"/>
                <w:szCs w:val="18"/>
                <w:color w:val="auto"/>
              </w:rPr>
              <w:t>Philadelphia Energy Solutions Refining and Marketing LLC</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Phillips 66</w:t>
            </w:r>
          </w:p>
        </w:tc>
        <w:tc>
          <w:tcPr>
            <w:tcW w:w="9420" w:type="dxa"/>
            <w:vAlign w:val="bottom"/>
          </w:tcPr>
          <w:p>
            <w:pPr>
              <w:ind w:left="400"/>
              <w:spacing w:after="0"/>
              <w:rPr>
                <w:sz w:val="20"/>
                <w:szCs w:val="20"/>
                <w:color w:val="auto"/>
              </w:rPr>
            </w:pPr>
            <w:r>
              <w:rPr>
                <w:rFonts w:ascii="Arial" w:cs="Arial" w:eastAsia="Arial" w:hAnsi="Arial"/>
                <w:sz w:val="18"/>
                <w:szCs w:val="18"/>
                <w:color w:val="auto"/>
              </w:rPr>
              <w:t>Phillips 66 Partners LP</w:t>
            </w:r>
          </w:p>
        </w:tc>
      </w:tr>
      <w:tr>
        <w:trPr>
          <w:trHeight w:val="284"/>
        </w:trPr>
        <w:tc>
          <w:tcPr>
            <w:tcW w:w="1820" w:type="dxa"/>
            <w:vAlign w:val="bottom"/>
          </w:tcPr>
          <w:p>
            <w:pPr>
              <w:ind w:left="20"/>
              <w:spacing w:after="0"/>
              <w:rPr>
                <w:sz w:val="20"/>
                <w:szCs w:val="20"/>
                <w:color w:val="auto"/>
              </w:rPr>
            </w:pPr>
            <w:r>
              <w:rPr>
                <w:rFonts w:ascii="Arial" w:cs="Arial" w:eastAsia="Arial" w:hAnsi="Arial"/>
                <w:sz w:val="18"/>
                <w:szCs w:val="18"/>
                <w:color w:val="auto"/>
              </w:rPr>
              <w:t>PHMSA</w:t>
            </w:r>
          </w:p>
        </w:tc>
        <w:tc>
          <w:tcPr>
            <w:tcW w:w="9420" w:type="dxa"/>
            <w:vAlign w:val="bottom"/>
          </w:tcPr>
          <w:p>
            <w:pPr>
              <w:ind w:left="400"/>
              <w:spacing w:after="0"/>
              <w:rPr>
                <w:sz w:val="20"/>
                <w:szCs w:val="20"/>
                <w:color w:val="auto"/>
              </w:rPr>
            </w:pPr>
            <w:r>
              <w:rPr>
                <w:rFonts w:ascii="Arial" w:cs="Arial" w:eastAsia="Arial" w:hAnsi="Arial"/>
                <w:sz w:val="18"/>
                <w:szCs w:val="18"/>
                <w:color w:val="auto"/>
              </w:rPr>
              <w:t>Pipeline Hazardous Materials Safety Administration</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Regency</w:t>
            </w:r>
          </w:p>
        </w:tc>
        <w:tc>
          <w:tcPr>
            <w:tcW w:w="9420" w:type="dxa"/>
            <w:vAlign w:val="bottom"/>
          </w:tcPr>
          <w:p>
            <w:pPr>
              <w:ind w:left="400"/>
              <w:spacing w:after="0"/>
              <w:rPr>
                <w:sz w:val="20"/>
                <w:szCs w:val="20"/>
                <w:color w:val="auto"/>
              </w:rPr>
            </w:pPr>
            <w:r>
              <w:rPr>
                <w:rFonts w:ascii="Arial" w:cs="Arial" w:eastAsia="Arial" w:hAnsi="Arial"/>
                <w:sz w:val="18"/>
                <w:szCs w:val="18"/>
                <w:color w:val="auto"/>
              </w:rPr>
              <w:t>Regency Energy Partners LP, a wholly-owned subsidiary of ETO</w:t>
            </w:r>
          </w:p>
        </w:tc>
      </w:tr>
      <w:tr>
        <w:trPr>
          <w:trHeight w:val="283"/>
        </w:trPr>
        <w:tc>
          <w:tcPr>
            <w:tcW w:w="1820" w:type="dxa"/>
            <w:vAlign w:val="bottom"/>
          </w:tcPr>
          <w:p>
            <w:pPr>
              <w:ind w:left="20"/>
              <w:spacing w:after="0"/>
              <w:rPr>
                <w:sz w:val="20"/>
                <w:szCs w:val="20"/>
                <w:color w:val="auto"/>
              </w:rPr>
            </w:pPr>
            <w:r>
              <w:rPr>
                <w:rFonts w:ascii="Arial" w:cs="Arial" w:eastAsia="Arial" w:hAnsi="Arial"/>
                <w:sz w:val="18"/>
                <w:szCs w:val="18"/>
                <w:color w:val="auto"/>
              </w:rPr>
              <w:t>RIGS</w:t>
            </w:r>
          </w:p>
        </w:tc>
        <w:tc>
          <w:tcPr>
            <w:tcW w:w="9420" w:type="dxa"/>
            <w:vAlign w:val="bottom"/>
          </w:tcPr>
          <w:p>
            <w:pPr>
              <w:ind w:left="400"/>
              <w:spacing w:after="0"/>
              <w:rPr>
                <w:sz w:val="20"/>
                <w:szCs w:val="20"/>
                <w:color w:val="auto"/>
              </w:rPr>
            </w:pPr>
            <w:r>
              <w:rPr>
                <w:rFonts w:ascii="Arial" w:cs="Arial" w:eastAsia="Arial" w:hAnsi="Arial"/>
                <w:sz w:val="18"/>
                <w:szCs w:val="18"/>
                <w:color w:val="auto"/>
              </w:rPr>
              <w:t>Regency Intrastate Gas System, a wholly-owned subsidiary of ETO</w:t>
            </w:r>
          </w:p>
        </w:tc>
      </w:tr>
      <w:tr>
        <w:trPr>
          <w:trHeight w:val="905"/>
        </w:trPr>
        <w:tc>
          <w:tcPr>
            <w:tcW w:w="1820" w:type="dxa"/>
            <w:vAlign w:val="bottom"/>
          </w:tcPr>
          <w:p>
            <w:pPr>
              <w:spacing w:after="0"/>
              <w:rPr>
                <w:sz w:val="24"/>
                <w:szCs w:val="24"/>
                <w:color w:val="auto"/>
              </w:rPr>
            </w:pPr>
          </w:p>
        </w:tc>
        <w:tc>
          <w:tcPr>
            <w:tcW w:w="9420" w:type="dxa"/>
            <w:vAlign w:val="bottom"/>
          </w:tcPr>
          <w:p>
            <w:pPr>
              <w:ind w:left="3740"/>
              <w:spacing w:after="0"/>
              <w:rPr>
                <w:sz w:val="20"/>
                <w:szCs w:val="20"/>
                <w:color w:val="auto"/>
              </w:rPr>
            </w:pPr>
            <w:r>
              <w:rPr>
                <w:rFonts w:ascii="Arial" w:cs="Arial" w:eastAsia="Arial" w:hAnsi="Arial"/>
                <w:sz w:val="18"/>
                <w:szCs w:val="18"/>
                <w:color w:val="auto"/>
              </w:rPr>
              <w:t>iv</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2"/>
          <w:szCs w:val="12"/>
          <w:b w:val="1"/>
          <w:bCs w:val="1"/>
          <w:u w:val="single" w:color="auto"/>
          <w:color w:val="0000FF"/>
        </w:rPr>
      </w:pPr>
      <w:hyperlink w:anchor="page1">
        <w:r>
          <w:rPr>
            <w:rFonts w:ascii="Arial" w:cs="Arial" w:eastAsia="Arial" w:hAnsi="Arial"/>
            <w:sz w:val="12"/>
            <w:szCs w:val="12"/>
            <w:b w:val="1"/>
            <w:bCs w:val="1"/>
            <w:u w:val="single" w:color="auto"/>
            <w:color w:val="0000FF"/>
          </w:rPr>
          <w:t>Table of Contents</w:t>
        </w:r>
      </w:hyperlink>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Rover Pipeline LLC, a less than wholly-owned subsidiary of ETO</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 Robin Pipeline Company, LLC, a wholly-owned subsidiary of Panhandle</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Securities and Exchange Commission</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SemGroup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SemGroup, LLC (formerly SemGroup Corporation)</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Shell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Royal Dutch Shell plc</w:t>
      </w:r>
    </w:p>
    <w:p>
      <w:pPr>
        <w:spacing w:after="0" w:line="99"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 Gas Storage, LLC (d.b.a. Southwest Gas Storage Company)</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SPLP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Sunoco Pipeline L.P., a wholly-owned subsidiary of ETO</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Sunoco Logistics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Sunoco Logistics Partners Operations L.P, a wholly-owned subsidiary of ETO</w:t>
      </w:r>
    </w:p>
    <w:p>
      <w:pPr>
        <w:spacing w:after="0" w:line="275"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Sunoco (R&amp;M)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Sunoco (R&amp;M), LLC</w:t>
      </w:r>
    </w:p>
    <w:p>
      <w:pPr>
        <w:spacing w:after="0" w:line="88"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Transwestern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Transwestern Pipeline Company, LLC, a wholly-owned subsidiary of ETO</w:t>
      </w:r>
    </w:p>
    <w:p>
      <w:pPr>
        <w:spacing w:after="0" w:line="100"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TRRC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Railroad Commission</w:t>
      </w:r>
    </w:p>
    <w:p>
      <w:pPr>
        <w:spacing w:after="0" w:line="99"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Trunkline Gas Company, LLC, a wholly-owned subsidiary of Panhandle</w:t>
      </w:r>
    </w:p>
    <w:p>
      <w:pPr>
        <w:spacing w:after="0" w:line="99"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Unitholders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of Energy Transfer LP common units</w:t>
      </w:r>
    </w:p>
    <w:p>
      <w:pPr>
        <w:spacing w:after="0" w:line="99"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USAC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USA Compression Partners, LP, a subsidiary of ETO</w:t>
      </w:r>
    </w:p>
    <w:p>
      <w:pPr>
        <w:spacing w:after="0" w:line="99"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WMB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Williams Companies, Inc.</w:t>
      </w:r>
    </w:p>
    <w:p>
      <w:pPr>
        <w:spacing w:after="0" w:line="99"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White Cliffs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White Cliffs Pipeline, L.L.C.</w:t>
      </w:r>
    </w:p>
    <w:p>
      <w:pPr>
        <w:spacing w:after="0" w:line="156" w:lineRule="exact"/>
        <w:rPr>
          <w:sz w:val="20"/>
          <w:szCs w:val="20"/>
          <w:color w:val="auto"/>
        </w:rPr>
      </w:pPr>
    </w:p>
    <w:p>
      <w:pPr>
        <w:sectPr>
          <w:pgSz w:w="11900" w:h="16838" w:orient="portrait"/>
          <w:cols w:equalWidth="0" w:num="2">
            <w:col w:w="1500" w:space="720"/>
            <w:col w:w="9020"/>
          </w:cols>
          <w:pgMar w:left="320" w:top="118" w:right="339" w:bottom="1440" w:gutter="0" w:footer="0" w:header="0"/>
          <w:type w:val="continuous"/>
        </w:sectPr>
      </w:pPr>
    </w:p>
    <w:p>
      <w:pPr>
        <w:jc w:val="both"/>
        <w:spacing w:after="0" w:line="269" w:lineRule="auto"/>
        <w:rPr>
          <w:sz w:val="20"/>
          <w:szCs w:val="20"/>
          <w:color w:val="auto"/>
        </w:rPr>
      </w:pPr>
      <w:r>
        <w:rPr>
          <w:rFonts w:ascii="Arial" w:cs="Arial" w:eastAsia="Arial" w:hAnsi="Arial"/>
          <w:sz w:val="17"/>
          <w:szCs w:val="17"/>
          <w:color w:val="auto"/>
        </w:rPr>
        <w:t>Adjusted EBITDA is a term used throughout this document, which we define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matters discussed in this report, excluding historical information, as well as some statements by Energy Transfer LP (the “Partnership” or “ET”) in periodic press releases and some oral statements of the Partnership’s officials during presentations about the Partnership, include forward-looking statements. These forward-looking statements are identified as any statement that does not relate strictly to historical or current facts. Statements using words such as “anticipate,” “project,” “expect,” “plan,” “goal,” “forecast,” “estimate,” “intend,” “continue,” “could,” “believe,” “may,” “will” or similar expressions help identify forward-looking statements. Although the Partnership and its General Partner believe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Partnership’s actual results may vary materially from those anticipated, estimated, projected, forecasted, expressed or expected in forward-looking statements since many of the factors that determine these results are subject to uncertainties and risks that are difficult to predict and beyond management’s control. For additional discussion of risks, uncertainties and assumptions, see the risk factor summary below and “Item 1A. Risk Factors” included in this annual report.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Risks Related to the Partnership’s Business</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Results of Operations and Financial Condition</w:t>
      </w:r>
      <w:r>
        <w:rPr>
          <w:rFonts w:ascii="Arial" w:cs="Arial" w:eastAsia="Arial" w:hAnsi="Arial"/>
          <w:sz w:val="18"/>
          <w:szCs w:val="18"/>
          <w:color w:val="auto"/>
        </w:rPr>
        <w:t>. Our results of operations and financial condition could be impacted by many risks that are beyond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including the following:</w:t>
      </w:r>
    </w:p>
    <w:p>
      <w:pPr>
        <w:spacing w:after="0" w:line="1"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demand for and price of natural gas, NGLs, crude oil and refined products;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COVID-19 and recent geopolitical developments in the crude oil market;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successfully combine the businesses of Energy Transfer and Enable;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impairment of goodwill and intangible assets;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interruption of supply of crude oil to our facilities;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key producers or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or replace existing customers or volumes due to declining demand or increased competition;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changes in natural gas price spreads between two or more physical locations;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declines over time, which we may not be able to replace with production from newly drilled wells;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ability to use our pipelines and third-party pipelines over which we have no control;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access or continue to access lands owned by third parties;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forward market for crude oil and other products we store;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natural disaster, catastrophe, terrorist attack or other similar event;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union disputes and strikes or work stoppages by unionized employees;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breaches and other disruptions or failures of our information systems;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establish or maintain adequate corporate governance;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claims and litigation;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certain of our joint ventures that we do not control;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levels of congestion in the Houston Ship Channel;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providing pension and other postretirement health care benefits and related funding requirements;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mergers among customers and competitors;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fraudulent activity or misuse of proprietary data involving our outsourcing partners;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the liquefaction project to secure long-term contractual arrangements or necessary approvals.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Our business, results of operations, cash flows and financial condition, as well as our ability to make distributions, could be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debt level and debt agreements, or increases in interest rates;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LIBOR reporting practices or the method in which LIBOR is determined;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credit and risk profile of our general partner and its owners;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downgrade of our credit ratings;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resulting from the use of derivative financial instruments.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Capital Projects and Future Growth</w:t>
      </w:r>
      <w:r>
        <w:rPr>
          <w:rFonts w:ascii="Arial" w:cs="Arial" w:eastAsia="Arial" w:hAnsi="Arial"/>
          <w:sz w:val="18"/>
          <w:szCs w:val="18"/>
          <w:color w:val="auto"/>
        </w:rPr>
        <w:t>. Our business, results of operations, cash flows, financial condition, and future growth could be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make acquisitions on economically acceptable terms, or to successfully integrate acquired assets;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secure debt and equity financing for capital projects on acceptable terms;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construct new pipelines or to do so efficiently;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execute our growth strategy due to increased competition within any of our core businesses;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and retain qualified employees.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Matters</w:t>
      </w:r>
      <w:r>
        <w:rPr>
          <w:rFonts w:ascii="Arial" w:cs="Arial" w:eastAsia="Arial" w:hAnsi="Arial"/>
          <w:sz w:val="18"/>
          <w:szCs w:val="18"/>
          <w:color w:val="auto"/>
        </w:rPr>
        <w:t>. Our business, results of operations, cash flows, financial condition, and future growth could be impacted by the following:</w:t>
      </w:r>
    </w:p>
    <w:p>
      <w:pPr>
        <w:spacing w:after="0" w:line="11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regulation of hydraulic fracturing or produced water disposal;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or regulatory actions related to the Dakota Access Pipeline;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for water resources or limitations on water usage for hydraulic fracturing;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regulations and policies governing the rates, terms and conditions of our services;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recover the full amount of increases in the costs of our pipeline operations;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imposition of regulation on assets not previously subject to regulation;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liabilities resulting from performance of pipeline integrity programs and related repairs;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 more stringent pipeline safety controls or enforcement of legal requirements;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liabilities associated with environmental and worker health and safety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legislation or regulations restricting emissions of greenhouse gases;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provisions of the Dodd-Frank Act and the rules adopted thereunder;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hanging="332"/>
        <w:spacing w:after="0" w:line="258"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deepwater drilling laws and regulations, delays in the processing and approval of drilling permits and exploration, development, oil spill-response and decommissioning plans, and related developments;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regulations governing the specifications of products that we store and transport.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Partnership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r>
        <w:rPr>
          <w:rFonts w:ascii="Arial" w:cs="Arial" w:eastAsia="Arial" w:hAnsi="Arial"/>
          <w:sz w:val="18"/>
          <w:szCs w:val="18"/>
          <w:color w:val="auto"/>
        </w:rPr>
        <w:t>. Our cash distributions could be impacted by the following:</w:t>
      </w:r>
    </w:p>
    <w:p>
      <w:pPr>
        <w:spacing w:after="0" w:line="11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distributions are not guaranteed and may fluctuate with our performance and other external factors;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available cash that are imposed by our distribution policy;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general partner’s absolute discretion in determining the level of cash reserves;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unitholders’ potential liability to repay distributions.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r>
        <w:rPr>
          <w:rFonts w:ascii="Arial" w:cs="Arial" w:eastAsia="Arial" w:hAnsi="Arial"/>
          <w:sz w:val="18"/>
          <w:szCs w:val="18"/>
          <w:color w:val="auto"/>
        </w:rPr>
        <w:t>. Our stakeholders could be impacted by risks related to our general partner, including:</w:t>
      </w:r>
    </w:p>
    <w:p>
      <w:pPr>
        <w:spacing w:after="0" w:line="11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of control of our general partner to a third party without unitholder consent;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cost reimbursements due to our general partner.</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Subsidiaries</w:t>
      </w:r>
      <w:r>
        <w:rPr>
          <w:rFonts w:ascii="Arial" w:cs="Arial" w:eastAsia="Arial" w:hAnsi="Arial"/>
          <w:sz w:val="18"/>
          <w:szCs w:val="18"/>
          <w:color w:val="auto"/>
        </w:rPr>
        <w:t>. Risks that are unique to our subsidiaries and/or our relationship to our subsidiaries could reduce our subsidiaries’ cash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to us, including:</w:t>
      </w:r>
    </w:p>
    <w:p>
      <w:pPr>
        <w:spacing w:after="0" w:line="6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issuance of additional common units by Sunoco LP or USAC;</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decrease in demand for or the price of motor fuel in the areas Sunoco LP serves;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industry trends, which may cause Sunoco LP’s operating costs to fluctuate;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Sunoco LP’s operations due to dangers inherent in motor fuel transportation;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publicity for Sunoco LP resulting from negative events or developments;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to retain necessary land use, which could disrupt Sunoco LP’s operations;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local laws and regulations that govern the industries in which our subsidiaries operate.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Conflicts of Interest</w:t>
      </w:r>
      <w:r>
        <w:rPr>
          <w:rFonts w:ascii="Arial" w:cs="Arial" w:eastAsia="Arial" w:hAnsi="Arial"/>
          <w:sz w:val="18"/>
          <w:szCs w:val="18"/>
          <w:color w:val="auto"/>
        </w:rPr>
        <w:t>. Our stakeholders could be impacted by conflicts of interest, including:</w:t>
      </w:r>
    </w:p>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general partner may favor its own interests to the detriment of our Unitholders;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fiduciary duties owed to Sunoco LP, USAC and their respective unitholders by their general partners;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conflicts of interest faced by directors and officers in managing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Risks</w:t>
      </w:r>
      <w:r>
        <w:rPr>
          <w:rFonts w:ascii="Arial" w:cs="Arial" w:eastAsia="Arial" w:hAnsi="Arial"/>
          <w:sz w:val="18"/>
          <w:szCs w:val="18"/>
          <w:color w:val="auto"/>
        </w:rPr>
        <w:t>. Our stakeholders could be impacted by tax risks, including:</w:t>
      </w:r>
    </w:p>
    <w:p>
      <w:pPr>
        <w:spacing w:after="0" w:line="117" w:lineRule="exact"/>
        <w:rPr>
          <w:sz w:val="20"/>
          <w:szCs w:val="20"/>
          <w:color w:val="auto"/>
        </w:rPr>
      </w:pPr>
    </w:p>
    <w:p>
      <w:pPr>
        <w:ind w:left="340" w:right="20" w:hanging="332"/>
        <w:spacing w:after="0" w:line="258"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tax treatment depends on our status as a partnership for federal income tax purposes, and not being subject to a material amount of entity-level taxation;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 if Unitholders do not receive any cash distributions from us, Unitholders will be required to pay taxes on their share of our taxable income;</w:t>
      </w:r>
    </w:p>
    <w:p>
      <w:pPr>
        <w:spacing w:after="0" w:line="20" w:lineRule="exact"/>
        <w:rPr>
          <w:rFonts w:ascii="Arial" w:cs="Arial" w:eastAsia="Arial" w:hAnsi="Arial"/>
          <w:sz w:val="17"/>
          <w:szCs w:val="17"/>
          <w:color w:val="auto"/>
        </w:rPr>
      </w:pPr>
    </w:p>
    <w:p>
      <w:pPr>
        <w:ind w:left="340" w:right="2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Unitholder’s share of our taxable income may be increased as a result of the IRS successfully contesting any of the federal income tax positions we take; and</w:t>
      </w:r>
    </w:p>
    <w:p>
      <w:pPr>
        <w:ind w:left="340" w:hanging="332"/>
        <w:spacing w:after="0" w:line="26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entities and non-U.S. Unitholders face unique tax issues from owning our common units that may result in adverse tax consequences to them.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a Delaware limited partnership with common units publicly traded on the NYSE under the ticker symbol “ET.”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requires otherwise, references to “we,” “us,” “our,” the “Partnership,” “ET” and “Energy Transfer” mean Energy Transfer LP and its consolidated subsidiaries, which include ETO, ETP GP, ETP LLC, Panhandle, Sunoco LP, USAC and Lake Charles LNG. References to the “Parent Company” mean Energy Transfer LP on a stand-alone basis.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activities in which we are engaged, which are in the United States and Canada, and the operating subsidiaries through which we conduct those activities are as follows:</w:t>
      </w:r>
    </w:p>
    <w:p>
      <w:pPr>
        <w:spacing w:after="0" w:line="6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operations, including the following: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natural gas midstream and 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interstate natural gas transportation and storage;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crude oil, NGL and refined products transportation, terminalling services and acquisition and marketing activities, as well as NGL storage and fractionation services.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own investments in other businesses, including Sunoco LP and USAC, both of which are publicly traded master limited partnerships.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Partnership’s cash flows are derived from distributions related to its investment in ETO, whose cash flows are derived from its subsidiaries, including ETO’s investments in Sunoco LP and USAC. The Parent Company’s primary cash requirements are for distributions to its partners, general and administrative expenses and debt service requirements. The Parent Company-only assets and liabilities are not available to satisfy the debts and other obligations of its subsidiaries. The Parent Company distributes its available cash remaining after satisfaction of the aforementioned cash requirements to its Unitholders on a quarterly basis.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subsidiaries to utilize their resources, along with cash from their operations, to fund their announced growth capital expenditures and working capital needs; however, the Parent Company may issue debt or equity securities from time to time as we deem prudent to provide liquidity for new capital projects of our subsidiaries or for other partnership purposes.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summarizes our organizational structure as of February 12, 2021. For simplicity, certain immaterial entities and ownership interests have not been depicted.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709285" cy="7098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9285" cy="709803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the Partnership and its subsidiaries are collectively referred to in this report as “we,” “us,” “ET,” “Energy Transfer” or “the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Achievements in 2020 and Beyond</w:t>
      </w:r>
    </w:p>
    <w:p>
      <w:pPr>
        <w:spacing w:after="0" w:line="12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third quarter of 2020, the Partnership completed its Lone Star Express expansion under budget and ahead of schedule.</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this first quarter of 2020, we completed the integration of the recently acquired SemGroup business and we began to realize financial savings from those actions.</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the fourth quarter of 2020, the Partnership completed construction of the Orbit Gulf Coast export terminal at Nederland and in January of 2021 loaded the first Very Large Ethane Carrier (“VLEC”) with 911,000 barrels of ethane destined for the northeastern Jiangsu Province, China.</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February 2021, the Partnership announced its entry into a definitive merger agreement to acquire Enable.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17 to our consolidated financial statements in “Item 8. Financial Statements and Supplementary Data” for additional financial information about our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 Segment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Natural gas transportation pipelines receive natural gas from other mainline transportation pipelines, storage facilities and gathering systems and deliver the natural gas to industrial end-users, storage facilities, utilities, power generators and other third-party pipelines. Through our intrastate transportation and storage segment, we own and operate (through wholly-owned subsidiaries or through joint venture interests) approximately 9,400 miles of natural gas transportation pipelines with approximately 22 Bcf/d of transportation capacity and three natural gas storage facilities located in the state of Texas.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Energy Transfer operates one of the largest intrastate pipeline systems in the United States providing energy logistics to major trading hubs and industrial consumption areas throughout the United States. Our intrastate transportation and storage segment focuses on the transportation of natural gas to major markets from various prolific natural gas producing areas (Permian, Barnett, Haynesville and Eagle Ford Shale) through our Oasis pipeline, our ETC Katy pipeline, our natural gas pipeline and storage systems that are referred to as the ET Fuel System, and our HPL System, as further described below.</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intrastate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 transportation pipeline for a specified period of time and which obligates the customer to pay a fee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generate revenues and margin from the sale of natural gas to electric utilities, independent power plants, local distribution companies, industrial end-users and marketing companies on our HPL System. Generally, we purchase natural gas from either the market (including purchases from our marketing operations) or from producers at the wellhead. To the extent the natural gas comes from producers, it is primarily purchased at a discount to a specified market price and typically resold to customers based on an index price. In addition, our intrastate transportation and storage segment generates revenues from fees charged for storing customers’ working natural gas in our storage facilities and from managing natural gas for our own account.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Interstate Transportation and Storage Segment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transportation pipelines receive natural gas from supply sources including other transportation pipelines, storage facilities and gathering systems and deliver the natural gas to industrial end-users and other pipelines. Through our interstate transportation and storage segment, we directly own and operate approximately 12,340 miles of interstate natural gas pipelines with approximately 10.7 Bcf/d of transportation capacity and another approximately 6,780 miles and 10.7 Bcf/d of transportation capacity through joint venture interests.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ETO’s vast interstate natural gas network spans the United States from Florida to California and Texas to Michigan, offering a comprehensive array of pipeline and storage services. Our pipelines have the capability to transport natural gas from nearly all Lower 48 onshore and offshore supply basins to customers in the Southeast, Gulf Coast, Southwest, Midwest, Northeast and Canada. Through numerous interconnections with other pipelines, our interstate systems can access virtually any supply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in the country. As discussed further herein, our interstate segment operations are regulated by the FERC, which has broad regulatory authority over the business and operations of interstate natural gas pipelines.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Lake Charles LNG, our wholly-owned subsidiary, owns an LNG import terminal and regasification facility located on Louisiana’s Gulf Coast near Lake Charles, Louisiana. The import terminal has approximately 9.0 Bcf of above ground storage capacity and the regasification facility has a send out capacity of 1.8 Bcf/d. Lake Charles LNG derives all of its revenue from a series of long-term contracts with a wholly-owned subsidiary of Shell.</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LCL, a wholly-owned subsidiary of ETO, is currently developing a natural gas liquefaction facility for the export of LNG. The project would utilize existing dock and storage facilities owned by Lake Charles LNG located on the Lake Charles site. LCL entered into a prior development agreement with Shell in March 2019; however, Shell withdrew from the project in March 2020 due to adverse market factors affecting Shell's business following the onset of the COVID-19 pandemic. We intend to continue to develop the project, possibly in conjunction with one or more equity partners, and we plan to evaluate a variety of alternatives to advance the project, including the possibility of reducing the size of the project from three trains (16.45 million tonnes per annum of LNG capacity) to two trains (11.0 million tonnes per annum).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 In light of the existing brownfield infrastructure and the advanced state of the development of the project, we plan to continue to pursue the project on a disciplined, cost effective basis, and ultimately we will determine whether to make a final investment decision to proceed with the project based on market conditions, capital expenditure considerations and our success in securing equity participation by third parties as well as long-term LNG offtake commitments on satisfactory terms.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from our interstate transportation and storage segment are primarily derived from the fees we earn from natural gas transportation and storage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midstream industry consists of natural gas gathering, compression, treating, processing, storage, and transportation, and is generally characterized by regional competition based on the proximity of gathering systems and processing plants to natural gas producing wells and the proximity of storage facilities to production areas and end-use markets. Gathering systems generally consist of a network of small diameter pipelines and, if necessary, compression systems, that collect natural gas from points near producing wells and transports it to larger pipelines for further transportation.</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Treating plants remove carbon dioxide and hydrogen sulfide from natural gas that is higher in carbon dioxide, hydrogen sulfide or certain other contaminants, to ensure that it meets pipeline quality specifications. Natural gas processing involves the separation of natural gas into pipeline quality natural gas, or residue gas, and a mixed NGL stream. Some natural gas produced by a well does not meet the pipeline quality specifications established by downstream pipelines or is not suitable for commercial use and must be processed to remove the mixed NGL stream. In addition, some natural gas can be processed to take advantage of favorable margins for NGLs extracted from the gas stream.</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midstream segment, we own and operate natural gas gathering and NGL pipelines, natural gas processing plants, natural gas treating facilities and natural gas conditioning facilities with an aggregate processing capacity of approximately 8.7 Bcf/d. Our midstream segment focuses on the gathering, compression, treating, blending, and processing, and our operations are currently concentrated in major producing basins and shales in South Texas, West Texas, New Mexico, North Texas, East Texas, West Virginia, Pennsylvania, Ohio, Oklahoma, Kansas and Louisiana. Many of our midstream assets are integrated with our intrastate transportation and storage assets.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midstream segment also includes a 60% interest in Edwards Lime Gathering, LLC, which operates natural gas gathering, oil pipeline and oil stabilization facilities in South Texas and a 75% membership interest in ORS, which operates a natural gas gathering system in the Utica shale in Ohio.</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midstream segment results are derived primarily from margins we earn for natural gas volumes that are gathered, transported, purchased and sold through our pipeline systems and the natural gas and NGL volumes processed at our processing and treating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and Refined Products Transportation and Services Segment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NGL operations transport, store and execute acquisition and marketing activities utilizing a complementary network of pipelines, storage and blending facilities, and strategic off-take locations that provide access to multiple NGL markets.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Our NGL and refined products transportation and services segment includes:</w:t>
      </w:r>
    </w:p>
    <w:p>
      <w:pPr>
        <w:spacing w:after="0" w:line="11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4,823 miles of NGL pipelines;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Nederland Terminal and connecting pipelines which provide transportation of ethane, propane, butane and natural gasoline from our Mont Belvieu Facility to our Nederland Terminal where these products can be exported;</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Marcus Hook Terminal which includes fractionation, storage and exporting assets. This facility is connected to our Mariner East pipeline system, which provides for the transportation of ethane and LPG products from western Pennsylvania, West Virginia and eastern Ohio to our Marcus Hook Terminal where these component products can be exported, processed or locally distributed;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NGL and propane fractionation facilities with an aggregate capacity of 975 MBbls/d;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NGL storage facility in Mont Belvieu with a working storage capacity of approximately 50 MMBbls;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NGL storage assets, located at our Cedar Bayou and Hattiesburg storage facilities, and our Nederland, Marcus Hook and Inkster NGL terminals with an aggregate storage capacity of approximately 17 MMBbls.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completed and placed into operation a seventh fractionator at our Mont Belvieu facility. In addition, we placed into service the Lone Star Express pipeline in the third quarter of 2020. The NGL pipelines primarily transport NGLs from the Permian and Delaware basins and the Barnett and Eagle Ford Shales to Mont Belvieu.</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NGL terminalling services are facilitated by approximately 10 MMBbls of NGL storage capacity. These operations also support our liquids blending activities, including the use of our patented butane blending technology. Refined products operations provide transportation and terminalling services through the use of approximately 2,918 miles of refined products pipelines and 37 active refined products marketing terminals. Our marketing terminals are located primarily in the northeast, midwest and southwest United States, with approximately 8 MMBbls of refined products storage capacity. Our refined products operations utilize our integrated pipeline and terminalling assets, as well as acquisition and marketing activities, to service refined products markets in several regions throughout the United States. The mix of products delivered through our refined products pipelines varies seasonally, with gasoline demand peaking during the summer months, and demand for heating oil and other distillate fuels peaking in the winter. The products transported in these pipelines include multiple grades of gasoline and middle distillates, such as heating oil, diesel and jet fuel. Rates for shipments on these product pipelines are regulated by the FERC and other state regulatory agencies, as applicable.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in this segment are principally generated from fees charged to customers under dedicated contracts or take-or-pay contracts. Under a dedicated contract, the customer agrees to deliver the total output from particular processing plants that are connected to the NGL pipeline. Take-or-pay contracts have minimum throughput commitments requiring the customer to pay regardless of whether a fixed volume is transported. Fees are market-based, negotiated with customers and competitive with regional regulated pipelines and fractionators. Storage revenues are derived from base storage and throughput fees. This segment also derives revenues from the marketing of NGLs and processing and fractionating refinery off-gas.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 Segment</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crude oil operations provide transportation (via pipeline and trucking), terminalling and acquisition and marketing services to crude oil markets throughout the southwest, midwest, northwestern and northeastern United States. Through our crude oil transportation and services segment, we own and operate (through wholly-owned subsidiaries or joint venture interests) approximately 10,850 miles of crude oil trunk and gathering pipelines in the southwest and midwest United States. This segment includes equity ownership interests in four crude oil pipelines, the Bakken Pipeline system, Bayou Bridge Pipeline, White Cliffs Pipeline and Maurepas Pipeline. Our crude oil terminalling services operate with an aggregate storage capacity of approximately 71 MMBbls, including approximately 29 MMBbls at our Gulf Coast terminal in Nederland, Texas, approximately 18.2 MMBbls at our Gulf coast terminal on the Houston Ship Channel and approximately 7.7 MMBbls at our Cushing facility in Cushing, Oklahoma. Our crude oil acquisition and marketing activities utilize our pipeline and terminal assets, our proprietary fleet crude oil tractor trailers and truck unloading facilities, as well as third-party assets, to service crude oil markets principally in the midcontinent United States.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throughout our crude oil pipeline systems are generated from tariffs paid by shippers utilizing our transportation services. These tariffs are filed with the FERC and other state regulatory agencies, as applicable.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acquisition and marketing activities include the gathering, purchasing, marketing and selling of crude oil. Specifically, the crude oil acquisition and marketing activities include:</w:t>
      </w:r>
    </w:p>
    <w:p>
      <w:pPr>
        <w:spacing w:after="0" w:line="6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purchasing crude oil at both the wellhead from producers, and in bulk from aggregators at major pipeline interconnections and trading locations;</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storing inventory during contango market conditions (when the price of crude oil for future delivery is higher than current prices);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buying and selling crude oil of different grades at different locations in order to maximize value;</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transporting crude oil using the pipelines, terminals and trucks or, when necessary or cost effective, pipelines, terminals or trucks owned and operated by third parties;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marketing crude oil to major integrated oil companies, independent refiners and resellers through various types of sale and exchange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Sunoco LP is engaged in the distribution of motor fuels to independent dealers, distributors, and other commercial customers and the distribution of motor fuels to end-user customers at retail sites operated by commission agents. Additionally, it receives rental income through the leasing or subleasing of real estate used in the retail distribution of motor fuel. Sunoco LP also operates 78 retail stores located in Hawaii and New Jersey.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Sunoco-branded motor fuel, supplying an extensive distribution network of approximately 5,556 Sunoco-branded company and third-party operated locations throughout the East Coast, Midwest, South Central and Southeast regions of the United States. Sunoco LP believes it is one of the largest independent motor fuel distributors of Chevron, ExxonMobil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USAC provides natural gas compression services throughout the United States, including the Utica, Marcellus, Permian Basin, Delaware Basin, Eagle Ford, Mississippi Lime, Granite Wash, Woodford, Barnett, Haynesville, Niobrara and Fayetteville shales. USAC provides compression services to its customers primarily in connection with infrastructure applications, including both allowing for the processing and transportation of natural gas through the domestic pipeline system and enhancing crude oil production through artificial lift processes. As such, USAC’s compression services play a critical role in the production, processing and transportation of both natural gas and crude oil. As of December 31, 2020, USAC had 3,726,181 horsepower in its fleet.</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USAC operates a modern fleet of compression units, with an average age of approximately seven years. USAC’s standard new-build compression units are generally configured for multiple compression stages allowing USAC to operate its units across a broad range of operating conditions. As part of USAC’s services, it engineers, designs, operates, services and repairs its compression units and maintains related support inventory and equipment.</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USAC provides compression services to its customers under fixed-fee contracts with initial contract terms typically between six months and five years, depending on the application and location of the compression unit. USAC typically continues to provide compression services at a specific location beyond the initial contract term, either through contract renewal or on a month-to-month or longer basis. USAC primarily enters into fixed-fee contracts whereby its customers are required to pay a monthly fee even during periods of limited or disrupted throughput, which enhances the stability and predictability of its cash flows. USAC is not directly exposed to commodity price risk because it does not take title to the natural gas or crude oil involved in its services and because the natural gas used as fuel by its compression units is supplied by its customers without cost to USAC.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USAC’s assets and operations are all located and conducted in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“All Other” segment includes the following:</w:t>
      </w:r>
    </w:p>
    <w:p>
      <w:pPr>
        <w:spacing w:after="0" w:line="117" w:lineRule="exact"/>
        <w:rPr>
          <w:sz w:val="20"/>
          <w:szCs w:val="20"/>
          <w:color w:val="auto"/>
        </w:rPr>
      </w:pPr>
    </w:p>
    <w:p>
      <w:pPr>
        <w:jc w:val="both"/>
        <w:ind w:left="340" w:hanging="332"/>
        <w:spacing w:after="0" w:line="255"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marketing operations in which we market the natural gas that flows through our gathering and intrastate transportation assets, referred to as on-system gas. We also attract other customers by marketing volumes of natural gas that do not move through our assets, referred to as off-system gas. For both on-system and off-system gas, we purchase natural gas from natural gas producers and other suppliers and sell that natural gas to utilities, industrial consumers, other marketers and pipeline companies, thereby generating gross margins based upon the difference between the purchase and resale prices of natural gas, less the costs of transportation. For the off-system gas, we purchase gas or act as an agent for small independent producers that may not have marketing operations.</w:t>
      </w:r>
    </w:p>
    <w:p>
      <w:pPr>
        <w:spacing w:after="0" w:line="8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natural gas compression equipment business which has operations in Arkansas, California, Colorado, Louisiana, New Mexico, Oklahoma, Pennsylvania and Texas.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wholly-owned subsidiary, Dual Drive Technologies, Ltd. (“DDT”), which provides compression services to customers engaged in the transportation of natural gas, including our other segments.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subsidiaries are involved in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PEI Power LLC and PEI Power II LLC, which own and operate a facility in Pennsylvania that generates a total of 75 megawatts of electrical power.</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Our 51% ownership interest in Energy Transfer Canada, which owns and operates natural gas processing and gathering facilities in Alberta, Canada.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descriptions below include summaries of significant assets within the Partnership’s reportable segments. Amounts, such as capacities, volumes and miles included in the descriptions below are approximate and are based on information currently available; such amounts are subject to change based on future events 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and storage facilities in the intrastate transportation and storage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Pipeline</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0"/>
              </w:rPr>
              <w:t>Working Storage</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Miles of Natural</w:t>
            </w:r>
          </w:p>
        </w:tc>
        <w:tc>
          <w:tcPr>
            <w:tcW w:w="1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Throughput</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gridSpan w:val="2"/>
            <w:vMerge w:val="restart"/>
          </w:tcPr>
          <w:p>
            <w:pPr>
              <w:ind w:left="1700"/>
              <w:spacing w:after="0"/>
              <w:rPr>
                <w:sz w:val="20"/>
                <w:szCs w:val="20"/>
                <w:color w:val="auto"/>
              </w:rPr>
            </w:pPr>
            <w:r>
              <w:rPr>
                <w:rFonts w:ascii="Arial" w:cs="Arial" w:eastAsia="Arial" w:hAnsi="Arial"/>
                <w:sz w:val="18"/>
                <w:szCs w:val="18"/>
                <w:color w:val="auto"/>
              </w:rPr>
              <w:t>Description of Assets</w:t>
            </w:r>
          </w:p>
        </w:tc>
        <w:tc>
          <w:tcPr>
            <w:tcW w:w="1640" w:type="dxa"/>
            <w:vAlign w:val="bottom"/>
            <w:gridSpan w:val="2"/>
            <w:vMerge w:val="restart"/>
          </w:tcPr>
          <w:p>
            <w:pPr>
              <w:ind w:left="80"/>
              <w:spacing w:after="0"/>
              <w:rPr>
                <w:sz w:val="20"/>
                <w:szCs w:val="20"/>
                <w:color w:val="auto"/>
              </w:rPr>
            </w:pPr>
            <w:r>
              <w:rPr>
                <w:rFonts w:ascii="Arial" w:cs="Arial" w:eastAsia="Arial" w:hAnsi="Arial"/>
                <w:sz w:val="18"/>
                <w:szCs w:val="18"/>
                <w:color w:val="auto"/>
              </w:rPr>
              <w:t>Ownership Interest</w:t>
            </w:r>
          </w:p>
        </w:tc>
        <w:tc>
          <w:tcPr>
            <w:tcW w:w="1520" w:type="dxa"/>
            <w:vAlign w:val="bottom"/>
            <w:gridSpan w:val="2"/>
            <w:vMerge w:val="continue"/>
          </w:tcPr>
          <w:p>
            <w:pPr>
              <w:spacing w:after="0"/>
              <w:rPr>
                <w:sz w:val="15"/>
                <w:szCs w:val="15"/>
                <w:color w:val="auto"/>
              </w:rPr>
            </w:pPr>
          </w:p>
        </w:tc>
        <w:tc>
          <w:tcPr>
            <w:tcW w:w="1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Capacity</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30"/>
        </w:trPr>
        <w:tc>
          <w:tcPr>
            <w:tcW w:w="506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Gas Pipeline</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(Bcf/d)</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(Bcf/d)</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ET Fuel System</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Oasis Pipeline </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HPL System</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ETC Katy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Regency Intrastate Gas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Comanche Trail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Trans-Pecos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Old Ocean Pipeline, LLC</w:t>
            </w:r>
          </w:p>
        </w:tc>
        <w:tc>
          <w:tcPr>
            <w:tcW w:w="15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Bluff Express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Includes bi-directional capabilities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intrastate transportation and storage assets:</w:t>
      </w:r>
    </w:p>
    <w:p>
      <w:pPr>
        <w:spacing w:after="0" w:line="117" w:lineRule="exact"/>
        <w:rPr>
          <w:sz w:val="20"/>
          <w:szCs w:val="20"/>
          <w:color w:val="auto"/>
        </w:rPr>
      </w:pPr>
    </w:p>
    <w:p>
      <w:pPr>
        <w:jc w:val="both"/>
        <w:ind w:left="340" w:hanging="332"/>
        <w:spacing w:after="0" w:line="25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ET Fuel System serves some of the most prolific production areas in the United States and is comprised of intrastate natural gas pipeline and related natural gas storage facilities. The ET Fuel System has many interconnections with pipelines providing direct access to power plants, other intrastate and interstate pipelines, and has bi-directional capabilities. It is strategically located near high-growth production areas and provides access to the three major natural gas trading centers in Texas, the Waha Hub near Pecos, Texas, the Maypearl Hub in Central Texas and the Carthage Hub in East Texas.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ET Fuel System also includes our Bethel natural gas storage facility, with a working capacity of 6.0 Bcf, an average withdrawal capacity of 300 MMcf/d and an injection capacity of 75 MMcf/d, and our Bryson natural gas storage facility, with a working capacity of 5.2 Bcf, an average withdrawal capacity of 120 MMcf/d and an average injection capacity of 96 MMcf/d. Storage capacity on the ET Fuel System is contracted to third parties under fee-based arrangements that extend through 2023.</w:t>
      </w:r>
    </w:p>
    <w:p>
      <w:pPr>
        <w:spacing w:after="0" w:line="79"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In addition, the ET Fuel System is integrated with our Godley processing plant which gives us the ability to bypass the plant when processing margins are unfavorable by blending the untreated natural gas from the North Texas System with natural gas on the ET Fuel System while continuing to meet pipeline quality specifications.</w:t>
      </w:r>
    </w:p>
    <w:p>
      <w:pPr>
        <w:spacing w:after="0" w:line="76" w:lineRule="exact"/>
        <w:rPr>
          <w:sz w:val="20"/>
          <w:szCs w:val="20"/>
          <w:color w:val="auto"/>
        </w:rPr>
      </w:pPr>
    </w:p>
    <w:p>
      <w:pPr>
        <w:jc w:val="both"/>
        <w:ind w:left="340" w:hanging="332"/>
        <w:spacing w:after="0" w:line="286" w:lineRule="auto"/>
        <w:tabs>
          <w:tab w:leader="none" w:pos="3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Oasis Pipeline is primarily a 36-inch natural gas pipeline. It has bi-directional capabilities with approximately 1.3 Bcf/d of throughput capacity moving west-to-east and greater than 750 MMcf/d of throughput capacity moving east-to-west. The Oasis pipeline connects to the Waha and Katy market hubs and has many interconnections with other pipelines, power plants, processing facilities, municipalities and producers.</w:t>
      </w:r>
    </w:p>
    <w:p>
      <w:pPr>
        <w:spacing w:after="0" w:line="57" w:lineRule="exact"/>
        <w:rPr>
          <w:rFonts w:ascii="Arial" w:cs="Arial" w:eastAsia="Arial" w:hAnsi="Arial"/>
          <w:sz w:val="17"/>
          <w:szCs w:val="17"/>
          <w:color w:val="auto"/>
        </w:rPr>
      </w:pPr>
    </w:p>
    <w:p>
      <w:pPr>
        <w:jc w:val="both"/>
        <w:ind w:left="340"/>
        <w:spacing w:after="0" w:line="275" w:lineRule="auto"/>
        <w:rPr>
          <w:rFonts w:ascii="Arial" w:cs="Arial" w:eastAsia="Arial" w:hAnsi="Arial"/>
          <w:sz w:val="17"/>
          <w:szCs w:val="17"/>
          <w:color w:val="auto"/>
        </w:rPr>
      </w:pPr>
      <w:r>
        <w:rPr>
          <w:rFonts w:ascii="Arial" w:cs="Arial" w:eastAsia="Arial" w:hAnsi="Arial"/>
          <w:sz w:val="17"/>
          <w:szCs w:val="17"/>
          <w:color w:val="auto"/>
        </w:rPr>
        <w:t>The Oasis pipeline is integrated with our gathering system known as the Southeast Texas System and is an important component to maximizing our Southeast Texas System’s profitability. The Oasis pipeline enhances the Southeast Texas System by (i) providing access for natural gas gathered on the Southeast Texas System to other third-party supply and market points and interconnecting pipelines and (ii) allowing us to bypass our processing plants and treating facilities on the Southeast Texas System when processing margins are unfavorable by blending untreated natural gas from the Southeast Texas System with gas on the Oasis pipeline while continuing to meet pipeline quality specifications.</w:t>
      </w:r>
    </w:p>
    <w:p>
      <w:pPr>
        <w:spacing w:after="0" w:line="68" w:lineRule="exact"/>
        <w:rPr>
          <w:rFonts w:ascii="Arial" w:cs="Arial" w:eastAsia="Arial" w:hAnsi="Arial"/>
          <w:sz w:val="17"/>
          <w:szCs w:val="17"/>
          <w:color w:val="auto"/>
        </w:rPr>
      </w:pPr>
    </w:p>
    <w:p>
      <w:pPr>
        <w:jc w:val="both"/>
        <w:ind w:left="340" w:hanging="332"/>
        <w:spacing w:after="0" w:line="254"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HPL System is an extensive network of intrastate natural gas pipelines, an underground Bammel storage reservoir and related transportation assets. The system has access to multiple sources of historically significant natural gas supply reserves from South Texas, the Gulf Coast of Texas, East Texas and the western Gulf of Mexico, and is directly connected to major gas distribution, electric and industrial load centers in Houston, Corpus Christi, Texas City, Beaumont and other cities located along the Gulf Coast of Texas. The HPL System is well situated to gather and transport gas in many of the major gas producing areas in Texas including a strong presence in the key Houston Ship Channel and Katy Hub markets, allowing us to play an important role in the Texas natural gas markets. The HPL System also offers its shippers off-system opportunities due to its numerous interconnections with other pipeline systems, its direct access to multiple market hubs at Katy, the Houston Ship Channel, Carthage and Agua Dulce, as well as our Bammel storage facility.</w:t>
      </w:r>
    </w:p>
    <w:p>
      <w:pPr>
        <w:spacing w:after="0" w:line="83" w:lineRule="exact"/>
        <w:rPr>
          <w:rFonts w:ascii="Arial" w:cs="Arial" w:eastAsia="Arial" w:hAnsi="Arial"/>
          <w:sz w:val="18"/>
          <w:szCs w:val="18"/>
          <w:color w:val="auto"/>
        </w:rPr>
      </w:pPr>
    </w:p>
    <w:p>
      <w:pPr>
        <w:jc w:val="both"/>
        <w:ind w:left="340"/>
        <w:spacing w:after="0" w:line="279" w:lineRule="auto"/>
        <w:rPr>
          <w:rFonts w:ascii="Arial" w:cs="Arial" w:eastAsia="Arial" w:hAnsi="Arial"/>
          <w:sz w:val="18"/>
          <w:szCs w:val="18"/>
          <w:color w:val="auto"/>
        </w:rPr>
      </w:pPr>
      <w:r>
        <w:rPr>
          <w:rFonts w:ascii="Arial" w:cs="Arial" w:eastAsia="Arial" w:hAnsi="Arial"/>
          <w:sz w:val="17"/>
          <w:szCs w:val="17"/>
          <w:color w:val="auto"/>
        </w:rPr>
        <w:t>The Bammel storage facility has a total working gas capacity of approximately 52.5 Bcf, a peak withdrawal rate of 1.3 Bcf/d and a peak injection rate of 0.6 Bcf/d. The Bammel storage facility is located near the Houston Ship Channel market area and the Katy Hub, and is ideally suited to provide a physical backup for on-system and off-system customers. As of December 31, 2020, we had approximately 19.0 Bcf committed under fee-based arrangements with third parties and approximately 28.7 Bcf stored in the facility for our own account.</w:t>
      </w:r>
    </w:p>
    <w:p>
      <w:pPr>
        <w:spacing w:after="0" w:line="63"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ETC Katy Pipeline connects three treating facilities, one of which we own, with our gathering system known as Southeast Texas System. The ETC Katy pipeline serves producers in East and North Central Texas and provided access to the Katy Hub. The ETC Katy pipeline expansions include the 36-inch East Texas extension to connect our Reed compressor station in Freestone County to our Grimes County compressor station, the 36-inch Katy expansion connecting Grimes to the Katy Hub, and the 42-inch Southeast Bossier pipeline connecting our Cleburne to Carthage pipeline to the HPL System.</w:t>
      </w:r>
    </w:p>
    <w:p>
      <w:pPr>
        <w:spacing w:after="0" w:line="7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RIGS is a 450-mile intrastate pipeline that delivers natural gas from northwest Louisiana to downstream pipelines and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Comanche Trail Pipeline is a 195-mile intrastate pipeline that delivers natural gas from the Waha Hub near Pecos, Texas to the United States/Mexico border near San Elizario, Texas. The Partnership owns a 16% membership interest in and operates Comanche Trail.</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Trans-Pecos Pipeline is a 143-mile intrastate pipeline that delivers natural gas from the Waha Hub near Pecos, Texas to the United States/Mexico border near Presidio, Texas. The Partnership owns a 16% membership interest in and operates Trans-Pecos.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Old Ocean is a 240-mile intrastate pipeline system that delivers natural gas from Ellis County, Texas to Brazoria County, Texas. The Partnership owns a 50% membership interest in and operates Old Ocean.</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 Bluff Express Pipeline is an approximately 108-mile intrastate pipeline that runs through the heart of the Delaware basin and connects our Orla Plant, as well as third-party plants to the Waha Oasis Header. The Partnership owns a 70% membership interest in and operates Red Bluff Express.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Interstate Transportation and Storage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in the interstate transportation and storage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Pipeline</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2"/>
              </w:rPr>
              <w:t>Working Gas</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Miles of Natural</w:t>
            </w:r>
          </w:p>
        </w:tc>
        <w:tc>
          <w:tcPr>
            <w:tcW w:w="1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Throughput</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gridSpan w:val="2"/>
            <w:vMerge w:val="restart"/>
          </w:tcPr>
          <w:p>
            <w:pPr>
              <w:ind w:left="1700"/>
              <w:spacing w:after="0"/>
              <w:rPr>
                <w:sz w:val="20"/>
                <w:szCs w:val="20"/>
                <w:color w:val="auto"/>
              </w:rPr>
            </w:pPr>
            <w:r>
              <w:rPr>
                <w:rFonts w:ascii="Arial" w:cs="Arial" w:eastAsia="Arial" w:hAnsi="Arial"/>
                <w:sz w:val="18"/>
                <w:szCs w:val="18"/>
                <w:color w:val="auto"/>
              </w:rPr>
              <w:t>Description of Assets</w:t>
            </w:r>
          </w:p>
        </w:tc>
        <w:tc>
          <w:tcPr>
            <w:tcW w:w="1640" w:type="dxa"/>
            <w:vAlign w:val="bottom"/>
            <w:gridSpan w:val="2"/>
            <w:vMerge w:val="restart"/>
          </w:tcPr>
          <w:p>
            <w:pPr>
              <w:ind w:left="80"/>
              <w:spacing w:after="0"/>
              <w:rPr>
                <w:sz w:val="20"/>
                <w:szCs w:val="20"/>
                <w:color w:val="auto"/>
              </w:rPr>
            </w:pPr>
            <w:r>
              <w:rPr>
                <w:rFonts w:ascii="Arial" w:cs="Arial" w:eastAsia="Arial" w:hAnsi="Arial"/>
                <w:sz w:val="18"/>
                <w:szCs w:val="18"/>
                <w:color w:val="auto"/>
              </w:rPr>
              <w:t>Ownership Interest</w:t>
            </w:r>
          </w:p>
        </w:tc>
        <w:tc>
          <w:tcPr>
            <w:tcW w:w="1520" w:type="dxa"/>
            <w:vAlign w:val="bottom"/>
            <w:gridSpan w:val="2"/>
            <w:vMerge w:val="continue"/>
          </w:tcPr>
          <w:p>
            <w:pPr>
              <w:spacing w:after="0"/>
              <w:rPr>
                <w:sz w:val="15"/>
                <w:szCs w:val="15"/>
                <w:color w:val="auto"/>
              </w:rPr>
            </w:pPr>
          </w:p>
        </w:tc>
        <w:tc>
          <w:tcPr>
            <w:tcW w:w="1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Capacity</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29"/>
        </w:trPr>
        <w:tc>
          <w:tcPr>
            <w:tcW w:w="506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Gas Pipeline</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(Bcf/d)</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(Bcf/d)</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Florida Gas Transmission</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Transwestern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Panhandle Eastern Pipe Line </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Trunkline Gas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Tiger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Fayetteville Express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 Robin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Stingray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Rover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Midcontinent Express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Gulf States Transmission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Natural gas storage assets are owned by Southwest Gas.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interstate transportation and storage assets:</w:t>
      </w:r>
    </w:p>
    <w:p>
      <w:pPr>
        <w:spacing w:after="0" w:line="117" w:lineRule="exact"/>
        <w:rPr>
          <w:sz w:val="20"/>
          <w:szCs w:val="20"/>
          <w:color w:val="auto"/>
        </w:rPr>
      </w:pPr>
    </w:p>
    <w:p>
      <w:pPr>
        <w:jc w:val="both"/>
        <w:ind w:left="340" w:hanging="332"/>
        <w:spacing w:after="0" w:line="293"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Florida Gas Transmission Pipeline (“FGT”) has mainline capacity of 3.5 Bcf/d and approximately 5,362 miles of pipelines extending from south Texas through the Gulf Coast region of the United States to south Florida. The FGT system receives natural gas from various onshore and offshore natural gas producing basins. FGT is the principal transporter of natural gas to the Florida energy market, delivering approximately 60% of the natural gas consumed in the state. In addition, FGT’s system operates and maintains multiple interconnects with major interstate and intrastate natural gas pipelines, which provide FGT’s customers access to diverse natural gas producing regions. FGT’s customers include electric utilities, independent power producers, industrial end-users and local distribution companies. FGT is owned by Citrus, a 50/50 joint venture with KMI.</w:t>
      </w:r>
    </w:p>
    <w:p>
      <w:pPr>
        <w:spacing w:after="0" w:line="56" w:lineRule="exact"/>
        <w:rPr>
          <w:rFonts w:ascii="Arial" w:cs="Arial" w:eastAsia="Arial" w:hAnsi="Arial"/>
          <w:sz w:val="16"/>
          <w:szCs w:val="16"/>
          <w:color w:val="auto"/>
        </w:rPr>
      </w:pPr>
    </w:p>
    <w:p>
      <w:pPr>
        <w:jc w:val="both"/>
        <w:ind w:left="340" w:hanging="332"/>
        <w:spacing w:after="0" w:line="301"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Transwestern Pipeline transports natural gas supply from the Permian Basin in West Texas and eastern New Mexico, the San Juan Basin in northwestern New Mexico and southern Colorado, and the Anadarko Basin in the Texas and Oklahoma panhandles. The system has bi-directional capabilities and can access Texas and Midcontinent natural gas market hubs, as well as major western markets in Arizona, Nevada and California. Transwestern’s customers include local distribution companies, producers, marketers, electric power generators and industrial end-users.</w:t>
      </w:r>
    </w:p>
    <w:p>
      <w:pPr>
        <w:spacing w:after="0" w:line="49"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Panhandle Eastern Pipe Line’s transmission system consists of four large diameter pipelines with bi-directional capabilities, extending approximately 1,300 miles from producing areas in the Anadarko Basin of Texas, Oklahoma and Kansas through Missouri, Illinois, Indiana, Ohio and into Michigan. Panhandle contracts for over 73 Bcf of natural gas storage.</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Trunkline Gas Company’s transmission system consists of one large diameter pipeline with bi-directional capabilities, extending approximately 1,400 miles from the Gulf Coast areas of Texas and Louisiana through Arkansas, Mississippi, Tennessee, Kentucky, Illinois, Indiana and Michigan. Trunkline has one natural gas storage field located in Louisiana.</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Tiger Pipeline is a bi-directional system that extends through the heart of the Haynesville Shale and ends near Delhi, Louisiana, interconnecting with multiple interstate pipelines.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Fayetteville Express Pipeline originates near Conway County, Arkansas and continues eastward to Panola County, Mississippi with multiple pipeline interconnections along the route. Fayetteville Express Pipeline is owned by a 50/50 joint venture with KMI.</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 Robin Pipeline’s system consists of two offshore Louisiana natural gas supply pipelines extending 120 miles into the Gulf of Mexico.</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Stingray Pipeline is an interstate natural gas pipeline system with related assets located in the western Gulf of Mexico and Johnson Bayou, Louisiana. Stingray has recently filed with the FERC to abandon a portion of its system to be used in non-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 service and the remaining portion to be operated as a non-FERC-regulated gathering system. The proceeding is pending a decision from FERC.</w:t>
      </w:r>
    </w:p>
    <w:p>
      <w:pPr>
        <w:spacing w:after="0" w:line="140" w:lineRule="exact"/>
        <w:rPr>
          <w:sz w:val="20"/>
          <w:szCs w:val="20"/>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Rover Pipeline is a large diameter pipeline with total capacity to transport 3.4 Bcf/d natural gas from processing plants in West Virginia, Eastern Ohio and Western Pennsylvania for delivery to other pipeline interconnects in Ohio and Michigan, where the gas is delivered for distribution to markets across the United States, as well as to Ontario, Canada.</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Midcontinent Express Pipeline originates near Bennington, Oklahoma and traverses northern Louisiana and central Mississippi to an interconnect with the Transcontinental Gas Pipeline system in Butler, Alabama. The Midcontinent Express Pipeline is owned by a 50/50 joint venture with KMI, the operator of the system.</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Gulf States Transmission is a 10-mile interstate pipeline that extends from Harrison County, Texas to Caddo Parish, Louisiana.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Regasification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Lake Charles LNG, our wholly-owned subsidiary, owns an LNG import terminal and regasification facility located on Louisiana’s Gulf Coast near Lake Charles, Louisiana. The import terminal has approximately 9.0 Bcf of above ground LNG storage capacity and the regasification facility has a send out capacity of 1.8 Bcf/d.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Liquefaction Project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LCL, a wholly-owned subsidiary of ETO, is in the process of developing an LNG liquefaction project at the site of our Lake Charles LNG import terminal and regasification facility. The project would utilize existing dock and storage facilities owned by Lake Charles LNG located on the Lake Charles site. LCL entered into a prior development agreement with Shell in March 2019; however, Shell withdrew from the project in March 2020 due to adverse market factors affecting Shell's business following the onset of the COVID-19 pandemic. We intend to continue to develop the project, possibly in conjunction with one or more equity partners, and we plan to evaluate a variety of alternatives to advance the project, including the possibility of reducing the size of the project from three trains (16.45 million tonnes per annum of LNG capacity) to two trains (11.0 million tonnes per annum).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 In light of the existing brownfield infrastructure and the advanced state of the development of the project, we plan to continue to pursue the project on a disciplined, cost effective basis, and ultimately we will determine whether to make a final investment decision to proceed with the project based on market conditions, capital expenditure considerations and our success in securing equity participation by third parties as well as long-term LNG offtake commitments on satisfactory terms. LCL is actively involved in a variety of activities related to the development of the project and has also been marketing LNG offtake to numerous potential customers in Asia and Europe.</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export of LNG produced by the liquefaction project from the United States would be undertaken under long-term export authorizations issued by the DOE to LCL. In March 2013, LCL obtained a DOE authorization to export LNG to countries with which the United States has or will have Free Trade Agreements (“FTA”) for trade in natural gas (the “FTA Authorization”). In July 2016, LCL also obtained a conditional DOE authorization to export LNG to countries that do not have an FTA for trade in natural gas (the “Non-FTA Authorization”). In October 2020, the DOE extended the FTA Authorization and Non-FTA Authorization to 30- and 25-year terms, respectively, following first deliveries on or before December 2025, consistent with the FERC authorization for the project. The FTA Authorization and Non-FTA Authorization have 25- and 20-year terms, respectively, commencing with the completion of construction of the liquefaction facility. In addition, LCL received its wetlands permits from the USACE to perform wetlands mitigation work and to perform modification and dredging work for the temporary and permanent dock facilities at the Lake Charles LNG facilities.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in the midstream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Net Gas</w:t>
            </w:r>
          </w:p>
        </w:tc>
        <w:tc>
          <w:tcPr>
            <w:tcW w:w="0" w:type="dxa"/>
            <w:vAlign w:val="bottom"/>
          </w:tcPr>
          <w:p>
            <w:pPr>
              <w:spacing w:after="0"/>
              <w:rPr>
                <w:sz w:val="1"/>
                <w:szCs w:val="1"/>
                <w:color w:val="auto"/>
              </w:rPr>
            </w:pPr>
          </w:p>
        </w:tc>
      </w:tr>
      <w:tr>
        <w:trPr>
          <w:trHeight w:val="175"/>
        </w:trPr>
        <w:tc>
          <w:tcPr>
            <w:tcW w:w="9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7"/>
              </w:rPr>
              <w:t>Processing</w:t>
            </w:r>
          </w:p>
        </w:tc>
        <w:tc>
          <w:tcPr>
            <w:tcW w:w="0" w:type="dxa"/>
            <w:vAlign w:val="bottom"/>
          </w:tcPr>
          <w:p>
            <w:pPr>
              <w:spacing w:after="0"/>
              <w:rPr>
                <w:sz w:val="1"/>
                <w:szCs w:val="1"/>
                <w:color w:val="auto"/>
              </w:rPr>
            </w:pPr>
          </w:p>
        </w:tc>
      </w:tr>
      <w:tr>
        <w:trPr>
          <w:trHeight w:val="176"/>
        </w:trPr>
        <w:tc>
          <w:tcPr>
            <w:tcW w:w="9780" w:type="dxa"/>
            <w:vAlign w:val="bottom"/>
            <w:gridSpan w:val="2"/>
            <w:vMerge w:val="restart"/>
          </w:tcPr>
          <w:p>
            <w:pPr>
              <w:ind w:left="4060"/>
              <w:spacing w:after="0"/>
              <w:rPr>
                <w:sz w:val="20"/>
                <w:szCs w:val="20"/>
                <w:color w:val="auto"/>
              </w:rPr>
            </w:pPr>
            <w:r>
              <w:rPr>
                <w:rFonts w:ascii="Arial" w:cs="Arial" w:eastAsia="Arial" w:hAnsi="Arial"/>
                <w:sz w:val="18"/>
                <w:szCs w:val="18"/>
                <w:color w:val="auto"/>
              </w:rPr>
              <w:t>Description of Assets</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29"/>
        </w:trPr>
        <w:tc>
          <w:tcPr>
            <w:tcW w:w="9780" w:type="dxa"/>
            <w:vAlign w:val="bottom"/>
            <w:gridSpan w:val="2"/>
            <w:vMerge w:val="continue"/>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(MMcf/d)</w:t>
            </w:r>
          </w:p>
        </w:tc>
        <w:tc>
          <w:tcPr>
            <w:tcW w:w="0" w:type="dxa"/>
            <w:vAlign w:val="bottom"/>
          </w:tcPr>
          <w:p>
            <w:pPr>
              <w:spacing w:after="0"/>
              <w:rPr>
                <w:sz w:val="1"/>
                <w:szCs w:val="1"/>
                <w:color w:val="auto"/>
              </w:rPr>
            </w:pPr>
          </w:p>
        </w:tc>
      </w:tr>
      <w:tr>
        <w:trPr>
          <w:trHeight w:val="223"/>
        </w:trPr>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South Texas Region:</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Southeast Texas System</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Eagle Ford System</w:t>
            </w:r>
          </w:p>
        </w:tc>
        <w:tc>
          <w:tcPr>
            <w:tcW w:w="144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Ark-La-Tex Region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9"/>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North Central Texas Region</w:t>
            </w:r>
          </w:p>
        </w:tc>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Permian Region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29"/>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Midcontinent Region</w:t>
            </w:r>
          </w:p>
        </w:tc>
        <w:tc>
          <w:tcPr>
            <w:tcW w:w="144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midstream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Texas Region:</w:t>
      </w:r>
    </w:p>
    <w:p>
      <w:pPr>
        <w:spacing w:after="0" w:line="117" w:lineRule="exact"/>
        <w:rPr>
          <w:sz w:val="20"/>
          <w:szCs w:val="20"/>
          <w:color w:val="auto"/>
        </w:rPr>
      </w:pPr>
    </w:p>
    <w:p>
      <w:pPr>
        <w:jc w:val="both"/>
        <w:ind w:left="340" w:hanging="332"/>
        <w:spacing w:after="0" w:line="293"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Southeast Texas System is an integrated system that gathers, compresses, treats, processes, dehydrates and transports natural gas from the Austin Chalk trend and Eagle Ford shale formation. The Southeast Texas System is a large natural gas gathering system covering thirteen counties between Austin and Houston. This system is connected to the Katy Hub through the ETC Katy Pipeline and is also connected to the Oasis Pipeline. The Southeast Texas System includes two natural gas processing plants (La Grange and Alamo) with aggregate capacity of 410 MMcf/d. The La Grange and Alamo processing plants are natural gas processing plants that process the rich gas that flows through our gathering system to produce residue gas and NGLs. Residue gas is delivered into our intrastate pipelines and NGLs are delivered into our NGL pipelines to Lone Star.</w:t>
      </w:r>
    </w:p>
    <w:p>
      <w:pPr>
        <w:spacing w:after="0" w:line="56" w:lineRule="exact"/>
        <w:rPr>
          <w:rFonts w:ascii="Arial" w:cs="Arial" w:eastAsia="Arial" w:hAnsi="Arial"/>
          <w:sz w:val="16"/>
          <w:szCs w:val="16"/>
          <w:color w:val="auto"/>
        </w:rPr>
      </w:pPr>
    </w:p>
    <w:p>
      <w:pPr>
        <w:ind w:left="340" w:right="20"/>
        <w:spacing w:after="0" w:line="277" w:lineRule="auto"/>
        <w:rPr>
          <w:rFonts w:ascii="Arial" w:cs="Arial" w:eastAsia="Arial" w:hAnsi="Arial"/>
          <w:sz w:val="16"/>
          <w:szCs w:val="16"/>
          <w:color w:val="auto"/>
        </w:rPr>
      </w:pPr>
      <w:r>
        <w:rPr>
          <w:rFonts w:ascii="Arial" w:cs="Arial" w:eastAsia="Arial" w:hAnsi="Arial"/>
          <w:sz w:val="18"/>
          <w:szCs w:val="18"/>
          <w:color w:val="auto"/>
        </w:rPr>
        <w:t>Our treating facilities remove carbon dioxide and hydrogen sulfide from natural gas gathered into our system before the natural gas is introduced to transportation pipelines to ensure that the gas meets pipeline quality specifications.</w:t>
      </w:r>
    </w:p>
    <w:p>
      <w:pPr>
        <w:spacing w:after="0" w:line="62"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Eagle Ford Gathering System consists of 30-inch and 42-inch natural gas gathering pipelines with over 1.4 Bcf/d of capacity originating in Dimmitt County, Texas, and extending to both our King Ranch gas plant in Kleberg County, Texas and Jackson plant in Jackson County, Texas. The Eagle Ford Gathering System includes four processing plants (Chisholm, Kenedy, Jackson and King Ranch) with aggregate capacity of 1.92 Bcf/d. Our Chisholm, Kenedy, Jackson and King Ranch processing plants are connected to our intrastate transportation pipeline systems for deliveries of residue gas and are also connected with our NGL pipelines for delivery of NGLs to Lone Star.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Ark-La-Tex Region:</w:t>
      </w:r>
    </w:p>
    <w:p>
      <w:pPr>
        <w:spacing w:after="0" w:line="117" w:lineRule="exact"/>
        <w:rPr>
          <w:sz w:val="20"/>
          <w:szCs w:val="20"/>
          <w:color w:val="auto"/>
        </w:rPr>
      </w:pPr>
    </w:p>
    <w:p>
      <w:pPr>
        <w:jc w:val="both"/>
        <w:ind w:left="34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Northern Louisiana assets are comprised of several gathering systems in the Haynesville Shale with access to multiple markets through interconnects with several pipelines, including our Tiger Pipeline. Our Northern Louisiana assets include the Bistineau, Creedence, and Tristate Systems, which collectively include three natural gas treating facilities, with aggregate capacity of 1.4 Bcf/d.</w:t>
      </w:r>
    </w:p>
    <w:p>
      <w:pPr>
        <w:spacing w:after="0" w:line="75"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Ark-La-Tex assets gather, compress, treat and dehydrate natural gas in several parishes in north and west Louisiana and several counties in East Texas. These assets also include cryogenic natural gas processing facilities, a refrigeration plant, a conditioning plant, amine treating plants, a residue gas pipeline that provides market access for natural gas from our processing plants, including connections with pipelines that provide access to the Perryville Hub and other markets in the Gulf Coast region, and an NGL pipeline that provides connections to the Mont Belvieu market for NGLs produced from our processing plants. Collectively, the ten natural gas processing facilities (Dubach, Dubberly, Lisbon, Salem, Elm Grove, Minden, Ada, Brookeland, Lincoln Parish and Mt. Olive) have an aggregate capacity of 1.3 Bcf/d.</w:t>
      </w:r>
    </w:p>
    <w:p>
      <w:pPr>
        <w:spacing w:after="0" w:line="69" w:lineRule="exact"/>
        <w:rPr>
          <w:rFonts w:ascii="Arial" w:cs="Arial" w:eastAsia="Arial" w:hAnsi="Arial"/>
          <w:sz w:val="17"/>
          <w:szCs w:val="17"/>
          <w:color w:val="auto"/>
        </w:rPr>
      </w:pPr>
    </w:p>
    <w:p>
      <w:pPr>
        <w:ind w:left="340" w:right="20" w:hanging="332"/>
        <w:spacing w:after="0" w:line="308" w:lineRule="auto"/>
        <w:tabs>
          <w:tab w:leader="none" w:pos="3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Through the gathering and processing systems described above and their interconnections with RIGS in north Louisiana, as well as other pipelines, we offer producers wellhead-to-market services, including natural gas gathering, compression, processing, treating and transportation.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Central Texas Region:</w:t>
      </w:r>
    </w:p>
    <w:p>
      <w:pPr>
        <w:spacing w:after="0" w:line="117" w:lineRule="exact"/>
        <w:rPr>
          <w:sz w:val="20"/>
          <w:szCs w:val="20"/>
          <w:color w:val="auto"/>
        </w:rPr>
      </w:pPr>
    </w:p>
    <w:p>
      <w:pPr>
        <w:jc w:val="both"/>
        <w:ind w:left="340" w:hanging="332"/>
        <w:spacing w:after="0" w:line="259"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North Central Texas System is an integrated system located in four counties in North Central Texas that gathers, compresses, treats, processes and transports natural gas from the Barnett and Woodford Shales. Our North Central Texas assets include our Godley and Crescent plants, which process rich gas produced from the Barnett Shale and STACK play, with aggregate capacity of 700 MMcf/d. The Godley plant is integrated with the ET Fuel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Permian Region:</w:t>
      </w:r>
    </w:p>
    <w:p>
      <w:pPr>
        <w:spacing w:after="0" w:line="117" w:lineRule="exact"/>
        <w:rPr>
          <w:sz w:val="20"/>
          <w:szCs w:val="20"/>
          <w:color w:val="auto"/>
        </w:rPr>
      </w:pPr>
    </w:p>
    <w:p>
      <w:pPr>
        <w:jc w:val="both"/>
        <w:ind w:left="340" w:hanging="332"/>
        <w:spacing w:after="0" w:line="254"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Permian Basin Gathering System offers wellhead-to-market services to producers in eleven counties in West Texas, as well as two counties in New Mexico which surround the Waha Hub, one of Texas’s developing NGL-rich natural gas market areas. As a result of the proximity of our system to the Waha Hub, the Waha Gathering System has a variety of market outlets for the natural gas that we gather and process, including several major interstate and intrastate pipelines serving California, the midcontinent region of the United States and Texas natural gas markets. The NGL market outlets includes Lone Star’s liquids pipelines. The Permian Basin Gathering System includes eleven processing facilities (Waha, Coyanosa, Red Bluff, Halley, Jal, Keyston, Tippet, Orla, Panther, Rebel and Arrowhead) with an aggregate processing capacity of 2.4 Bcf/d and one natural gas conditioning facility with aggregate capacity of 200 MMcf/d.</w:t>
      </w:r>
    </w:p>
    <w:p>
      <w:pPr>
        <w:spacing w:after="0" w:line="86"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own a 50% membership interest in Mi Vida JV LLC, a joint venture which owns a 200 MMcf/d cryogenic processing plant in West Texas. We operate the plant and related facilities on behalf of the joint venture.</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own a 50% membership interest in Ranch Westex JV, LLC, which processes natural gas delivered from the NGL-rich Bone Spring and Avalon Shale formations in West Texas. The joint venture owns a 25 MMcf/d refrigeration plant and a 125 MMcf/d cryogenic processing plant.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 Region:</w:t>
      </w:r>
    </w:p>
    <w:p>
      <w:pPr>
        <w:spacing w:after="0" w:line="117" w:lineRule="exact"/>
        <w:rPr>
          <w:sz w:val="20"/>
          <w:szCs w:val="20"/>
          <w:color w:val="auto"/>
        </w:rPr>
      </w:pPr>
    </w:p>
    <w:p>
      <w:pPr>
        <w:jc w:val="both"/>
        <w:ind w:left="340" w:hanging="332"/>
        <w:spacing w:after="0" w:line="255"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Midcontinent Systems are located in two large natural gas producing regions in the United States, the Hugoton Basin in southwest Kansas, and the Anadarko Basin in western Oklahoma and the Texas Panhandle and the STACK in central Oklahoma. These mature basins have continued to provide generally long-lived, predictable production volume. Our Midcontinent assets are extensive systems that gather, compress and dehydrate low-pressure gas. The Midcontinent Systems include sixteen natural gas processing facilities (Mocane, Beaver, Antelope Hills, Woodall, Wheeler, Sunray, Hemphill, Phoenix, Hamlin, Spearman, Red Deer, Lefors, Cargray, Gray, Rose Valley, and Hopeton) with an aggregate capacity of approximately 1.2 Bcf/d.</w:t>
      </w:r>
    </w:p>
    <w:p>
      <w:pPr>
        <w:spacing w:after="0" w:line="8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operate our Midcontinent Systems at low pressures to maximize the total throughput volumes from the connected wells. Wellhead pressures are therefore adequate to allow for flow of natural gas into the gathering lines without the cost of wellhead compression.</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also own the Hugoton Gathering System that has 1,900 miles of pipeline extending over nine counties in Kansas and Oklahoma. This system is operated by a third party.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Region:</w:t>
      </w:r>
    </w:p>
    <w:p>
      <w:pPr>
        <w:spacing w:after="0" w:line="117" w:lineRule="exact"/>
        <w:rPr>
          <w:sz w:val="20"/>
          <w:szCs w:val="20"/>
          <w:color w:val="auto"/>
        </w:rPr>
      </w:pPr>
    </w:p>
    <w:p>
      <w:pPr>
        <w:jc w:val="both"/>
        <w:ind w:left="340" w:hanging="332"/>
        <w:spacing w:after="0" w:line="259"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Eastern Region assets are located in eleven counties in Pennsylvania, four counties in Ohio, three counties in West Virginia, and gather natural gas from the Marcellus and Utica basins. Our Eastern Region assets include approximately 600 miles of natural gas gathering pipeline, natural gas trunklines, fresh-water pipelines, and nine gathering and processing systems, as well as the 200 MMcf/d Revolution processing plant, which feeds into our Mariner East and Rover pipeline systems.</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also own a 51% membership interest in Aqua – ETC Water Solutions LLC, a joint venture that transports and supplies fresh water to natural gas producers drilling in the Marcellus Shale in Pennsylvania.</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own a 75% membership interest in ORS. On behalf of ORS, we operate its Ohio Utica River System, which consists of 47 miles of 36-inch, 13 miles of 30-inch and 3 miles of 24-inch gathering trunklines, that delivers up to 3.6 Bcf/d to Rockies Express Pipeline, Texas Eastern Transmission, Leach Xpress, Rover and DEO TPL-18.</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NGL and Refined Products Transportation and Services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40" w:type="dxa"/>
            <w:vAlign w:val="bottom"/>
            <w:gridSpan w:val="4"/>
          </w:tcPr>
          <w:p>
            <w:pPr>
              <w:spacing w:after="0"/>
              <w:rPr>
                <w:sz w:val="20"/>
                <w:szCs w:val="20"/>
                <w:color w:val="auto"/>
              </w:rPr>
            </w:pPr>
            <w:r>
              <w:rPr>
                <w:rFonts w:ascii="Arial" w:cs="Arial" w:eastAsia="Arial" w:hAnsi="Arial"/>
                <w:sz w:val="18"/>
                <w:szCs w:val="18"/>
                <w:color w:val="auto"/>
              </w:rPr>
              <w:t>The following details the assets in our NGL and refined products transportation and services segment: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3"/>
              </w:rPr>
              <w:t>NGL Fractionation</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0"/>
              </w:rPr>
              <w:t>Working Storage</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Miles of Liquids</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 Processing</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00" w:type="dxa"/>
            <w:vAlign w:val="bottom"/>
            <w:gridSpan w:val="2"/>
            <w:vMerge w:val="restart"/>
          </w:tcPr>
          <w:p>
            <w:pPr>
              <w:ind w:left="2520"/>
              <w:spacing w:after="0"/>
              <w:rPr>
                <w:sz w:val="20"/>
                <w:szCs w:val="20"/>
                <w:color w:val="auto"/>
              </w:rPr>
            </w:pPr>
            <w:r>
              <w:rPr>
                <w:rFonts w:ascii="Arial" w:cs="Arial" w:eastAsia="Arial" w:hAnsi="Arial"/>
                <w:sz w:val="18"/>
                <w:szCs w:val="18"/>
                <w:color w:val="auto"/>
              </w:rPr>
              <w:t>Description of Assets</w:t>
            </w: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Capacity</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30"/>
        </w:trPr>
        <w:tc>
          <w:tcPr>
            <w:tcW w:w="670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6"/>
              </w:rPr>
              <w:t xml:space="preserve">Pipeline </w:t>
            </w:r>
            <w:r>
              <w:rPr>
                <w:rFonts w:ascii="Arial" w:cs="Arial" w:eastAsia="Arial" w:hAnsi="Arial"/>
                <w:sz w:val="23"/>
                <w:szCs w:val="23"/>
                <w:color w:val="auto"/>
                <w:w w:val="86"/>
                <w:vertAlign w:val="superscript"/>
              </w:rPr>
              <w:t>(1)</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(MBbls/d)</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(MBbls)</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Liquids Pipelines:</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Lone Star Express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West Texas Gateway Pipeline</w:t>
            </w:r>
          </w:p>
        </w:tc>
        <w:tc>
          <w:tcPr>
            <w:tcW w:w="14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Lone Star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Mariner East</w:t>
            </w:r>
          </w:p>
        </w:tc>
        <w:tc>
          <w:tcPr>
            <w:tcW w:w="14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Mariner South</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Mariner West</w:t>
            </w:r>
          </w:p>
        </w:tc>
        <w:tc>
          <w:tcPr>
            <w:tcW w:w="14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White Cliffs Pipeline</w:t>
            </w:r>
            <w:r>
              <w:rPr>
                <w:rFonts w:ascii="Arial" w:cs="Arial" w:eastAsia="Arial" w:hAnsi="Arial"/>
                <w:sz w:val="23"/>
                <w:szCs w:val="23"/>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Other NGL Pipelines</w:t>
            </w:r>
          </w:p>
        </w:tc>
        <w:tc>
          <w:tcPr>
            <w:tcW w:w="14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Liquids Fractionation and Services Facilities: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Mont Belvieu Facilities</w:t>
            </w:r>
          </w:p>
        </w:tc>
        <w:tc>
          <w:tcPr>
            <w:tcW w:w="14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Sea Robin Processing Plant</w:t>
            </w:r>
            <w:r>
              <w:rPr>
                <w:rFonts w:ascii="Arial" w:cs="Arial" w:eastAsia="Arial" w:hAnsi="Arial"/>
                <w:sz w:val="23"/>
                <w:szCs w:val="23"/>
                <w:color w:val="auto"/>
                <w:vertAlign w:val="superscript"/>
              </w:rPr>
              <w:t>(3)</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Refinery Services</w:t>
            </w:r>
            <w:r>
              <w:rPr>
                <w:rFonts w:ascii="Arial" w:cs="Arial" w:eastAsia="Arial" w:hAnsi="Arial"/>
                <w:sz w:val="23"/>
                <w:szCs w:val="23"/>
                <w:color w:val="auto"/>
                <w:vertAlign w:val="superscript"/>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Hattiesburg Storage Facilities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Cedar Bayou</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NGL Terminals: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Nederland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Orbit Gulf Coast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Marcus Hook Terminal</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Inkster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Refined Products Pipelines: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region pipelines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Midcontinent region pipelines</w:t>
            </w: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Southwest region pipelines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Inland Pipeline</w:t>
            </w:r>
          </w:p>
        </w:tc>
        <w:tc>
          <w:tcPr>
            <w:tcW w:w="14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JC Nolan Pipeline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Refined Products Terminals: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Eagle Point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Marcus Hook Terminal</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Marcus Hook Tank Farm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Marketing Terminals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JC Nolan Terminal</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Miles of pipeline as reported to PHMSA.</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White Cliffs Pipeline consists of two parallel, 12-inch common carrier pipelines: one crude oil pipeline and one NGL pipeline.</w:t>
      </w:r>
    </w:p>
    <w:p>
      <w:pPr>
        <w:spacing w:after="0" w:line="7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Additionally, the Sea Robin Processing Plant and Refinery Services have inlet volume capacities of 850 MMcf/d and 54 MMcf/d,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NGL and refined products transportation and services assets:</w:t>
      </w:r>
    </w:p>
    <w:p>
      <w:pPr>
        <w:spacing w:after="0" w:line="117" w:lineRule="exact"/>
        <w:rPr>
          <w:sz w:val="20"/>
          <w:szCs w:val="20"/>
          <w:color w:val="auto"/>
        </w:rPr>
      </w:pPr>
    </w:p>
    <w:p>
      <w:pPr>
        <w:jc w:val="both"/>
        <w:ind w:left="34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Lone Star Express System is an interstate NGL pipeline consisting of 24-inch and 30-inch long-haul transportation pipeline, with throughput capacity of approximately 500 MBbls/d, that delivers mixed NGLs from processing plants in the Permian Basin, the Barnett Shale, and from East Texas to the Mont Belvieu NGL storage facility. In the third quarter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2020, we completed an expansion of the pipeline, which added approximately 400 MBbls/d of NGL pipeline capacity from Lone Star’s pipeline system near Wink, Texas to the Lone Star Express 30-inch pipeline south of Fort Worth, Texas. It is expected to be in service by the fourth quarter of 2020.</w:t>
      </w:r>
    </w:p>
    <w:p>
      <w:pPr>
        <w:spacing w:after="0" w:line="76" w:lineRule="exact"/>
        <w:rPr>
          <w:sz w:val="20"/>
          <w:szCs w:val="20"/>
          <w:color w:val="auto"/>
        </w:rPr>
      </w:pPr>
    </w:p>
    <w:p>
      <w:pPr>
        <w:ind w:left="340" w:right="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West Texas Gateway Pipeline transports NGLs produced in the Permian and Delaware Basins and the Eagle Ford Shale to Mont Belvieu, Texas and has a throughput capacity of approximately 240 MBbls/d.</w:t>
      </w:r>
    </w:p>
    <w:p>
      <w:pPr>
        <w:spacing w:after="0" w:line="62" w:lineRule="exact"/>
        <w:rPr>
          <w:rFonts w:ascii="Arial" w:cs="Arial" w:eastAsia="Arial" w:hAnsi="Arial"/>
          <w:sz w:val="18"/>
          <w:szCs w:val="18"/>
          <w:color w:val="auto"/>
        </w:rPr>
      </w:pPr>
    </w:p>
    <w:p>
      <w:pPr>
        <w:jc w:val="both"/>
        <w:ind w:left="340" w:hanging="332"/>
        <w:spacing w:after="0" w:line="296"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Mariner East pipeline transports NGLs from the Marcellus and Utica Shales areas in Western Pennsylvania, West Virginia and Eastern Ohio to destinations in Pennsylvania, including our Marcus Hook Terminal on the Delaware River, where they are processed, stored and distributed to local, domestic and waterborne markets. The first phase of the project, referred to as Mariner East 1, consisted of interstate and intrastate propane and ethane service and commenced operations in the fourth quarter of 2014 and the first quarter of 2016, respectively. The second phase of the project, referred to as Mariner East 2, began service in December 2018. The Mariner East pipeline has a throughput capacity of approximately 345 MBbls/d.</w:t>
      </w:r>
    </w:p>
    <w:p>
      <w:pPr>
        <w:spacing w:after="0" w:line="53"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Mariner South liquids pipeline system consists of three pipelines and delivers export-grade propane, butane and natural gasoline from Lone Star’s Mont Belvieu, Texas storage and fractionation complex to our marine terminal in Nederland, Texas and has a total throughput capacity of approximately 600 MBbls/d.</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Mariner West pipeline provides transportation of ethane from the Marcellus shale processing and fractionating areas in Houston, Pennsylvania to Marysville, Michigan and the Canadian border and has a throughput capacity of approximately 50 MBbls/d.</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White Cliffs NGL pipeline, in which we have 51% ownership interest and was acquired by ET in the SemGroup acquisition and contributed to ETO in January 2020, transports NGLs produced in the DJ Basin to Cushing, where it interconnects with the Southern Hills Pipeline to move NGLs to Mont Belvieu, Texas and has a throughput capacity of approximately 90 MBbls/d.</w:t>
      </w:r>
    </w:p>
    <w:p>
      <w:pPr>
        <w:spacing w:after="0" w:line="75"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NGL pipelines include the 127-mile Justice pipeline with capacity of 375 MBbls/d, the 45-mile Freedom pipeline with a capacity of 56 MBbls/d, the 20-mile Spirit pipeline with a capacity of 20 MBbls/d and a 50% interest in the 87-mile Liberty pipeline with a capacity of 140 MBbls/d.</w:t>
      </w:r>
    </w:p>
    <w:p>
      <w:pPr>
        <w:spacing w:after="0" w:line="15"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Mont Belvieu storage facility is an integrated liquids storage facility with approximately 50 MMBbls of salt dome capacity providing 100% fee-based cash flows. The Mont Belvieu storage facility has access to multiple NGL and refined products pipelines, the Houston Ship Channel trading hub, and numerous chemical plants, refineries and fractionators.</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Mont Belvieu fractionators handle NGLs delivered from several sources, including the Lone Star Express pipeline and the Justice pipeline. Fractionator VI was placed in service in February 2019 and Fractionator VII was placed in service in the first quarter of 2020.</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 Robin is a rich gas processing plant located on the Sea Robin Pipeline in southern Louisiana. The plant is connected to nine interstate and four intrastate residue pipelines, as well as various deep-water production fields.</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Refinery Services consists of a refinery off-gas processing unit and an O-grade NGL fractionation / Refinery-Grade Propylene (“RGP”) splitting complex located along the Mississippi River refinery corridor in southern Louisiana. The off-gas processing unit cryogenically processes refinery off-gas, and the fractionation / RGP splitting complex fractionates the streams into higher value components. The O-grade fractionator and RGP splitting complex, located in Geismar, Louisiana, is connected by approximately 100 miles of pipeline to the Chalmette processing plant, which has a processing capacity of 54 MMcf/d.</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Hattiesburg storage facility is an integrated liquids storage facility with approximately 5 MMBbls of salt dome capacity, providing 100% fee-based cash flows.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Cedar Bayou storage facility is an integrated liquids storage facility with approximately 1.6 MMBbls of tank storage, generating revenues from fixed fee storage contracts, throughput fees, and revenue from blending butane into refined gasoline.</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Nederland Terminal, in addition to crude oil activities, also provides approximately 1.9 MMBbls of storage and distribution services for NGLs in connection with the Mariner South and Mariner South 2 pipelines, which provide transportation of propane and butane products from the Mont Belvieu region to the Nederland Terminal, where such products can be exported via ship.</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Orbit Gulf Coast joint venture consists of a 70-mile, 20-inch ethane pipeline with a throughput capacity of approximately 180 MBbls/d, delivering from Lone Star’s Mont Belvieu, Texas storage and fractionation complex to our marine terminal in Nederland, Texas, as well as a 180 MBbls/d ethane refrigeration facility and 1.2 MMBbls of storage capacity.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hanging="332"/>
        <w:spacing w:after="0" w:line="296"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Marcus Hook Terminal includes fractionation, terminalling and storage assets, with a capacity of approximately 2 MMBbls of NGL storage capacity in underground caverns, 4 MMBbls of above-ground refrigerated storage, and related commercial agreements. The terminal has a total active refined products storage capacity of approximately 1 MMBbls. The facility can receive NGLs and refined products via marine vessel, pipeline, truck and rail, and can deliver via marine vessel, pipeline and truck. In addition to providing NGL storage and terminalling services to both affiliates and third-party customers, the Marcus Hook Terminal currently serves as an off-take outlet for our Mariner East 1 and Mariner East 2 pipeline systems.</w:t>
      </w:r>
    </w:p>
    <w:p>
      <w:pPr>
        <w:spacing w:after="0" w:line="53" w:lineRule="exact"/>
        <w:rPr>
          <w:rFonts w:ascii="Arial" w:cs="Arial" w:eastAsia="Arial" w:hAnsi="Arial"/>
          <w:sz w:val="16"/>
          <w:szCs w:val="16"/>
          <w:color w:val="auto"/>
        </w:rPr>
      </w:pPr>
    </w:p>
    <w:p>
      <w:pPr>
        <w:jc w:val="both"/>
        <w:ind w:left="340" w:hanging="332"/>
        <w:spacing w:after="0" w:line="311"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Inkster terminal, located near Detroit, Michigan, consists of multiple salt caverns with a total storage capacity of approximately 860 MBbls of NGLs. We use the Inkster terminal’s storage in connection with the Toledo North pipeline system and for the storage of NGLs from local producers and a refinery in Western Ohio. The terminal can receive and ship by pipeline in both directions and has a truck loading and unloading rack.</w:t>
      </w:r>
    </w:p>
    <w:p>
      <w:pPr>
        <w:spacing w:after="0" w:line="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Eastern region refined products pipelines consist of 6-inch to 16-inch diameters refined product pipelines in Eastern, Central and North Central Pennsylvania, 8-inch refined products pipeline in western New York and various diameters refined products pipeline in New Jersey (including 80 miles of the 16-inch diameter Harbor Pipeline).</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midcontinent region refined products pipelines primarily consist of 3-inch to 12-inch refined products pipelines in Ohio and 6-inch and 8-inch refined products pipeline in Michigan.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Southwest region refined products pipelines are located in Eastern Texas and consist primarily of 8-inch diameter refined products pipeline.</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Inland refined products pipeline consists of 12, 10, 8 and 6-inch diameter pipelines in the western, northwestern, and northeastern regions of Ohio.</w:t>
      </w:r>
    </w:p>
    <w:p>
      <w:pPr>
        <w:spacing w:after="0" w:line="1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JC Nolan Pipeline is a joint venture between a wholly-owned subsidiary of the Partnership and a wholly-owned subsidiary of Sunoco LP, which transports diesel fuel from a tank farm in Hebert, Texas to Midland, Texas, and was placed into service in July 2019 and has a throughput capacity of approximately 36 MBbls/d.</w:t>
      </w:r>
    </w:p>
    <w:p>
      <w:pPr>
        <w:spacing w:after="0" w:line="75"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37 refined products terminals with an aggregate storage capacity of approximately 8 MMBbls that facilitate the movement of refined products to or from storage or transportation systems, such as a pipeline, to other transportation systems, such as trucks or other pipelines. Each facility typically consists of multiple storage tanks and is equipped with automated truck loading equipment that is operational 24 hours a day.</w:t>
      </w:r>
    </w:p>
    <w:p>
      <w:pPr>
        <w:spacing w:after="0" w:line="57" w:lineRule="exact"/>
        <w:rPr>
          <w:rFonts w:ascii="Arial" w:cs="Arial" w:eastAsia="Arial" w:hAnsi="Arial"/>
          <w:sz w:val="17"/>
          <w:szCs w:val="17"/>
          <w:color w:val="auto"/>
        </w:rPr>
      </w:pPr>
    </w:p>
    <w:p>
      <w:pPr>
        <w:jc w:val="both"/>
        <w:ind w:left="340" w:hanging="332"/>
        <w:spacing w:after="0" w:line="301"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addition to crude oil service, the Eagle Point terminal can accommodate three marine vessels (ships or barges) to receive and deliver refined products to outbound ships and barges. The tank farm has a total active refined products storage capacity of approximately 7 MMBbls and provides customers with access to the facility via ship, barge and pipeline. The terminal can deliver via ship, barge, truck or pipeline, providing customers with access to various markets. The terminal generates revenue primarily by charging fees based on throughput, blending services and storage.</w:t>
      </w:r>
    </w:p>
    <w:p>
      <w:pPr>
        <w:spacing w:after="0" w:line="49"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Marcus Hook Terminal also has a tank farm with total refined products storage capacity of approximately 2 MMBbls of refined products storage. The terminal receives and delivers refined products via pipeline and primarily provides terminalling services to support movements on our refined products pipelines.</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JC Nolan Terminal, located in Midland, Texas, is a joint venture between a wholly-owned subsidiary of the Partnership and a wholly-owned subsidiary of Sunoco LP, which provides diesel fuel storage that was placed into service in August 2019.</w:t>
      </w:r>
    </w:p>
    <w:p>
      <w:pPr>
        <w:spacing w:after="0" w:line="62"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segment also includes the following joint ventures: 15% membership interest in the Explorer Pipeline Company, a 1,850-mile pipeline which originates from refining centers in Beaumont, Port Arthur, and Houston, Texas and extends to Chicago, Illinois; 31% membership interest in the Wolverine Pipe Line Company, a 1,055-mile pipeline that originates from Chicago, Illinois and extends to Detroit, Grand Haven, and Bay City, Michigan; 17% membership interest in the West Shore Pipe Line Company, a 650-mile pipeline which originates in Chicago, Illinois and extends to Madison and Green Bay, Wisconsin; a 14% membership interest in the Yellowstone Pipe Line Company, a 710-mile pipeline which originates from Billings, Montana and extends to Moses Lake, Washington.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and terminals in its crude oil transportation and services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Miles of Crude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c>
          <w:tcPr>
            <w:tcW w:w="0" w:type="dxa"/>
            <w:vAlign w:val="bottom"/>
          </w:tcPr>
          <w:p>
            <w:pPr>
              <w:spacing w:after="0"/>
              <w:rPr>
                <w:sz w:val="1"/>
                <w:szCs w:val="1"/>
                <w:color w:val="auto"/>
              </w:rPr>
            </w:pPr>
          </w:p>
        </w:tc>
      </w:tr>
      <w:tr>
        <w:trPr>
          <w:trHeight w:val="176"/>
        </w:trPr>
        <w:tc>
          <w:tcPr>
            <w:tcW w:w="6640" w:type="dxa"/>
            <w:vAlign w:val="bottom"/>
            <w:gridSpan w:val="2"/>
            <w:vMerge w:val="restart"/>
          </w:tcPr>
          <w:p>
            <w:pPr>
              <w:ind w:left="2500"/>
              <w:spacing w:after="0"/>
              <w:rPr>
                <w:sz w:val="20"/>
                <w:szCs w:val="20"/>
                <w:color w:val="auto"/>
              </w:rPr>
            </w:pPr>
            <w:r>
              <w:rPr>
                <w:rFonts w:ascii="Arial" w:cs="Arial" w:eastAsia="Arial" w:hAnsi="Arial"/>
                <w:sz w:val="18"/>
                <w:szCs w:val="18"/>
                <w:color w:val="auto"/>
              </w:rPr>
              <w:t>Description of Assets</w:t>
            </w: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Ownership Interest</w:t>
            </w:r>
          </w:p>
        </w:tc>
        <w:tc>
          <w:tcPr>
            <w:tcW w:w="1500" w:type="dxa"/>
            <w:vAlign w:val="bottom"/>
            <w:gridSpan w:val="2"/>
            <w:vMerge w:val="continue"/>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29"/>
        </w:trPr>
        <w:tc>
          <w:tcPr>
            <w:tcW w:w="664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50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88"/>
              </w:rPr>
              <w:t xml:space="preserve">Pipeline </w:t>
            </w:r>
            <w:r>
              <w:rPr>
                <w:rFonts w:ascii="Arial" w:cs="Arial" w:eastAsia="Arial" w:hAnsi="Arial"/>
                <w:sz w:val="23"/>
                <w:szCs w:val="23"/>
                <w:color w:val="auto"/>
                <w:w w:val="88"/>
                <w:vertAlign w:val="superscript"/>
              </w:rPr>
              <w:t>(1)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(MBbls)</w:t>
            </w: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Dakota Access Pipeline</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Energy Transfer Crude Oil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36.40 %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Bayou Bridge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Permian Express Pipelines</w:t>
            </w:r>
          </w:p>
        </w:tc>
        <w:tc>
          <w:tcPr>
            <w:tcW w:w="1540" w:type="dxa"/>
            <w:vAlign w:val="bottom"/>
          </w:tcPr>
          <w:p>
            <w:pPr>
              <w:jc w:val="right"/>
              <w:spacing w:after="0"/>
              <w:rPr>
                <w:sz w:val="20"/>
                <w:szCs w:val="20"/>
                <w:color w:val="auto"/>
              </w:rPr>
            </w:pPr>
            <w:r>
              <w:rPr>
                <w:rFonts w:ascii="Arial" w:cs="Arial" w:eastAsia="Arial" w:hAnsi="Arial"/>
                <w:sz w:val="18"/>
                <w:szCs w:val="18"/>
                <w:color w:val="auto"/>
              </w:rPr>
              <w:t>87.7 %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Wattenberg Oil Trunkline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White Cliffs Pipeline</w:t>
            </w:r>
            <w:r>
              <w:rPr>
                <w:rFonts w:ascii="Arial" w:cs="Arial" w:eastAsia="Arial" w:hAnsi="Arial"/>
                <w:sz w:val="23"/>
                <w:szCs w:val="23"/>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Maurepas Pipeline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Other Crude Oil Pipelines</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Nederland Terminal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Fort Mifflin Terminal</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Point Terminal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Midland Terminal</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Marcus Hook Terminal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Houston Terminal</w:t>
            </w:r>
          </w:p>
        </w:tc>
        <w:tc>
          <w:tcPr>
            <w:tcW w:w="15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Cushing Facility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Patoka, Illinois Terminal</w:t>
            </w:r>
          </w:p>
        </w:tc>
        <w:tc>
          <w:tcPr>
            <w:tcW w:w="1540" w:type="dxa"/>
            <w:vAlign w:val="bottom"/>
          </w:tcPr>
          <w:p>
            <w:pPr>
              <w:jc w:val="right"/>
              <w:spacing w:after="0"/>
              <w:rPr>
                <w:sz w:val="20"/>
                <w:szCs w:val="20"/>
                <w:color w:val="auto"/>
              </w:rPr>
            </w:pPr>
            <w:r>
              <w:rPr>
                <w:rFonts w:ascii="Arial" w:cs="Arial" w:eastAsia="Arial" w:hAnsi="Arial"/>
                <w:sz w:val="18"/>
                <w:szCs w:val="18"/>
                <w:color w:val="auto"/>
              </w:rPr>
              <w:t>87.7 %</w:t>
            </w:r>
          </w:p>
        </w:tc>
        <w:tc>
          <w:tcPr>
            <w:tcW w:w="1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Miles of pipeline as reported to PHMSA.</w:t>
      </w:r>
    </w:p>
    <w:p>
      <w:pPr>
        <w:spacing w:after="0" w:line="7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The White Cliffs Pipeline consists of two parallel, 12-inch common carrier crude oil pipelines: one crude oil pipeline and one NGL pipeline.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crude oil operations consist of an integrated set of pipeline, terminalling, trucking and acquisition and marketing assets that service the movement of crude oil from producers to end-user markets. The following details our assets in the crude oil transportation and services segment: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Pipelines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crude oil pipelines consist of approximately 10,850 miles of crude oil trunk and gathering pipelines in the southwest, northwest and midwest United States, including our wholly-owned interests in West Texas Gulf, Permian Express Terminal LLC, Mid-Valley and Wattenberg Oil Trunkline. Additionally, we have equity ownership interests in two crude oil pipelines. Our crude oil pipelines provide access to several trading hubs, including the largest trading hub for crude oil in the United States located in Cushing, Oklahoma, and other trading hubs located in Midland, Colorado City and Longview, Texas. Our crude oil pipelines also deliver to and connect with other pipelines that deliver crude oil to a number of refineries.</w:t>
      </w:r>
    </w:p>
    <w:p>
      <w:pPr>
        <w:spacing w:after="0" w:line="68" w:lineRule="exact"/>
        <w:rPr>
          <w:sz w:val="20"/>
          <w:szCs w:val="20"/>
          <w:color w:val="auto"/>
        </w:rPr>
      </w:pPr>
    </w:p>
    <w:p>
      <w:pPr>
        <w:jc w:val="both"/>
        <w:ind w:left="340" w:hanging="332"/>
        <w:spacing w:after="0" w:line="259" w:lineRule="auto"/>
        <w:tabs>
          <w:tab w:leader="none" w:pos="335"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Bakken Pipeline. </w:t>
      </w:r>
      <w:r>
        <w:rPr>
          <w:rFonts w:ascii="Arial" w:cs="Arial" w:eastAsia="Arial" w:hAnsi="Arial"/>
          <w:sz w:val="18"/>
          <w:szCs w:val="18"/>
          <w:color w:val="auto"/>
        </w:rPr>
        <w:t>The Dakota Access and Energy Transfer Crude Oil pipelines are collectively referred to as the “Bakken Pipeline.” The Bakken</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is a 1,916-mile pipeline with capacity of 570 MBbls/d, that transports domestically produced crude oil from the Bakken/Three Forks production areas in North Dakota to a storage and terminal hub outside of Patoka, Illinois, or to gulf coast connections including our crude terminal in Nederland, Texas.</w:t>
      </w:r>
    </w:p>
    <w:p>
      <w:pPr>
        <w:spacing w:after="0" w:line="78"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color w:val="auto"/>
        </w:rPr>
        <w:t>The pipeline transports light, sweet crude oil from North Dakota to major refining markets in the Midwest and Gulf Coast regions.</w:t>
      </w:r>
    </w:p>
    <w:p>
      <w:pPr>
        <w:spacing w:after="0" w:line="117" w:lineRule="exact"/>
        <w:rPr>
          <w:rFonts w:ascii="Arial" w:cs="Arial" w:eastAsia="Arial" w:hAnsi="Arial"/>
          <w:sz w:val="18"/>
          <w:szCs w:val="18"/>
          <w:i w:val="1"/>
          <w:iCs w:val="1"/>
          <w:color w:val="auto"/>
        </w:rPr>
      </w:pPr>
    </w:p>
    <w:p>
      <w:pPr>
        <w:jc w:val="both"/>
        <w:ind w:left="3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Dakota Access Pipeline went into service on June 1, 2017 and consists of approximately 1,172 miles of 12, 20, 24 and 30-inch diameter pipeline traversing North Dakota, South Dakota, Iowa and Illinois. Crude oil transported on the Dakota Access Pipeline originates at six terminal locations in the North Dakota counties of Mountrail, Williams and McKenzie. The pipeline delivers the crude oil to a hub outside of Patoka, Illinois where it can be delivered to the Energy Transfer Crude Oil Pipeline for delivery to the Gulf Coast or can be transported via other pipelines to refining markets throughout the Midwest.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Energy Transfer Crude Oil Pipeline went into service on June 1, 2017 and consists of approximately 675 miles of mostly 30-inch converted natural gas pipeline and 69 miles of new 30-inch pipeline from Patoka, Illinois to Nederland, Texas, where the crude oil can be refined or further transported to additional refining markets.</w:t>
      </w:r>
    </w:p>
    <w:p>
      <w:pPr>
        <w:spacing w:after="0" w:line="76" w:lineRule="exact"/>
        <w:rPr>
          <w:sz w:val="20"/>
          <w:szCs w:val="20"/>
          <w:color w:val="auto"/>
        </w:rPr>
      </w:pPr>
    </w:p>
    <w:p>
      <w:pPr>
        <w:jc w:val="both"/>
        <w:ind w:left="340" w:hanging="332"/>
        <w:spacing w:after="0" w:line="259" w:lineRule="auto"/>
        <w:tabs>
          <w:tab w:leader="none" w:pos="33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Bayou Bridge Pipeline. </w:t>
      </w:r>
      <w:r>
        <w:rPr>
          <w:rFonts w:ascii="Arial" w:cs="Arial" w:eastAsia="Arial" w:hAnsi="Arial"/>
          <w:sz w:val="18"/>
          <w:szCs w:val="18"/>
          <w:color w:val="auto"/>
        </w:rPr>
        <w:t>The Bayou Bridge Pipeline is a joint venture between ETO and Phillips 66, in which ETO has a 60% ownership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operator of the pipeline. Phase I of the pipeline, which consists of a 30-inch pipeline from Nederland, Texas to Lake Charles, Louisiana, went into service in April 2016. Phase II of the pipeline, which consists of 24-inch pipe from Lake Charles, Louisiana to St. James, Louisiana, which went into service in March 2019.</w:t>
      </w:r>
    </w:p>
    <w:p>
      <w:pPr>
        <w:spacing w:after="0" w:line="78" w:lineRule="exact"/>
        <w:rPr>
          <w:rFonts w:ascii="Arial" w:cs="Arial" w:eastAsia="Arial" w:hAnsi="Arial"/>
          <w:sz w:val="18"/>
          <w:szCs w:val="18"/>
          <w:i w:val="1"/>
          <w:iCs w:val="1"/>
          <w:color w:val="auto"/>
        </w:rPr>
      </w:pPr>
    </w:p>
    <w:p>
      <w:pPr>
        <w:ind w:left="3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With the completion of Phase II, Bayou Bridge Pipeline has a capacity of approximately 480 MBbls/d of light and heavy crude oil from different sources to the St. James crude oil hub, which is home to important refineries located in the Gulf Coast region.</w:t>
      </w:r>
    </w:p>
    <w:p>
      <w:pPr>
        <w:spacing w:after="0" w:line="62" w:lineRule="exact"/>
        <w:rPr>
          <w:rFonts w:ascii="Arial" w:cs="Arial" w:eastAsia="Arial" w:hAnsi="Arial"/>
          <w:sz w:val="18"/>
          <w:szCs w:val="18"/>
          <w:i w:val="1"/>
          <w:iCs w:val="1"/>
          <w:color w:val="auto"/>
        </w:rPr>
      </w:pPr>
    </w:p>
    <w:p>
      <w:pPr>
        <w:jc w:val="both"/>
        <w:ind w:left="340" w:hanging="332"/>
        <w:spacing w:after="0" w:line="259"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Permian Express Pipelines. </w:t>
      </w:r>
      <w:r>
        <w:rPr>
          <w:rFonts w:ascii="Arial" w:cs="Arial" w:eastAsia="Arial" w:hAnsi="Arial"/>
          <w:sz w:val="18"/>
          <w:szCs w:val="18"/>
          <w:color w:val="auto"/>
        </w:rPr>
        <w:t>The Permian Express pipelines are part of the PEP joint venture and include the Permian Express 1, Permian Express 2,</w:t>
      </w:r>
      <w:r>
        <w:rPr>
          <w:rFonts w:ascii="Arial" w:cs="Arial" w:eastAsia="Arial" w:hAnsi="Arial"/>
          <w:sz w:val="18"/>
          <w:szCs w:val="18"/>
          <w:i w:val="1"/>
          <w:iCs w:val="1"/>
          <w:color w:val="auto"/>
        </w:rPr>
        <w:t xml:space="preserve"> </w:t>
      </w:r>
      <w:r>
        <w:rPr>
          <w:rFonts w:ascii="Arial" w:cs="Arial" w:eastAsia="Arial" w:hAnsi="Arial"/>
          <w:sz w:val="18"/>
          <w:szCs w:val="18"/>
          <w:color w:val="auto"/>
        </w:rPr>
        <w:t>Permian Express 3, Permian Express 4, Permian Longview, Louisiana Access, Longview to Louisiana and Nederland Access pipelines. These pipelines are comprised of crude oil trunk pipelines and crude oil gathering pipelines in Texas and Oklahoma and provide takeaway capacity from the Permian Basin, with origins in multiple locations in Western Texas.</w:t>
      </w:r>
    </w:p>
    <w:p>
      <w:pPr>
        <w:spacing w:after="0" w:line="7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White Cliffs Pipeline, which was acquired by ET in the SemGroup acquisition and contributed to ETO in January 2020, owns a</w:t>
      </w:r>
      <w:r>
        <w:rPr>
          <w:rFonts w:ascii="Arial" w:cs="Arial" w:eastAsia="Arial" w:hAnsi="Arial"/>
          <w:sz w:val="18"/>
          <w:szCs w:val="18"/>
          <w:i w:val="1"/>
          <w:iCs w:val="1"/>
          <w:color w:val="auto"/>
        </w:rPr>
        <w:t xml:space="preserve"> </w:t>
      </w:r>
      <w:r>
        <w:rPr>
          <w:rFonts w:ascii="Arial" w:cs="Arial" w:eastAsia="Arial" w:hAnsi="Arial"/>
          <w:sz w:val="18"/>
          <w:szCs w:val="18"/>
          <w:color w:val="auto"/>
        </w:rPr>
        <w:t>12-inch common carrier, crude oil pipeline, with a throughput capacity of 100 MBbls/d, that transports crude oil from Platteville, Colorado to Cushing, Oklahoma.</w:t>
      </w:r>
    </w:p>
    <w:p>
      <w:pPr>
        <w:spacing w:after="0" w:line="75"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Maurepas Pipeline. </w:t>
      </w:r>
      <w:r>
        <w:rPr>
          <w:rFonts w:ascii="Arial" w:cs="Arial" w:eastAsia="Arial" w:hAnsi="Arial"/>
          <w:sz w:val="17"/>
          <w:szCs w:val="17"/>
          <w:color w:val="auto"/>
        </w:rPr>
        <w:t>The Maurepas Pipeline, which was acquired by ET in the SemGroup acquisition and contributed to ETO in January 2020,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three pipelines, with an aggregate throughput capacity of 460 MBbls/d, which service refineries in the Gulf Coast region.</w:t>
      </w:r>
    </w:p>
    <w:p>
      <w:pPr>
        <w:spacing w:after="0" w:line="3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Crude Oil pipelines include the Mid-Valley pipeline system which originates in Longview, Texas and passes through Louisiana, Arkansas, Mississippi, Tennessee, Kentucky and Ohio and terminates in Samaria, Michigan. This pipeline provides crude oil to a number of refineries, primarily in the Midwest United States.</w:t>
      </w:r>
    </w:p>
    <w:p>
      <w:pPr>
        <w:spacing w:after="0" w:line="75"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In addition, we own a crude oil pipeline that runs from Marysville, Michigan to Toledo, Ohio, and a truck injection point for local production at Marysville. This pipeline receives crude oil from the Enbridge pipeline system for delivery to refineries located in Toledo, Ohio and to MPLX’s Samaria, Michigan tank farm, which supplies Marathon Petroleum Corporation’s refinery in Detroit, Michigan.</w:t>
      </w:r>
    </w:p>
    <w:p>
      <w:pPr>
        <w:spacing w:after="0" w:line="75"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We also own and operate crude oil pipeline and gathering systems in Oklahoma and Kansas. We have the ability to deliver substantially all of the crude oil gathered on our Oklahoma and Kansas systems to Cushing. We are one of the largest purchasers of crude oil from producers in the area, and our crude oil acquisition and marketing activities business is the primary shipper on our Oklahoma crude oil system.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Terminals</w:t>
      </w:r>
    </w:p>
    <w:p>
      <w:pPr>
        <w:spacing w:after="0" w:line="117" w:lineRule="exact"/>
        <w:rPr>
          <w:sz w:val="20"/>
          <w:szCs w:val="20"/>
          <w:color w:val="auto"/>
        </w:rPr>
      </w:pPr>
    </w:p>
    <w:p>
      <w:pPr>
        <w:jc w:val="both"/>
        <w:ind w:left="340" w:hanging="332"/>
        <w:spacing w:after="0" w:line="301"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Nederland. </w:t>
      </w:r>
      <w:r>
        <w:rPr>
          <w:rFonts w:ascii="Arial" w:cs="Arial" w:eastAsia="Arial" w:hAnsi="Arial"/>
          <w:sz w:val="16"/>
          <w:szCs w:val="16"/>
          <w:color w:val="auto"/>
        </w:rPr>
        <w:t>The Nederland Terminal, located on the Sabine-Neches waterway between Beaumont and Port Arthur, Texas, is a large marine terminal</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storage and distribution services for refiners and other large transporters of crude oil and NGLs. The terminal receives, stores, and distributes crude oil, NGLs, feedstocks, petrochemicals and bunker oils (used for fueling ships and other marine vessels). The terminal currently has a total storage capacity of approximately 29 MMBbls in approximately 160 above ground storage tanks with individual capacities of up to 660 MBbls.</w:t>
      </w:r>
    </w:p>
    <w:p>
      <w:pPr>
        <w:spacing w:after="0" w:line="49" w:lineRule="exact"/>
        <w:rPr>
          <w:rFonts w:ascii="Arial" w:cs="Arial" w:eastAsia="Arial" w:hAnsi="Arial"/>
          <w:sz w:val="16"/>
          <w:szCs w:val="16"/>
          <w:color w:val="auto"/>
        </w:rPr>
      </w:pPr>
    </w:p>
    <w:p>
      <w:pPr>
        <w:jc w:val="both"/>
        <w:ind w:left="340"/>
        <w:spacing w:after="0" w:line="279" w:lineRule="auto"/>
        <w:rPr>
          <w:rFonts w:ascii="Arial" w:cs="Arial" w:eastAsia="Arial" w:hAnsi="Arial"/>
          <w:sz w:val="16"/>
          <w:szCs w:val="16"/>
          <w:color w:val="auto"/>
        </w:rPr>
      </w:pPr>
      <w:r>
        <w:rPr>
          <w:rFonts w:ascii="Arial" w:cs="Arial" w:eastAsia="Arial" w:hAnsi="Arial"/>
          <w:sz w:val="17"/>
          <w:szCs w:val="17"/>
          <w:color w:val="auto"/>
        </w:rPr>
        <w:t>The Nederland Terminal can receive crude oil at four of its five ship docks and four barge berths. The four ship docks are capable of receiving over 2 MMBbls/d of crude oil. In addition to our crude oil pipelines, the terminal can also receive crude oil through a number of other pipelines, including the DOE. The DOE pipelines connect the terminal to the United States Strategic Petroleum Reserve’s West Hackberry caverns at Hackberry, Louisiana and Big Hill caverns near Winnie, Texas, which have an aggregate storage capacity of approximately 395 MMBbls.</w:t>
      </w:r>
    </w:p>
    <w:p>
      <w:pPr>
        <w:spacing w:after="0" w:line="63" w:lineRule="exact"/>
        <w:rPr>
          <w:rFonts w:ascii="Arial" w:cs="Arial" w:eastAsia="Arial" w:hAnsi="Arial"/>
          <w:sz w:val="16"/>
          <w:szCs w:val="16"/>
          <w:color w:val="auto"/>
        </w:rPr>
      </w:pPr>
    </w:p>
    <w:p>
      <w:pPr>
        <w:jc w:val="both"/>
        <w:ind w:left="340"/>
        <w:spacing w:after="0" w:line="279" w:lineRule="auto"/>
        <w:rPr>
          <w:rFonts w:ascii="Arial" w:cs="Arial" w:eastAsia="Arial" w:hAnsi="Arial"/>
          <w:sz w:val="16"/>
          <w:szCs w:val="16"/>
          <w:color w:val="auto"/>
        </w:rPr>
      </w:pPr>
      <w:r>
        <w:rPr>
          <w:rFonts w:ascii="Arial" w:cs="Arial" w:eastAsia="Arial" w:hAnsi="Arial"/>
          <w:sz w:val="17"/>
          <w:szCs w:val="17"/>
          <w:color w:val="auto"/>
        </w:rPr>
        <w:t>The Nederland Terminal can deliver crude oil and other petroleum products via pipeline, barge and ship. The terminal has three ship docks and three barge berths that are capable of delivering crude oils for international transport. In total, the terminal is capable of delivering over 2 MMBbls/d of crude oil to our crude oil pipelines or a number of third-party pipelines including the DOE. The Nederland Terminal generates crude oil revenues primarily by providing term or spot storage services and throughput capabilities to a number of customers.</w:t>
      </w:r>
    </w:p>
    <w:p>
      <w:pPr>
        <w:spacing w:after="0" w:line="63" w:lineRule="exact"/>
        <w:rPr>
          <w:rFonts w:ascii="Arial" w:cs="Arial" w:eastAsia="Arial" w:hAnsi="Arial"/>
          <w:sz w:val="16"/>
          <w:szCs w:val="16"/>
          <w:color w:val="auto"/>
        </w:rPr>
      </w:pPr>
    </w:p>
    <w:p>
      <w:pPr>
        <w:jc w:val="both"/>
        <w:ind w:left="340" w:hanging="332"/>
        <w:spacing w:after="0" w:line="259"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Fort Mifflin. </w:t>
      </w:r>
      <w:r>
        <w:rPr>
          <w:rFonts w:ascii="Arial" w:cs="Arial" w:eastAsia="Arial" w:hAnsi="Arial"/>
          <w:sz w:val="18"/>
          <w:szCs w:val="18"/>
          <w:color w:val="auto"/>
        </w:rPr>
        <w:t>The Fort Mifflin terminal complex is located on the Delaware River in Philadelphia, Pennsylvania and includes the Fort Mifflin terminal,</w:t>
      </w:r>
      <w:r>
        <w:rPr>
          <w:rFonts w:ascii="Arial" w:cs="Arial" w:eastAsia="Arial" w:hAnsi="Arial"/>
          <w:sz w:val="18"/>
          <w:szCs w:val="18"/>
          <w:i w:val="1"/>
          <w:iCs w:val="1"/>
          <w:color w:val="auto"/>
        </w:rPr>
        <w:t xml:space="preserve"> </w:t>
      </w:r>
      <w:r>
        <w:rPr>
          <w:rFonts w:ascii="Arial" w:cs="Arial" w:eastAsia="Arial" w:hAnsi="Arial"/>
          <w:sz w:val="18"/>
          <w:szCs w:val="18"/>
          <w:color w:val="auto"/>
        </w:rPr>
        <w:t>the Hog Island wharf, the Darby Creek tank farm and connecting pipelines. The Fort Mifflin terminal contains two ship docks with freshwater drafts and a total storage capacity of approximately 570 MBbls. Crude oil and some refined products enter the Fort Mifflin terminal primarily from marine vessels on the Delaware River.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Hog Island wharf is located next to the Fort Mifflin terminal on the Delaware River and receives crude oil via two ship docks. The Darby Creek tank farm is a primary crude oil storage terminal that receives crude oil from the Fort Mifflin terminal and Hog Island wharf via our pipelines and has a total storage capacity of approximately 2.7 MMBbls</w:t>
      </w:r>
    </w:p>
    <w:p>
      <w:pPr>
        <w:spacing w:after="0" w:line="76" w:lineRule="exact"/>
        <w:rPr>
          <w:sz w:val="20"/>
          <w:szCs w:val="20"/>
          <w:color w:val="auto"/>
        </w:rPr>
      </w:pPr>
    </w:p>
    <w:p>
      <w:pPr>
        <w:jc w:val="both"/>
        <w:ind w:left="340" w:hanging="332"/>
        <w:spacing w:after="0" w:line="257" w:lineRule="auto"/>
        <w:tabs>
          <w:tab w:leader="none" w:pos="33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Eagle Point. </w:t>
      </w:r>
      <w:r>
        <w:rPr>
          <w:rFonts w:ascii="Arial" w:cs="Arial" w:eastAsia="Arial" w:hAnsi="Arial"/>
          <w:sz w:val="18"/>
          <w:szCs w:val="18"/>
          <w:color w:val="auto"/>
        </w:rPr>
        <w:t>The Eagle Point terminal is located in Westville, New Jersey and consists of docks, truck loading facilities and a tank farm. The docks are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on the Delaware River and can accommodate three marine vessels (ships or barges) to receive and deliver crude oil, intermediate products and refined products to outbound ships and barges. The tank farm has a total active storage capacity of approximately 1.8 MMBbls and can receive crude oil via barge and rail and deliver via ship and barge, providing customers with access to various markets. The terminal generates revenue primarily by charging fees based on throughput, blending services and storage.</w:t>
      </w:r>
    </w:p>
    <w:p>
      <w:pPr>
        <w:spacing w:after="0" w:line="79" w:lineRule="exact"/>
        <w:rPr>
          <w:rFonts w:ascii="Arial" w:cs="Arial" w:eastAsia="Arial" w:hAnsi="Arial"/>
          <w:sz w:val="18"/>
          <w:szCs w:val="18"/>
          <w:i w:val="1"/>
          <w:iCs w:val="1"/>
          <w:color w:val="auto"/>
        </w:rPr>
      </w:pPr>
    </w:p>
    <w:p>
      <w:pPr>
        <w:jc w:val="both"/>
        <w:ind w:left="340" w:hanging="332"/>
        <w:spacing w:after="0" w:line="263" w:lineRule="auto"/>
        <w:tabs>
          <w:tab w:leader="none" w:pos="33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Midland. </w:t>
      </w:r>
      <w:r>
        <w:rPr>
          <w:rFonts w:ascii="Arial" w:cs="Arial" w:eastAsia="Arial" w:hAnsi="Arial"/>
          <w:sz w:val="18"/>
          <w:szCs w:val="18"/>
          <w:color w:val="auto"/>
        </w:rPr>
        <w:t>The Midland terminal is located in Midland, Texas and was acquired in November 2016 from Vitol. The facility includes approximately 1</w:t>
      </w:r>
      <w:r>
        <w:rPr>
          <w:rFonts w:ascii="Arial" w:cs="Arial" w:eastAsia="Arial" w:hAnsi="Arial"/>
          <w:sz w:val="18"/>
          <w:szCs w:val="18"/>
          <w:i w:val="1"/>
          <w:iCs w:val="1"/>
          <w:color w:val="auto"/>
        </w:rPr>
        <w:t xml:space="preserve"> </w:t>
      </w:r>
      <w:r>
        <w:rPr>
          <w:rFonts w:ascii="Arial" w:cs="Arial" w:eastAsia="Arial" w:hAnsi="Arial"/>
          <w:sz w:val="18"/>
          <w:szCs w:val="18"/>
          <w:color w:val="auto"/>
        </w:rPr>
        <w:t>MMBbls of crude oil storage, a combined 20 lanes of truck loading and unloading, and provides access to the Permian Express 2 transportation system.</w:t>
      </w:r>
    </w:p>
    <w:p>
      <w:pPr>
        <w:spacing w:after="0" w:line="75" w:lineRule="exact"/>
        <w:rPr>
          <w:rFonts w:ascii="Arial" w:cs="Arial" w:eastAsia="Arial" w:hAnsi="Arial"/>
          <w:sz w:val="18"/>
          <w:szCs w:val="18"/>
          <w:i w:val="1"/>
          <w:iCs w:val="1"/>
          <w:color w:val="auto"/>
        </w:rPr>
      </w:pPr>
    </w:p>
    <w:p>
      <w:pPr>
        <w:ind w:left="3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Marcus Hook Terminal. </w:t>
      </w:r>
      <w:r>
        <w:rPr>
          <w:rFonts w:ascii="Arial" w:cs="Arial" w:eastAsia="Arial" w:hAnsi="Arial"/>
          <w:sz w:val="18"/>
          <w:szCs w:val="18"/>
          <w:color w:val="auto"/>
        </w:rPr>
        <w:t>The Marcus Hook Terminal can receive crude oil via marine vessel and can deliver via marine vessel and pipeline.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 has a total active crude oil storage capacity of approximately 1 MMBbls.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Patoka, Illinois Terminal. </w:t>
      </w:r>
      <w:r>
        <w:rPr>
          <w:rFonts w:ascii="Arial" w:cs="Arial" w:eastAsia="Arial" w:hAnsi="Arial"/>
          <w:sz w:val="18"/>
          <w:szCs w:val="18"/>
          <w:color w:val="auto"/>
        </w:rPr>
        <w:t>The Patoka, Illinois terminal is a tank farm owned by the PEP joint venture and is located in Marion County, Illinois.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includes 234 acres of owned land and provides for approximately 1.9 MMBbls of crude oil storage.</w:t>
      </w:r>
    </w:p>
    <w:p>
      <w:pPr>
        <w:spacing w:after="0" w:line="62"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Houston Terminal. </w:t>
      </w:r>
      <w:r>
        <w:rPr>
          <w:rFonts w:ascii="Arial" w:cs="Arial" w:eastAsia="Arial" w:hAnsi="Arial"/>
          <w:sz w:val="17"/>
          <w:szCs w:val="17"/>
          <w:color w:val="auto"/>
        </w:rPr>
        <w:t>The Houston Terminal, which was acquired by ET in the SemGroup acquisition and contributed to ETO in February 2020,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storage tanks located on the Houston Ship Channel with an aggregate storage capacity of 18.2 MMBbls used to store, blend and transport refinery products and refinery feedstocks via pipeline, barge, rail, truck and ship. This facility has five deep-water ship docks on the Houston Ship Channel capable of loading and unloading Suezmax cargo vessels and seven barge docks which can accommodate 23 barges simultaneously, three crude oil pipelines connecting to four refineries and numerous rail and truck loading spots.</w:t>
      </w:r>
    </w:p>
    <w:p>
      <w:pPr>
        <w:spacing w:after="0" w:line="68" w:lineRule="exact"/>
        <w:rPr>
          <w:rFonts w:ascii="Arial" w:cs="Arial" w:eastAsia="Arial" w:hAnsi="Arial"/>
          <w:sz w:val="17"/>
          <w:szCs w:val="17"/>
          <w:color w:val="auto"/>
        </w:rPr>
      </w:pPr>
    </w:p>
    <w:p>
      <w:pPr>
        <w:jc w:val="both"/>
        <w:ind w:left="340" w:hanging="332"/>
        <w:spacing w:after="0" w:line="25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Cushing Facilities. </w:t>
      </w:r>
      <w:r>
        <w:rPr>
          <w:rFonts w:ascii="Arial" w:cs="Arial" w:eastAsia="Arial" w:hAnsi="Arial"/>
          <w:sz w:val="18"/>
          <w:szCs w:val="18"/>
          <w:color w:val="auto"/>
        </w:rPr>
        <w:t>The Cushing Facility, which was acquired by ET in the SemGroup acquisition and contributed to ETO in January 2020, has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7.7 MMBbls of crude oil storage, of which 5.7 MMBbls are leased to customers and 2.0 MMBbls are available for crude oil operations, blending and marketing activities. The storage terminal has inbound connections with the White Cliffs Pipeline from Platteville, Colorado, the Great Salt Plains Pipeline from Cherokee, Oklahoma, the Cimarron Pipeline from Boyer, Kansas, and two-way connections with all of the other major storage terminals in Cushing. The Cushing terminal also includes truck unloading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Acquisition and Marketing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acquisition and marketing operations are conducted using our assets, which include approximately 363 crude oil transport trucks, 350 trailers and approximately 166 crude oil truck unloading facilities, as well as third-party truck, rail, pipeline and marine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Sunoco-branded motor fuel, supplying an extensive distribution network of approximately 5,556 Sunoco-branded company and third-party operated locations throughout the East Coast, Midwest, South Central and Southeast regions of the United States. Sunoco LP believes it is one of the largest independent motor fuel distributors of Chevron, ExxonMobil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Fuel Distribution and Marketing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distribution and marketing operations are conducted by the following consolidated subsidiaries:</w:t>
      </w:r>
    </w:p>
    <w:p>
      <w:pPr>
        <w:spacing w:after="0" w:line="117" w:lineRule="exact"/>
        <w:rPr>
          <w:sz w:val="20"/>
          <w:szCs w:val="20"/>
          <w:color w:val="auto"/>
        </w:rPr>
      </w:pPr>
    </w:p>
    <w:p>
      <w:pPr>
        <w:jc w:val="both"/>
        <w:ind w:left="340" w:right="20" w:hanging="332"/>
        <w:spacing w:after="0" w:line="263" w:lineRule="auto"/>
        <w:tabs>
          <w:tab w:leader="none" w:pos="2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Sunoco, LLC (“Sunoco LLC”), a Delaware limited liability company, primarily distributes motor fuel in 30 states throughout the East Coast, Midwest, South Central and Southeast regions of the United States. Sunoco LLC also processes transmix and distributes refined product through its terminals in Alabama, Texas, Arkansas and New York;</w:t>
      </w:r>
    </w:p>
    <w:p>
      <w:pPr>
        <w:spacing w:after="0" w:line="75" w:lineRule="exact"/>
        <w:rPr>
          <w:rFonts w:ascii="Arial" w:cs="Arial" w:eastAsia="Arial" w:hAnsi="Arial"/>
          <w:sz w:val="18"/>
          <w:szCs w:val="18"/>
          <w:color w:val="auto"/>
        </w:rPr>
      </w:pPr>
    </w:p>
    <w:p>
      <w:pPr>
        <w:ind w:left="340" w:hanging="332"/>
        <w:spacing w:after="0" w:line="277" w:lineRule="auto"/>
        <w:tabs>
          <w:tab w:leader="none" w:pos="3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Sunoco Retail LLC (“Sunoco Retail”), a Pennsylvania limited liability company, owns and operates retail stores that sell motor fuel and merchandise primarily in New Jersey;</w:t>
      </w:r>
    </w:p>
    <w:p>
      <w:pPr>
        <w:spacing w:after="0" w:line="62"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Aloha Petroleum LLC, a Delaware limited liability company, distributes motor fuel and operates terminal facilities on the Hawaiian Islands; and</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Aloha Petroleum, Ltd. (“Aloha”), a Hawaii corporation, owns and operates retail stores on the Hawaiian Islands.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Sunoco LP purchases motor fuel primarily from independent refiners and major oil companies and distributes it across more than 30 states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 Coast, Midwest, South Central and Southeast regions of the United States, as well as Hawaii to approximately:</w:t>
      </w:r>
    </w:p>
    <w:p>
      <w:pPr>
        <w:spacing w:after="0" w:line="10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78 company owned and operated retail stores;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539 independently operated consignment locations where Sunoco LP sells motor fuel to customers under commission agent arrangements with such operators;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6,803 convenience stores and retail fuel outlets operated by independent operators, which are referred to as “dealers” or “distributors,” pursuant to long-term distribution agreements;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2,476 other commercial customers, including unbranded convenience stores, other fuel distributors, school districts and municipalities and other industrial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Other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other operations include retail operations in Hawaii and New Jersey, credit card services and franchise royalties.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of USAC: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USAC’s modern, standardized compression unit fleet is powered primarily by the Caterpillar, Inc.’s 3400, 3500 and 3600 engine classes, which range from 401 to 5,000 horsepower per unit. These larger horsepower units, which USAC defines as 400 horsepower per unit or greater, represented 86.3% of its total fleet horsepower as of December 31, 2020. The remainder of its fleet consists of smaller horsepower units ranging from 40 horsepower to 399 horsepower that are primarily used in gas lift applications.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USAC’s compression units by horsepower as of December 31, 2020: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ind w:left="2280"/>
              <w:spacing w:after="0"/>
              <w:rPr>
                <w:sz w:val="20"/>
                <w:szCs w:val="20"/>
                <w:color w:val="auto"/>
              </w:rPr>
            </w:pPr>
            <w:r>
              <w:rPr>
                <w:rFonts w:ascii="Arial" w:cs="Arial" w:eastAsia="Arial" w:hAnsi="Arial"/>
                <w:sz w:val="18"/>
                <w:szCs w:val="18"/>
                <w:color w:val="auto"/>
              </w:rPr>
              <w:t>Unit Horsepower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Fleet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Percent of Fleet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w w:val="93"/>
              </w:rPr>
              <w:t>Percent of Units</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Horsepower</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Units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Horsepower</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Small horsepower</w:t>
            </w: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&lt;400</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510,123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Large horsepower</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&gt;400 and &lt;1,000</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437,543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&gt;1,000</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2,778,515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large horsepower</w:t>
            </w: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3,216,058</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86.3 %</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horsepower</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45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significant assets in the “All Other”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Services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and operate a fleet of equipment used to provide treating services, such as carbon dioxide and hydrogen sulfide removal, natural gas cooling, dehydration and Btu management. Our contract treating services are primarily located in Texas, Louisiana and Arkansas.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own DDT, which provides compression services to customers engaged in the transportation of natural gas, including our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Resources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Natural Resources operations primarily involve the management and leasing of coal properties and the subsequent collection of royalties. We also earn revenues from other land management activities, such as selling standing timber, leasing fee-based coal-related infrastructure facilities to certain lessees and end-user industrial plants, collecting oil and gas royalties and from coal transportation, or wheelage fees. As of December 31, 2020, we owned or controlled approximately 757 million tons of proven and probable coal reserves in central and northern Appalachia, properties in eastern Kentucky, southwestern Virginia and southern West Virginia, and in the Illinois Basin, properties in southern Illinois, Indiana, and western Kentucky and as the operator of end-user coal handling facilities.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Canadian operations, which were acquired in the SemGroup acquisition, include a 51% ownership interest in Energy Transfer Canada which owns and operates natural gas processing and gathering facilities in Alberta, Canada. The Canadian operations assets include four sour natural gas processing plants and two sweet natural gas processing plants that have a combined operating capacity of 1,290 MMcf/d and a network of approximately 848 miles of natural gas gathering and transportation pipelines. The principal process performed at the processing plants is to remove contaminants and render the gas salable to downstream pipelines and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have engaged, and will continue to engage, in a well-balanced plan for growth through strategic acquisitions, internally generated expansion, measures aimed at increasing the profitability of our existing assets and executing cost control measures where appropriate to manage our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continue to operate as a diversified, growth-oriented limited partnership. We believe that by pursuing independent operating and growth strategies we will be best positioned to achieve our objectives. We balance our desire for growth with our goal of preserving a strong balance sheet, ample liquidity and investment grade credit metrics.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business strategies of our core businesses: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Growth through acquisitions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make strategic acquisitions that offer the opportunity for operational efficiencies and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increased utilization and expansion of our existing assets while supporting our investment grade credit ratings.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Engage in construction and expansion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leverage our existing infrastructure and customer relationships by constructing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systems to meet new or increased demand for midstream and transportation services.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Increase cash flow from fee-based businesses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increase the percentage of our business conducted with third parties under fee-based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in order to provide for stable, consistent cash flows over long contract periods while reducing exposure to changes in commodity prices.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Enhance profitability of existing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increase the profitability of our existing asset base by adding new volumes under long-term producer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undertaking additional initiatives to enhance utilization and reducing costs by improving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of providing natural gas gathering, compression, treating, transportation, storage and marketing services is highly competitive. Since pipelines are generally the only practical mode of transportation for natural gas over land, the most significant competitors of our transportation and storage segment are other pipelines. Pipelines typically compete with each other based on location, capacity, price and reliability.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competition with respect to retaining and obtaining significant natural gas supplies under terms favorable to us for the gathering, treating and marketing portions of our business. Our competitors include major integrated oil and gas companies, interstate and intrastate pipelines and other companies that gather, compress, treat, process, transport and market natural gas. Many of our competitors, such as major oil and gas and pipeline companies, have capital resources and control supplies of natural gas substantially greater than ours.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marketing natural gas, we have numerous competitors, including marketing affiliates of interstate pipelines, major integrated oil and gas companies, and local and national natural gas gatherers, brokers and marketers of widely varying sizes, financial resources and experience. Local utilities and distributors of natural gas are, in some cases, engaged directly, and through affiliates, in marketing activities that compete with our marketing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markets served by our NGL pipelines, we face competition with other pipeline companies, including those affiliated with major oil, petrochemical and natural gas companies, and barge, rail and truck fleet operations. In general, our NGL pipelines compete with these entities in terms of transportation fees, reliability and quality of customer service. We face competition with other storage facilities based on fees charged and the ability to receive and distribute the customer’s products. We compete with a number of NGL fractionators in Texas and Louisiana. Competition for such services is primarily based on the fractionation fee charged.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and Refined Products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markets served by our crude oil and refined products pipelines, we face competition from other pipelines as well as rail and truck transportation. Generally, pipelines are the safest, lowest cost method for long-haul, overland movement of products and crude oil. Therefore, the most significant competitors for large volume shipments in the areas served by our pipelines are other pipelines. In addition, pipeline operations face competition from rail and trucks that deliver products in a number of areas that our pipeline operations serve. While their costs may not be competitive for longer hauls or large volume shipments, rail and trucks compete effectively for incremental and marginal volume in many areas served by our pipelines.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competition from other pipelines, the primary competitive factors consist of transportation charges, access to crude oil supply and market demand. Competitive factors in crude oil purchasing and marketing include price and contract flexibility, quantity and quality of services, and accessibility to end markets.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refined product terminals compete with other independent terminals with respect to price, versatility and services provided. The competition primarily comes from integrated petroleum companies, refining and marketing companies, independent terminal companies and distribution companies with marketing and trading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Fuel Distribution and Retail Marketing</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our wholesale fuel distribution business, we compete primarily with other independent motor fuel distributors. The markets for distribution of wholesale motor fuel and the large and growing convenience store industry are highly competitive and fragmented, which results in narrow margins. We have numerous competitors, some of which may have significantly greater resources and name recognition than we do. Significant competitive factors include the availability of major brands, customer service, price, range of services offered and quality of service, among others. We rely on our ability to provide value-added and reliable service and to control our operating costs in order to maintain our margins and competitive position.</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our retail business, we face strong competition in the market for the sale of retail gasoline and merchandise. Our competitors include service stations of large integrated oil companies, independent gasoline service stations, convenience stores, fast food stores, supermarkets, drugstores, dollar stores, club stores and other similar retail outlets, some of which are well-recognized national or regional retail systems. The number of competitors varies depending on the geographical area. It also varies with gasoline and convenience store offerings. The principal competitive factors affecting our retail marketing operations include gasoline and diesel acquisition costs, site location, product price, selection and quality, site appearance and cleanliness, hours of operation, store safety, customer loyalty and brand recognition. We compete by pricing gasoline competitively, combining our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40"/>
        <w:spacing w:after="0" w:line="438" w:lineRule="auto"/>
        <w:rPr>
          <w:sz w:val="20"/>
          <w:szCs w:val="20"/>
          <w:color w:val="auto"/>
        </w:rPr>
      </w:pPr>
      <w:r>
        <w:rPr>
          <w:rFonts w:ascii="Arial" w:cs="Arial" w:eastAsia="Arial" w:hAnsi="Arial"/>
          <w:sz w:val="18"/>
          <w:szCs w:val="18"/>
          <w:color w:val="auto"/>
        </w:rPr>
        <w:t xml:space="preserve">retail gasoline business with convenience stores that provide a wide variety of products, and using advertising and promotional campaigns. </w:t>
      </w:r>
      <w:r>
        <w:rPr>
          <w:rFonts w:ascii="Arial" w:cs="Arial" w:eastAsia="Arial" w:hAnsi="Arial"/>
          <w:sz w:val="18"/>
          <w:szCs w:val="18"/>
          <w:b w:val="1"/>
          <w:bCs w:val="1"/>
          <w:color w:val="auto"/>
        </w:rPr>
        <w:t>Credit Risk and Customers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natural gas transportation and midstream revenues are derived significantly from companies that engage in exploration and production activities. The discovery and development of new shale formations across the United States has created an abundance of natural gas and crude oil resulting in a negative impact on prices in recent years for natural gas and crude oil. As a result, some of our exploration and production customers have been adversely impacted; however, we are monitoring these customers and mitigating credit risk as necessary.</w:t>
      </w:r>
    </w:p>
    <w:p>
      <w:pPr>
        <w:spacing w:after="0" w:line="133" w:lineRule="exact"/>
        <w:rPr>
          <w:sz w:val="20"/>
          <w:szCs w:val="20"/>
          <w:color w:val="auto"/>
        </w:rPr>
      </w:pPr>
    </w:p>
    <w:p>
      <w:pPr>
        <w:ind w:right="1220"/>
        <w:spacing w:after="0" w:line="438" w:lineRule="auto"/>
        <w:rPr>
          <w:sz w:val="20"/>
          <w:szCs w:val="20"/>
          <w:color w:val="auto"/>
        </w:rPr>
      </w:pPr>
      <w:r>
        <w:rPr>
          <w:rFonts w:ascii="Arial" w:cs="Arial" w:eastAsia="Arial" w:hAnsi="Arial"/>
          <w:sz w:val="18"/>
          <w:szCs w:val="18"/>
          <w:color w:val="auto"/>
        </w:rPr>
        <w:t xml:space="preserve">During the year ended December 31, 2020, none of our customers individually accounted for more than 10% of our consolidated revenues. </w:t>
      </w:r>
      <w:r>
        <w:rPr>
          <w:rFonts w:ascii="Arial" w:cs="Arial" w:eastAsia="Arial" w:hAnsi="Arial"/>
          <w:sz w:val="18"/>
          <w:szCs w:val="18"/>
          <w:b w:val="1"/>
          <w:bCs w:val="1"/>
          <w:u w:val="single" w:color="auto"/>
          <w:color w:val="auto"/>
        </w:rPr>
        <w:t>Regulation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Regulation of Interstate Natural Gas Pipelines. </w:t>
      </w:r>
      <w:r>
        <w:rPr>
          <w:rFonts w:ascii="Arial" w:cs="Arial" w:eastAsia="Arial" w:hAnsi="Arial"/>
          <w:sz w:val="17"/>
          <w:szCs w:val="17"/>
          <w:color w:val="auto"/>
        </w:rPr>
        <w:t>The FERC has broad regulatory authority over the business and operations of interstate natural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pipelines. Under the Natural Gas Act of 1938 (“NGA”), the FERC generally regulates the transportation of natural gas in interstate commerce. For FERC regulatory purposes, “transportation” includes natural gas pipeline transmission (forwardhauls and backhauls), storage and other services. The Florida Gas Transmission, Transwestern, Panhandle, Trunkline, Tiger, Fayetteville Express, Rover, Sea Robin, Gulf States and Midcontinent Express pipelines transport natural gas in interstate commerce and thus each qualifies as a “natural-gas company” under the NGA subject to the FERC’s regulatory jurisdiction. We also hold certain natural gas storage facilities that are subject to the FERC’s regulatory oversight under the NGA.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FERC’s NGA authority includes the power to:</w:t>
      </w:r>
    </w:p>
    <w:p>
      <w:pPr>
        <w:spacing w:after="0" w:line="11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the siting, construction and operation of new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approve transportation rates;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 the types of services our regulated assets are permitted to perform;</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regulate the terms and conditions associated with these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 the extension or abandonment of services and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maintenance of accounts and records;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the acquisition and disposition of facilities.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NGA, interstate natural gas companies must charge rates that are just and reasonable. In addition, the NGA prohibits natural gas companies from unduly preferring or unreasonably discriminating against any person with respect to pipeline rates or terms and conditions of service.</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maximum rates to be charged by NGA-jurisdictional natural gas companies and their terms and conditions for service are required to be on file with the FERC. Most natural gas companies are authorized to offer discounts from their FERC-approved maximum just and reasonable rates when competition warrants such discounts. Natural gas companies are also generally permitted to offer negotiated rates different from rates established in their tariff if, among other requirements, such companies’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tariffs offer a cost-based recourse rate to a prospective shipper as an alternative to the negotiated rate. Natural gas companies must make offers of rate discounts and negotiated rates on a basis that is not unduly discriminatory. Existing tariff rates may be challenged by complaint or on the FERC’s own motion, and if found unjust and unreasonable, may be altered on a prospective basis from no earlier than the date of the complaint or initiation of a proceeding by the FERC. The FERC must also approve all rate changes. We cannot guarantee that the FERC will allow us to charge rates that fully recover our costs or continue to pursue its approach of pro-competitive policies.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two of our NGA-jurisdictional natural gas companies, ETC Tiger and FEP, the large majority of capacity in those pipelines is subscribed for lengthy terms under FERC-approved negotiated rates. However, as indicated above, cost-based recourse rates are also offered under their respective tariffs.</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FERC’s rules promulgated under the Energy Policy Act of 2005, it is unlawful for any entity, directly or indirectly, in connection with the purchase or sale of electric energy or natural gas or the purchase or sale of transmission or transportation services subject to FERC jurisdiction: (i) to defraud using any device, scheme or artifice; (ii) to make any untrue statement of material fact or omit a material fact; or (iii) to engage in any act, practice or course of business that operates or would operate as a fraud or deceit. The Commodity Futures Trading Commission (“CFTC”) also holds authority to monitor certain segments of the physical and futures energy commodities market pursuant to the Commodity Exchange Act (“CEA”). With regard to our physical purchases and sales of natural gas, NGLs or other energy commodities; our transportation of these energy commodities; and any related hedging activities that we undertake, we are required to observe these anti-market manipulation laws and related regulations enforced by the FERC and/or the CFTC. These agencies hold substantial enforcement authority, including the ability to assess or seek civil penalties of up to $1.3 million per day per violation, to order disgorgement of profits and to recommend criminal penalties. Should we violate the anti-market manipulation laws and regulations, we could also be subject to related third-party damage claims by, among others, sellers, royalty owners and taxing authorities.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comply with the NGA, the Energy Policy Act of 2005, the CEA and the other federal laws and regulations governing our operations and business activities can result in the imposition of administrative, civil and criminal remedies.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Regulation of Intrastate Natural Gas and NGL Pipelines. </w:t>
      </w:r>
      <w:r>
        <w:rPr>
          <w:rFonts w:ascii="Arial" w:cs="Arial" w:eastAsia="Arial" w:hAnsi="Arial"/>
          <w:sz w:val="17"/>
          <w:szCs w:val="17"/>
          <w:color w:val="auto"/>
        </w:rPr>
        <w:t>Intrastate transportation of natural gas and NGLs is largely regulated by the state in which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transportation takes place. To the extent that our intrastate natural gas transportation systems transport natural gas in interstate commerce, the rates and terms and conditions of such services are subject to FERC jurisdiction under Section 311 of the Natural Gas Policy Act of 1978 (“NGPA”). The NGPA regulates, among other things, the provision of transportation services by an intrastate natural gas pipeline on behalf of a local distribution company or an interstate natural gas pipeline. The rates and terms and conditions of some transportation and storage services provided on the Oasis pipeline, HPL System, East Texas pipeline, ET Fuel System, Trans-Pecos pipeline and Comanche Trail pipeline are subject to FERC regulation pursuant to Section 311 of the NGPA. Under Section 311, rates charged for intrastate transportation must be fair and equitable, and amounts collected in excess of fair and equitable rates are subject to refund with interest. The terms and conditions of service set forth in the intrastate facility’s statement of operating conditions are also subject to FERC review and approval. Should the FERC determine not to authorize rates equal to or greater than our currently approved Section 311 rates, our business may be adversely affected. Failure to observe the service limitations applicable to transportation and storage services under Section 311, failure to comply with the rates approved by the FERC for Section 311 service, and failure to comply with the terms and conditions of service established in the pipeline’s FERC-approved statement of operating conditions could result in an alteration of jurisdictional status, and/or the imposition of administrative, civil and criminal remedies.</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intrastate natural gas operations are also subject to regulation by various agencies in Texas, principally the TRRC. Our intrastate pipeline and storage operations in Texas are also subject to the Texas Utilities Code, as implemented by the TRRC. Generally, the TRRC is vested with authority to ensure that rates, operations and services of gas utilities, including intrastate pipelines, are just and reasonable and not discriminatory. The rates we charge for transportation services are deemed just and reasonable under Texas law unless challenged in a customer or TRRC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NGL pipelines and operations are subject to state statutes and regulations which could impose additional environmental, safety and operational requirements relating to the design, siting, installation, testing, construction, operation, replacement and management of NGL transportation systems. In some jurisdictions, state public utility commission oversight may include the possibility of fines, penalties and delays in construction related to these regulations. In addition, the rates, terms and conditions of service for shipments of NGLs on our pipelines are subject to regulation by the FERC under the Interstate Commerce Act ("ICA") and the Energy Policy Act of 1992 (the "EPAct of 1992") if the NGLs are transported in interstate or foreign commerce whether by our pipelines or other means of transportation. Since we do not control the entire transportation path of all NGLs shipped on our pipelines, FERC regulation could be triggered by our customers' transportation decisions.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Regulation of Sales of Natural Gas and NGLs. </w:t>
      </w:r>
      <w:r>
        <w:rPr>
          <w:rFonts w:ascii="Arial" w:cs="Arial" w:eastAsia="Arial" w:hAnsi="Arial"/>
          <w:sz w:val="18"/>
          <w:szCs w:val="18"/>
          <w:color w:val="auto"/>
        </w:rPr>
        <w:t>The price at which we buy and sell natural gas currently is not subject to federal regulation and,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part, is not subject to state regulation. The price at which we sell NGLs is not subject to federal or state regulation.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we enter into transportation contracts with natural gas pipelines that are subject to FERC regulation, we are subject to FERC requirements related to the use of such capacity. Any failure on our part to comply with the FERC’s regulations and policies, or with an interstate pipeline’s tariff, could result in the imposition of civil and criminal penalties.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sales of natural gas are affected by the availability, terms and cost of pipeline transportation. As noted above, the price and terms of access to pipeline transportation are subject to extensive federal and state regulation. The FERC frequently proposes and implements new rules and regulations affecting those segments of the natural gas industry. These initiatives also may affect the intrastate transportation of natural gas under certain circumstances. The stated purpose of many of these regulatory changes is to promote competition among the various sectors of the natural gas industry and these initiatives generally reflect more light-handed regulation. We cannot predict the ultimate impact of these regulatory changes to our natural gas marketing operations, and we note that some of the FERC’s regulatory changes may adversely affect the availability and reliability of interruptible transportation service on interstate pipelines. We do not believe that we will be affected by any such FERC action in a manner that is materially different from other natural gas marketers with whom we compete.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Regulation of Gathering Pipelines. </w:t>
      </w:r>
      <w:r>
        <w:rPr>
          <w:rFonts w:ascii="Arial" w:cs="Arial" w:eastAsia="Arial" w:hAnsi="Arial"/>
          <w:sz w:val="16"/>
          <w:szCs w:val="16"/>
          <w:color w:val="auto"/>
        </w:rPr>
        <w:t>Section 1(b) of the NGA exempts natural gas gathering facilities from the jurisdiction of the FERC under the NGA.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 number of natural gas pipelines in Texas, Louisiana and West Virginia that we believe meet the traditional tests the FERC uses to establish a pipeline’s status as a gathering pipeline not subject to FERC jurisdiction. However, the distinction between FERC-regulated transmission services and federally unregulated gathering services has been the subject of substantial litigation and varying interpretations, so the classification and regulation of our gathering facilities could be subject to change based on future determinations by the FERC, the courts and Congress. State regulation of gathering facilities generally includes various safety, environmental and, in some circumstances, nondiscriminatory take requirements and complaint-based rate regulation.</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Texas, our gathering facilities are subject to regulation by the TRRC under the Texas Utilities Code in the same manner as described above for our intrastate pipeline facilities. Louisiana’s Pipeline Operations Section of the Department of Natural Resources’ Office of Conservation is generally responsible for regulating intrastate pipelines and gathering facilities in Louisiana and has authority to review and authorize natural gas transportation transactions and the construction, acquisition, abandonment and interconnection of physical facilities.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apart from pipeline safety, Louisiana has not acted to exercise this jurisdiction respecting gathering facilities. In Louisiana, our Chalkley System is regulated as an intrastate transporter, and the Louisiana Office of Conservation has determined that our Whiskey Bay System is a gathering system.</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subject to state ratable take and common purchaser statutes in all of the states in which we operate. The ratable take statutes generally require gatherers to take, without undue discrimination, natural gas production that may be tendered to the gatherer for handling. Similarly, common purchaser statutes generally require gatherers to purchase without undue discrimination as to source of supply or producer. These statutes are designed to prohibit discrimination in favor of one producer over another producer or one source of supply over another source of supply. These statutes have the effect of restricting the right of an owner of gathering facilities to decide with whom it contracts to purchase or transport natural gas.</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Natural gas gathering may receive greater regulatory scrutiny at both the state and federal levels. For example, the TRRC has approved changes to its regulations governing transportation and gathering services performed by intrastate pipelines and gatherers, which prohibit such entities from unduly discriminating in favor of their affiliates. Many of the producing states have adopted some form of complaint-based regulation that generally allows natural gas producers and shippers to file complaints with state regulators in an effort to resolve grievances relating to natural gas gathering access and rate discrimination allegations. Our gathering operations could be adversely affected should they be subject in the future to the application of additional or different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Regulation of Interstate Crude Oil, NGL and Products Pipelines. </w:t>
      </w:r>
      <w:r>
        <w:rPr>
          <w:rFonts w:ascii="Arial" w:cs="Arial" w:eastAsia="Arial" w:hAnsi="Arial"/>
          <w:sz w:val="18"/>
          <w:szCs w:val="18"/>
          <w:color w:val="auto"/>
        </w:rPr>
        <w:t>Interstate common carrier pipeline operations are subject to rate regulation by the FERC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ICA, the EPAct of 1992, and related rules and orders. The ICA requires that tariff rates for petroleum pipelines be “just and reasonable” and not unduly discriminatory and that such rates and terms and conditions of service be filed with the FERC. This statute also permits interested persons to challenge proposed new or changed rates. The FERC is authorized to suspend the effectiveness of such rates for up to seven months, though rates are typically not suspended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maximum allowable period. If the FERC finds that the new or changed rate is unlawful, it may require the carrier to pay refunds for the period that the rate was in effect.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generally has not investigated interstate rates on its own initiative when those rates, like those we charge, have not been the subject of a protest or a complaint by a shipper. However, the FERC could investigate our rates at the urging of a third party if the third party is either a current shipper or has a substantial economic interest in the tariff rate level. Although no assurance can be given that the tariff rates charged by us ultimately will be upheld if challenged, management believes that the tariff rates now in effect for our pipelines are within the maximum rates allowed under current FERC policies and precedents.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many locations served by our product and crude pipelines, we are able to establish negotiated rates. Otherwise, we are permitted to charge cost-based rates, or in many cases, grandfathered rates based on historical charges or settlements with our customers. To the extent we rely on cost-of-service ratemaking to establish or support our rates, the issue of the proper allowance for federal and state income taxes could arise. In July 2016, the United States Court of Appeals for the District of Columbia Circuit issued an opinion in United Airlines, Inc., et al. v. FERC, finding that the FERC had acted arbitrarily and capriciously when it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 recovering their income taxes. The court vacated the FERC’s order and remanded to the FERC to consider mechanisms for demonstrating that there is no double recovery as a result of the income tax allowance. In December 2016, the FERC issued a Notice of Inquiry Regarding the Commission’s Policy for Recovery of Income Tax Costs. The FERC requested comments regarding how to address any double recovery resulting from the Commission’s current income tax allowance and rate of return policies. The comment period with respect to the notice of inquiry ended in April 2017.</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2018, the FERC issued a Revised Policy Statement on Treatment of Income Taxes in which the FERC found that an impermissible double recovery results from granting an MLP pipeline both an income tax allowance and a return on equity pursuant to the FERC’s discounted cash flow methodology. The FERC revised its previous policy, stating that it would no longer permit an MLP pipeline to recover an income tax allowance in its cost of service. The FERC stated it will address the application of the United Airlines decision to non-MLP partnership forms as those issues arise in subsequent proceedings. The FERC will also apply the revised Policy Statement and the Tax Cuts and Jobs Act of 2017 to initial crude oil pipeline cost-of-service rates and cost-of-service rate changes on a going-forward basis under the FERC’s existing ratemaking policies, including cost-of-service rate proceedings resulting from shipper-initiated complaints. In July 2018, the FERC dismissed requests for rehearing and clarification of the March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the FERC’s policy on the treatment of income taxes may have on the rates an interstate pipeline held in a tax-pass-through entity can charge for the FERC regulated transportation services are unknown at this time. Please see “Item 1A. Risk Factors - Regulatory Matters.”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January 2018, the 2017 Tax Cuts and Jobs Act changed several provisions of the federal tax code, including a reduction in the maximum corporate tax rate. With the lower tax rate, and as discussed immediately above, the maximum tariff rates allowed by the FERC under its rate base methodology may be impacted by a lower income tax allowance component. Many of our interstate pipelines, such as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In addition, several of these pipelines are covered by approved settlements, pursuant to which rate filings will be made in the future. As such, the timing and impact to these systems of any tax-related policy change is unknown at this time.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EPAct of 1992 required the FERC to establish a simplified and generally applicable methodology to adjust tariff rates for inflation for interstate petroleum pipelines. As a result, the FERC adopted an indexing rate methodology which, as currently in effect, allows common carriers to change their rates within prescribed ceiling levels that are tied to changes in the Producer Price Index for Finished Goods, or PPI-FG. The FERC’s indexing methodology is subject to review every five years.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2020, FERC issued an order setting the indexed rate at PPI-FG plus 0.78% during the five-year period commencing July 1, 2021 and ending June 30, 2026. That order is subject to rehearing and appeal, and several rehearing requests have been filed and are pending before FERC. The indexing methodology is applicable to existing rates, including grandfathered rates, with the exclusion of market-based rates. A pipeline is not required to raise its rates up to the index ceiling, but it is permitted to do so and rate increases made under the index are presumed to be just and reasonable unless a protesting party can demonstrate that the portion of the rate increase resulting from application of the index is substantially in excess of the pipeline’s increase in costs. Under the indexing rate methodology, in any year in which the index is negative, pipelines must file to lower their rates if those rates would otherwise be above the rate ceiling.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in November 2017, the FERC responded to a petition for declaratory order and issued an order that may have significant impacts on the way a marketer of crude oil or petroleum products that is affiliated with an interstate pipeline can price its services if those services include transportation on an affiliate’s interstate pipeline. In particular, the FERC’s November 2017 order prohibits buy/sell arrangements by a marketing affiliate if: (i) the transportation differential applicable to its affiliate’s interstate pipeline transportation service is at a discount to the affiliated pipeline’s filed rate for that service; and (ii) the pipeline affiliate subsidizes the loss. Several parties have requested that the FERC clarify its November 2017 order or, in the alternative, grant rehearing of the November 2017 order. The FERC extended the time frame to respond to such requests in January 2018 but has not yet taken final action. We are unable to predict how the FERC will respond to such requests. Depending on how the FERC responds, it could have an impact on the rates we are permitted to charge.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Regulation of Intrastate Crude Oil, NGL and Products Pipelines. </w:t>
      </w:r>
      <w:r>
        <w:rPr>
          <w:rFonts w:ascii="Arial" w:cs="Arial" w:eastAsia="Arial" w:hAnsi="Arial"/>
          <w:sz w:val="16"/>
          <w:szCs w:val="16"/>
          <w:color w:val="auto"/>
        </w:rPr>
        <w:t>Some of our crude oil, NGL and products pipelines are subject to regulation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TRRC, the Pennsylvania Public Utility Commission and the Oklahoma Corporation Commission. The operations of our joint venture interests are also subject to regulation in the states in which they operate. The applicable state statutes require that pipeline rates be nondiscriminatory and provide no more than a fair return on the aggregate value of the pipeline property used to render services. State commissions generally have not initiated an investigation of rates or practices of petroleum pipelines in the absence of shipper complaints. Complaints to state agencies have been infrequent and are usually resolved informally. Although management cannot be certain that our intrastate rates ultimately would be upheld if challenged, we believe that, given this history, the tariffs now in effect are not likely to be challenged or, if challenged, are not likely to be ordered to be reduced.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noted above, the rates, terms and conditions for shipments of crude oil, NGLs or products on our pipelines could be subject to regulation by the FERC under the ICA and the EPAct of 1992 if the crude oil, NGLs or products are transported in interstate or foreign commerce whether by our pipelines or other means of transportation. Since we do not control the entire transportation path of all crude oil, NGLs or products shipped on our pipelines, FERC regulation could be triggered by our customers’ transportation decisions.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Regulation of Pipeline Safety. </w:t>
      </w:r>
      <w:r>
        <w:rPr>
          <w:rFonts w:ascii="Arial" w:cs="Arial" w:eastAsia="Arial" w:hAnsi="Arial"/>
          <w:sz w:val="16"/>
          <w:szCs w:val="16"/>
          <w:color w:val="auto"/>
        </w:rPr>
        <w:t>Our pipeline operations are subject to regulation by the DOT, through PHMSA, pursuant to the Natural Gas Pipeline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of 1968, as amended (“NGPSA”), with respect to natural gas and the Hazardous Liquids Pipeline Safety Act of 1979, as amended (“HLPSA”), with respect to crude oil, NGLs and condensates. The NGPSA and HLPSA, as amended, govern the design, installation, testing, construction, operation, replacement and management of natural gas as well as crude oil, NGL and condensate pipeline facilities. Pursuant to these acts, PHMSA has promulgated regulations governing pipeline wall thickness, design pressures, maximum operating pressures, pipeline patrols and leak surveys, minimum depth requirements, and emergency procedures, as well as other matters intended to ensure adequate protection for the public and to prevent accidents and failures. Additionally, PHMSA has established a series of rules requiring pipeline operators to develop and implement integrity management programs for certain gas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Failure to comply with the pipeline safety laws and regulations may result in the assessment of sanctions, including administrative, civil or criminal penalties, the imposition of investigatory, remedial or corrective action obligations, the occurrence of delays in permitting or the performance of projects, or the issuance of injunctions limiting or prohibiting some or all of our operations in the affected area.</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HLPSA and NGPSA have been amended by the Pipeline Safety, Regulatory Certainty, and Job Creation Act of 2011 (“2011 Pipeline Safety Act”) and the Protecting Our Infrastructure of Pipelines and Enhancing Safety Act of 2016 (“2016 Pipeline Safety Act”). The 2011 Pipeline Safety Act increased the penalties for safety violations, established additional safety requirements for newly constructed pipelines and required studies of safety issues that could result in the adoption of new regulatory requirements by PHMSA for existing pipelines. The 2011 Pipeline Safety Act doubled the maximum administrative fines for safety violations from $100,000 to $200,000 for a single violation and from $1 million to $2 million for a related series of violations, but provided that these maximum penalty caps do not apply to certain civil enforcement actions. In January 2021, PHMSA issued a final rule increasing those maximum civil penalties to $222,504 per day, with a maximum of $2,225,034 for a series of violations. Upon reauthorization of PHMSA, Congress often directs the agency to complete certain rulemakings. For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rulemakings; Congress has also instructed PHMSA to issue final regulations to require operations of non-rural gas gathering lines and new and existing transmission and distribution pipelines to conduct certain leak detection and repair programs to require facility inspection and maintenance plans to align with those regulations. The timing and scope of such future rulemakings is uncertain.</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states have adopted regulations, similar to existing PHMSA regulations, for intrastate gathering and transmission lines. The states in which we conduct operations typically have developed regulatory programs that parallel the federal regulatory scheme and are applicable to intrastate pipelines. Under such state regulatory programs, states have the authority to conduct pipeline inspections, to investigate accidents and to oversee compliance and enforcement, safety programs and record maintenance and reporting. Congress, PHMSA and individual states may pass or implement additional safety requirements that could result in increased compliance costs for us and other companies in our industry. For example, federal construction, maintenance and inspection standards under the NGPSA that apply to pipelines in relatively populated areas may not apply to gathering lines running through rural regions. However, in October 2019, PHMSA published three final rules that create or expand reporting, inspection, maintenance, and other pipeline safety obligations, including, among other things, extending pipeline integrity assessments to pipelines in certain locations, including newly-defined “Moderate Consequence Areas” (“MCAs”).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another example of how future legal requirements could result in increased compliance costs, notwithstanding the applicability of the federal OSHA’s Process Safety Management (“PSM”) regulations and the EPA’s Risk Management Planning (“RMP”) requirements at regulated facilities, PHMSA and one or more state regulators, including the TRRC, have in recent years, expanded the scope of their regulatory inspections to include certain in-plant equipment and pipelines found within NGL fractionation facilities and associated storage facilities, in order to assess compliance of such equipment and pipelines with hazardous liquid pipeline safety requirements. To the extent that these actions are pursued by PHMSA, midstream operators of NGL fractionation facilities and associated storage facilities subject to such inspection may be required to make operational changes or modifications at their facilities to meet standards beyond current PSM and RMP requirements, which changes or modifications may result in additional capital costs, possible operational delays and increased costs of operation that, in some instances, may be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operation of processing plants, pipelines and associated facilities, including compression, in connection with the gathering, processing,</w:t>
      </w:r>
      <w:r>
        <w:rPr>
          <w:rFonts w:ascii="Arial" w:cs="Arial" w:eastAsia="Arial" w:hAnsi="Arial"/>
          <w:sz w:val="17"/>
          <w:szCs w:val="17"/>
          <w:i w:val="1"/>
          <w:iCs w:val="1"/>
          <w:color w:val="auto"/>
        </w:rPr>
        <w:t xml:space="preserve"> </w:t>
      </w:r>
      <w:r>
        <w:rPr>
          <w:rFonts w:ascii="Arial" w:cs="Arial" w:eastAsia="Arial" w:hAnsi="Arial"/>
          <w:sz w:val="17"/>
          <w:szCs w:val="17"/>
          <w:color w:val="auto"/>
        </w:rPr>
        <w:t>storage and transmission of natural gas and the storage and transportation of NGLs, crude oil and refined products is subject to stringent U.S. federal, tribal, state and local laws and regulations, including those governing, among other things, air emissions, wastewater discharges, the use, management and disposal of hazardous and nonhazardous materials and wastes, and the cleanup of contamination. Similar or more stringent laws also exist in Canada. Noncompliance with such laws and regulations, or incidents resulting in environmental releases, could cause us to incur substantial costs, penalties, fines and criminal sanctions, third-party claims for personal injury or property damage, capital expenditures to retrofit or upgrade our facilities and programs, or curtailment or cancellation of permits on operations. As with the industry generally, compliance with existing and anticipated environmental laws and regulations increases our overall cost of doing business, including our cost of planning, permitting, constructing and operating our plants, pipelines and other facilities. As a result of these laws and regulations, our construction and operation costs include capital, operating and maintenance cost items necessary to maintain or upgrade our equipment and facilities.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implemented procedures designed to ensure that governmental environmental approvals for both existing operations and those under construction are updated as circumstances require. Historically, our environmental compliance costs have not had a material adverse effect on our business, results of operations or financial condition; however, there can be no assurance that such costs will not be material in the future. For example, we cannot be certain that identification of presently unidentified conditions, more rigorous enforcement by regulatory agencies, enactment of more stringent environmental laws and regulations or unanticipated events will not arise in the future and give rise to environmental liabilities that could have a material adverse effect on our business, financial condition or results of operations.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Uncertainty about the future course of regulation exists because of the recent change in U.S. presidential administrations. In January 2021, the current administration issued an executive order directing all federal agencies to review and take action to address any federal regulations promulgated during the prior administration that may be inconsistent with the current administration’s policies. As a result, it is unclear the degree to which certain recent regulatory developments may be modified or rescinded. The executive order also established an Interagency Working Group on the Social Cost of Greenhouse Gases (“Working Group”), which is called on to, among other things, develop methodologies for calculating the “social cost of carbon,” “social cost of nitrous oxide” and “social cost of methane.” Recommendations from the Working Group are due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June 1, 2021, and final recommendations no later than January 2022. Further regulation of air emissions, as well as uncertainty regarding the future course of regulation, could eventually reduce the demand for oil and natural gas and, in turn, have a material adverse effect on our business, financial condition or results of operations.</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Hazardous Substances and Waste Materials. </w:t>
      </w:r>
      <w:r>
        <w:rPr>
          <w:rFonts w:ascii="Arial" w:cs="Arial" w:eastAsia="Arial" w:hAnsi="Arial"/>
          <w:sz w:val="17"/>
          <w:szCs w:val="17"/>
          <w:color w:val="auto"/>
        </w:rPr>
        <w:t>To a large extent, the environmental laws and regulations affecting our operations relate to the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substances and waste materials into soils, groundwater and surface water and include measures to prevent, minimize or remediate contamination of the environment. These laws and regulations generally regulate the generation, storage, treatment, transportation and disposal of hazardous substances and waste materials and may require investigatory and remedial actions at sites where such material has been released or disposed. For example, the Comprehensive Environmental Response, Compensation and Liability Act, as amended, (“CERCLA”), also known as the “Superfund” law, and comparable state laws, impose liability without regard to fault or the legality of the original conduct on certain classes of persons that contributed to a release of a “hazardous substance” into the environment. These persons include the owner and operator of the site where a release occurred and companies that disposed or arranged for the disposal of the hazardous substance that has been released into the environment. Under CERCLA, these persons may be subject to strict, joint and several liability, without regard to fault, for, among other things, the costs of investigating and remediating the hazardous substances that have been released into the environment, for damages to natural resources and for the costs of certain health studies. CERCLA and comparable state law also authorize the federal EPA, its state counterparts, and, in some instances, third parties to take actions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Although “petroleum” as well as natural gas and NGLs are excluded from CERCLA’s definition of a “hazardous substance,” in the course of our ordinary operations we generate wastes that may fall within that definition or that may be subject to other waste disposal laws and regulations. We may be responsible under CERCLA or state laws for all or part of the costs required to clean up sites at which such substances or wastes have been disposed.</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also generate both hazardous and nonhazardous wastes that are subject to requirements of the federal Resource Conservation and Recovery Act, as amended, (“RCRA”) and comparable state statutes. We are not currently required to comply with a substantial portion of the RCRA hazardous waste requirements at many of our facilities because the minimal quantities of hazardous wastes generated there make us subject to less stringent non-hazardous management standards. From time to time, the EPA has considered or third parties have petitioned the agency on the adoption of stricter handling, storage and disposal standards for nonhazardous wastes, including certain wastes associated with the exploration, development and production of crude oil and natural gas. For example, in 2016, the EPA entered into an agreement with several environmental groups to analyze certain Subtitle D criteria regulations pertaining to oil and gas wastes and, if necessary, revise them. In response to the decree, in April 2019, the EPA signed a determination that revision of the regulations is not necessary at this time. It is possible that some wastes generated by us that are currently classified as nonhazardous may in the future be designated as “hazardous wastes,” resulting in the wastes being subject to more rigorous and costly disposal requirements, or that the full complement of RCRA standards could be applied to facilities that generate lesser amounts of hazardous waste. Changes such as these examples in applicable regulations may result in a material increase in our capital expenditures or plant operating and maintenance expense and, in the case of our oil and natural gas exploration and production customers, could result in increased operating costs for those customers and a corresponding decrease in demand for our processing, transportation and storage services.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own or lease sites that have been used over the years by prior owners and lessees and by us for various activities related to gathering, processing, storage and transmission of natural gas, NGLs, crude oil and refined products. Waste disposal practices within the oil and gas industry have improved over the years with the passage and implementation of various environmental laws and regulations. Nevertheless, some hydrocarbons and wastes have been disposed of or otherwise released on or under various sites during the operating history of those facilities that are now owned or leased by us. Notwithstanding the possibility that these releases may have occurred during the ownership or operation of these assets by others, these sites may be subject to CERCLA, RCRA and comparable state laws. Under these laws, we could be required to remove or remediate previously disposed wastes (including wastes disposed of or released by prior owners or operators) or contamination (including soil and groundwater contamination) or to prevent the migration of contamination.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and 2019, accruals of $306 million and $320 million, respectively, were recorded in our consolidated balance sheets as accrued and other current liabilities and other non-current liabilities to cover estimated material environmental liabilities.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Partnership is subject to extensive and frequently changing federal, tribal, state and local laws and regulations, including those relating to the discharge of materials into the environment or that otherwise relate to the protection of the environment, waste management and the characteristics and composition of fuels. These laws and regulations require environmental assessment and remediation efforts at many of ETC Sunoco’s facilities and at formerly owned or third-party sites. Accruals for these environmental remediation activities amounted to $247 million and $252 million at December 31, 2020 and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respectively, which is included in the total accruals above. These legacy sites that are subject to environmental assessments include formerly owned terminals and other logistics assets, retail sites that are no longer operated by ETC Sunoco, closed and/or sold refineries and other formerly owned sites. We have established a wholly-owned captive insurance company for these legacy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As of December 31, 2020, the captive insurance company held $189 million of cash and investments.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Partnership’s accrual for environmental remediation activities reflects anticipated work at identified sites 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various environmental laws, including the RCRA, the Partnership has initiated corrective remedial action at certain of its facilities, formerly owned facilities and at certain third-party sites. At the Partnership’s major manufacturing facilities, we have typically assumed continued industrial use and a containment/remediation strategy focused on eliminating unacceptable risks to human health or the environment. The remediation accruals for these sites reflect that strategy. Accruals include amounts designed to prevent or mitigate off-site migration and to contain the impact on the facility property, as well as to address known, discrete areas requiring remediation within the plants. Remedial activities include, for example, closure of RCRA waste management units, recovery of hydrocarbons, handling of impacted soil, mitigation of surface water impacts and prevention or mitigation of off-site migration. A change in this approach as a result of changing the intended use of a property or a sale to a third party could result in a comparatively higher cost remediation strategy in the future.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general, a remediation site or issue is typically evaluated on an individual basis based upon information available for the site or issue and no pooling or statistical analysis is used to evaluate an aggregate risk for a group of similar items (for example, service station sites) in determining the amount of probable loss accrual to be recorded. The estimates of environmental remediation costs also frequently involve evaluation of a range of estimates. In many cases, it is difficult to determine that one point in the range of loss estimates is more likely than any other. In these situations, existing accounting guidance allows us the minimum amount of the range to accrue. Accordingly, the low end of the range often represents the amount of loss which has been recorded. The Partnership’s consolidated balance sheet reflected $306 million in environmental accruals as of December 31, 2020.</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summary, 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but management can provide no assurance that it would be over many years. If changes in environmental laws or regulations occur or the assumptions used to estimate losses at multiple sites are adjusted, such changes could materially and adversely impact multiple facilities, formerly owned facilities and third-party sites at the same time. As a result, from time to time, significant charges against income for environmental remediation may occur. And while management does not believe that any such charges would have a material adverse impact on the Partnership’s consolidated financial position, it can provide no assurance.</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Transwestern conducts soil and groundwater remediation at a number of its facilities. Some of the cleanup activities include remediation of several compressor sites on the Transwestern system for contamination by PCBs, and the costs of this work are not eligible for recovery in rates. The total accrued future estimated cost of remediation activities expected to continue through 2025 is $4 million, which is included in the total environmental accruals mentioned above. Transwestern received FERC approval for rate recovery of projected soil and groundwater remediation costs not related to PCBs effective April 1, 2007. Transwestern, as part of ongoing arrangements with customers, continues to incur costs associated with containing and removing potential PCB contamination. Future costs cannot be reasonably estimated because remediation activities are undertaken as potential claims are made by customers and former customers. Such future costs are not expected to have a material impact on our financial position, results of operations or cash flows, but management can provide no assurance.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Air Emissions. </w:t>
      </w:r>
      <w:r>
        <w:rPr>
          <w:rFonts w:ascii="Arial" w:cs="Arial" w:eastAsia="Arial" w:hAnsi="Arial"/>
          <w:sz w:val="16"/>
          <w:szCs w:val="16"/>
          <w:color w:val="auto"/>
        </w:rPr>
        <w:t>Our operations are subject to the federal Clean Air Act, as amended, and comparable state laws and regulations. These laws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regulate emissions of air pollutants from various industrial sources, including our processing plants, and also impose various monitoring and reporting requirements. Such laws and regulations may require that we obtain pre-approval for the construction or modification of certain projects or facilities, such as our processing plants and compression facilities, expected to produce air emissions or to result in the increase of existing air emissions, that we obtain and strictly comply with air permits containing various emissions and operational limitations, or that we utilize specific emission control technologies to limit emissions. We will incur capital expenditures in the future for air pollution control equipment in connection with obtaining and maintaining operating permits and approvals for air emissions. In addition, our processing plants, pipelines and compression facilities are subject to increasingly stringent regulations, including regulations that require the installation of control technology or the implementation of work practices to control hazardous air pollutants. Moreover, the Clean Air Act requires an operating permit for major sources of emissions and this requirement applies to some of our facilities. Historically, our costs for compliance with existing Clean Air Act and comparable state law requirements have not had a material adverse effect on our results of operations; however, there can be no assurance that such costs will not be material in the future. The EPA and state agencies are often considering, proposing or finalizing new regulations that could impact our existing operations and the costs and timing of new infrastructure development. For example, in October 2015, the EPA published a final rule under the Clean Air Act, lowering the National Ambient Air Quality Standard (“NAAQS”) for ground-level ozone to 70 parts per billion for the 8-hour primary and secondary ozone standards. The EPA completed attainment/non-attainment designations in 2018, and states with moderate or high non-attainment areas must submit state implementation plans to the EPA by October 2021. By law, the EPA must review each NAAQS every five years. In December 2020, the EPA announced that it was retaining without revision the 2015 NAAQS for ozone. However, as mentioned above, in January 2021, the Biden administration issued an executive order directing federal agencies to review and take action to address any federal regulations or similar agency actions during the prior administration that may be inconsistent with the current administration’s stated priorities. The EPA was specifically ordered to, among other things, propose a Federal Implementation Plan for ozone standards for California, Connecticut, New York, Pennsylvania and Texas by January 2022.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or other new regulations could, among other things, require installation of new emission controls on some of our equipment, result in longer permitting timelines, and significantly increase our capital expenditures and operating costs, which could adversely impact our business.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Clean Water Act. </w:t>
      </w:r>
      <w:r>
        <w:rPr>
          <w:rFonts w:ascii="Arial" w:cs="Arial" w:eastAsia="Arial" w:hAnsi="Arial"/>
          <w:sz w:val="16"/>
          <w:szCs w:val="16"/>
          <w:color w:val="auto"/>
        </w:rPr>
        <w:t>The Federal Water Pollution Control Act of 1972, as amended, (“Clean Water Act”) and comparable state laws impose restrictions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strict controls regarding the discharge of pollutants, including hydrocarbon-bearing wastes, into state waters and waters of the United States. Pursuant to the Clean Water Act and similar state laws, a National Pollutant Discharge Elimination System, or state permit, or both, must be obtained to discharge pollutants into federal and state waters. In addition, the Clean Water Act and comparable state laws require that individual permits or coverage under general permits be obtained by subject facilities for discharges of storm water runoff. The Clean Water Act also prohibits the discharge of dredge and fill material in regulated waters, including wetlands, unless authorized by permit. In June 2015, the EPA and the USACE published a final rule attempting to clarify the federal jurisdictional reach over “waters of the United States” (“WOTUS”), but legal challenges to this rule followed. In January 2020, a new “waters of the United States” rule was finalized to replace the June 2015 rule, defining the following four categories of waters as WOTUS: traditional navigable waters and territorial seas; perennial and intermittent tributaries to those waters; lakes, ponds and impoundments of jurisdictional waters; and wetlands adjacent to jurisdictional waters. However, legal challenges to this rulemaking are ongoing, and it is possible that the Biden Administration could propose a broader interpretation of WOTUS. As a result of these developments, the scope of jurisdiction under the Clean Water Act is uncertain at this time, but to the extent any rule expands the scope of the Clean Water Act’s jurisdiction, our operations as well as our exploration and production customers’ drilling programs could incur increased costs and delays with respect to obtaining permits for dredge and fill activities in wetland areas.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for over 35 years, the USACE has authorized construction, maintenance, and repair of pipelines under a streamlined Nationwide Permit (“NWP”) program. From time to time, environmental groups have challenged the NWP program, and, in April 2020, the U.S. District Court for the District of Montana determined that NWP 12 failed to comply with consultation requirements under the federal Endangered Species Act. The district court vacated NWP 12 and enjoined the issuance of new authorizations for oil and gas pipeline projects under the permit. While the district court’s order has subsequently been limited pending appeal, and NWP 12 authorizations remain available for certain oil and gas pipeline projects, we cannot predict the ultimate outcome of this case and its impacts on the NWP program. Additionally, in response to the vacatur, the Corps has announced a reissuance of NWP 13 for oil and natural gas pipeline activities, including certain revisions to the conditions for the use of NWP 12; however, the rulemaking may be subject to litigation or to further revision under the Biden Administration. While the full extent and impact of the vacatur is unclear at this time, we could face significant delays and financial costs if we must obtain individual permit coverage from USACE for our projects.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Spills. </w:t>
      </w:r>
      <w:r>
        <w:rPr>
          <w:rFonts w:ascii="Arial" w:cs="Arial" w:eastAsia="Arial" w:hAnsi="Arial"/>
          <w:sz w:val="17"/>
          <w:szCs w:val="17"/>
          <w:color w:val="auto"/>
        </w:rPr>
        <w:t>Our operations can result in the discharge of regulated substances, including NGLs, crude oil or other products. The Clean Water Act, as amended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Oil Pollution Act of 1990, as amended, (“OPA”), and comparable state laws impose restrictions and strict controls regarding the discharge of regulated substances into state waters or waters of the United States. The Clean Water Act and comparable state laws can impose substantial administrative, civil and criminal penalties for non-compliance including spills and other non-authorized discharges. The OPA subjects owners of covered facilities to strict joint and potentially unlimited liability for removal costs and other consequences of a release of oil, where the release is into navigable waters, along shorelines or in the exclusive economic zone of the United States. Spill prevention control and countermeasure requirements of the Clean Water Act and some state laws require that containment dikes and similar structures be installed to help prevent the impact on navigable waters in the event of a release of oil. PHMSA, the EPA, or various state regulatory agencies, has approved our oil spill emergency response plans that are to be used in the event of a spill incident.</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some states maintain groundwater protection programs that require permits for discharges or operations that may impact groundwater conditions. Our management believes that compliance with existing permits and compliance with foreseeable new permit requirements will not have a material adverse effect on our results of operations, financial position or expected cash flows.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Endangered Species. </w:t>
      </w:r>
      <w:r>
        <w:rPr>
          <w:rFonts w:ascii="Arial" w:cs="Arial" w:eastAsia="Arial" w:hAnsi="Arial"/>
          <w:sz w:val="17"/>
          <w:szCs w:val="17"/>
          <w:color w:val="auto"/>
        </w:rPr>
        <w:t>The Endangered Species Act, as amended, restricts activities that may affect endangered or threatened species or their habitat.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protections are offered to migratory birds under the Migratory Bird Treaty Act. We may operate in areas that are currently designated as a habitat for endangered or threatened species or where the discovery of previously unidentified endangered species, or the designation of additional species as endangered or threatened may occur in which event such one or more developments could cause us to incur additional costs, to develop habitat conservation plans, to become subject to expansion or operating restrictions, or bans in the affected areas. Moreover, such designation of previously unprotected species as threatened or endangered in areas where our oil and natural gas exploration and production customers operate could cause our customers to incur increased costs arising from species protection measures and could result in delays or limitations in our customers’ performance of operations, which could reduce demand for our services.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Climate Change. </w:t>
      </w:r>
      <w:r>
        <w:rPr>
          <w:rFonts w:ascii="Arial" w:cs="Arial" w:eastAsia="Arial" w:hAnsi="Arial"/>
          <w:sz w:val="16"/>
          <w:szCs w:val="16"/>
          <w:color w:val="auto"/>
        </w:rPr>
        <w:t>Climate change continues to attract considerable public, governmental and scientific attention. As a result, numerous proposals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made and are likely to continue to be made at the international, national, regional and state levels of government to monitor and limit emissions of greenhouse gases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removed natural gas transmission and storage operations from this sector and rescinded the methane-specific requirements of the rule for production and processing facilities. However, President Biden has signed an executive order calling for the suspension, revision, or rescission of the September 2020 rule and the reinstatement or issuance of methane emissions standards for new, modified, and existing oil and has facilities, including the transmission and storage segments. Methane emission standards imposed on the oil and gas sector could result in increased costs to our operations as well as result in delays or curtailment in such operations, which costs, delays or curtailment could adversely affect our business. Several states have also adopted, or are considering adopting, regulations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related to GHG emissions, some of which are more stringent than those implemented by the federal government. Additionally,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emission reduction goals every five years beginning in 2020. Although the United States has withdrawn from this agreement, President Biden has signed executive orders recommitting the United States to the Paris Agreement and calling for the federal government to formulate the United States’ emissions reduction goal. However, the impacts of these orders are unclear at this time.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January 2021 climate change executive order also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 The executive order also directed the federal government to identify “fossil fuel subsidies” to take steps to ensure that, to the extent consistent with applicable law, federal funding is not directly subsidizing fossil fuels. As noted above, a separate executive order issued in January 2021 established a Working Group that is called on to, among other things, develop methodologies for calculating the “social cost of carbon,” “social cost of nitrous oxide” and “social cost of methane.” Recommendations from the Working Group are due beginning June 1, 2021, and final recommendations no later than January 2022.</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 There is also a risk that financial institutions could be required to adopt policies that have the effect of reducing the funding provided to the fossil fuel sector. For example, recently, the Federal Reserve announced that it has joined the Network for Greening the Financial System, a consortium of financial regulators focused on addressing climate-related risks in the financial sector. Ultimately, this could make it more difficult to secure funding for exploration and production or midstream activities. Finally, most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our assets.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such effects were to occur, our operations could be adversely affected in various ways, including damages to our facilities from powerful winds or rising waters, or increased costs for insurance. 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transport, and thus demand for our services.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We are subject to the requirements of the federal OSHA and comparable state laws that regulate the protection of the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of workers. In addition, the Occupational Safety and Health Administration’s hazard communication standard requires that information be maintained about hazardous materials used or produced in operations and that this information be provided to employees, state and local government authorities and citizens. Historically, our costs for OSHA required activities, including general industry standards, recordkeeping requirements, and monitoring of occupational exposure to regulated substances, have not had a material adverse effect on our results of operations but there is no assurance that such costs will not be material in the future.</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Natural Resource Reviews. </w:t>
      </w:r>
      <w:r>
        <w:rPr>
          <w:rFonts w:ascii="Arial" w:cs="Arial" w:eastAsia="Arial" w:hAnsi="Arial"/>
          <w:sz w:val="18"/>
          <w:szCs w:val="18"/>
          <w:color w:val="auto"/>
        </w:rPr>
        <w:t>The National Environmental Policy Act (“NEPA”) provides for an environmental impact assessment process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projects that involve federal lands or require approvals by federal agencies. The NEPA process implicates a number of other environmental laws and regulations, including the Endangered Species Act, Migratory Bird Treaty Act, Rivers and Harbors Act, Clean Water Act, Bald and Golden Eagle Protection Act, Fish and Wildlife Coordination Act, Marine Mammal Protection Act and National Historic Preservation Act, often requiring coordination with numerous governmental authorities. The NEPA review process can be lengthy and subjective, resulting in delays in obtaining federal approvals for projects. Our projects that are subject to the NEPA can include pipeline construction and pipeline integrity projects that involve federal lands or require approvals by federal agencies. More stringent environmental impact analyses under or third-party challenges with respect to the sufficiency of any environmental impact statement or assessment prepared pursuant to NEPA could adversely impact such projects in the form of delays or increased compliance and mitigations costs.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Indigenous Protections. </w:t>
      </w:r>
      <w:r>
        <w:rPr>
          <w:rFonts w:ascii="Arial" w:cs="Arial" w:eastAsia="Arial" w:hAnsi="Arial"/>
          <w:sz w:val="16"/>
          <w:szCs w:val="16"/>
          <w:color w:val="auto"/>
        </w:rPr>
        <w:t>Part of our operations cross land that has historically been apportioned to various Native American/First Nations tribes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Supreme Court ruled in </w:t>
      </w:r>
      <w:r>
        <w:rPr>
          <w:rFonts w:ascii="Arial" w:cs="Arial" w:eastAsia="Arial" w:hAnsi="Arial"/>
          <w:sz w:val="16"/>
          <w:szCs w:val="16"/>
          <w:i w:val="1"/>
          <w:iCs w:val="1"/>
          <w:color w:val="auto"/>
        </w:rPr>
        <w:t>McGirt v. Oklahoma</w:t>
      </w:r>
      <w:r>
        <w:rPr>
          <w:rFonts w:ascii="Arial" w:cs="Arial" w:eastAsia="Arial" w:hAnsi="Arial"/>
          <w:sz w:val="16"/>
          <w:szCs w:val="16"/>
          <w:color w:val="auto"/>
        </w:rPr>
        <w:t xml:space="preserve"> that the Muscogee (Creek) Nation reservation in Eastern Oklahoma has not been disestablished. Although the court’s ruling indicates that it is limited to criminal law, as applied within the Muscogee (Creek) Nation reservation, the ruling may have significant potential implications for civil law, both in the Muscogee (Creek) Nation reservation and other reservations that may similarly be found to not have been disestablished. State courts in Oklahoma have applied the analysis in </w:t>
      </w:r>
      <w:r>
        <w:rPr>
          <w:rFonts w:ascii="Arial" w:cs="Arial" w:eastAsia="Arial" w:hAnsi="Arial"/>
          <w:sz w:val="16"/>
          <w:szCs w:val="16"/>
          <w:i w:val="1"/>
          <w:iCs w:val="1"/>
          <w:color w:val="auto"/>
        </w:rPr>
        <w:t>McGirt</w:t>
      </w:r>
      <w:r>
        <w:rPr>
          <w:rFonts w:ascii="Arial" w:cs="Arial" w:eastAsia="Arial" w:hAnsi="Arial"/>
          <w:sz w:val="16"/>
          <w:szCs w:val="16"/>
          <w:color w:val="auto"/>
        </w:rPr>
        <w:t xml:space="preserve"> in ruling that the Cherokee, Chickasaw, Seminole, and Choctaw reservations likewise had not been disestablished.</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Indians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in </w:t>
      </w:r>
      <w:r>
        <w:rPr>
          <w:rFonts w:ascii="Arial" w:cs="Arial" w:eastAsia="Arial" w:hAnsi="Arial"/>
          <w:sz w:val="17"/>
          <w:szCs w:val="17"/>
          <w:i w:val="1"/>
          <w:iCs w:val="1"/>
          <w:color w:val="auto"/>
        </w:rPr>
        <w:t>McGirt</w:t>
      </w:r>
      <w:r>
        <w:rPr>
          <w:rFonts w:ascii="Arial" w:cs="Arial" w:eastAsia="Arial" w:hAnsi="Arial"/>
          <w:sz w:val="17"/>
          <w:szCs w:val="17"/>
          <w:color w:val="auto"/>
        </w:rPr>
        <w:t>. However, several Tribes have expressed dissatisfaction with the consultation process performed in relation to this approval, and it is possible that EPA’s approval under the SAFETE Act could be challenged.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ET and its consolidated subsidiaries employed an aggregate of 11,421 employees, 1,217 of which are represented by labor unions. We believe that our relations with our employees are good.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employees are our greatest asset, and we seek to attract and retain top talent by fostering a culture that is guided by our core values in a manner that respects all people and cultures, promotes safety, and focuses on the protection of public health and the environment.</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Ethics and Values</w:t>
      </w:r>
      <w:r>
        <w:rPr>
          <w:rFonts w:ascii="Arial" w:cs="Arial" w:eastAsia="Arial" w:hAnsi="Arial"/>
          <w:sz w:val="17"/>
          <w:szCs w:val="17"/>
          <w:color w:val="auto"/>
        </w:rPr>
        <w:t>. We are committed to operating our business in a manner that honors and respects all people and the communities in which we do</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We recognize that people are our most valued resource, and we are committed to hiring and investing in employees who strive for excellence and live by our core values: working safely, corporate stewardship, ethics and integrity, entrepreneurial mindset, our people, excellence and results, and social responsibility. We value our employees for what they bring to our organization by embracing those from all backgrounds, cultures, and experiences. We also believe that the keys to our successes have been the cultivation of an atmosphere of inclusion and respect within our family of partnerships and sustaining organizations that promote diversity and provide support across all communities. These are the principles upon which we build and strengthen relationships among our people, our stakeholders, and those within the communities we support.</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Respecting All People and All Cultures</w:t>
      </w:r>
      <w:r>
        <w:rPr>
          <w:rFonts w:ascii="Arial" w:cs="Arial" w:eastAsia="Arial" w:hAnsi="Arial"/>
          <w:sz w:val="16"/>
          <w:szCs w:val="16"/>
          <w:color w:val="auto"/>
        </w:rPr>
        <w:t>. We believe strict adherence to our Code of Business Conduct and Ethics is not only right, but is in the best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Partnership, its Unitholders, its customers, and the industry in general. In all instances, the policies of the Partnership require that the business of the Partnership be conducted in a lawful and ethical manner. Every employee acting on behalf of the Partnership must adhere to these policies. Please refer to “Item 10. Directors, Executive Officers and Corporate Governance” for additional information on our Code of Business Conduct and Ethics.</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Commitment to Protecting Public Health, Safety and the Environment</w:t>
      </w:r>
      <w:r>
        <w:rPr>
          <w:rFonts w:ascii="Arial" w:cs="Arial" w:eastAsia="Arial" w:hAnsi="Arial"/>
          <w:sz w:val="16"/>
          <w:szCs w:val="16"/>
          <w:color w:val="auto"/>
        </w:rPr>
        <w:t>. Protecting public health and the environment is the primary initiative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management teams, both in the construction and operation of our assets. These teams consist of environmental engineers, scientists and geologists focused on ensuring that our environmental management systems responsibly and efficiently reduce emissions, protect and preserve the land, water and air around us, and remain in compliance with all applicable regulations. Our environmental, health and safety department’s more than 100 environmental and safety professionals provide environmental and safety training to our field representatives. This group also assists others throughout the organization in identifying continuous training for personnel, including the training that is required by applicable laws, regulations, standards, and permit conditions. Our safety standards and expectations are communicated to all employees and contractors with the expectation that each individual has the obligation to make safety the highest priority. Our safety culture aims to promote an open environment for discovering, resolving, and sharing safety challenges. We strive to eliminate unwanted safety events through a comprehensive process that promotes leadership, employee involvement, communication, personal responsibility to comply with standard operating procedures and regulatory requirements, effective risk reduction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processes, maintaining clean facilities, contractor safety, and personal wellness. Energy Transfer’s goal is operational excellence, which means an injury-and incident-free workplace. To achieve this, we strive to hire and maintain the most qualified and dedicated workforce in the industry and make safety and safety accountability part of our daily operations. The OSHA Total Reportable Incident Rate (“TRIR”) is a key performance indicator by which we evaluate the success of our safety programs. TRIR provides companies with a look at their safety record performance for the year by calculating the number of recordable incidents per 200,000 hours worked. Out of more than 17 million hours worked, our TRIR was 0.87 for 2020, compared to 0.94 in 2019. We believe the Partnership’s low TRIR speaks to the investment in and focus on safety and environmental compliance as well as the reliability of our assets.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Regarding COVID-19, as an essential business providing critical energy infrastructure, the safety of our employees and the continued operation of our assets are our top priorities, and we will continue to operate in accordance with federal, state and local health guidelines and safety protocols. We have implemented several new policies and provided employees with training to help maintain the health and safety of our workforce.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our Human Capital initiatives, please see our Community Engagement Report available on our website at http://www.energytransfer.com/corporate-responsibility/. Information contained on our website is not part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or furnish annual reports on Form 10-K, quarterly reports on Form 10-Q, current reports on Form 8-K and any related amendments and supplements thereto with the SEC. From time to time, we may also file registration and related statements pertaining to equity or debt offerings. The SEC maintains an internet website at http://www.sec.gov that contains reports, proxy and information statements and other information regarding issuers that file electronically with the SEC.</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electronic access, free of charge, to our periodic and current reports, and amendments to these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structure as a limited partnership, our industry and our company could materially impact our future performance and results of operations. We have provided below a list of these risk factors that should be reviewed when considering an investment in our securities. ETO, Panhandle, Sunoco LP and USAC file Annual Reports on Form 10-K that include risk factors that can be reviewed for further information. The risk factors set forth below, and those included in ETO’s, Panhandle’s, Sunoco LP’s and USAC’s Annual Reports, are not all the risks we face, and other factors currently considered immaterial or unknown to us may impact our future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Relating to the Partnership’s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and Financial Condition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cash flow depends primarily on the cash distributions we receive from our partnership interests in ETO, Sunoco LP and USAC, including the incentive distribution rights in Sunoco LP and, therefore, our cash flow is dependent upon the ability of ETO, Sunoco LP and USAC to make distributions in respect of those partnership interests.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any significant assets other than our partnership interests in ETO. As a result, our cash flow depends on the performance of ETO and its subsidiaries, including Sunoco LP and USAC, and their ability to make cash distributions, which is dependent on the results of operations, cash flows and financial condition of ETO and its subsidiaries, including Sunoco LP and USAC.</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cash that ETO distributes to us each quarter depends upon the amount of cash ETO generates from its operations, which will fluctuate from quarter to quarter and will depend upon, among other things:</w:t>
      </w:r>
    </w:p>
    <w:p>
      <w:pPr>
        <w:spacing w:after="0" w:line="6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natural gas, NGLs, crude oil and refined products transported through ETO’s pipelines;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throughput in processing and treating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fees charged and the margins realized by ETO, Sunoco LP and USAC for their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of natural gas, NGLs, crude oil and refined products;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relationship between natural gas, NGL and crude oil prices;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weather in their respective operating areas;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competition from other midstream, transportation and storage and retail marketing companies and other energy providers;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their respective operating costs and maintenance and integrity capital expenditures;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tax profile on any blocker entities treated as corporations for federal income tax purposes that are owned by any of our subsidiaries;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and results of their respective derivative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actual amount of cash that ETO, and its subsidiaries, including Sunoco LP and USAC, will have available for distribution will also depend on other factors, such as:</w:t>
      </w:r>
    </w:p>
    <w:p>
      <w:pPr>
        <w:spacing w:after="0" w:line="62"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capital expenditures they make;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costs related to litigation and regulatory compliance matters;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levels of any margin calls that result from changes in commodity prices;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service requirements;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working capital needs;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their ability to borrow under their respective revolving credit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their ability to access capital markets;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distributions contained in their respective debt agreements;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the board of directors and their respective general partners in their discretion for the proper conduct of their respective businesses.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ET does not have any control over many of these factors, including the level of cash reserves established by the board of directors. Accordingly, we cannot guarantee that ETO, Sunoco LP and USAC will have sufficient available cash to pay a specific level of cash distributions to their respective partners.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Unitholders should be aware that the amount of cash that our subsidiaries have available for distribution depends primarily upon cash flow and is not solely a function of profitability, which is affected by non-cash items. As a result, our subsidiaries may declare and/or pay cash distributions during periods when they record net losses. Please read “Risks Related to the Businesses of our Subsidiaries” included in this Item 1A for a discussion of further risks affecting ETO’s ability to generate distributable cash flow.</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Income from our midstream, transportation, terminalling and storage operations is exposed to risks due to fluctuations in the demand for and price of natural gas, NGLs, crude oil and refined products that are beyond our control.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prices for natural gas, NGLs, crude oil and refined products reflect market demand that fluctuates with changes in global and United States economic conditions and other factors, including:</w:t>
      </w:r>
    </w:p>
    <w:p>
      <w:pPr>
        <w:spacing w:after="0" w:line="6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domestic natural gas, NGL, refined products and oil production;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natural gas, NGL, refined products and oil imports and exports, including liquefied natural gas;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actions taken by natural gas and oil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instability or other events affecting natural gas and oil producing nations;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weather, public health crises such as pandemics (including COVID-19), and other events of nature on the demand for natural gas, NGLs, refined products and oil;</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storage, terminal and transportation systems, and refining, processing and treating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availability and marketing of competitive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demand for electricity;</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activities by non-governmental organizations to limit certain sources of funding for the energy sector or restrict the exploration, development and production of oil and natural gas and related products;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capital needed to maintain or increase production levels and to construct and expand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energy conservation and fuel efficiency efforts;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of governmental regulations, taxation, fees and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past, the prices of natural gas, NGLs, refined products and oil have been extremely volatile, and we expect this volatility to continue.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loss of business from existing customers or our inability to attract new customers due to a decline in demand for natural gas, NGLs, refined products or oil could have a material adverse effect on our revenues and results of operations. In addition, significant price fluctuations for natural gas, NGL, refined products and oil commodities could materially affect our profitability.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outbreak of COVID-19 and recent geopolitical developments in the crude oil market could adversely impact our business, financial condition and results of operations.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known as COVID-19 due to the risks it imposes on the international community as the virus spreads globally. In March 2020, the WHO classified the COVID-19 outbreak as a pandemic, based on the rapid increase in exposure globally. The global spread of COVID-19 caused a significant decline in economic activity and a reduced demand for goods and services, particularly in the energy industry, due to reduced operations and/or closures of businesses, “shelter in place” and other similar requirements imposed by government authorities, or other actions voluntarily undertaken by individuals and businesses concerned about exposure to COVID-19. The extent to which the COVID-19 pandemic continues to impact our business, operations and financial results depends on numerous evolving factors that we cannot accurately predict, including: the duration and scope of the pandemic; governmental, business and individuals’ actions taken in response to the pandemic and the associated impact on economic activity; the effect on the level of demand for natural gas, NGLs, refined products and/or crude oil; our ability to procure materials and services from third parties that are necessary for the operation of our business; our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ability to provide our services, including as a result of travel restrictions on our employees and employees of third parties that we utilize in connection with our services; the potential for key executives or employees to fall ill with COVID-19; and the ability of our customers to pay for our services if their businesses suffer as a result of the pandemic.</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policy disputes between the Organization of Petroleum Exporting Countries and Russia in the first quarter of 2020 resulted in Saudi Arabia significantly discounting the price of its crude oil, as well as Saudi Arabia and Russia significantly increasing the amount of crude oil they produce. These actions led to significant volatility in crude oil prices. More specifically, the spot price for West Texas Intermediate (WTI) crude oil, for physical delivery at Cushing, Oklahoma, decreased from $63.27 per barrel on January 6, 2020 to $(36.98) per barrel on April 20, 2020 and increased to more than $60 per barrel in February 2021.</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Reduced demand for natural gas, NGLs, refined products and/or crude oil caused by the COVID-19 pandemic and a decline in WTI crude oil prices caused by the actions of foreign oil-producing nations or other market factors may result in the shut-in of production from U.S. oil and gas wells, which in turn may result in decreased utilization of our midstream services related to crude oil, NGLs, refined products and natural gas. In addition, reduced demand for crude oil has resulted in an increase in worldwide crude oil storage inventories, which limits our options for end-markets for the products we transport.</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factors discussed above could have a material adverse effect on our business, results of operations and financial condition. In addition, significant price fluctuations for natural gas, NGLs, refined products and oil commodities could materially affect the value of our inventory, as well as the linefill and tank bottoms that we account for as non-current assets. We may be forced to delay some of our capital projects and our customers, who may be in financial distress, may slow down decision-making, delay planned projects or seek to renegotiate or terminate agreements with us. To the extent our counterparties are successful, we may not be able to obtain new contract terms that are favorable to us or to replace contracts that are terminated.</w:t>
      </w:r>
    </w:p>
    <w:p>
      <w:pPr>
        <w:spacing w:after="0" w:line="1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the effects of the pandemic and geopolitical developments have market impacts, such that additional capital may be more difficult for us to obtain or available only on terms less favorable to us. Our inability to fund capital expenditures could have a material impact on our results of operations.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this time, we cannot estimate the magnitude and duration of potential social, economic and labor instability as a direct result of COVID-19, or of potential industry disruption as a direct result of geopolitical developments in the oil market. Should any of these potential impacts continue for an extended period of time, it will have a negative impact on the demand for our services and an adverse effect on our financial position and results of operations. To the extent these factors adversely affect our business and financial results, they may also have the effect of heightening many of the other risks described in this “Risk Factors” section, as well as the risks discussed or referenced in any applicable prospectus supplement, including in the documents we incorporate by reference herein or therein, such as those relating to our indebtedness, our need to generate sufficient cash flows to service our indebtedness and our ability to comply with the covenants contained in the agreements that govern our indebtedness.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failure to successfully combine the businesses of Energy Transfer and Enable in the expected time frame may adversely affect Energy Transfer’s future results.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the merger will depend, in part, on the ability of Energy Transfer to realize the anticipated benefits from combining the businesses of Energy Transfer and Enable. To realize these anticipated benefits, Energy Transfer’s and Enable’s businesses must be successfully combined. If the combined entity is not able to achieve these objectives, the anticipated benefits of the merger may not be realized fully or at all or may take longer to realize than expected. In addition, the actual integration may result in additional and unforeseen expenses, which could reduce the anticipated benefits of the merger.</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Energy Transfer and Enable, including their respective subsidiaries, have operated and, until the completion of the merger, will continue to operate independently. It is possible that the integration process could result in the loss of key employees, as well as the disruption of each partnership’s ongoing businesses or inconsistencies in their standards, controls, procedures and policies.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or all of those occurrences could adversely affect the combined entity’s ability to maintain relationships with customers and employees after the merger or to achieve the anticipated benefits of the merger. Integration efforts between the two partnerships will also divert management attention and resources. These integration matters could have an adverse effect on each of Energy Transfer and Enable.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impairment of goodwill and intangible assets could reduce our earnings.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our consolidated balance sheet reflected $2.39 billion of goodwill and $5.75 billion of intangible assets. Goodwill is recorded when the purchase price of a business exceeds the fair value of the tangible and separately measurable intangible net assets. Accounting principles generally accepted in the United States require us to test goodwill for impairment on an annual basis or when events or circumstances occur, indicating that goodwill might be impaired. Long-lived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assets such as intangible assets with finite useful lives are reviewed for impairment whenever events or changes in circumstances indicate that the carrying amount may not be recoverable. If we determine that any of our goodwill or intangible assets were impaired, we would be required to take an immediate charge to earnings with a correlative effect on partners’ capital and balance sheet leverage as measured by debt to total capitalization.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the Partnership recognized goodwill impairments of $483 million related to our midstream operations, $1.28 billion related to our crude operations, $198 million related to our all other operations, $10 million related to our intrastate operations and $226 million related to our interstate operations, primarily due to decreases in projected future cash flow as a result of the overall market demand decline. In addition, USAC recognized a goodwill impairment of $619 million during the year ended December 31, 2020, which is included in the Partnership’s consolidated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certain key producers for our supply of natural gas and the loss of any of these key producers could adversely affect our financial results.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producers who are connected to our systems represent a material source of our supply of natural gas. We are not the only option available to these producers for disposition of the natural gas they produce. To the extent that these and other producers may reduce the volumes of natural gas that they supply us, we would be adversely affected unless we were able to acquire comparable supplies of natural gas from other producers.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intrastate transportation and storage and interstate transportation and storage operations depend on key customers to transport natural gas through our pipelines and the pipelines of our joint ventures.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2020, Trafigura US Inc. accounted for approximately 29% of our intrastate transportation and storage revenues. During 2020, Shell, Ascent Resources LLC and Antero Resources Corporation collectively accounted for 32% of our interstate transportation and storage revenues.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joint ventures, FEP and Citrus, also depend on key customers for the transport of natural gas through their pipelines. FEP has a small number of major shippers with one shipper accounting for approximately 64% of its revenues in 2020 while Citrus has long-term agreements with its top two customers which accounted for 54% of its 2020 revenue. For the Trans-Pecos and Comanche Trail pipelines, CFE International LLC is the primary shipper.</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failure of the major shippers on our and our joint ventures’ intrastate and interstate transportation and storage pipelines to fulfill their contractual obligations could have a material adverse effect on our cash flow and results of operations if we or our joint ventures were unable to replace these customers under arrangements that provide similar economic benefits as these existing contracts.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may be unable to retain or replace existing midstream, transportation, terminalling and storage customers or volumes due to declining demand or increased competition in crude oil, refined products, natural gas and NGL markets, which would reduce our revenues and limit our future profitability.</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retention or replacement of existing customers and the volume of services that we provide at rates sufficient to maintain or increase current revenues and cash flows depends on a number of factors beyond our control, including the price of and demand for crude oil, refined products, natural gas and NGLs in the markets we serve and competition from other service providers.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sales of natural gas are to industrial customers and utilities. As a consequence of the volatility of natural gas prices and increased competition in the industry and other factors, industrial customers, utilities and other gas customers are increasingly reluctant to enter into long-term purchase contracts. Many customers purchase natural gas from more than one supplier and have the ability to change suppliers at any time. Some of these customers also have the ability to switch between gas and alternate fuels in response to relative price fluctuations in the market. Because there are many companies of greatly varying size and financial capacity that compete with us in the marketing of natural gas, we often compete in natural gas sales markets primarily on the basis of price.</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receive a substantial portion of our revenues by providing natural gas gathering, processing, treating, transportation and storage services. While a substantial portion of our services are sold under long-term contracts for reserved service, we also provide service on an unreserved or short-term basis. Demand for our services may be substantially reduced due to changing market prices. Declining prices may result in lower rates of natural gas production resulting in less use of services, while rising prices may diminish consumer demand and also limit the use of services. In addition, our competitors may attract our customers’ business. If demand declines or competition increases, we may not be able to sustain existing levels of unreserved service or renew or extend long-term contracts as they expire or we may reduce our rates to meet competitive pressures.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our NGL transportation systems and refined products storage is also exposed to risks due to fluctuations in demand for transportation and storage service as a result of unfavorable commodity prices, competition from nearby pipelines,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and other factors. We receive substantially all of our transportation revenues through dedicated contracts under which the customer agrees to deliver the total output from particular processing plants that are connected only to our transportation system. Reduction in demand for natural gas or NGLs due to unfavorable prices or other factors, however, may result lower rates of production under dedicated contracts and lower demand for our services. In addition, our refined products storage revenues are primarily derived from fixed capacity arrangements between us and our customers, a portion of our revenue is derived from fungible storage and throughput arrangements, under which our revenue is more dependent upon demand for storage from our customers.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volume of crude oil and refined products transported through our crude oil and refined products pipelines and terminal facilities depends on the availability of attractively priced crude oil and refined products in the areas serviced by our assets. A period of sustained price reductions for crude oil or refined products could lead to a decline in drilling activity, production and refining of crude oil or import levels in these areas. A period of sustained increases in the price of crude oil or refined products supplied from or delivered to any of these areas could materially reduce demand for crude oil or refined products in these areas. In either case, the volumes of crude oil or refined products transported in our crude oil and refined products pipelines and terminal facilities could decline.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loss of existing customers by our midstream, transportation, terminalling and storage facilities or a reduction in the volume of the services our customers purchase from us, or our inability to attract new customers and service volumes would negatively affect our revenues, be detrimental to our growth, and adversely affect our results of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and our subsidiaries, including Sunoco LP and USA Compression Partners, LP (“USAC”), are exposed to the credit risk of our customers and derivative counterparties, and an increase in the nonpayment and nonperformance by our customers or derivative counterparties could reduce our ability to make distributions to our unitholders.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Sunoco LP and USAC are subject to risks of loss resulting from nonpayment or nonperformance by our, Sunoco LP’s and USAC’s customers. Commodity price volatility and/or the tightening of credit in the financial markets may make it more difficult for customers to obtain financing and, depending on the degree to which this occurs, there may be a material increase in the nonpayment and nonperformance by our customers. In addition, our risk management activities are subject to the risks that a counterparty may not perform its obligation under the applicable derivative instrument, the terms of the derivative instruments are imperfect, and our risk management policies and procedures are not properly followed. Any material nonpayment or nonperformance by our customers or our derivative counterparties could reduce our ability to make distributions to our unitholders. Any substantial increase in the nonpayment and nonperformance by our customers could have a material effect on our, Sunoco LP’s and USAC’s results of operations and operating cash flows.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recent market disruptions involving the COVID-19 pandemic, some of our counterparties may be forced to file for bankruptcy protection, in which case our existing contracts with those counterparties may be rejected by the bankruptcy court. Following the request of one of our FERC-regulated natural pipelines, the FERC commenced an investigation into whether the public interest requires abrogation or modification of a firm transportation agreement and an interruptible transportation agreement with one of our shippers. By order dated November 9, 2020, FERC held that the record did not support a finding that the public interest presently requires abrogation or modification of the subject firm transportation agreement. However, actual determination regarding the contract will depend upon further action by the counterparty and any further bankruptcy-related proceedings. If a counterparty is successful in rejecting an existing contract in bankruptcy, we expect that we would attempt to negotiate replacement contracts with those counterparties and, depending on the availability of alternatives to our services, these contracts may have terms that are less favorable to us than the contracts rejected in bankruptcy court.</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profitability of certain activities in our natural gas gathering, processing, transportation and storage operations are largely dependent upon natural gas commodity prices, price spreads between two or more physical locations and market demand for natural gas and NGLs.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portion of the natural gas gathered on our systems, we purchase natural gas from producers at the wellhead and then gather and deliver the natural gas to pipelines where we typically resell the natural gas under various arrangements, including sales at index prices. Generally, the gross margins we realize under these arrangements decrease in periods of low natural gas prices.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enter into percent-of-proceeds arrangements, keep-whole arrangements, and processing fee agreements pursuant to which we agree to gather and process natural gas received from the producers.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percent-of-proceeds arrangements, we generally sell the residue gas and NGLs at market prices and remit to the producers an agreed upon percentage of the proceeds based on an index price. In other cases, instead of remitting cash payments to the producer, we deliver an agreed upon percentage of the residue gas and NGL volumes to the producer and sell the volumes we keep to third parties at market prices. Under these arrangements, our revenues and gross margins decline when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natural gas prices and NGL prices decrease. Accordingly, a decrease in the price of natural gas or NGLs could have an adverse effect on our revenues and results of operations.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keep-whole arrangements, we generally sell the NGLs produced from our gathering and processing operations at market prices. Because the extraction of the NGLs from the natural gas during processing reduces the Btu content of the natural gas, we must either purchase natural gas at market prices for return to producers or make a cash payment to producers equal to the value of this natural gas. Under these arrangements, our gross margins generally decrease when the price of natural gas increases relative to the price of NGLs.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process the gas for a fee under processing fee agreements, we may guarantee recoveries to the producer. If recoveries are less than those guaranteed to the producer, we may suffer a loss by having to supply liquids or its cash equivalent to keep the producer whole.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receive fees and retain gas in kind from our natural gas transportation and storage customers. Our fuel retention fees and the value of gas that we retain in kind are directly affected by changes in natural gas prices. Decreases in natural gas prices tend to decrease our fuel retention fees and the value of retained gas.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receive revenue from our off-gas processing and fractionating system in south Louisiana primarily through customer agreements that are a combination of keep-whole and percent-of-proceeds arrangements, as well as from transportation and fractionation fees. Consequently, a large portion of our off-gas processing and fractionation revenue is exposed to risks due to fluctuations in commodity prices. In addition, a decline in NGL prices could cause a decrease in demand for our off-gas processing and fractionation services and could have an adverse effect on our results of operations.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our midstream segment, we generally analyze gross margin based on fee-based margin (which includes revenues from processing fee arrangements) and non-fee-based margin (which includes gross margin earned on percent-of-proceeds and keep-whole arrangements). The amount of segment margin earned by our midstream segment from fee-based and non-fee-based arrangements (individually and as a percentage of total revenues) will be impacted by the volumes associated with both types of arrangements, as well as commodity prices; therefore, the dollar amounts and the relative magnitude of gross margin from fee-based and non-fee-based arrangements in future periods may be significantly different from results reported in previous periods.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midstream facilities and transportation pipelines provide services related to natural gas wells that experience production declines over time, which we may not be able to replace with natural gas production from newly drilled wells in the same natural gas basins or in other new natural gas producing areas.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maintain or increase throughput levels on our gathering systems and transportation pipeline systems and asset utilization rates at our treating and processing plants, we must continually contract for new natural gas supplies and natural gas transportation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substantial portion of our assets, including our gathering systems and our processing and treating plants, are connected to natural gas reserves and wells that experience declining production over time. Our gas transportation pipelines are also dependent upon natural gas production in areas served by our gathering systems or in areas served by other gathering systems or transportation pipelines that connect with our transportation pipelines. We may not be able to obtain additional contracts for natural gas supplies for our natural gas gathering systems, and we may be unable to maintain or increase the levels of natural gas throughput on our transportation pipelines. The primary factors affecting our ability to connect new supplies of natural gas to our gathering systems include our success in contracting for existing natural gas supplies that are not committed to other systems and the level of drilling activity and production of natural gas near our gathering systems or in areas that provide access to our transportation pipelines or markets to which our systems connect. We have no control over the level of drilling activity in our areas of operation, the amount of reserves underlying the wells and the rate at which production from a well will decline. In addition, we have no control over producers or their production and contracting decisions.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 substantial portion of our services are provided under long-term contracts for reserved service, we also provide service on an unreserved basis. The reserves available through the supply basins connected to our gathering, processing, treating, transportation and storage facilities may decline and may not be replaced by other sources of supply. A decrease in development or production activity could cause a decrease in the volume of unreserved services we provide and a decrease in the number and volume of our contracts for reserved transportation service over the long run, which in each case would adversely affect our revenues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replace any significant volume declines with additional volumes from other sources, our results of operations and cash flows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depend on our customers’ ability to use our pipelines and third-party pipelines over which we have no control.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natural gas transportation, storage and NGL businesses depend, in part, on our customers’ ability to obtain access to pipelines to deliver gas to us and receive gas from us. Many of these pipelines are owned by parties not affiliated with us. Any interruption of service on our pipelines or third-party pipelines due to testing, line repair, reduced operating pressures, or other causes or adverse change in terms and conditions of service could have a material adverse effect on our ability, and the ability of our customers, to transport natural gas to and from our pipelines and facilities and a corresponding material adverse effect on our transportation and storage revenues. In addition, the rates charged by interconnected pipelines for transportation to and from our facilities affect the utilization and value of our storage services. Significant changes in the rates charged by those pipelines or the rates charged by other pipelines with which the interconnected pipelines compete could also have a material adverse effect on our storage revenues.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Shippers using our oil pipelines and terminals are also dependent upon our pipelines and connections to third-party pipelines to receive and deliver crude oil and products. Any interruptions or reduction in the capabilities of these pipelines due to testing, line repair, reduced operating pressures, or other causes could result in reduced volumes transported in our pipelines or through our terminals. Similarly, if additional shippers begin transporting volume over interconnecting oil pipelines, the allocations of pipeline capacity to our existing shippers on these interconnecting pipelines could be reduced, which also could reduce volumes transported in its pipelines or through our terminals. Allocation reductions of this nature are not infrequent and are beyond our control. Any such interruptions or allocation reductions that, individually or in the aggregate, are material or continue for a sustained period of time could have a material adverse effect on our results of operations, financial position,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inability to continue to access lands owned by third parties could adversely affect our ability to operate and our financial results.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our pipeline systems on certain lands owned by third parties will depend on our success in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For more information, see our regulatory disclosure titled “Indigenous Protections.”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existing rights-of-way upon the expiration of the current grants, that all of the rights-of-way will be obtained in a timely fashion or that we will acquire new rights-of-way as needed.</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whether we have the power of eminent domain for our pipelines varies from state to state, depending upon the type of pipeline and the laws of the particular state and the ownership of the land to which we seek access. When we exercise eminent down rights or negotiate private agreements cases,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 For example, following a decision issued in May 2017 by the federal Tenth Circuit Court of Appeals, tribal ownership of even a very small fractional interest in an allotted land, that is,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impediment for pipeline operators. Any loss of rights with respect to our real property, through our inability to renew right-of-way contracts or otherwise, could have a material adverse effect on our business, results of operations, financial condition and ability to make cash distributions to unitholders.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storage operations are influenced by the overall forward market for crude oil and other products we store, and certain market conditions may adversely affect our financial and operating results.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storage operations are influenced by the overall forward market for crude oil and other products we store. A contango market (meaning that the price of crude oil or other products for future delivery is higher than the current price) is associated with greater demand for storage capacity, because a party can simultaneously purchase crude oil or other products at current prices for storage and sell at higher prices for future delivery. A backwardated market (meaning that the price of crude oil or other products for future delivery is lower than the current price) is associated with lower demand for storage capacity because a party can capture a premium for prompt delivery of crude oil or other products rather than storing it for future sale. A prolonged backwardated market, or other adverse market conditions, could have an adverse impact on its ability to negotiate favorable prices under new or renewing storage contracts, which could have an adverse impact on our storage revenues. As a result, the overall forward market for crude oil or other products may have an adverse effect on our financial condition or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Competition for water resources or limitations on water usage for hydraulic fracturing could disrupt crude oil and natural gas production from shale formations.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Hydraulic fracturing is the process of creating or expanding cracks by pumping water, sand and chemicals under high pressure into an underground formation in order to increase the productivity of crude oil and natural gas wells. Water used in the process is generally fresh water, recycled produced water or salt water. There is competition for fresh water from municipalities, farmers, ranchers and industrial users. In addition, the available supply of fresh water can also be reduced directly by drought. Prolonged drought conditions increase the intensity of competition for fresh water. Limitations on oil and gas producers’ access to fresh water may restrict their ability to use hydraulic fracturing and could reduce new production. Such disruptions could potentially have a material adverse impact on our financial condition or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natural disaster, catastrophe or other event could result in severe personal injury, property damage and environmental damage, which could curtail our operations and otherwise materially adversely affect our cash flow.</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operations involve risks of personal injury, property damage and environmental damage, which could curtail our operations and otherwise materially adversely affect our cash flow. For example, natural gas pipeline and other facilities operate at high pressures. Virtually all of our operations are exposed to potential natural disasters, including hurricanes, tornadoes, storms, floods and/or earthquakes.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facilities that are owned by us, or that deliver natural gas or other products to us, are damaged by severe weather or any other disaster, accident, catastrophe or event, our operations could be significantly interrupted. Similar interruptions could result from damage to production or other facilities that supply our facilities or other stoppages arising from factors beyond our control. These interruptions might involve significant damage to people, property or the environment, and repairs might take from a week or less for a minor incident to six months or more for a major interruption. Any event that interrupts the revenues generated by our operations, or which causes us to make significant expenditures not covered by insurance, could reduce our cash available for paying distributions to Unitholders.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market conditions, premiums and deductibles for certain insurance policies can increase substantially, and in some instances, certain insurance may become unavailable or available only for reduced amounts of coverage. As a result, we may not be able to renew existing insurance policies or procure other desirable insurance on commercially reasonable terms, if at all. If we were to incur a significant liability for which we were not fully insured, it could have a material adverse effect on our financial position and results of operations. In addition, the proceeds of any such insurance may not be paid in a timely manner and may be insufficient if such an event were to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Terrorist attacks aimed at our facilities could adversely affect our business, results of operations, cash flows and financial condition.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States government has issued warnings that energy assets, including our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our facilities or pipelines, those of our customers, or in some cases, those of other pipelines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affected adversely by union disputes and strikes or work stoppages by unionized employees.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2020, approximately 11% of our workforce is covered by a number of collective bargaining agreements with various terms and dates of expiration. There can be no assurances that we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Cybersecurity breaches and other disruptions could compromise our information and operations, and expose us to liability, which would cause our business and reputation to suffer.</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personally identifiable information of our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products and services, which could adversely affect our business.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information technology infrastructure is critical to the efficient operation of our business and essential to our ability to perform day-today operations. Breaches in our information technology infrastructure or physical facilities, or other disruptions, could result in damage to our assets, safety incidents, damage to the environment, potential liability or the loss of contracts, and have a material adverse effect on our operations,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could be disrupted if our information systems fail, causing increased expenses and loss of sales.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business interruption insurance may not compensate us adequately for losses that may occur.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claims and litigation could adversely affect our business and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liability is a significant commercial risk. Substantial damage awards have been made in certain jurisdictions against manufacturers and resellers based upon claims for injuries caused by the use of or exposure to various products. There can be no assurance that product liability claims against us would not have a material adverse effect on our business or results of operations.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Along with other refiners, manufacturers and sellers of gasoline, ETC Sunoco Holdings LLC (“ETC Sunoco”) is a defendant in numerous lawsuits that allege methyl tertiary butyl ether (“MTBE”) contamination in groundwater. Plaintiffs, who include water purveyors and municipalities responsible for supplying drinking water and private well owners, are seeking compensatory damages (and in some cases injunctive relief, punitive damages and attorneys’ fees) for claims relating to the alleged manufacture and distribution of a defective product (MTBE-containing gasoline) that contaminates groundwater, and general allegations of product liability, nuisance, trespass, negligence, violation of environmental laws and deceptive business practices. There has been insufficient information developed about the plaintiffs’ legal theories or the facts that would be relevant to an analysis of the ultimate liability to ETC Sunoco. An adverse determination of liability related to these allegations or other product liability claims against ETC Sunoco could have a material adverse effect on our business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control, and therefore may not be able to cause or prevent certain actions by, certain of our joint ventures.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our operations are conducted through joint ventures, some of which have their own governing boards. With respect to our joint ventures, we share ownership and management responsibilities with partners that may not share our goals and objectives. Consequently, it may be difficult or impossible for us to cause the joint venture entity to take actions that we believe would be in their or the joint venture’s best interests. Likewise, we may be unable to prevent actions of the joint venture. Differences in views among joint venture partners may result in delayed decisions or failures to agree on major matters, such as large expenditures or contractual commitments, the construction or acquisition of assets or borrowing money, among others. Delay or failure to agree may prevent action with respect to such matters, even though such action may serve our best interest or that of the joint venture. Accordingly, delayed decisions and disagreements could adversely affect the business and operations of the joint ventures and, in turn, our business and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use of derivative financial instruments could result in material financial losses by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and/or our subsidiaries have sought to reduce our exposure to fluctuations in commodity prices and interest rates by using derivative financial instruments and other risk management mechanisms and by our trading, marketing and/or system optimization activities. To the extent that we hedge our commodity price and interest rate exposures, we forgo the benefits we would otherwise experience if commodity prices or interest rates were to change in our favor.</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accounting standards regarding hedge accounting are very complex, and even when we engage in hedging transactions that are effective economically (whether to mitigate our exposure to fluctuations in commodity prices, or to balance our exposure to fixed and variable interest rates), these transactions may not be considered effective for accounting purposes. Accordingly, our consolidated financial statements may reflect some volatility due to these hedges, even when there is no underlying economic impact at that point. It is also not always possible for us to engage in a hedging transaction that completely mitigates our exposure to commodity prices. Our consolidated financial statements may reflect a gain or loss arising from an exposure to commodity prices for which we are unable to enter into a completely effective hedge.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derivatives activities can result in losses. Such losses could occur under various circumstances, including if a counterparty does not perform its obligations under the derivative arrangement, the hedge is imperfect, commodity prices move unfavorably related to our physical or financial positions or hedging policies and procedures are not followed.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levels of congestion in the Houston Ship Channel could result in a diversion of business to less busy ports.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Gulf Coast facilities are strategically situated on prime real estate located in the Houston Ship Channel, which is in close proximity to both supply sources and demand sources. In recent years, the success of the Port of Houston has led to an increase in vessel traffic driven in part by the growing overseas demand for U.S. crude, gasoline, liquefied natural gas and petrochemicals and in part by the Port of Houston’s recent decision to accept large container vessels, which can restrict the flow of other cargo. Increasing congestion in the Port of Houston could cause our customers or potential customers to divert their business to smaller ports in the Gulf of Mexico, which could result in lower utilization of our facilities.</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costs of providing pension and other postretirement health care benefits and related funding requirements are subject to changes in pension fund values, changing demographics and fluctuating actuarial assumptions and may have a material adverse effect on our financial results.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subsidiaries provide pension plan and other postretirement healthcare benefits to certain of their employees. The costs of providing pension and other postretirement health care benefits and related funding requirements are subject to changes in pension and other postretirement fund values, changing demographics and fluctuating actuarial assumptions that may have a material adverse effect on the Partnership’s future consolidated financial results. While certain of the costs incurred in providing such pension and other postretirement healthcare benefits are recovered through the rates charged by the Partnership’s regulated businesses, the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Partnership’s subsidiaries may not recover all of the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Mergers among customers and competitors could result in lower volumes being shipped on our pipelines or products stored in or distributed through our terminals, or reduced crude oil marketing margins or volumes.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Mergers between existing customers could provide strong economic incentives for the combined entities to utilize their existing systems instead of our systems in those markets where the systems compete. As a result, we could lose some or all of the volumes and associated revenues from these customers and could experience difficulty in replacing those lost volumes and revenues, which could materially and adversely affect our results of operations, financial position,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Fraudulent activity or misuse of proprietary data involving our outsourcing partners could expose us to additional liability.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utilize both affiliated entities and third parties in the processing of our information and data. Breaches of security measures or the accidental loss, inadvertent disclosure or unapproved dissemination of proprietary information, or sensitive or confidential data about us or our customers, including the potential loss or disclosure of such information or data as a result of fraud or other forms of deception, could expose us to a risk of loss, or misuse of this information, result in litigation and potential liability, lead to reputational damage, increase our compliance costs, or otherwise harm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compete with other businesses in our market with respect to attracting and retaining qualified 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currency exchange rates could adversely affect our results of operations for our Canadian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A portion of our revenue is generated from operations in Canada, which use the Canadian dollar as the functional currency. Therefore, changes in the exchange rate between the U.S. dollar and the Canadian dollar could adversely affect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We are subject to the risks of doing business outside of the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The success of our business depends, in part, on continued performance in our non-U.S. operations. We currently have operations in Canada. In addition to the other risks described in this report on Form 10-K, there are numerous risks and uncertainties that specifically affect our non-U.S. operations. These risks and uncertainties include political and economic instability, changes in local governmental laws, regulations and policies, including those related to tariffs, investments, taxation, exchange controls, employment regulations and repatriation of earnings, and enforcement of contract and intellectual property rights. International transactions may also involve increased financial and legal risks due to differing legal systems and customs, including risks of non-compliance with U.S. and local laws affecting our activities abroad, including compliance with the U.S. Foreign Corrupt Practices Act. While these factors and the impact of these factors are difficult to predict, any one or more of them could adversely affect our financial and operational results.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212529"/>
        </w:rPr>
        <w:t>Our trucking fleet operations are subject to the Federal Motor Carrier Safety Regulations which are enacted, reviewed and amended by the FMCSA. Our fleet currently has a "satisfactory" safety rating; however, if our safety rating were downgraded to "unsatisfactory," our business and results of operations could be adversely affected.</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12529"/>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212529"/>
        </w:rPr>
        <w:t>revocation of its operating authority by the FMCSA could have an adverse effect on our business, results of operations and financial condition</w:t>
      </w:r>
      <w:r>
        <w:rPr>
          <w:rFonts w:ascii="Arial" w:cs="Arial" w:eastAsia="Arial" w:hAnsi="Arial"/>
          <w:sz w:val="20"/>
          <w:szCs w:val="20"/>
          <w:color w:val="212529"/>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debt level and debt agreements may limit our ability to make distributions to Unitholders and may limit our future financial and operating flexibility.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had approximately $51.44 billion of consolidated debt, excluding the debt of our unconsolidated joint ventures. Our level of indebtedness affects our operations in several ways, including, among other things:</w:t>
      </w:r>
    </w:p>
    <w:p>
      <w:pPr>
        <w:spacing w:after="0" w:line="62" w:lineRule="exact"/>
        <w:rPr>
          <w:sz w:val="20"/>
          <w:szCs w:val="20"/>
          <w:color w:val="auto"/>
        </w:rPr>
      </w:pPr>
    </w:p>
    <w:p>
      <w:pPr>
        <w:ind w:left="340" w:right="20" w:hanging="332"/>
        <w:spacing w:after="0" w:line="27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portion of our and our subsidiaries’ cash flow from operations will be dedicated to the payment of principal and interest on outstanding debt and will not be available for other purposes, including payment of distributions;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covenants contained in our and our subsidiaries’ existing debt agreements require us and them, as applicable,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and our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 and</w:t>
      </w:r>
    </w:p>
    <w:p>
      <w:pPr>
        <w:spacing w:after="0" w:line="117" w:lineRule="exact"/>
        <w:rPr>
          <w:rFonts w:ascii="Arial" w:cs="Arial" w:eastAsia="Arial" w:hAnsi="Arial"/>
          <w:sz w:val="18"/>
          <w:szCs w:val="18"/>
          <w:color w:val="auto"/>
        </w:rPr>
      </w:pPr>
    </w:p>
    <w:p>
      <w:pPr>
        <w:jc w:val="both"/>
        <w:ind w:left="340" w:hanging="332"/>
        <w:spacing w:after="0" w:line="342" w:lineRule="auto"/>
        <w:tabs>
          <w:tab w:leader="none" w:pos="3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by us or our subsidiaries to comply with the various restrictive covenants of our respective debt agreements could negatively impact our ability to incur additional debt, including our ability to utilize the available capacity under our revolving credit facility, and our ability to pay our distributions.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consolidated debt level and debt agreements of ETO and its subsidiaries, including Sunoco LP and USAC, may limit the distributions we receive from ETO, as well as our future financial and operating flexibility.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ETO’s and its subsidiaries’ levels of indebtedness affect their operations in several ways, including, among other things:</w:t>
      </w:r>
    </w:p>
    <w:p>
      <w:pPr>
        <w:spacing w:after="0" w:line="117" w:lineRule="exact"/>
        <w:rPr>
          <w:sz w:val="20"/>
          <w:szCs w:val="20"/>
          <w:color w:val="auto"/>
        </w:rPr>
      </w:pPr>
    </w:p>
    <w:p>
      <w:pPr>
        <w:ind w:left="3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portion of ETO’s and its subsidiaries’ cash flows from operations will be dedicated to the payment of principal and interest on outstanding debt and will not be available for other purposes, including payment of distributions to us;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covenants contained in ETO’s and its subsidiaries’ existing debt agreements require ETO and its subsidiaries, as applicable, to meet financial tests that may adversely affect their flexibility in planning for and reacting to changes in their respective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ETO’s and its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ETO and its subsidiaries may be at a competitive disadvantage relative to similar companies that have less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ETO and its subsidiaries may be more vulnerable to adverse economic and industry conditions as a result of their significant debt levels;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ETO or its subsidiaries to comply with the various restrictive covenants of the respective debt agreements could negatively impact ETO’s and/or its subsidiaries’ ability to incur additional debt, including their ability to utilize the available capacity under their revolving credit facilities, and to pay distributions to us and their unitholders.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do not have the same flexibility as other types of organizations to accumulate cash, which may limit cash available to service our debt or to repay debt at maturity.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80" w:lineRule="exact"/>
        <w:rPr>
          <w:sz w:val="20"/>
          <w:szCs w:val="20"/>
          <w:color w:val="auto"/>
        </w:rPr>
      </w:pPr>
    </w:p>
    <w:p>
      <w:pPr>
        <w:ind w:left="340" w:hanging="332"/>
        <w:spacing w:after="0" w:line="277"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subsidiaries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our general partner for any one or more of the next four calendar quarters;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interest rates could materially adversely affect our business, results of operations, cash flows and financial condition.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exposure to commodity prices, we have significant exposure to changes in interest rates. Approximately $6.72 billion of our consolidated debt as of December 31, 2020 bears interest at variable interest rates and the remainder bears interest at fixed rates. To the extent that we have debt with floating interest rates, our results of operations, cash flows and financial condition could be materially adversely affected by increases in interest rates. We manage a portion of our interest rate exposures by utilizing interest rate swaps.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increase in interest rates could impact demand for our storage capacity.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financing cost for a storage capacity user to own crude oil while it is stored. That financing cost is impacted by the cost of capital or interest rate incurred by the storage user, in addition to the commodity cost of the crude oil in inventory. Absent other factors, a higher financing cost adversely impacts the economics of storing crude oil for future sale. As a result, a significant increase in interest rates could adversely affect the demand for our storage capacity independent of other market factors.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increase in interest rates may also cause a corresponding decline in demand for equity investments, in general, and in particular for yield-based equity investments such as our Common Units. Any such reduction in demand for our Common Units resulting from other more attractive investment opportunities may cause the trading price of our Common Units to decline.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An increase in the LIBOR or a phase-out or replacement of LIBOR with a benchmark rate that is higher or more volatile than the LIBOR rate could increase our cost of borrowing and could adversely affect our financial position.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we had outstanding approximately $6.40 billion of debt that bears interest at variable interest rates that use the LIBOR as a benchmark rate. Due to the perceived structural risks inherent in unsecured benchmark rates such as LIBOR, in July 2014, the Financial Stability Board (FSB) recommended developing alternative, near risk-free reference rates. In response to the recommendation put forth by the FSB, the Board of Governors of the Federal Reserve System and the Federal Reserve Bank of New York convened the Alternative Reference Rates Committee (“ARRC”) to identify alternatives to LIBOR. In June 2017, the ARRC selected the secured overnight financing rate (SOFR) as the preferred alternative reference rate to LIBOR. In July 2017, the U.K.’s Financial Conduct Authority (FCA), which oversees the LIBOR submission process for all currencies and regulates the authorized administrator of LIBOR, ICE Benchmark Administration (IBA), announced that it intends to stop persuading or compelling London banks to make these rate submissions after 2021. The cessation date for compulsory submission and publication of rates for certain tenors of LIBOR has since been extended by the IBA and FCA until June 2023. Additionally, the ARRC has published a series of principles for LIBOR fallback contract language which include a methodology for determining fallback rates, which are primarily comprised of SOFR as the replacement benchmark and a replacement benchmark spread.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is unclear, if certain LIBOR tenors continue to be reported beyond 2021, whether they will be considered representative or whether SOFR as the identified successor benchmark rate will attain market acceptance as a replacement for LIBOR. It is not possible to predict the further effect of the rules, recommendations or administrative practices of the FCA, IBA or ARRC, any changes in the methods by which LIBOR is determined or any other reforms to LIBOR that may be enacted in the United Kingdom, the European Union or elsewhere. Any such developments may cause LIBOR to perform differently than in the past or cease to exist. In addition, any other legal or regulatory changes made by the FCA, the European Commission or any other successor governance or oversight body, or future changes adopted by such body, in the method by which LIBOR is determined or the change from LIBOR to an alternative benchmark rate may result in, among other things, a sudden or prolonged increase or decrease in LIBOR, a delay in the publication of LIBOR, and changes in the rules or methodologies in LIBOR, which may discourage market participants from continuing to administer or to participate in LIBOR’s determination, and, in certain situations, could result in LIBOR no longer being determined and published.</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adoption of SOFR, or any other alternative benchmark rate, may result in interest obligations which are more than or do not otherwise correlate over time with the payments that would have been made on such debt if U.S. dollar LIBOR was available in its current form. Further, the same costs and risks that may lead to the discontinuation or unavailability of U.S. dollar LIBOR may make one or more of the alternative methods impossible or impracticable to determine. Use of SOFR as an alternative benchmark rate and replacement for LIBOR could affect our debt securities, derivative instruments, receivables, debt payments and receipts. At this time, it is not possible to predict the effect of the establishment of any alternative benchmark rate(s). Any new benchmark rate will likely not replicate LIBOR exactly, and any changes to benchmark rates may have an uncertain impact on our cost of funds and our access to the capital markets. Any of these proposals or consequences could have a material adverse effect on our financing costs.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downgrade of our credit ratings could impact our and our subsidiaries’ liquidity, access to capital and costs of doing business, and maintaining credit ratings is under the control of independent third parties.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downgrade of our credit ratings may increase our and our subsidiaries’ cost of borrowing and could require us to post collateral with third parties, negatively impacting our available liquidity. Our and our subsidiaries’ ability to access capital markets could also be limited by a downgrade of our credit ratings and other disruptions. Such disruptions could include:</w:t>
      </w:r>
    </w:p>
    <w:p>
      <w:pPr>
        <w:spacing w:after="0" w:line="76"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deteriorating capital market conditions;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declining market prices for crude oil, natural gas, NGLs and other commodities;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terrorist attacks or threatened attacks on our facilities or those of other energy companies;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overall health of the energy industry, including the bankruptcy or insolvency of other companies.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rating agencies perform independent analysis when assigning credit ratings. The analysis includes a number of criteria including, but not limited to, business composition, market and operational risks, as well as various financial tests. Credit rating agencies continue to review the criteria for industry sectors and various debt ratings and may make changes to those criteria from time to time. Credit ratings are not recommendations to buy, sell or hold investments in the rated entity. Ratings are subject to revision or withdrawal at any time by the rating agencies, and we cannot assure you that we will maintain our current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Projects and Future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and our subsidiaries do not make acquisitions on economically acceptable terms, our future growth could be limited.</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results of operations and our ability to grow and to make distributions to Unitholders will depend in part on our ability to make acquisitions that are accretive to our distributable cash flow per unit.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may be unable to make accretive acquisitions for any of the following reasons, among others:</w:t>
      </w:r>
    </w:p>
    <w:p>
      <w:pPr>
        <w:spacing w:after="0" w:line="11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because we are unable to identify attractive acquisition candidates or negotiate acceptable purchase contracts with them;</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because we are unable to raise financing for such acquisitions on economically acceptable terms; or</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because we are outbid by competitors, some of which are substantially larger than us and have greater financial resources and lower costs of capital then we do.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Furthermore, even if we consummate acquisitions that we believe will be accretive, those acquisitions may in fact adversely affect our results of operations or result in a decrease in distributable cash flow per unit. Any acquisition involves potential risks, including the risk that we may:</w:t>
      </w:r>
    </w:p>
    <w:p>
      <w:pPr>
        <w:spacing w:after="0" w:line="38"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encounter difficulties operating in new geographic areas or new lines of business;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assets acquired for which we are not indemnified or for which the indemnity is inadequate;</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 unable to hire, train or retrain qualified personnel to manage and operate our growing business and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effectively manage our historical assets, due to the diversion of management’s attention from other business concerns;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other significant charges, such as impairment of goodwill or other intangible assets, asset devaluation or restructuring charges.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we consummate future acquisitions, our capitalization and results of operations may change significantly. As we determine the application of our funds and other resources, Unitholders will not have an opportunity to evaluate the economic, financial and other relevant information that we will consider.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projects will require significant amounts of debt and equity financing, which may not be available to us on acceptable terms, or at all.</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plan to fund our growth capital expenditures, including any new pipeline construction projects and improvements or repairs to existing facilities that we may undertake, with proceeds from sales of our debt and equity securities and borrowings under our revolving credit facility; however, we cannot be certain that we will be able to issue our debt and equity securities on terms satisfactory to us, or at all. If we are unable to finance our expansion projects as expected, we could be required to seek alternative financing, the terms of which may not be attractive to us, or to revise or cancel our expansion plans.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significant increase in our indebtedness that is proportionately greater than our issuance of equity could negatively impact our and our subsidiaries’ credit ratings or our ability to remain in compliance with the financial covenants under our revolving credit agreement, which could have a material adverse effect on our financial condition, results of operations and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continue to construct new pipelines, our future growth could be limited.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and ability to grow and to increase distributable cash flow per unit will depend, in part, on our ability to construct pipelines that are accretive to our distributable cash flow. We may be unable to construct pipelines that are accretive to distributable cash flow for any of the following reasons, among others:</w:t>
      </w:r>
    </w:p>
    <w:p>
      <w:pPr>
        <w:spacing w:after="0" w:line="76"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unable to identify pipeline construction opportunities with favorable projected financial returns;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unable to obtain necessary governmental approvals and contracts with qualified contractors and vendors on acceptable terms;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unable to raise financing for our identified pipeline construction opportunities; or</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unable to secure sufficient transportation commitments from potential customers due to competition from other pipeline construction projects or for other reasons.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even if we construct a pipeline that we believe will be accretive, the pipeline may in fact adversely affect our results of operations or results from those projected prior to commencement of construction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Expanding our business by constructing new pipelines and related facilities subjects us to risks.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One of the ways that we have grown our business is through the construction of additions to our existing gathering, compression, treating, processing and transportation systems. The construction of new pipelines and related facilities (or the improvement and repair of existing facilities) involves numerous regulatory, environmental, political and legal uncertainties beyond our control and requires the expenditure of significant amounts of capital that we will be required to finance through borrowings, the issuance of additional equity or from operating cash flow. If we undertake these projects, they may not be completed on schedule, at all, or at the budgeted cost. A variety of factors outside our control, such as weather, natural disasters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difficulties in obtaining permits and rights-of-way or other regulatory approvals, as well as the performance by third-party contractors, may result in increased costs or delays in construction. For example, in recent years, pipeline projects by many companies have been subject to several challenges by environmental groups, such as challenges to agency reviews under the NEPA and to the USACE NWP program. For more information on the NWP program, see our regulatory disclosure titled “Clean Water Act”. Separately, cost overruns or delays in completing a project could have a material adverse effect on our results of operations and cash flows. Moreover, our revenues may not increase immediately following the completion of a particular project. For instance, if we build a new pipeline, the construction will occur over an extended period of time, but we may not materially increase our revenues until long after the project’s completion. In addition, the success of a pipeline construction project will likely depend upon the level of oil and natural gas exploration and development drilling activity and the demand for pipeline transportation in the areas proposed to be serviced by the project as well as our ability to obtain commitments from producers in the area to utilize the newly constructed pipelines. In this regard, we may construct facilities to capture anticipated future growth in oil or natural gas production in a region in which such growth does not materialize. As a result, new facilities may be unable to attract enough throughput or contracted capacity reservation commitments to achieve our expected investment return, which could adversely affect our results of operations and financial condition.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liquefaction project is dependent upon securing long-term contractual arrangements for the off-take of LNG on terms sufficient to support the financial viability of the project.</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LCL, our wholly-owned subsidiary, is in the process of developing a liquefaction project at the site of our existing regasification facility in Lake Charles, Louisiana. The project would utilize existing dock and storage facilities owned by us located on the Lake Charles site. The parties’ determination as to the feasibility of the project will be particularly dependent upon the prospects for securing long-term contractual arrangements for the off-take of LNG which in turn will be dependent upon supply and demand factors affecting the price of LNG in foreign markets. The financial viability of the project will also be dependent upon a number of other factors, including the expected cost to construct the liquefaction facility, the terms and conditions of the financing for the construction of the liquefaction facility, the cost of the natural gas supply, the costs to transport natural gas to the liquefaction facility, the costs to operate the liquefaction facility and the costs to transport LNG from the liquefaction facility to customers in foreign markets (particularly Europe and Asia). Some of these costs fluctuate based on a variety of factors, including supply and demand factors affecting the price of natural gas in the United States, supply and demand factors affecting the costs for construction services for large infrastructure projects in the United States, and general economic conditions, there can be no assurance that the parties will determine to proceed to develop this project.</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construction of the liquefaction project remains subject to further approvals and some approvals may be subject to further conditions, review and/or revocation.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LCL has received authorization from the DOE to export LNG to non-Free Trade Agreements (“non-FTA”) countries, the non-FTA authorization is subject to review, and the DOE may impose additional approval and permit requirements in the future or revoke the non-FTA authorization should the DOE conclude that such export authorization is inconsistent with the public interest. The FERC order (issued December 17, 2015) authorizing LCL to site, construct and operate the liquefaction project contains a condition requiring all phases of the liquefaction project to be completed and in-service within five years of the date of the order. The order also requires the modifications to our Trunkline pipeline facilities that connect to our Lake Charles facility and additionally requires execution of a transportation contract for natural gas supply to the liquefaction facility prior to the initiation of construction of the liquefaction facility. On December 5, 2019, the FERC granted an extension of time until and including December 16, 2025, to complete construction of the liquefaction project and pipeline facilities modifications and place the facilities into service.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Integration of assets acquired in past acquisitions or future acquisitions with our existing business will be a complex and time-consuming process. A failure to successfully integrate the acquired assets with our existing business in a timely manner may have a material adverse effect on our business, financial condition, results of operations or cash available for distribution to unitholders.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difficulties of integrating past and future acquisitions with our business include, among other things:</w:t>
      </w:r>
    </w:p>
    <w:p>
      <w:pPr>
        <w:spacing w:after="0" w:line="117"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a larger combined organization in new geographic areas and new lines of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hiring, training or retaining qualified personnel to manage and operate our growing business and assets;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integrating management teams and employees into existing operations and establishing effective communication and information exchange with such management teams and employees;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assimilation of acquired assets and operations, including additional regulatory programs;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of customers or key employees;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 in compliance with the Sarbanes-Oxley Act of 2002 as well as other regulatory compliance and corporate governance matters;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integrating new technology systems for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risks or other unanticipated liabilities or costs were to materialize, then desired benefits from past acquisitions and future acquisitions resulting in a negative impact to our future results of operations. In addition, acquired assets may perform at levels below the forecasts used to evaluate their acquisition, due to factors beyond our control. If the acquired assets perform at levels below the forecasts, then our future results of operations could be negatively impacted.</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Also, our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may not be observable even when an inspection is undertaken.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competition from other midstream, transportation, terminalling and storage companies.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competition in all of our business segments. With respect to our midstream operations, we compete for both natural gas supplies and customers for our services. Our competitors include major integrated oil companies, interstate and intrastate pipelines and companies that gather, compress, treat, process, transport, store and market natural gas.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natural gas and NGL transportation pipelines and storage facilities compete with other interstate and intrastate pipeline companies and storage providers in the transportation and storage of natural gas and NGLs. The principal elements of competition among pipelines are rates, terms of service, access to sources of supply and the flexibility and reliability of service. Natural gas and NGLs also compete with other forms of energy, including electricity, coal, fuel oils and renewable or alternative energy. Competition among fuels and energy supplies is primarily based on price; however, non-price factors, including governmental regulation, environmental impacts, efficiency, ease of use and handling, and the availability of subsidies and tax benefits also affects competitive outcomes.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markets served by our NGL pipelines, we compete with other pipeline companies and barge, rail and truck fleet operations. We also face competition with other storage and fractionation facilities based on fees charged and the ability to receive, distribute and/or fractionate the customer’s products.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crude oil and refined petroleum products pipelines face significant competition from other pipelines for large volume shipments. These operations also face competition from trucks for incremental and marginal volumes in the areas we serve. Further, our crude and refined product terminals compete with terminals owned by integrated petroleum companies, refining and marketing companies, independent terminal companies and distribution companies with marketing and trading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Sunoco LP and USAC may not be able to fully execute our growth strategy if we encounter increased competition for qualified assets.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contemplates growth through the development and acquisition of a wide range of midstream, transportation, storage and other energy infrastructure assets while maintaining a strong balance sheet. This strategy includes constructing and acquiring additional assets and businesses to enhance our ability to compete effectively and diversify our asset portfolio, thereby providing more stable cash flow. We regularly consider and enter into discussions regarding the acquisition of additional assets and businesses, stand-alone development projects or other transactions that we believe will present opportunities to realize synergies and increase our cash flow.</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our strategy, we may, from time to time, engage in discussions with potential sellers regarding the possible acquisition of additional assets or businesses. Such acquisition efforts may involve our participation in processes that involve a number of potential buyers, commonly referred to as “auction” processes, as well as situations in which we believe we are the only party or one of a very limited number of potential buyers in negotiations with the potential seller. We cannot give assurance that our acquisition efforts will be successful or that any acquisition will be completed on terms considered favorable to us.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experiencing increased competition for the assets we purchase or contemplate purchasing. Increased competition for a limited pool of assets could result in us losing to other bidders more often or acquiring assets at higher prices, both of which would limit our ability to fully execute our growth strategy. Inability to execute our growth strategy may materially adversely impact our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 commenced by WMB against ET and its affiliates, if decided adverse to ET, could require ET to make a substantial payment to WMB.</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WMB filed a complaint against ET and its affiliates (“ET Defendants) in the Delaware Court of Chancery, alleging that the ET Defendants breached the merger agreement between WMB, ET, and several of ET's affiliates. Following a ruling by the Court on June 24, 2016, which allowed for the subsequent termination of the merger agreement by ET on June 29, 2016, WMB filed a notice of appeal to the Supreme Court of Delaware. WMB filed an amended complaint on September 16, 2016 and sought a $410 million termination fee and additional damages of up to $10 billion based on the purported lost value of the merger consideration. These damages claims are based on the alleged breaches of the Merger Agreement, as well as new allegations that the ET Defendants breached an additional representation and warranty in the Merger Agreement. The ET Defendants filed amended counterclaims and affirmative defenses on September 23, 2016 and sought a $1.48 billion termination fee under the Merger Agreement and additional damages caused by WMB 's misconduct. These damages claims are based on the alleged breaches of the Merger Agreement, as well as new allegations that WMB breached the Merger Agreement by failing to disclose material information that was required to be disclosed in the Form S-4. On September 29, 2016, WMB filed a motion to dismiss the ET Defendants' amended counterclaims and to strike certain of the ET Defendants' affirmative defenses. On December 1, 2017, the Court issued a Memorandum Opinion granting Williams' motion to dismiss in part and denying it in part. On March 23, 2017, the Delaware Supreme Court affirmed the Court's June 24, 2016 ruling, and as a result, Williams conceded that its $10 billion damages claim is foreclosed, although its $410 million termination fee claim remains pending.</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2020, the Court denied ET Defendant’s Motion for Summary Judgment and Williams’ Motion for Partial Summary Judgment. ET Defendants cannot predict the outcome of the Williams Litigation or any lawsuits that might be filed subsequent to the date of this filing; nor can ET Defendants predict the amount of time and expense that will be required to resolve these lawsuits. ET Defendants believe that Williams’ claims are without merit and intend to defend vigorously against them.</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Increased regulation of hydraulic fracturing or produced water disposal could result in reductions or delays in crude oil and natural gas production in our areas of operation, which could adversely impact our business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hydraulic fracturing process has come under considerable scrutiny from sections of the public as well as environmental and other groups asserting that chemicals used in the hydraulic fracturing process could adversely affect drinking water supplies and may have other detrimental impacts on public health, safety, welfare and the environment. In addition, the water disposal process has come under scrutiny from sections of the public as well as environmental and other groups asserting that the operation of certain water disposal wells has caused increased seismic activity. Additionally, several candidates for political office in both state and federal government have announced intentions to impose greater restrictions on hydraulic fracturing or produced water disposal. For example, the Biden Administration has issued orders temporarily suspending the issuance of new authorizations, and suspending the issuance of new leases pending completion of a review of current practices, for oil and gas development on federal lands and waters (but not tribal lands that the federal government merely holds in trust). Separately, the Colorado Oil and Gas Conservation Commission adopted new rules to cover a variety of matters related to public health, safety, welfare, wildlife, and environmental resources; most significantly, these rule changes establish more stringent setbacks (2,000-foot, instead of the prior 500-foot) on new oil and gas development and eliminate routine flaring and venting of natural gas at new existing wells across the state, each subject to only limited exceptions. While the final impacts of these developments cannot be predicted, the adoption of new laws or regulations imposing additional permitting, disclosures, restrictions or costs related to hydraulic fracturing or produced water disposal or prohibiting hydraulic fracturing in proximity to areas considered to be environmentally sensitive could make drilling certain wells impossible or less economically attractive. As a result, the volume of crude oil and natural gas we gather, transport and store for our customers could be substantially reduced which could have an adverse effect on our financial condition or results of operations.</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Legal or regulatory actions related to the Dakota Access pipeline could cause an interruption to current or future operations, which could have an adverse effect on our business and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27, 2016, the Standing Rock Sioux Tribe and other Native American tribes (the “Tribes”) filed a lawsuit in the United States District Court for the District of Columbia (“District Court”) challenging permits issued by the USACE permitting Dakota Access, LLC (“Dakota Access”) to cross the Missouri River at Lake Oahe in North Dakota. The case was subsequently amended to challenge an easement issued by the USACE allowing the pipeline to cross land owned by the USACE adjacent to the Missouri River. As a result of this litigation, the District Court vacated the easement, ordered USACE to prepare an Environmental Impact Statement (“EIS”), and order the pipeline shutdown and drained of oil. Dakota Access and USACE appealed this decision and moved for a stay of the District Court’s orders. On August 5, 2020, the Court of Appeals granted a stay of the portion of the District Court order that required Dakota Access to shut the pipeline down and empty it of oil, but the Court of Appeals denied a stay of the easement vacatur. The August 5 order also stated that the Court of Appeals expected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USACE to clarify its position with respect to whether USACE intends to allow the continued operation of the pipeline notwithstanding the vacatur of the easement and that the District Court may consider additional relief, if necessary. Following this order, the Tribes filed a motion with the District Court seeking an injunction to prevent the continued operation of the pipeline. This motion has been briefed by the Tribes, USACE, and Dakota Access, but the District Court has not yet ruled on this motion. On January 26, 2021, the Court of Appeals affirmed the District Court’s order requiring an EIS and its order</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vacating the easement. In the same January 26 order, the Court of Appeals also overturned the District Court’s August 5, 2020 order that the pipeline be shut down and emptied of oil because of the lack of findings sufficient to satisfy the legal requirements for injunctive relief, including a finding of irreparable harm to the Tribes in the absence of an injunction. The District Court scheduled a status conference for February 10, 2021 to discuss the impact of the Court of Appeals’ ruling on the pending motion for injunctive relief, as well as USACE’s expectations as to how it will proceed in light of the Court of Appeals’ recent vacatur ruling. USACE filed a motion for a continuance of the status conference until April 9, 2021, and this motion was approved by the District Court on February 9, 2021. For further information, see Note 11 to our consolidated financial statements included in “Item 8. Financial Statements and Supplementary Data” in this report.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interstate natural gas pipelines are subject to laws, regulations and policies governing the rates they are allowed to charge for their services, which may prevent us from fully recovering our costs.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Laws, regulations and policies governing interstate natural gas pipeline rates could affect the ability of our interstate pipelines to establish rates, to charge rates that would cover future increases in its costs, or to continue to collect rates that cover current costs.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file tariff rates (also known as recourse rates) with the FERC that shippers may pay for interstate natural gas transportation services. We may also agree to discount these rates on a not unduly discriminatory basis or negotiate rates with shippers who elect not to pay the recourse rates. The FERC must approve or accept all rate filings for us to be allowed to charge such rates.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may review existing tariff rates on its own initiative or upon receipt of a complaint filed by a third party. The FERC may, on a prospective basis, order refunds of amounts collected if it finds the rates to have been shown not to be just and reasonable or to have been unduly discriminatory. The FERC has recently exercised this authority with respect to several other pipeline companies. If the FERC were to initiate a proceeding against us and find that our rates were not just and reasonable or were unduly discriminatory, the maximum rates we are permitted to charge may be reduced and the reduction could have an adverse effect on our revenues and results of operations.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our interstate pipeline operations may increase, and we may not be able to recover all of those costs due to FERC regulation of our rates. If we propose to change our tariff rates, our proposed rates may be challenged by the FERC or third parties, and the FERC may deny, modify or limit our proposed changes if we are unable to persuade the FERC that changes would result in just and reasonable rates that are not unduly discriminatory. We also may be limited by the terms of rate case settlement agreements or negotiated rate agreements with individual customers from seeking future rate increases, or we may be constrained by competitive factors from charging our tariff rates.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our costs increase in an amount greater than our revenues increase, or there is a lag between our cost increases and our ability to file for and obtain rate increases, our operating results would be negatively affected. Even if a rate increase is permitted by the FERC to become effective, the rate increase may not be adequate. We cannot guarantee that our interstate pipelines will be able to recover all of our costs through existing or future rates.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interstate pipelines held in tax-pass-through entities, like us, to include an allowance for income taxes as a cost-of-service element in their regulated rates has been subject to extensive litigation before the FERC and the courts for a number of years. 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(“ROE”) calculated using the discounted cash flow methodology. On July 18, 2018, the FERC issued an order denying requests for rehearing and clarification of its Revised Policy Statement because it is a non-binding policy and parties will have the opportunity to address the policy as applied in future cases.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does not result in a double-recovery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an interstate pipeline held in a tax-pass-through entity can charge for the FERC regulated transportation services are unknown at this time.</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without application of FERC’s recent rate making-related policy statements and rulemakings, under the NGA, FERC or our shippers may challenge the cost-of-service rates we charge. The FERC’s establishment of a just and reasonable rate is based on many components, including ROE and tax-related components, including the allowance for income taxes and the amount for accumulated deferred income taxes, but also other pipeline costs that will continue to affect the FERC’s determination of just and reasonable cost-of-service rates. Moreover, we receive revenues from our pipelines based on a variety of rate structures, including cost-of-service rates, negotiated rates, discounted rates and market-based rates. Many of our interstate pipelines, such as ETC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a pipeline’s cost-of-service components and the outcomes of any challenges to our rates by the FERC or our shippers.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By order issued January 16, 2019, the FERC initiated a review of Panhandle’s existing rates pursuant to Section 5 of the NGA to determine whether the rates currently charged by Panhandle are just and reasonable and set the matter for hearing. Panhandle filed a cost and revenue study on April 1, 2019 and an NGA Section 4 rate case on August 30, 2019. The Section 4 and section 5 proceedings were consolidated by order of the Chief Judge on October 1, 2019. A hearing in the combined proceedings commenced on August 25, 2020 and adjourned on September 15, 2020. By order dated January 19, 2021, the Chief Judge has extended the deadline for the initial decision to March 2021.</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interstate natural gas pipelines are subject to laws, regulations and policies governing terms and conditions of service, which could adversely affect our business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rate oversight, the FERC’s regulatory authority extends to many other aspects of the business and operations of our interstate natural gas pipelines, including:</w:t>
      </w:r>
    </w:p>
    <w:p>
      <w:pPr>
        <w:spacing w:after="0" w:line="62"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terms and conditions of service;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types of services interstate pipelines may or must offer their customers;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construction of new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acquisition, extension or abandonment of services or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reporting and information posting requirements;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accounts and records;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relationships with affiliated companies involved in all aspects of the natural gas and energy businesses.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these requirements can be costly and burdensome. In addition, we cannot guarantee that the FERC will authorize tariff changes and other activities we might propose and to undertake in a timely manner and free from potentially burdensome conditions. Future changes to laws, regulations, policies and interpretations thereof may impair our access to capital markets or may impair the ability of our interstate pipelines to compete for business, may impair their ability to recover costs or may increase the cost and burden of operation.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the then-serving FERC Chairman announced that the FERC will review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To that end, FERC issued a Notice of Inquiry on April 9, 2018, requesting comments on its certification policies, but no action has been taken in that docket. We are unable to predict what, if any, changes may be proposed that will affect our natural gas pipeline business or when such proposals, if any, might become effective. We do not expect that any change in this policy would affect us in a materially different manner than any other similarly sized natural gas pipeline company operating in the United States.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Rate regulation or market conditions may not allow us to recover the full amount of increases in the costs of our crude oil, NGL and refined products pipeline operations.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Transportation provided on our common carrier interstate crude oil, NGL and refined products pipelines is subject to rate regulation by the FERC, which requires that tariff rates for transportation on these oil pipelines be just and reasonable and not unduly discriminatory. If we propose new or changed rates, the FERC or interested persons may challenge those rates and the FERC is authorized to suspend the effectiveness of such rates for up to seven months and to investigate such rates. If, upon completion of an investigation, the FERC finds that the proposed rate is unjust or unreasonable, it is authorized to require the carrier to refund revenues in excess of the prior tariff during the term of the investigation.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primary ratemaking methodology used by the FERC to authorize increases in the tariff rates of petroleum pipelines is price indexing. The FERC’s ratemaking methodologies may limit our ability to set rates based on our costs or may delay the use of rates that reflect increased costs. On March 25, 2020, the FERC issued a Notice of Inquiry seeking comment on a proposal to change the preliminary screen for complaints against oil pipeline index rate increases to a “Percentage Comparison Test” consistent with the preliminary screen used by the FERC for protests against oil pipeline index rate increases. The FERC also requested comment on whether the appropriate threshold for the screen is a 10% or more differential between a proposed index rate increase and the annual percentage change in cost of service reported by the pipeline. Initial comments were due June 16, 2020, and reply comments were due July 16, 2020. The FERC has not yet taken any further action on the Notice of Inquiry.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2020, FERC issued a Notice of Inquiry requesting comments on a proposed oil pipeline index for the five-year period commencing July 1, 2021 and ending June 30, 2026, and requested comments on whether and how the index should reflect the Revised Policy Statement and FERC’s treatment of accumulated deferred income taxes as well as FERC’s revised ROE methodology. Comments on the indexing rate methodology Notice of Inquiry were due August 17, 2020, with reply comments due September 11, 2020.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17, 2020, FERC issued an order establishing a new index of PPI-FG plus 0.78%. Rehearing of this order has been requested and remains pending before FERC.</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Energy Policy Act of 1992 (the “Energy Policy Act”), certain interstate pipeline rates were deemed just and reasonable or “grandfathered.” Revenues are derived from such grandfathered rates on most of our FERC-regulated pipelines. A person challenging a grandfathered rate must, as a threshold matter, establish a substantial change since the date of enactment of the Energy Policy Act, in either the economic circumstances or the nature of the service that formed the basis for the rate. If the FERC were to find a substantial change in circumstances, then the existing rates could be subject to detailed review and there is a risk that some rates could be found to be in excess of levels justified by the pipeline’s costs. In such event, the FERC could order us to reduce pipeline rates prospectively and to pay refunds to shippers.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FERC’s petroleum pipeline ratemaking methodologies procedures changes, the new methodology or procedures could adversely affect our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measures could adversely affect the business and operations of our midstream and intrastate pipeline and storage assets.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midstream and intrastate transportation and storage operations are generally exempt from FERC regulation under the NGA, but FERC regulation still significantly affects our business and the market for our products. The rates, terms and conditions of service for the interstate services we provide in our intrastate gas pipelines and gas storage are subject to FERC regulation under Section 311 of the NGPA. Our HPL System, East Texas pipeline, Oasis pipeline and ET Fuel System provide such services. Under Section 311, rates charged for transportation and storage must be fair and equitable. Amounts collected in excess of fair and equitable rates are subject to refund with interest, and the terms and conditions of service, set forth in the pipeline’s statement of operating conditions, are subject to FERC review and approval. Should the FERC determine not to authorize rates equal to or greater than our costs of service, our cash flow would be negatively affected.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midstream and intrastate gas and oil transportation pipelines and our intrastate gas storage operations are subject to state regulation. All of the states in which we operate midstream assets, intrastate pipelines or intrastate storage facilities have adopted some form of complaint-based regulation, which allow producers and shippers to file complaints with state regulators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resolve grievances relating to the fairness of rates and terms of access. The states in which we operate have ratable take statutes, which generally require gatherers to take, without undue discrimination, production that may be tendered to the gatherer for handling. Similarly, common purchaser statutes generally require gatherers to purchase without undue discrimination as to source of supply or producer. These statutes have the effect of restricting our right as an owner of gathering facilities to decide with whom we contract to purchase or transport natural gas. Should a complaint be filed in any of these states or should regulation become more active, our business may be adversely affected.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intrastate transportation operations located in Texas are also subject to regulation as gas utilities by the Texas Railroad Commission (“TRRC”). Texas gas utilities must publish the rates they charge for transportation and storage services in tariffs filed with the TRRC, although such rates are deemed just and reasonable under Texas law unless challenged in a complaint.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other forms of state regulation, including requirements to obtain operating permits, reporting requirements, and safety rules (see description of federal and state pipeline safety regulation below). Violations of state laws, regulations, orders and permit conditions can result in the modification, cancellation or suspension of a permit, civil penalties and other relief.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of our assets may become subject to regulation.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distinction between federally unregulated gathering facilities and FERC-regulated transmission pipelines under the NGA has been the subject of extensive litigation and may be determined by the FERC on a case-by-case basis, although the FERC has made no determinations as to the status of our facilities. Consequently, the classification and regulation of our gathering facilities could change based on future determinations by the FERC, the courts or Congress. If our gas gathering operations become subject to FERC jurisdiction, the result may adversely affect the rates we are able to charge and the services we currently provide, and may include the potential for a termination of our gathering agreements with our customers.</w:t>
      </w:r>
    </w:p>
    <w:p>
      <w:pPr>
        <w:spacing w:after="0" w:line="1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Intrastate transportation of NGLs is largely regulated by the state in which such transportation takes place. Lone Star’s NGL Pipeline transports NGLs within the state of Texas and is subject to regulation by the TRRC. This NGLs transportation system offers services pursuant to an intrastate transportation tariff on file with the TRRC. In 2013, Lone Star’s NGL pipeline also commenced the interstate transportation of NGLs, which is subject to the FERC’s jurisdiction under the Interstate Commerce Act (“ICA”) and the Energy Policy Act. Both intrastate and interstate NGL transportation services must be provided in a manner that is just, reasonable, and non-discriminatory. The tariff rates established for interstate services were based on a negotiated agreement; however, if the FERC’s ratemaking methodologies were imposed, they may, among other things, delay the use of rates that reflect increased costs and subject us to potentially burdensome and expensive operational, reporting and other requirements. In addition, the rates, terms and conditions for shipments of crude oil, petroleum products and NGLs on our pipelines are subject to regulation by the FERC if the NGLs are transported in interstate or foreign commerce, whether by our pipelines or other means of transportation. Since we do not control the entire transportation path of all crude oil, petroleum products and NGLs on our pipelines, FERC regulation could be triggered by our customers’ transportation decisions.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any of our pipelines were found to have provided services or otherwise operated in violation of the NGA, Natural Gas Policy Act of 1978 (“NGPA”), or ICA, this could result in the imposition of administrative and criminal remedies and civil penalties, as well as a requirement to disgorge charges collected for such services in excess of the rate established by the FERC. Any of the foregoing could adversely affect revenues and cash flow related to these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and liabilities resulting from performance of pipeline integrity programs and related repairs.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authority under the NGPSA and Hazardous Liquids Pipeline Safety Act of 1979, as amended (“HLPSA”), PHMSA has established a series of rules requiring pipeline operators to develop and implement integrity management programs for natural gas transmission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These regulations require operators of covered pipelines to:</w:t>
      </w:r>
    </w:p>
    <w:p>
      <w:pPr>
        <w:spacing w:after="0" w:line="80"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 high consequence area;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improve data collection, integration and analysis;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repair and remediate the pipeline as necessary;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 pipeline integrity testing.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October 2019, PHMSA published the first of three expected regulations relating to new or more stringent requirements for certain natural gas lines and gathering lines, that had originally been proposed in 2016 as part of PHMSA’s “Gas Megarule.” The rulemaking imposed numerous requirements, including, among other things, expanding certain of PHMSA’s current regulatory safety programs for natural gas pipelines in newly defined MCAs that contain as few as five dwellings within a potential impact area. PHMSA is still expected to issue the second and third parts of the Gas Megarule, but we cannot predict the timing of any such action. The safety and hazardous liquid pipelines rule would extend leak detection requirements to all non-gathering hazardous liquid pipelines and require operators to inspect affected pipelines following extreme weather events or natural disasters to address any resulting damage. Finally, the enhanced emergency procedures rule focuses on increased emergency safety measures. In particular, this rule increases the authority of PHMSA to issue an emergency order that addresses unsafe conditions or hazards that pose an imminent threat to pipeline safety. The changes adopted or proposed by these rulemakings or made in future legal requirements could have a material adverse effect on our results of operations and costs of transportation services.</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NGPSA and HLPSA were amended by the Pipeline Safety, Regulatory Certainty, and Job Creation Act of 2011 (“2011 Pipeline Safety Act”). Among other things, the 2011 Pipeline Safety Act increased the penalties for safety violations and directed the Secretary of Transportation to promulgate rules or standards relating to expanded integrity management requirements, automatic or remote-controlled valve use, excess flow valve use, leak detection system installation, testing to confirm that the material strength of certain pipelines are above 30% of specified minimum yield strength, and operator verification of records confirming the MAOP of certain interstate natural gas transmission pipelines. In January 2021, PHMSA issued a final rule increasing the maximum administrative fines for safety violations were increased to account for inflation, with maximum civil penalties set at $222,504 per day, with a maximum of $2,225,034 for a series of violations. Upon reauthorization of PHMSA, Congress often directs the agency to complete certain rulemakings. For 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rulemakings; Congress has also instructed PHMSA to issue final regulations to require operations of non-rural gas gathering lines and new existing transmission and distribution pipelines to conduct certain leak detection and repair programs to require facility inspection and maintenance plans to align with those regulations. The timing and scope of such future rulemakings is uncertain. The safety enhancement requirements and other provisions of Congressional mandates to PHMSA, as well as any implementation of PHMSA rules thereunder or any issuance or reinterpretation of guidance by PHMSA or any state agencies with respect thereto, could require us to install new or modified safety controls, pursue additional capital projects, or conduct maintenance programs on an accelerated basis, any or all of which tasks could result in our incurring increased operating costs that could be significant and have a material adverse effect on our results of operations or financial condition.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involves the generation, handling and disposal of hazardous substances, hydrocarbons and wastes which activities are subject to environmental and worker health and safety laws and regulations that may cause us to incur significant costs and liabilities.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stringent federal, tribal, state, and local laws and regulations governing the discharge of materials into the environment, worker health and safety and protection of the environment. These laws and regulations may require the acquisition of permits for the construction and operation of our pipelines, plants and facilities, result in capital expenditures to manage, limit or prevent emissions, discharges or releases of various materials from our pipelines, plants and facilities, impose specific health and safety standards addressing worker protection, and impose substantial liabilities for pollution resulting from our construction and operations activities. Several governmental authorities, such as the United States Environmental Protection Agency (“EPA”) and analogous state agencies have the power to enforce compliance with these laws and regulations and the permits issued under them and frequently mandate difficult and costly remediation measures and other actions. Failure to comply with these laws, regulations and permits may result in the assessment of significant administrative, civil and criminal penalties, the imposition of investigatory remedial and corrective action obligations, the occurrence of delays in permitting and completion of projects, and the issuance of injunctive relief. For example, following an inadvertent return that occurred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connection with the construction of our Mariner East 2 pipeline (“Mariner 2”), the Pennsylvania Department of Environmental Protection in September 2020 ordered the rerouting of a section of Mariner 2. We have challenged this order and cannot predict the final outcome; however, any rerouting of Mariner 2 or other of our pipeline projects may result in delays in the completion of these projects.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environmental laws impose strict, joint and several liability for costs required to clean up and restore sites where hazardous substances, hydrocarbons or wastes have been disposed or released, even under circumstances where the substances, hydrocarbons or wastes have been released by a predecessor operator. Moreover, it is not uncommon for neighboring landowners and other third parties to file claims for personal injury and property and natural resource damage allegedly caused by noise, odor or the release of hazardous substances, hydrocarbons or wastes into the environment.</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incur substantial environmental costs and liabilities because of the underlying risk arising out of our operations. Although we have established financial reserves for our estimated environmental remediation liabilities, additional contamination or conditions may be discovered, resulting in increased remediation costs, liabilities or natural resource damages that could substantially increase our costs for site remediation projects. Accordingly, we cannot assure you that our current reserves are adequate to cover all future liabilities, even for currently known contamination.</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Uncertainty about the future course of regulation exists because of the recent change in U.S. presidential administrations. In January 2021, the current administration issued an executive order directing all federal agencies to review and take action to address any federal regulations promulgated during the prior administration that may be inconsistent with the current administration’s policies. As a result, it is unclear the degree to which certain recent regulatory developments may be modified or rescinded. The executive order also established a Working Group that is called on to, among other things, develop methodologies for calculating the “social cost of carbon,” “social cost of nitrous oxide” and “social cost of methane.” Recommendations from the Working Group are due beginning June 1, 2021, and final recommendations no later than January 2022. Further regulation of air emissions, as well as uncertainty regarding the future course of regulation, could eventually reduce the demand for oil and natural gas and, in turn, have a material adverse effect on our business, financial condition or results of operations.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environmental laws and regulations occur frequently, and any such changes that result in more stringent and costly waste handling, emission standards, or storage, transport, disposal or remediation requirements could have a material adverse effect on our operations or financial position. For example, in October 2015, the EPA published a final rule under the Clean Air Act, lowering the National Ambient Air Quality Standard (“NAAQS”) for ground-level ozone to 70 parts per billion for the 8-hour primary and secondary ozone standards, and the EPA finalized its attainment/non-attainment designations in 2018, though these are subject to change.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final rule or any other new regulations could, among other things, require installation of new emission controls on some of our equipment, result in longer permitting timelines or new restrictions or prohibitions with respect to permits or projects, and significantly increase our capital expenditures and operating costs, which could adversely impact our business. Historically, we have been able to satisfy the more stringent nitrogen oxide emission reduction requirements that affect our compressor units in ozone non-attainment areas at reasonable cost, but there is no assurance that we will not incur material costs in the future to meet the new, more stringent ozone standard.</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Regulations under the Clean Water Act, Oil Pollution Act of 1990, as amended (“OPA”), and state laws impose regulatory burdens on terminal operations. Spill prevention control and countermeasure requirements of federal and state laws require containment to mitigate or prevent contamination of waters in the event of a refined product overflow, rupture, or leak from above-ground pipelines and storage tanks. The Clean Water Act also requires us to maintain spill prevention control and countermeasure plans at our terminal facilities with above-ground storage tanks and pipelines. In addition, OPA requires that most fuel transport and storage companies maintain and update various oil spill prevention and oil spill contingency plans. Facilities that are adjacent to water require the engagement of Federally Certified Oil Spill Response Organizations to be available to respond to a spill on water from above-ground storage tanks or pipelines.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Transportation and storage of refined products over and adjacent to water involves risk and potentially subjects us to strict, joint, and potentially unlimited liability for removal costs and other consequences of an oil spill where the spill is into navigable waters, along shorelines or in the exclusive economic zone of the United States.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an oil spill into navigable waters, substantial liabilities could be imposed upon us. The Clean Water Act imposes restrictions and strict controls regarding the discharge of pollutants into navigable waters, with the potential of substantial liability for the violation of permits or permitting requirements.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Terminal operations and associated facilities are subject to the Clean Air Act as well as comparable state and local statutes. Under these laws, permits may be required before construction can commence on a new source of potentially significant air emissions, and operating permits may be required for sources that are already constructed. If regulations become more stringent, additional emission control technologies.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Climate change legislation or regulations restricting emissions of greenhouse gases (“GHGs”) could result in increased operating costs and reduced demand for the services we provide.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Climate change continues to attract considerable public, governmental and scientific attention. As a result, numerous proposals have been made and are likely to continue to be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finalized amendments to Subpart OOOOa that rescind the methane limits for new, reconstructed and modified oil and natural gas production sources while leaving in place the general emission limits for VOCs. In addition, the rulemaking removes from the oil and natural gas category the natural gas transmission and storage segment. However, President Biden has signed an executive order calling for the suspension, revision, or rescission of the September 2020 rule and the reinstatement or issuance of methane emissions standards for new, modified, and existing oil and gas facilities, including the transmission and storage. Methane emission standards imposed on the oil and gas sector could result in increased costs to our operations or those of our customers as well as result in delays or curtailment in such operations, which costs, delays or curtailment could adversely affect our business. Several states have also adopted, or are considering, adopting, regulations related to GHG emissions, some of which are more stringent than those implemented by the federal government.</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GHG emission reduction goals every five years beginning in 2020. Although the United States had withdrawn from this agreement, President Biden has signed executive orders recommitting the United States to the Paris Agreement and calling for the federal government to formulate the United States’ emissions reduction goal. However, the impacts of these orders are unclear at this time.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strengthening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 There is also a risk that financial institutions could be required to adopt policies that have the effect of reducing the funding provided to the fossil fuel sector. For example, recently, the Federal Reserve announced that it has joined the Network for Greening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System, a consortium of financial regulators focused on addressing climate-related risks in the financial sector. Ultimately, this could make it more difficult to secure funding for exploration and production or midstream activities. Finally, most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our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swaps regulatory provisions of the Dodd-Frank Act and the rules adopted thereunder could have an adverse effect on our ability to use derivative instruments to mitigate the risks of changes in commodity prices and interest rates and other risks associated with our business.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Provisions of the Dodd-Frank Wall Street Reform and Consumer Protection Act (the “Dodd-Frank Act”) and rules adopted by the Commodity Futures Trading Commission (the “CFTC”), the SEC and other prudential regulators establish federal regulation of the physical and financial derivatives, including over-the-counter derivatives market and entities, such as us, participating in that market. While most of these regulations are already in effect, the implementation process is still ongoing and the CFTC continues to review and refine its initial rulemakings through additional interpretations and supplemental rulemakings. As a result, any new regulations or modifications to existing regulations could significantly increase the cost of derivative contracts, materially alter the terms of derivative contracts, reduce the availability and/or liquidity of derivatives to protect against risks we encounter, reduce our ability to monetize or restructure our existing derivative contracts, and increase our exposure to less creditworthy counterparties. Any of these consequences could have a material adverse effect on our financial condition, results of operations and cash available for distribution to our Unitholders.</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CFTC has re-proposed speculative position limits for certain futures and option contracts in the major energy markets and for swaps that are their economic equivalents, although certain bona fide hedging transactions would be exempt from these position limits provided that various conditions are satisfied. The CFTC has also finalized a related aggregation rule that requires market participants to aggregate their positions with certain other persons under common ownership and control, unless an exemption applies, for purposes of determining whether the position limits have been exceeded. If adopted, the revised position limits rule and its finalized companion rule on aggregation may create additional implementation or operational exposure. In addition to the CFTC federal speculative position limit regime, designated contract markets (“DCMs”) also maintain speculative position limit and accountability regimes with respect to contracts listed on their platform as well as aggregation requirements similar to the CFTC’s final aggregation rule. Any speculative position limit regime, whether imposed at the federal-level or at the DCM-level may impose added operating costs to monitor compliance with such position limit levels, addressing accountability level concerns and maintaining appropriate exemptions, if applicable.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Dodd-Frank Act requires that certain classes of swaps be cleared on a derivatives clearing organization and traded on a DCM or other regulated exchange, unless exempt from such clearing and trading requirements, which could result in the application of certain margin requirements imposed by derivatives clearing organizations and their members. The CFTC and prudential regulators have also adopted mandatory margin requirements for uncleared swaps entered into between swap dealers and certain other counterparties. We currently qualify for and rely upon an end-user exception from such clearing and margin requirements for the swaps we enter into to hedge our commercial risks. However, the application of the mandatory clearing and trade execution requirements and the uncleared swaps margin requirements to other market participants, such as swap dealers, may adversely affect the cost and availability of the swaps that we use for hedging.</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transactions involving cross-border swaps more expensive and burdensome. Additionally, the lack of regulatory equivalency across jurisdictions may increase compliance costs and make it more difficult to satisfy our regulatory obligations.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Additional deepwater drilling laws and regulations, delays in the processing and approval of drilling permits and exploration, development, oil spill-response and decommissioning plans, and other related developments may have a material adverse effect on our business, financial condition, or results of operations.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Federal Bureau of Ocean Energy Management (“BOEM”) and the federal Bureau of Safety and Environmental Enforcement (“BSEE”), each agencies of the United States Department of the Interior,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 For instance, in January 2021, the Biden administration issued an executive order focused on climate change that,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among other things,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our customers. Separately, in October 2020, BOEM and BSEE published a proposed rule regarding financial assurance requirements for offshore leases, particularly regarding requirements for bonds above base amounts prescribed by regulation. At this time, we cannot determine with any certainty the amount of any additional financial assurance that may be ordered by BOEM and required of us in the future, or that such additional financial assurance amounts can be obtained. The final publication or implementation of this rule,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our customers to implement and complete any such spill response activities or any decommissioning obligations could exceed estimated accruals, insurance limits, or supplemental bonding amounts, which could result in the incurrence of additional costs to complete. Separately, in January 2021, the Biden Administration has issued orders temporarily suspending the issuance of new authorizations and suspending the issuance of new leases pending completion of a review of current practices, for oil and gas development on federal lands and waters. The Biden Administration also published an order calling for an increase in the production of offshore wind energy, which may impact the use of federal waters. We cannot predict with any certainty the full impact of any new laws or regulations on our customers’ drilling operations or on the cost or availability of insurance to cover some or all of the risks associated with such operations. The occurrence of any one or more of these developments could result in decreased demand for our services, which could have a material adverse effect on our business as well as our financial position, results of operation and liquidity.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business is subject to federal, state and local laws and regulations that govern the product quality specifications of the petroleum products that we store and transport.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petroleum products that we store and transport are sold by our customers for consumption into the public market. Various federal, state and local agencies have the authority to prescribe specific product quality specifications to commodities sold into the public market. Changes in product quality specifications could reduce our throughput volume, require us to incur additional handling costs or require the expenditure of significant capital. In addition, different product specifications for different markets impact the fungibility of products transported and stored in our pipeline systems and terminal facilities and could require the construction of additional storage to segregate products with different specifications. We may be unable to recover these costs through increased revenues.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patented butane blending services are reliant upon gasoline vapor pressure specifications. Significant changes in such specifications could reduce butane blending opportunities, which would affect our ability to market our butane blending service licenses and which would ultimately affect our ability to recover the costs incurred to acquire and integrate our butane blending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Partnership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Limited Partner units or other classes of equity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may issue an unlimited number of limited partner interests or other classes of equity without the consent of our Unitholders, which will dilute Unitholders’ ownership interest in us and may increase the risk that we will not have sufficient available cash to maintain or increase our per unit distribution level.</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partnership agreement allows us to issue an unlimited number of additional limited partner interests, including securities senior to the Common Units, without the approval of our Unitholders. The issuance of additional Common Units or other equity securities by us will have the following effects:</w:t>
      </w:r>
    </w:p>
    <w:p>
      <w:pPr>
        <w:spacing w:after="0" w:line="16"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Unitholders’ current proportionate ownership interest in us will decrease;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price of our Common Units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to Unitholders and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are not guaranteed and may fluctuate with our performance and other external factors.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source of earnings and cash flow is cash distributions from ETO. In addition, ETO’s earnings and cash flows are generated by its subsidiaries, including ETO’s investments in Sunoco LP and USAC. Therefore, the amount of distributions we are currently able to make to our Unitholders may fluctuate based on the level of distributions ETO and its subsidiaries, including Sunoco LP and USAC, make to their partners. ETO may not be able to continue to make quarterly distributions at its current level or increase its quarterly distributions in the future. In addition, while we would expect to increase or decrease distributions to our Unitholders if ETO increases or decreases distributions to us, the timing and amount of such increased or decreased distributions, if any, will not necessarily be comparable to the timing and amount of the increase or decrease in distributions made by ETO to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distribute cash received from ETO to our Unitholders is limited by a number of factors, including:</w:t>
      </w:r>
    </w:p>
    <w:p>
      <w:pPr>
        <w:spacing w:after="0" w:line="117"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expense and principal payments on our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restrictions on distributions contained in any current or future debt agreements;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and administrative expenses;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expenses of our subsidiaries other than ETO and its subsidiaries, including tax liabilities of our corporate subsidiaries, if any;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reserves our general partner believes prudent for us to maintain for the proper conduct of our business or to provide for future distributions.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guarantee that in the future we will be able to pay distributions or that any distributions we do make will be at or above our current quarterly distribution. The actual amount of cash that is available for distribution to our Unitholders will depend on numerous factors, many of which are beyond our control or the control of our general partner.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general partner’s absolute discretion in determining the level of cash reserves may adversely affect our ability to make cash distributions to our preferred unitholders.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have liability to repay distributions.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Unitholders may have to repay us amounts wrongfully distributed to them. Under Delaware law, we may not make a distribution to Unitholders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does not require a publicly traded partnership like us to comply with certain corporate governance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preferred units that are listed on the NYSE. Because we are a publicly traded partnership, the NYSE does not require us to have a majority of independent directors on our general partner’s board of directors or to establish a compensation committee or a nominating and corporate governance committee. Accordingly, our Unitholders do not have the same protections afforded to stockholders of corporations that are subject to all of the corporate governance requirements of the applicable stock exchange.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control of our general partner may be transferred to a third party without Unitholder consent.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general partner may transfer its general partner interest to a third party without the consent of the Unitholders. Furthermore, the general partner of our general partner may transfer its general partner interest in our general partner to a third party without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consent of the Unitholders. Any new owner of the general partner or the general partner of the general partner would be in a position to replace the officers of the general partner with its own choices and to control the decisions taken by such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reimbursements due to our general partner may be substantial and may reduce our ability to pay the distributions to Unitholders.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making any distributions to our Unitholders, we will reimburse our general partner for all expenses it has incurred on our behalf. In addition, our general partner and its affiliates may provide us with services for which we will be charged reasonable fees as determined by the general partner. The reimbursement of these expenses and the payment of these fees could adversely affect our ability to make distributions to the Unitholders. Our general partner has sole discretion to determine the amount of these expenses and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 has a limited call right that may require Unitholders to sell their units at an undesirable time or price.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any time our general partner and its affiliates own more than 90% of our outstanding units, our general partner will have the right, but not the obligation, which it may assign to any of its affiliates or to us, to acquire all, but not less than all, of the units held by unaffiliated persons at a price not less than their then-current market price. As a result, Unitholders may be required to sell their units at an undesirable time or price and may not receive any return on their investment. Unitholders may also incur a tax liability upon a sale of their units. As of December 31, 2020, the directors and executive officers of our general partner owned approximately 14% of our Common Units.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third parties, including key personnel of ETO under a shared services agreement, to provide the financial, accounting, administrative and legal services necessary to operate our business.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the services of key personnel of ETO, including the ongoing involvement and continued leadership of Kelcy L. Warren, one of the founders of ETO’s midstream business. Mr. Warren has been integral to the ETO’s success because of his ability to identify and develop strategic business opportunities. Losing the leadership of Mr. Warren could make it difficult for ETO to identify internal growth projects and accretive acquisitions, which could have a material adverse effect on ETO’s ability to increase the cash distributions paid on its partnership interests.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ETO’s executive officers that provide services to us pursuant to a shared services agreement allocate their time between us and ETO. To the extent that these officers face conflicts regarding the allocation of their time, we may not receive the level of attention from them that the management of our business requires. If ETO is unable to provide us with a sufficient number of personnel with the appropriate level of technical accounting and financial expertise, our internal accounting controls could be adversely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do not have significant assets other than the partnership interests and the equity in our subsidiaries. As a result, our ability to pay distributions to our Unitholders and to service our debt depends on the performance of our subsidiaries and their ability to distribute funds to us. The ability of our subsidiaries to make distributions to us may be restricted by, among other things, credit facilities and applicable state partnership laws and other laws and regulations. If we are unable to obtain funds from our subsidiaries, we may not be able to pay distributions to our Unitholders or to pay interest or principal on our debt when due.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interruption of distributions to us from our operating subsidiaries and equity investees may affect our ability to satisfy our obligations and to make distributions to our partners.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holding company with no business operations other than that of our operating subsidiaries. Our only significant assets are the equity interests we own in our operating subsidiaries and equity investees. As a result, we depend upon the earnings and cash flow of our operating subsidiaries and equity investees and any interruption of distributions to us may affect our ability to meet our obligations, including any obligations under our debt agreements, and to make distributions to our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subsidiaries are not prohibited from competing with us.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our partnership agreement nor the partnership agreements of our subsidiaries, including ETO, Sunoco LP and USAC, prohibit our subsidiaries from owning assets or engaging in businesses that compete directly or indirectly with us. In addition, our subsidiaries may acquire, construct or dispose of any assets in the future without any obligation to offer us the opportunity to purchase or construct any of those assets.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ETO may issue additional preferred equity, and Sunoco LP and USAC may issue additional common units, which may increase the risk that each Partnership will not have sufficient available cash to maintain or increase its per unit distribution level.</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partnership agreements of ETO, Sunoco LP and USAC allow each partnership to issue an unlimited number of additional limited partner interests. The issuance of additional preferred units, common units or other equity securities by each respective partnership will have the following effects:</w:t>
      </w:r>
    </w:p>
    <w:p>
      <w:pPr>
        <w:spacing w:after="0" w:line="16"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Unitholders’ current proportionate ownership interest in each partnership will decrease;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market price of each partnership’s common units may decline.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distributions on any additional units issued by ETO, Sunoco LP and USAC may increase the risk that either partnership may not have sufficient cash available to maintain or increase its per unit distribution level, which in turn may impact the available cash that we have to meet our obligations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decrease in demand for motor fuel, including increased consumer preference for alternative motor fuels or improvements in fuel efficiency, in the areas Sunoco LP serves would reduce their ability to make distributions to its unitholders.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year ended December 31, 2020, sales of refined motor fuels accounted for approximately 96% of Sunoco LP’s total revenues and 72% of gross profit. A significant decrease in demand for motor fuel in the areas Sunoco LP serves could significantly reduce revenues and Sunoco LP’s ability to make distributions to its unitholders, including ETO. Sunoco LP revenues are dependent on various trends, such as trends in commercial truck traffic, travel and tourism in their areas of operation, and these trends can change. Regulatory action, including government imposed fuel efficiency standards, may also affect demand for motor fuel. Because certain of Sunoco LP’s operating costs and expenses are fixed and do not vary with the volumes of motor fuel distributed, their costs and expenses might not decrease ratably or at all should they experience such a reduction. As a result, Sunoco LP may experience declines in their profit margin if fuel distribution volumes decrease.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technological advancements, regulatory changes or changes in consumer preferences causing a significant shift toward alternative motor fuels could reduce demand for the conventional petroleum based motor fuels Sunoco LP currently sells. Additionally, a shift toward electric, hydrogen, natural gas or other alternative-power vehicles could fundamentally change customers’ shopping habits or lead to new forms of fueling destinations or new competitive pressures.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technologies have been developed and governmental mandates have been implemented to improve fuel efficiency, which may result in decreased demand for petroleum-based fuel. Any of these outcomes could result in fewer visits to Sunoco LP’s convenience stores or independently operated commission agents and dealer locations, a reduction in demand from their wholesale customers, decreases in both fuel and merchandise sales revenue, or reduced profit margins, any of which could have a material adverse effect on Sunoco LP’s business, financial condition, results of operations and cash available for distribution to its unitholders.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LP’s financial condition and results of operations are influenced by changes in the prices of motor fuel, which may adversely impact margins, customers’ financial condition and the availability of trade credit.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Sunoco LP’s operating results are influenced by prices for motor fuel. General economic and political conditions, acts of war or terrorism and instability in oil producing regions, particularly in the Middle East and South America, could significantly impact crude oil supplies and petroleum costs. Significant increases or high volatility in petroleum costs could impact consumer demand for motor fuel and convenience merchandise. Such volatility makes it difficult to predict the impact that future petroleum costs fluctuations may have on Sunoco LP’s operating results and financial condition. Sunoco LP is subject to dealer tank wagon pricing structures at certain locations further contributing to margin volatility. A significant change in any of these factors could materially impact both wholesale and retail fuel margins, the volume of motor fuel distributed or sold at retail, and overall customer traffic, each of which in turn could have a material adverse effect on Sunoco LP’s business, financial condition, results of operations and cash available for distribution to its unitholders.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Significant increases in wholesale motor fuel prices could impact Sunoco LP as some of their customers may have insufficient credit to purchase motor fuel from us at their historical volumes. Higher prices for motor fuel may also reduce access to trade credit support or cause it to become more expensive.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industries in which Sunoco LP operates are subject to seasonal trends, which may cause its operating costs to fluctuate, affecting its cash flow.</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relies in part on customer travel and spending patterns and may experience more demand for gasoline in the late spring and summer months than during the fall and winter. Travel, recreation and construction are typically higher in these months in the geographic areas in which Sunoco LP or its commission agents and dealers operate, increasing the demand for motor fuel that they sell and distribute. Therefore, Sunoco LP’s revenues and cash flows are typically higher in the second and third quarters of our fiscal year. As a result, Sunoco LP’s results from operations may vary widely from period to period, affecting Sunoco LP’s cash flow.</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dangers inherent in the storage and transportation of motor fuel could cause disruptions in Sunoco LP’s operations and could expose them to potentially significant losses, costs or liabilities.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Sunoco LP stores motor fuel in underground and aboveground storage tanks. Sunoco LP transports the majority of its motor fuel in its own trucks, instead of by third-party carriers. Sunoco LP’s operations are subject to significant hazards and risks inherent in transporting and storing motor fuel. These hazards and risks include, but are not limited to, traffic accidents, fires, explosions, spills, discharges, and other releases, any of which could result in distribution difficulties and disruptions, environmental pollution, governmentally-imposed fines or clean-up obligations, personal injury or wrongful death claims, and other damage to its properties and the properties of others. Any such event not covered by Sunoco LP’s insurance could have a material adverse effect on its business, financial condition, results of operations and cash available for distribution to its unitholders.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LP’s fuel storage terminals are subject to operational and business risks which may adversely affect their financial condition, results of operations, cash flows and ability to make distributions to its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storage terminals are subject to operational and business risks, the most significant of which include the following:</w:t>
      </w:r>
    </w:p>
    <w:p>
      <w:pPr>
        <w:spacing w:after="0" w:line="117"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inability to renew a ground lease for certain of their fuel storage terminals on similar terms or at all;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dependence on third parties to supply their fuel storage terminals;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outages at their fuel storage terminals or interrupted operations due to weather-related or other natural causes;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threat that the nation’s terminal infrastructure may be a future target of terrorist organizations;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volatility in the prices of the products stored at their fuel storage terminals and the resulting fluctuations in demand for storage services;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effects of a sustained recession or other adverse economic conditions;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possibility of federal and/or state regulations that may discourage their customers from storing gasoline, diesel fuel, ethanol and jet fuel at their fuel storage terminals or reduce the demand by consumers for petroleum products;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competition from other fuel storage terminals that are able to supply their customers with comparable storage capacity at lower prices; and</w:t>
      </w:r>
    </w:p>
    <w:p>
      <w:pPr>
        <w:spacing w:after="0" w:line="12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climate change legislation or regulations that restrict emissions of GHGs could result in increased operating and capital costs and reduced demand for our storage services.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occurrence of any of the above situations, amongst others, may affect operations at their fuel storage terminals and may adversely affect Sunoco LP’s business, financial condition, results of operations, cash flows and ability to make distributions to its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events or developments associated with Sunoco LP’s branded suppliers could have an adverse impact on its revenues.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Sunoco LP believes that the success of its operations is dependent, in part, on the continuing favorable reputation, market value, and name recognition associated with the motor fuel brands sold at Sunoco LP’s convenience stores and at stores operated by its independent, branded dealers and commission agents. Erosion of the value of those brands could have an adverse impact on the volumes of motor fuel Sunoco LP distributes, which in turn could have a material adverse effect on its business, financial condition, results of operations and ability to make distributions to its unitholders.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Sunoco LP currently depends on a limited number of principal suppliers in each of its operating areas for a substantial portion of its merchandise inventory and its products and ingredients for its food service facilities. A disruption in supply or a change in either relationship could have a material adverse effect on its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Sunoco LP currently depends on a limited number of principal suppliers in each of its operating areas for a substantial portion of its merchandise inventory and its products and ingredients for its food service facilities. If any of Sunoco LP’s principal suppliers elect not to renew their contracts, Sunoco LP may be unable to replace the volume of merchandise inventory and products and ingredients currently purchased from them on similar terms or at all in those operating areas. Further, a disruption in supply or a significant change in Sunoco LP’s relationship with any of these suppliers could have a material adverse effect on Sunoco LP’s business, financial condition and results of operations and cash available for distribution to its unitholders.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wholesale motor fuel distribution industry and convenience store industry are characterized by intense competition and fragmentation and impacted by new entrants. Failure to effectively compete could result in lower margins.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 for distribution of wholesale motor fuel is highly competitive and fragmented, which results in narrow margins. Sunoco LP has numerous competitors, some of which may have significantly greater resources and name recognition than it does. Sunoco LP relies on its ability to provide value-added, reliable services and to control its operating costs in order to maintain our margins and competitive position. If Sunoco LP fails to maintain the quality of its services, certain of its customers could choose alternative distribution sources and margins could decrease. While major integrated oil companies have generally continued to divest retail sites and the corresponding wholesale distribution to such sites, such major oil companies could shift from this strategy and decide to distribute their own products in direct competition with Sunoco LP, or large customers could attempt to buy directly from the major oil companies. The occurrence of any of these events could have a material adverse effect on Sunoco LP’s business, financial condition, results of operations and cash available for distribution to its unitholders.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geographic areas in which Sunoco LP operates and supplies independently operated commission agent and dealer locations are highly competitive and marked by ease of entry and constant change in the number and type of retailers offering products and services of the type we and our independently operated commission agents and dealers sell in stores. Sunoco LP competes with other convenience store chains, independently owned convenience stores, motor fuel stations, supermarkets, drugstores, discount stores, dollar stores, club stores, mass merchants and local restaurants. Over the past two decades, several non-traditional retailers, such as supermarkets, hypermarkets, club stores and mass merchants, have impacted the convenience store industry, particularly in the geographic areas in which Sunoco LP operates, by entering the motor fuel retail business. These non-traditional motor fuel retailers have captured a significant share of the motor fuels market, and Sunoco LP expects their market share will continue to grow.</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of Sunoco LP’s markets, its competitors have been in existence longer and have greater financial, marketing, and other resources than they or their independently operated commission agents and dealers do. As a result, Sunoco LP’s competitors may be able to better respond to changes in the economy and new opportunities within the industry. To remain competitive, Sunoco LP must constantly analyze consumer preferences and competitors’ offerings and prices to ensure that they offer a selection of convenience products and services at competitive prices to meet consumer demand. Sunoco LP must also maintain and upgrade our customer service levels, facilities and locations to remain competitive and attract customer traffic to our stores. Sunoco LP may not be able to compete successfully against current and future competitors, and competitive pressures faced by Sunoco LP could have a material adverse effect on its business, results of operations and cash available for distribution to its unitholders.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may be subject to adverse publicity resulting from concerns over food quality, product safety, health or other negative events or developments that could cause consumers to avoid its retail locations or independently operated commission agent or dealer locations.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Sunoco LP may be the subject of complaints or litigation arising from food-related illness or product safety which could have a negative impact on its business. Negative publicity, regardless of whether the allegations are valid, concerning food quality, food safety or other health concerns, food service facilities, employee relations or other matters related to its operations may materially adversely affect demand for its food and other products and could result in a decrease in customer traffic to its retail stores or independently operated commission agent or dealer locations.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critical to Sunoco LP’s reputation that they maintain a consistent level of high quality at their food service facilities and other franchise or fast food offerings. Health concerns, poor food quality or operating issues stemming from one store or a limited number of stores could materially and adversely affect the operating results of some or all of their stores and harm the company-owned brands, continuing favorable reputation, market value and name recognition.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does not own all of the land on which its retail service stations are located, and Sunoco LP leases certain facilities and equipment, and Sunoco LP is subject to the possibility of increased costs to retain necessary land use which could disrupt its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Sunoco LP does not own all of the land on which its retail service stations are located. Sunoco LP has rental agreements for approximately 38% of the company, commission agent or dealer operated retail service stations where Sunoco LP currently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controls the real estate. Sunoco LP also has rental agreements for certain logistics facilities. As such, Sunoco LP is subject to the possibility of increased costs under rental agreements with landowners, primarily through rental increases and renewals of expired agreements. Sunoco LP is also subject to the risk that such agreements may not be renewed. Additionally, certain facilities and equipment (or parts thereof) used by Sunoco LP are leased from third parties for specific periods. Sunoco LP’s inability to renew leases or otherwise maintain the right to utilize such facilities and equipment on acceptable terms, or the increased costs to maintain such rights, could have a material adverse effect on its financial condition,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Sunoco LP is subject to federal laws related to the Renewable Fuel Standard.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laws, new interpretations of existing laws, increased governmental enforcement of existing laws or other developments could require us to make additional capital expenditures or incur additional liabilities. For example, certain independent refiners have initiated discussions with the EPA to change the way the Renewable Fuel Standard (“RFS”) is administered in an attempt to shift the burden of compliance from refiners and importers to blenders and distributors. Under the RFS, which requires an annually increasing amount of biofuels to be blended into the fuels used by U.S. drivers, refiners/importers are obligated to obtain renewable identification numbers (“RINS”) either by blending biofuel into gasoline or through purchase in the open market. If the obligation was shifted from the importer/refiner to the blender/distributor, the Partnership would potentially have to utilize the RINS it obtains through its blending activities to satisfy a new obligation and would be unable to sell RINS to other obligated parties, which may cause an impact on the fuel margins associated with Sunoco LP’s sale of gasoline. In addition, the RFS regulations are highly complex and evolving, and the RINS market is subject to significant price volatility as a result. The price of RINS to meet compliance obligations under the RFS could be substantial and adversely impact our financial condition.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events described above could have a material adverse effect on Sunoco LP’s business, financial condition, results of operations and cash available for distribution to its unitholders.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is subject to federal, state and local laws and regulations that govern the product quality specifications of refined petroleum products it purchases, stores, transports, and sells to its distribution customers.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Various federal, state, and local government agencies have the authority to prescribe specific product quality specifications for certain commodities, including commodities that Sunoco LP distributes. Changes in product quality specifications, such as reduced sulfur content in refined petroleum products, or other more stringent requirements for fuels, could reduce Sunoco LP’s ability to procure product, require it to incur additional handling costs and/or require the expenditure of capital. If Sunoco LP is unable to procure product or recover these costs through increased selling price, it may not be able to meet its financial obligations. Failure to comply with these regulations could result in substantial penalties for Sunoco LP.</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USAC’s customers may choose to vertically integrate their operations by purchasing and operating their own compression fleet, increasing the number of compression units they currently own or using alternative technologies for enhancing crude oil production.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USAC’s customers that are significant producers, processors, gatherers and transporters of natural gas and crude oil may choose to vertically integrate their operations by purchasing and operating their own compression fleets in lieu of using USAC’s compression services. The historical availability of attractive financing terms from financial institutions and equipment manufacturers facilitates this possibility by making the purchase of individual compression units increasingly affordable to USAC’s customers. In addition, there are many technologies available for the artificial enhancement of crude oil production, and USAC’s customers may elect to use these alternative technologies instead of the gas lift compression services USAC provides. Such vertical integration, increases in vertical integration or use of alternative technologies could result in decreased demand for USAC’s compression services, which may have a material adverse effect on its business, results of operations, financial condition and reduce its cash available for distribution.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portion of USAC’s services are provided to customers on a month-to-month basis, and USAC cannot be sure that such customers will continue to utilize its services.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USAC’s contracts typically have an initial term of between six months and five years, depending on the application and location of the compression unit. After the expiration of the initial term, the contract continues on a month-to-month or longer basis until terminated by USAC or USAC’s customers upon notice as provided for in the applicable contract. For the year ended December 31, 2020, approximately 30% of USAC’s compression services on a revenue basis were provided on a month-to-month basis to customers who continue to utilize its services following expiration of the primary term of their contracts. These customers can generally terminate their month-to-month compression services contracts on 30-days’ written notice. If a significant number of these customers were to terminate their month-to-month services, or attempt to renegotiate their month-</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to-month contracts at substantially lower rates, it could have a material adverse effect on USAC’s business, results of operations, financial condition and cash available for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USAC’s preferred units have rights, preferences and privileges that are not held by, and are preferential to the rights of, holders of its common units.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USAC’s preferred units rank senior to all of its other classes or series of equity securities with respect to distribution rights and rights upon liquidation. These preferences could adversely affect the market price for its common units or could make it more difficult for USAC to sell its common units in the future.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distributions on USAC’s preferred units accrue and are cumulative, at the rate of 9.75% per annum on the original issue price, which amounts to a quarterly distribution of $24.375 per preferred unit. If USAC does not pay the required distributions on its preferred units, USAC will be unable to pay distributions on its common units. Additionally, because distributions on USAC’s preferred units are cumulative, USAC will have to pay all unpaid accumulated distributions on the preferred units before USAC can pay any distributions on its common units. Also, because distributions on USAC’s common units are not cumulative, if USAC does not pay distributions on its common units with respect to any quarter, USAC’s common unitholders will not be entitled to receive distributions covering any prior periods if USAC later recommences paying distributions on its common units.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USAC’s preferred units are convertible into common units by the holders of USAC’s preferred units or by USAC in certain circumstances. USAC’s obligation to pay distributions on USAC’s preferred units, or on the common units issued following the conversion of USAC’s preferred units, could impact USAC’s liquidity and reduce the amount of cash flow available for working capital, capital expenditures, growth opportunities, acquisitions and other general Partnership purposes. USAC’s obligations to the holders of USAC’s preferred units could also limit its ability to obtain additional financing or increase its borrowing costs, which could have an adverse effect on its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Conflicts of Interest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fiduciary duties of our general partner’s officers and directors may conflict with those of ETO’s, Sunoco LP’s or USAC’s respective general partners.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Conflicts of interest may arise because of the relationships among ETO, Sunoco LP, USAC, their general partners and us. Our General Partner’s directors and officers have fiduciary duties to manage our business in a manner beneficial to us and our Unitholders. Some of our general partner’s directors or officers are also directors and/or officers of ETO’s general partner, Sunoco LP’s general partner or USAC’s general partner, and have fiduciary duties to manage the respective businesses of ETO, Sunoco LP and USAC in a manner beneficial to ETO, Sunoco LP, USAC and their respective unitholders. The resolution of these conflicts may not always be in our best interest or that of our Unitholders.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Potential conflicts of interest may arise among our general partner, its affiliates and us. Our general partner and its affiliates have limited fiduciary duties to us, which may permit them to favor their own interests to the detriment of us.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Conflicts of interest may arise among our general partner and its affiliates, on the one hand, and us, on the other hand. As a result of these conflicts, our general partner may favor its own interests and the interests of its affiliates over our interests. These conflicts include, among others, the following:</w:t>
      </w:r>
    </w:p>
    <w:p>
      <w:pPr>
        <w:spacing w:after="0" w:line="16" w:lineRule="exact"/>
        <w:rPr>
          <w:sz w:val="20"/>
          <w:szCs w:val="20"/>
          <w:color w:val="auto"/>
        </w:rPr>
      </w:pPr>
    </w:p>
    <w:p>
      <w:pPr>
        <w:jc w:val="both"/>
        <w:ind w:left="340" w:hanging="332"/>
        <w:spacing w:after="0" w:line="263"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including ETO, and its subsidiaries, including Sunoco LP and USAC, and their respective affiliates and any general partners and limited partnerships acquired in the future, in resolving conflicts of interest, which has the effect of limiting its fiduciary duties to us.</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general partner has limited its liability and reduced its fiduciary duties under the terms of our partnership agreement, while also restricting the remedies available for actions that, without these limitations, might constitute breaches of fiduciary duty. As a result of purchasing our units, Unitholders consent to various actions and conflicts of interest that might otherwise constitute a breach of fiduciary or other duties under applicable state law.</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our investment transactions, borrowings, issuances of additional partnership securities and reserves, each of which can affect the amount of cash that is available for distribution.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general partner determines which costs it and its affiliates have incurred are reimbursable by us.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or from entering into additional contractual arrangements with any of these entities on our behalf, so long as the terms of any such payments or additional contractual arrangements are fair and reasonable to us.</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owed to us by it and its affiliates.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partnership agreement limits our general partner’s fiduciary duties to us and restricts the remedies available for actions taken by our general partner that might otherwise constitute breaches of fiduciary duty.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partnership agreement contains provisions that reduce the standards to which our general partner would otherwise be held by state fiduciary duty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our partnership agreement:</w:t>
      </w:r>
    </w:p>
    <w:p>
      <w:pPr>
        <w:spacing w:after="0" w:line="103" w:lineRule="exact"/>
        <w:rPr>
          <w:sz w:val="20"/>
          <w:szCs w:val="20"/>
          <w:color w:val="auto"/>
        </w:rPr>
      </w:pPr>
    </w:p>
    <w:p>
      <w:pPr>
        <w:jc w:val="both"/>
        <w:ind w:left="340" w:hanging="332"/>
        <w:spacing w:after="0" w:line="263"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provides that our general partner is entitled to make other decisions in “good faith” if it reasonably believes that the decisions are in our best interests;</w:t>
      </w:r>
    </w:p>
    <w:p>
      <w:pPr>
        <w:spacing w:after="0" w:line="140" w:lineRule="exact"/>
        <w:rPr>
          <w:rFonts w:ascii="Arial" w:cs="Arial" w:eastAsia="Arial" w:hAnsi="Arial"/>
          <w:sz w:val="16"/>
          <w:szCs w:val="16"/>
          <w:color w:val="auto"/>
        </w:rPr>
      </w:pPr>
    </w:p>
    <w:p>
      <w:pPr>
        <w:jc w:val="both"/>
        <w:ind w:left="340" w:hanging="332"/>
        <w:spacing w:after="0" w:line="257"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a conflicts committee of the board of directors of our general partner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general partner may consider the totality of the relationships among the parties involved, including other transactions that may be particularly favorable or advantageous to us;</w:t>
      </w:r>
    </w:p>
    <w:p>
      <w:pPr>
        <w:spacing w:after="0" w:line="79"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provides that unless our general partner has acted in bad faith, the action taken by our general partner shall not constitute a breach of its fiduciary duty;</w:t>
      </w:r>
    </w:p>
    <w:p>
      <w:pPr>
        <w:spacing w:after="0" w:line="1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provides that our general partner may resolve any conflicts of interest involving us and our general partner and its affiliates, and any resolution of a conflict of interest by our general partner that is “fair and reasonable” to us will be deemed approved by all partners, including the Unitholders, and will not constitute a breach of the partnership agreement;</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provides that our general partner may, but is not required, in connection with its resolution of a conflict of interest, to seek “special approval” of such resolution by appointing a conflicts committee of the general partner’s board of directors composed of two or more independent directors to consider such conflicts of interest and to recommend action to the board of directors, and any resolution of the conflict of interest by the conflicts committee shall be conclusively deemed “fair and reasonable” to us; and</w:t>
      </w:r>
    </w:p>
    <w:p>
      <w:pPr>
        <w:spacing w:after="0" w:line="78"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willful misconduct or gross negligence.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general partner’s absolute discretion in determining the level of cash reserves may adversely affect our ability to make cash distributions to our Unitholders.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Although we control Sunoco LP and USAC through our ownership of Sunoco LP’s and USAC’s general partners, Sunoco LP’s and USAC’s general partners owe duties to Sunoco LP and Sunoco LP’s unitholders and USAC and USAC’s unitholders, respectively, which may conflict with our interests.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us and our affiliates, on the one hand, and Sunoco LP and USAC and their respective limited partners, on the other hand. The directors and officers of Sunoco LP’s and USAC’s general partners have duties to manage Sunoco LP and USAC, respectively, in a manner beneficial to us. At the same time, the general partners have fiduciary duties to manage Sunoco LP and USAC in a manner beneficial to Sunoco LP and USAC and their respective limited partners. The boards of directors of Sunoco LP’s and USAC’s general partner will resolve any such conflict and have broad latitude to consider the interests of all parties to the conflict. The resolution of these conflicts may not always be in our best interest.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example, conflicts of interest with Sunoco LP and USAC may arise in the following situations:</w:t>
      </w:r>
    </w:p>
    <w:p>
      <w:pPr>
        <w:spacing w:after="0" w:line="117" w:lineRule="exact"/>
        <w:rPr>
          <w:sz w:val="20"/>
          <w:szCs w:val="20"/>
          <w:color w:val="auto"/>
        </w:rPr>
      </w:pPr>
    </w:p>
    <w:p>
      <w:pPr>
        <w:ind w:left="5540" w:right="5520" w:hanging="5451"/>
        <w:spacing w:after="0" w:line="1064" w:lineRule="auto"/>
        <w:tabs>
          <w:tab w:leader="none" w:pos="41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allocation of shared overhead expenses to Sunoco LP, USAC and us;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hanging="331"/>
        <w:spacing w:after="0" w:line="277" w:lineRule="auto"/>
        <w:tabs>
          <w:tab w:leader="none" w:pos="4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interpretation and enforcement of contractual obligations between us and our affiliates, on the one hand, and Sunoco LP and USAC, on the other hand;</w:t>
      </w:r>
    </w:p>
    <w:p>
      <w:pPr>
        <w:spacing w:after="0" w:line="62" w:lineRule="exact"/>
        <w:rPr>
          <w:rFonts w:ascii="Arial" w:cs="Arial" w:eastAsia="Arial" w:hAnsi="Arial"/>
          <w:sz w:val="18"/>
          <w:szCs w:val="18"/>
          <w:color w:val="auto"/>
        </w:rPr>
      </w:pPr>
    </w:p>
    <w:p>
      <w:pPr>
        <w:ind w:left="420" w:right="20" w:hanging="331"/>
        <w:spacing w:after="0" w:line="277" w:lineRule="auto"/>
        <w:tabs>
          <w:tab w:leader="none" w:pos="4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determination of the amount of cash to be distributed to Sunoco LP’s and USAC’s partners and the amount of cash to be reserved for the future conduct of Sunoco LP’s and USAC’s businesses;</w:t>
      </w:r>
    </w:p>
    <w:p>
      <w:pPr>
        <w:spacing w:after="0" w:line="62" w:lineRule="exact"/>
        <w:rPr>
          <w:rFonts w:ascii="Arial" w:cs="Arial" w:eastAsia="Arial" w:hAnsi="Arial"/>
          <w:sz w:val="18"/>
          <w:szCs w:val="18"/>
          <w:color w:val="auto"/>
        </w:rPr>
      </w:pPr>
    </w:p>
    <w:p>
      <w:pPr>
        <w:ind w:left="420" w:hanging="331"/>
        <w:spacing w:after="0" w:line="277" w:lineRule="auto"/>
        <w:tabs>
          <w:tab w:leader="none" w:pos="4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determination whether to make borrowings under Sunoco LP’s and USAC’s revolving credit facilities to pay distributions to their respective partners;</w:t>
      </w:r>
    </w:p>
    <w:p>
      <w:pPr>
        <w:spacing w:after="0" w:line="62" w:lineRule="exact"/>
        <w:rPr>
          <w:rFonts w:ascii="Arial" w:cs="Arial" w:eastAsia="Arial" w:hAnsi="Arial"/>
          <w:sz w:val="18"/>
          <w:szCs w:val="18"/>
          <w:color w:val="auto"/>
        </w:rPr>
      </w:pPr>
    </w:p>
    <w:p>
      <w:pPr>
        <w:ind w:left="420" w:hanging="331"/>
        <w:spacing w:after="0" w:line="277" w:lineRule="auto"/>
        <w:tabs>
          <w:tab w:leader="none" w:pos="4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determination of whether a business opportunity (such as a commercial development opportunity or an acquisition) that we may become aware of independently of Sunoco LP and USAC is made available for Sunoco LP and USAC to pursue; and</w:t>
      </w:r>
    </w:p>
    <w:p>
      <w:pPr>
        <w:spacing w:after="0" w:line="62" w:lineRule="exact"/>
        <w:rPr>
          <w:rFonts w:ascii="Arial" w:cs="Arial" w:eastAsia="Arial" w:hAnsi="Arial"/>
          <w:sz w:val="18"/>
          <w:szCs w:val="18"/>
          <w:color w:val="auto"/>
        </w:rPr>
      </w:pPr>
    </w:p>
    <w:p>
      <w:pPr>
        <w:ind w:left="400" w:hanging="311"/>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decision we make in the future to engage in business activities independent of Sunoco LP and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executive officers and directors face potential conflicts of interest in managing our business.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executive officers and directors are also officers and/or directors of ETO. These relationships may create conflicts of interest regarding corporate opportunities and other matters. The resolution of any such conflicts may not always be in our or our Unitholders’ best interests. In addition, these overlapping executive officers and directors allocate their time among us and ETO. These officers and directors face potential conflicts regarding the allocation of their time, which may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Affiliates of our general partner may compete with us.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provided in our partnership agreement, affiliates and related parties of our general partner are not prohibited from engaging in other businesses or activities, including those that might be in direct competition with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Risks to Unitholders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Our tax treatment depends on our continuing status as a partnership for federal income tax purposes, as well as our not being subject to a material amount of entity-level taxation. If the IRS were to treat us, ETO or its subsidiaries, including Sunoco LP and USAC as a corporation for federal income tax purposes or if we, ETO, Sunoco LP or USAC become subject to a material amount of entity-level taxation for state tax purposes, then our cash available for distribution would be substantially reduced.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 We have not requested, and do not plan to request, a ruling from the IRS on this matter. The value of our investments in ETO and its subsidiaries, including Sunoco LP and USAC, depend largely on ETO, Sunoco LP and USAC being treated as partnerships for federal income tax purposes. Despite the fact that we, ETO, Sunoco LP and USAC are each a limited partnership under Delaware law, we would each be treated as a corporation for federal income tax purposes unless we satisfy a “qualifying income” requirement. Based upon our current operations and current Treasury Regulations, we believe we, ETO, Sunoco LP and USAC satisfy the qualifying income requirement. Failing to meet the qualifying income requirement or a change in current law could cause us, ETO, Sunoco LP or USAC to be treated as a corporation for federal income tax purposes or otherwise subject us to taxation as an entity.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ETO, Sunoco LP or USAC were treated as a corporation for federal income tax purposes, we would pay federal income tax at the corporate tax rate and we would likely pay additional state income taxes at varying rates. Distributions to Unitholders would generally be taxed again as corporate distributions, and none of our income, gains, losses or deductions would flow through to Unitholders. Because a tax would be imposed upon us as a corporation, our cash available for distribution to Unitholders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state level, several states have been evaluating ways to subject partnerships to entity-level taxation through the imposition of state income, franchise, or other forms of taxation. We currently own property or conduct business in many states that impose a margin or franchise tax. In the future, we may expand our operations. Imposition of a similar tax on us in the jurisdictions in which we operate or in other jurisdictions to which we may expand could substantially reduce our cash available for distribution to our Unitholders. Our partnership agreement provides that if a law is enacted or existing law is modified or interpreted in a manner that subjects us to taxation as a corporation or otherwise subjects us to entity-level taxation for U.S. federal, state, local or foreign income tax purposes, the target distribution amounts may be adjusted to reflect the impact of that law or interpretation on us.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present United States federal income tax treatment of publicly traded partnerships, including us, or an investment in our Common Units may be modified by administrative, legislative or judicial changes or differing interpretations at any time. Members of Congress have frequently proposed and considered substantive changes to the existing United States federal income tax laws that affect publicly traded partnerships, including proposals that would eliminate our ability to qualify for partnership tax treatment.</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modification to the United States federal income tax laws and interpretations thereof may or may not be retroactively applied and could make it more difficult or impossible for us to meet the exception for certain publicly traded partnerships to be treated as partnerships for United States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the IRS contests the federal income tax positions we take, the market for our Common Units may be adversely affected and the costs of any such contest will reduce cash available for distributions to our Unitholders.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requested a ruling from the IRS with respect to our treatment as a partnership for federal income tax purposes.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prices at which they trade. In addition, the costs of any contest between us and the IRS will result in a reduction in our cash available for distribution to our Unitholders and thus will be borne indirectly by our Unitholders.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To the extent possible under the new rules, our general partner may elect to either pay the taxes (including any applicable penalties and interest) directly to the IRS or, if we are eligible, issue an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are required to pay taxes on their share of our income even if they do not receive any cash distributions from 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Unitholders are required to pay any federal income taxes and, in some cases, state and local income taxes on their share of our taxable income whether or not they receive cash distributions from us. Our Unitholders may not receive cash distributions from us equal to their share of our taxable income or even equal to the actual tax liability that results from that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gain or loss on disposition of our Common Units could be more or less than expected.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Unitholder sells their Common Units, the Unitholder will recognize a gain or loss equal to the difference between the amount realized and that Unitholder’s tax basis in those units. Because distributions in excess of a Unitholder’s allocable share of our net taxable income decrease such Unitholder’s tax basis in their Common Units, the amount, if any, of such prior excess distributions with respect to the units a Unitholder sells will, in effect, become taxable income to a Unitholder if such units are sold at a price greater than their tax basis in those units, even if the price such Unitholder receives is less than their original costs. In addition, because the amount realized includes a Unitholder’s share of our nonrecourse liabilities, if a Unitholder sells their Common Units, a Unitholder may incur a tax liability in excess of the amount of cash received from the sale.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the amount realized from a Unitholder’s sale of their Common Units, whether or not representing gain, may be taxed as ordinary income to such Unitholder due to potential recapture items, including depreciation recapture.Thus, a Unitholder may recognize both ordinary income and capital loss from the sale of Common Units if the amount realized on a sale of such units is less than such Unitholder’s adjusted basis in the units. Net capital loss may only offset capital gains and, in the case of individuals, up to $3,000 of ordinary income per year. In the taxable period in which a Unitholder sells their Common Units, such Unitholder may recognize ordinary income from our allocations of income and gain to such Unitholder prior to the sale and from recapture items that generally cannot be offset by any capital loss recognized upon the sale of Common Units.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entities face unique tax issues from owning our units that may result in adverse tax consequences to them.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our units by tax-exempt entities, such as employee benefit plans and individual retirement accounts (known as IRAs) raises issues unique to them. For example, virtually all of our income allocated to organizations that are exempt from United States federal income tax, including IRAs and other retirement plans, will be unrelated business taxable income and will be taxable to them. Tax-exempt entities should consult a tax advisor before investing in our units.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Non-United States Unitholders will be subject to United States taxes and withholding with respect to their income and gain from owning our units.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Non-United States Unitholders are generally taxed and subject to income tax filing requirements by the United States on income effectively connected with a United States trade or business (“effectively connected income”). Income allocated to our Unitholders and any gain from the sale of our units will generally be considered to be “effectively connected” with a United States trade or business. As a result, distributions to a non-United States Unitholder will be subject to withholding at the highest applicable effective tax rate and a non-United States Unitholder who sells or otherwise disposes of a unit will also be subject to United States federal income tax on the gain realized from the sale or disposition of that unit.</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the transferee of an interest in a partnership that is engaged in a United States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further provide that withholding on a transfer of an interest in a publicly traded partnership will not be imposed on a transfer that occurs prior to January 1, 2022, and after that date, if effected through a broker, the obligation to withhold is imposed on the transferor’s broker.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subsidiaries that will be treated as corporations for federal income tax purposes and subject to corporate-level income taxes.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though we (as a partnership for United States federal income tax purposes) are not subject to United States federal income tax, some of our operations are conducted through subsidiaries that are organized as corporations for United States federal income tax purposes. The taxable income, if any, of subsidiaries that are treated as corporations for United States federal income tax purposes, is subject to corporate-level United States federal income taxes, which may reduce the cash available for distribution to us and, in turn, to our Unitholders. If the IRS or other state or local jurisdictions were to successfully assert that these corporations have more tax liability than we anticipate or legislation was enacted that increased the corporate tax rate, the cash available for distribution could be further reduced. The income tax return filings positions taken by these corporate subsidiaries require significant judgment, use of estimates, and the interpretation and application of complex tax laws. Significant judgment is also required in assessing the timing and amounts of deductible and taxable items. Despite our belief that the income tax return positions taken by these subsidiaries are fully supportable, certain positions may be successfully challenged by the IRS, state or local jurisdictions.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treat each purchaser of Common Units as having the same tax benefits without regard to the actual Common Units purchased. The IRS may challenge this treatment, which could result in a Unitholder owing more tax and may adversely affect the value of the Common Units.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we cannot match transferors and transferees of Common Units and because of other reasons, we have adopted certain methods for allocating depreciation, depletion and amortization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tax returns of our Unitholders. Moreover, because we have subsidiaries that are organized as C corporations for federal income tax purposes owns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units in us, a successful IRS challenge could result in this subsidiary having a greater tax liability than we anticipate and, therefore, reduce the cash available for distribution to our partnership and, in turn, to our Unitholders.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generally prorate our items of income, gain, loss and deduction between transferors and transferees of our units each month based upon the ownership of our units on the first business day of each month, instead of on the basis of the date a particular unit is transferred. The IRS may challenge aspects of our proration method, and if successful, we would be required to change the allocation of items of income, gain, loss and deduction among our Unitholders.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business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the proration method we have adopted. If the IRS were to challenge our proration method, we may be required to change the allocation of items of income, gain, loss and deduction among our Unitholders.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 Unitholder whose units are the subject of a securities loan (e.g. a loan to a short seller to cover a short sale of units) may be considered as having disposed of those units. If so, such Unitholder would no longer be treated for tax purposes as a partner with respect to those units during the period of the loan and may recognize gain or loss from the disposition.</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there are no specific rules governing the federal income tax consequences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to the short seller, and the Unitholder and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we issue additional units or engage in certain other transactions, we determine the fair market value of our assets and allocate any unrealized gain or loss attributable to such assets to the capital accounts of our Unitholders and our general partner. Although we may from time to time consult with professional appraisers regarding valuation matters, including the valuation of our assets, we make many of the fair market value estimates of our assets ourselves using a methodology based on the market value of our Common Units as a means to measure the fair market value of our assets. Our methodology may be viewed as understating the value of our assets. In that case, there may be a shift of income, gain, loss and deduction between certain Unitholders and our general partner, which may be unfavorable to such Unitholders. Moreover, under our current valuation methods, subsequent purchasers of our Common Units may have a greater portion of their Internal Revenue Code Section 743(b) adjustment allocated to our tangible assets and a lesser portion allocated to our intangible assets. The IRS may challenge our valuation methods, or our allocation of Section 743(b) adjustment attributable to our tangible and intangible assets, and allocations of income, gain, loss and deduction between our general partner and certain of our Unitholders.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successful IRS challenge to these methods or allocations could adversely affect the amount of taxable income or loss being allocated to our Unitholders. It also could affect the amount of gain on the sale of Common Units by our Unitholders and could have a negative impact on the value of our Common Units or result in audit adjustments to the tax returns of our Unitholders without the benefit of additional deductions.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Unitholders will likely be subject to state and local taxes and income tax return filing requirements in jurisdictions where they do not live as a result of investing in our units.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United States federal income taxes, the Unitholders may be subject to other taxes, including state and local taxes, unincorporated business taxes and estate, inheritance or intangible taxes that are imposed by the various jurisdictions in which we or our subsidiaries conduct business or own property now or in the future, even if they do not live in any of those jurisdictions. Unitholders will likely be required to file state and local income tax returns and pay state and local income taxes in some or all of these various jurisdictions. Further, Unitholders may be subject to penalties for failure to comply with those requirements. It is the responsibility of each Unitholder to file all federal, state and local tax returns.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be subject to limitation on their ability to deduct interest expense incurred by us.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general, our Unitholders are entitled to a deduction for the interest we have paid or accrued on indebtedness properly allocable to our trade or business during our taxable year. However, subject to the exceptions in the Coronavirus Aid, Relief, and Economic Security Act (the “CARES Act”), under the Tax Cuts and Jobs Act, for taxable years beginning after December 31, 2017, our deduction for “business interest” is generally limited to the sum of our business interest income and 30% of our “adjusted taxable income.” For the 2020 taxable year, the CARES Act generally increases the 30% adjusted taxable income limitation to 50%. For the purposes of this limitation, adjusted taxable income is computed without regard to any business interest expense or business interest income, and in the case of taxable years beginning before January 1, 2022, any deduction allowable for depreciation, amortization, or depletion. The interest limitation does not apply to regulated pipeline businesses and, therefore, we believe that our interest expense is fully deductible. If the IRS contests this position or if further guidance is issued contrary to the positions taken, the unitholder’s ability to deduct this interest expense could be limited.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our properties is included in “Item 1. Business.” In addition, we own office buildings for our executive offices in Dallas, Texas and office buildings in Newton Square, Pennsylvania; Houston, Texas and San Antonio, Texas. While we may require additional office space as our business expands, we believe that our existing facilities are adequate to meet our needs for the immediate future, and that additional facilities will be available on commercially reasonable terms as needed.</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we have satisfactory title to or valid rights to use all of our material properties. Although some of our properties are subject to liabilities and leases, liens for taxes not yet due and payable, encumbrances securing payment obligations under non-competition agreements and immaterial encumbrances, easements and restrictions, we do not believe that any such burdens will materially interfere with our continued use of such properties in our business, taken as a whole. In addition, we believe that we have, or are in the process of obtaining, all required material approvals, authorizations, orders, licenses, permits, franchises and consents of, and have obtained or made all required material registrations, qualifications and filings with, the various state and local government and regulatory authorities which relate to ownership of our properties or the operations of our business.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our pipelines, which are described in “Item 1. Business,” are constructed on rights-of-way granted by the apparent record owners of the property. Lands over which pipeline rights-of-way have been obtained may be subject to prior liens that have not been subordinated to the right-of-way grants. We have obtained, where necessary, easement agreements from public authorities and railroad companies to cross over or under, or to lay facilities in or along, watercourses, county roads, municipal streets, railroad properties and state highways, as applicable. In some cases, properties on which our pipelines were built were purchased in fee. We also own and operate multiple natural gas and NGL storage facilities and own or lease other processing, treating and conditioning facilities in connection with our midstream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ETC Sunoco Holdings LLC and Sunoco (R&amp;M), LLC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Sunoco Defendants are defendants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PHMSA issued a Notice of Probable Violation, Proposed Compliance Order, and Proposed Civil Penalty related to certain welding practices and procedures followed during construction of ETO’s Permian Express 2 pipeline system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Texas. PHMSA subsequently issued a Final Order, and the related civil penalty has been paid. Additional penalties could be assessed related to ongoing compliance actions; however, the Partnership does not currently anticipate additional penalties.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late 2016, FERC Enforcement Staff began a non-public investigation of Rover’s removal of the Stoneman House, a potential historic structure, in connection with Rover’s application for permission to construct a new interstate natural gas pipeline and related facilities. 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investigations. Enforcement Staff has provided Rover its non-public preliminary findings regarding those investigations. The company disagrees with those findings and intends to vigorously defend against any potential penalty. Given the stage of the proceedings, and the non-public nature of the investigation, the Partnership is unable at this time to provide an assessment of the potential outcome or range of potential liability, if any.</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On April 22, 2020, the Ohio Supreme Court granted the review. Briefing has concluded and oral arguments were held on January 26, 2021, but no opinion has yet been issued.</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Energy Transfer received an Administrative Compliance Order from the New Mexico Environmental Department on August 28, 2020 to settle the outstanding NOVs at its Jal 3 gas plant. The NOVs covered emission events that occurred January 1, 2017 through August 31, 2018. The Compliance Order includes an assessed civil penalty of $4,023,779.80. The proceedings in this case are stayed until May 17, 2021 to allow the parties to discuss possible settlement of this matter. Negotiations with the NMED are ongoing.</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2019, we received notice from the DOJ on behalf of the EPA that a civil penalty enforcement action was being pursued under the Clean Water Act for an estimated 450 barrel crude oil release from the Mid-Valley Pipeline operated by SPLP and owned by Mid-Valley Pipeline Corporation. The release purportedly occurred in October 2014 on a nature preserve located in Hamilton County, Ohio, near Cincinnati, Ohio. After discovery and notification of the release, SPLP conducted substantial emergency response, remedial work and primary restoration in three phases and the primary restoration has been acknowledged to be complete. Operation and maintenance (O&amp;M) activities will continue for several years. In December of 2019, SPLP reached an agreement in principal with the EPA regarding payment of a civil penalty which will be subject to public comment. The DOJ, on behalf of United States Department of Interior Fish and Wildlife, and the Ohio Attorney General, on behalf of the Ohio EPA, along with technical representatives from those agencies have been discussing natural resource damage assessment claims related to state endangered species and compensatory restoration. The timing and outcome of these matters cannot be reasonably determined at this time; however, we do not expect there to be a material impact to our results of operations, cash flows or financial position.</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Department in which, among other things, the Permit Hold was lifted, the Partnership agreed to pay a $28.6 million civil penalty and fund a $2 million community environmental project, and all related appeals were withdrawn. On November 11, 2020, the PADEP issued an Order, which requires additional approvals and work prior to placing the Revolution Pipeline back in service. The Partnership filed an appeal of this Order with the Environmental Hearing Board on December 8,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4, 2019, the Oklahoma Corporation Commission’s (“OCC”) Transportation Division filed a complaint against SPLP seeking a penalty of up to $1 million related to a May 2018 rupture near Edmond, Oklahoma. The rupture occurred on the Noble to Douglas 8” pipeline in an area of external corrosion and caused the release of approximately fifteen barrels of crude oil. SPLP responded immediately to the release and remediated the surrounding environment and pipeline in cooperation with the OCC. The OCC filed the complaint alleging that SPLP failed to provide adequate cathodic protection to the pipeline causing the failure. SPLP is negotiating a settlement agreement with the OCC for a lesser penalty.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environmental proceedings listed above were decided against us, it would not be material to our financial position, results of operations or cash flows, we are required to report environmental governmental proceedings if we reasonably believe that such proceedings will result in monetary sanctions in excess of $300,000.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other legal proceedings, see Note 11 to our consolidated financial statements included in “Item 8. Financial Statements and Supplementary Data.”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MARKET FOR REGISTRANT’S COMMON UNITS, RELATED UNITHOLDER MATTERS AND ISSUER PURCHASES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Parent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Units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18, 2021, there were approximately 13,375 holders of record of our common units, which number does not separately account for individual participants in securities positions listings. Common units represent limited partner interests in us that entitle the holders to the rights and privileges specified in the Parent Company’s Third Amended and Restated Agreement of Limited Partnership, as amended to date (the “Partnership Agreement”).</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limited partners own an aggregate 99.9% limited partner interest in us. Our General Partner owns an aggregate 0.1% general partner interest in us. Our common units are registered under the Securities Exchange Act of 1934, as amended (the “Exchange Act”), and are listed for trading on the NYSE under the ticker symbol “ET.” Each holder of a common unit is entitled to one vote per unit on all matters presented to the limited partners for a vote. In addition, if at any time any person or group (other than our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our Partnership Agreement. The common units are entitled to distributions of Available Cash as described below under “Cash Distribution Policy.”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Class A Units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October 2018, in connection with merger of ETO with a wholly-owned subsidiary of the Partnership in a unit-for-unit exchange (the “Energy Transfer Merger”), the Partnership issued 647,745,099 Class A units (“ET Class A Units”) representing limited partner interests in the Partnership to the General Partner. The number of ET Class A Units issued allows the General Partner and its affiliates to retain a voting interest in the Partnership that is identical to their voting interest in the Partnership prior to the completion of the Energy Transfer Merger. The ET Class A Units are entitled to vote together with the Partnership’s common units, as a single class, except as required by law. Additionally, ET’s partnership agreement provides that, under certain circumstances, upon the issuance by the Partnership of additional common units or any securities that have voting rights that are pari passu with the Partnership common units, the Partnership will issue to any holder of ET Class A Units additional ET Class A Units such that the holder maintains a voting interest in the Partnership that is identical to its voting interest in the Partnership prior to such issuance of common units. In connection with the SemGroup Transaction, we issued an additional 14,246,973 ET Class A Units in December 2019. The ET Class A Units are not entitled to distributions and otherwise have no economic attributes.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Parent Company will distribute all of its “Available Cash” to its unitholders and its General Partner within 50 days following the end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quarter.</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Definition of Available Cash. </w:t>
      </w:r>
      <w:r>
        <w:rPr>
          <w:rFonts w:ascii="Arial" w:cs="Arial" w:eastAsia="Arial" w:hAnsi="Arial"/>
          <w:sz w:val="16"/>
          <w:szCs w:val="16"/>
          <w:color w:val="auto"/>
        </w:rPr>
        <w:t>Available Cash is defined in the Partnership Agreement and generally means, with respect to any calendar quarter, all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hand at the end of such quarter less the amount of cash reserves that are necessary or appropriate in the reasonable discretion of the General Partner to:</w:t>
      </w:r>
    </w:p>
    <w:p>
      <w:pPr>
        <w:spacing w:after="0" w:line="16"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for the proper conduct of its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comply with applicable law and/or debt instrument or other agreement;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its General Partner in respect of any one or more of the next four quarters.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the securities authorized for issuance under ET’s equity compensation plans, see “Item 12. Security Ownership of Certain Beneficial Owners and Management and Related Unitholder Matters.”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historical financial data should be read in conjunction with “Item 7. Management’s Discussion and Analysis of Financial Condition and Results of Operations” and the historical consolidated financial statements and accompanying notes thereto included elsewhere in this report. The amounts in the table below, except per unit data, are in millions.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to the consolidated financial statements in “Item 8. Financial Statements and Supplementary Data” the Partnership’s consolidated financial statements for all periods presented have been retrospectively adjusted to reflect the change in the accounting policy related to certain barrels of crude oil.</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4540" w:type="dxa"/>
            <w:vAlign w:val="bottom"/>
          </w:tcPr>
          <w:p>
            <w:pPr>
              <w:ind w:left="20"/>
              <w:spacing w:after="0" w:line="176" w:lineRule="exact"/>
              <w:rPr>
                <w:sz w:val="20"/>
                <w:szCs w:val="20"/>
                <w:color w:val="auto"/>
              </w:rPr>
            </w:pPr>
            <w:r>
              <w:rPr>
                <w:rFonts w:ascii="Arial" w:cs="Arial" w:eastAsia="Arial" w:hAnsi="Arial"/>
                <w:sz w:val="18"/>
                <w:szCs w:val="18"/>
                <w:color w:val="auto"/>
                <w:w w:val="97"/>
              </w:rPr>
              <w:t>Basic income (loss) from continuing operations per limited</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partner unit</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Diluted income (loss) from continuing operations per limited</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 unit</w:t>
            </w: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line="176" w:lineRule="exact"/>
              <w:rPr>
                <w:sz w:val="20"/>
                <w:szCs w:val="20"/>
                <w:color w:val="auto"/>
              </w:rPr>
            </w:pPr>
            <w:r>
              <w:rPr>
                <w:rFonts w:ascii="Arial" w:cs="Arial" w:eastAsia="Arial" w:hAnsi="Arial"/>
                <w:sz w:val="18"/>
                <w:szCs w:val="18"/>
                <w:color w:val="auto"/>
                <w:w w:val="96"/>
              </w:rPr>
              <w:t>Basic loss from discontinued operations per limited partner</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unit</w:t>
            </w: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Diluted loss from discontinued operations per limited partner</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w:t>
            </w: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Cash distribution per common unit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Liabilities associated with assets held for sale</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22,594</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LP is a Delaware limited partnership whose common units are publicly traded on the NYSE under the ticker symbol “ET.”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discussion of our historical consolidated financial condition and results of operations should be read in conjunction with our historical consolidated financial statements and accompanying notes thereto included in “Item 8. Financial Statements and Supplementary Data” of this report. This discussion includes forward-looking statements that are subject to risk and uncertainties. Actual results may differ substantially from the statements we make in this section due to a number of factors that are discussed in “Item 1A. Risk Factors” of this report.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requires otherwise, references to “we,” “us,” “our,” the “Partnership” and “ET” mean Energy Transfer LP and its consolidated subsidiaries, which include ETO, ETP GP, ETP LLC, Panhandle, Sunoco LP and Lake Charles LNG. References to the “Parent Company” mean Energy Transfer LP on a stand-alone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Energy Transfer LP directly and indirectly owns equity interests in ETO, Sunoco LP and USAC, all of which are limited partnerships engaged in diversified energy-related services. Sunoco LP and USAC have publicly traded common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control ETO through our ownership of its general partner.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Parent Company’s principal sources of cash flow are derived from its direct and indirect investments in the limited partner and general partner interests in ETO. ETO’s earnings and cash flows are generated by its subsidiaries, including ETO’s investments in Sunoco LP and USAC. The amount of cash that ETO, Sunoco LP and USAC distribute to their respective partners, including the Parent Company, each quarter is based on earnings from their respective business activities and the amount of available cash, as discussed below.</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fully understand the financial condition and results of operations of the Parent Company on a stand-alone basis, we have included discussions of Parent Company matters apart from those of our consolidated group.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primary objective is to increase the level of our distributable cash flow to our Unitholders over time by pursuing a business strategy that is currently focused on growing our subsidiaries’ natural gas and liquids businesses through, among other things, pursuing certain construction and expansion opportunities relating to our subsidiaries’ existing infrastructure and acquiring certain strategic operations and businesses or assets. The actual amounts of cash that we will have available for distribution will primarily depend on the amount of cash our subsidiaries generate from their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117"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other.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2020, the COVID-19 pandemic prompted several states and municipalities in which we operate to take extraordinary and wide-ranging actions to contain and combat the outbreak and spread of the virus, including mandates for many individuals to substantially restrict daily activities and for many businesses to curtail or cease normal operations. To the extent COVID-19 continues or worsens, governments may impose additional similar restrictions. As a provider of critical energy infrastructure, our business has been designated as a “critical infrastructure sector” and our employees as “essential critical infrastructure workers” pursuant to the Department of Homeland Security Guidance on Essential Critical Infrastructure Workforce(s). To date, our field operations have continued uninterrupted, and remote work and other COVID-19 related conditions have not significantly impacted our ability to maintain operations or caused us to incur significant additional expenses; however, we are unable to predict the magnitude or duration of current and potential future COVID-19 mitigation measures. As an essential business providing critical energy infrastructure, the safety of our employees and the continued operation of our assets are our top priorities and we will continue to operate in accordance with federal and state health guidelines and safety protocols. We have implemented several new policies and provided employee training to help maintain the health and safety of our workforce.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Enable Acquisition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17, 2021, the Partnership announced its entry into a definitive merger agreement to acquire Enable. Under the terms of the merger agreement, Enable’s common unitholders will receive 0.8595 of an ET common unit in exchange for each Enable common unit. In addition, each outstanding Enable Series A preferred unit will be exchanged for 0.0265 of an ET Series G preferred unit, and ET will make a $10 million cash payment for Enable’s general partner. The transaction is subject to the approval of Enable’s unitholders and other customary regulatory approvals.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Contribution of SemGroup Assets to ETO</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5, 2019, ET completed the acquisition of SemGroup. During the first and second quarters of 2020, ET contributed former SemGroup assets to ETO through sale and contribution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Series F and Series G Preferred Units Issuance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22, 2020, ETO issued 500,000 of its 6.750% Series F Preferred Units at a price of $1,000 per unit and 1,100,000 of its 7.125% Series G Preferred Units at a price of $1,000 per unit. The net proceeds were used to repay amounts outstanding under ETO’s revolving credit facility and for general partnership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 See “Liquidity and Capital Resources - Recent Financing Transactions” below for more information on the January 2020 Senior Notes Offering.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LNG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30, 2020, Shell announced that it would not proceed with a proposed equity interest in the Lake Charles LNG liquefaction project due to adverse market factors affecting Shell's business following the onset of the COVID-19 pandemic. We intend to continue to develop the project, possibly in conjunction with one or more equity partners, and we plan to evaluate a variety of alternatives to advance the project, including the possibility of reducing the size of the project from three trains (16.45 million tonnes per annum of LNG capacity) to two trains (11.0 million tonnes per annum).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 In light of the existing brownfield infrastructure and the advanced state of the development of the project, we plan to continue to pursue the project on a disciplined, cost effective basis, and ultimately we will determine whether to make a final investment decision to proceed with the project based on market conditions, capital expenditure considerations and our success in securing equity participation by third parties as well as long-term LNG offtake commitments on satisfactory terms.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November 2020 Senior Notes Offering and Repurchase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2020, Sunoco LP completed a private offering of $800 million in aggregate principal amount of 4.500% senior notes due 2029. Sunoco LP used the proceeds to fund the tender offer on its 4.875% $1 billion senior notes due 2023. Approximately 56% of the 2023 senior notes were tendered. On January 15, 2021, Sunoco LP repurchased the remaining outstanding portion of its 2023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Transportation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Rate Regulation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ETO can charge for FERC-regulated transportation services are unknown at this time.</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without application of the FERC’s recent rate making-related policy statements and rulemakings, the FERC or our shippers may challenge the cost-of-service rates we charge. The FERC’s establishment of a just and reasonable rate is based on many components, including ROE and tax-related components, although changes in these components may tend to decrease our cost-of-service rate, other components in the cost-of-service rate calculation may increase and result in a newly calculated cost-of-service rate that is less than, the same as, or greater than the prior cost-of-service rate. Moreover, we receive revenues from our pipelines based on a variety of rate structures, including cost-of-service rates, negotiated rates, discounted rates and market-based rates. Many of our interstate pipelines, such as ETC Tiger Pipeline, LLC,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the Revised Policy Statement, changes to ROE methodology, or other FERC policies, combined with the reduced corporate federal income tax rate established in the Tax Act. The extent of any revenue reduction related to our cost-of-service rates, if any, will depend on a detailed review of all of ETO’s cost-of-service components and the outcomes of any challenges to our rates by the FERC or our shippers.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18, 2018, the FERC issued a final rule establishing procedures to evaluate rates charged by the FERC-jurisdictional gas pipelines in light of the Tax Act and the FERC’s Revised Policy Statement. By order issued January 16, 2019, the FERC initiated a review of Panhandle’s existing rates pursuant to Section 5 of the NGA to determine whether the rates currently charged by Panhandle are just and reasonable and set the matter for hearing. Panhandle filed a cost and revenue study on April 1, 2019 and an NGA Section 4 rate case on August 30, 2019. The Section 4 and Section 5 proceedings were consolidated by order of the Chief Judge on October 1, 2019. A hearing in the combined proceedings commenced on August 25, 2020 and adjourned on September 15, 2020. By order dated January 19, 2021, the Chief Judge has extended the deadline for the initial decision to March 26,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Certification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We are unable to predict what, if any, changes may be proposed as a result of the Pipeline Certification NOI that will affect our natural gas pipeline business or when such proposals, if any, might become effective. Comments in response to the Pipeline Certification NOI were due on or before July 25, 2018. We do not expect that any change in this policy would affect us in a materially different manner than any other natural gas pipeline company operating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Common Carrier Regulation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 In a December 2020 order, FERC determined that during the five-year period commencing July 1, 2021 and ending June 30, 2026, common carriers charging indexed rates will be permitted to adjust their indexed ceilings annually by PPI-FG plus 0.78 percent. Requests for rehearing of the December 2020 order were filed on January 19, 2021, and remain pending before FERC. Accordingly, the FERC’s final determination of the index rate coupled with the anticipated and subsequent appeals of the December 2020 order could adversely impact the final determination of the FERC approved index.</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FERC has also implemented changes related to its treatment of federal income taxes. The change in treatment impacts two rate components. Those components are the allowance for income taxes and the amount for accumulated deferred income taxes. These changes will primarily impact any cost-of-service related filing and our revenues associated with any cost-based service could be adversely affected by future FERC or judicial rulings. However, we believe that these impacts, if any, will be minimal.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Trends and Outlook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 market disruptions involving the COVID-19 pandemic have negatively impacted our earnings and cash flows from operations and may continue to do so. Reduced demand for natural gas, NGLs, refined products and/or crude oil caused by the COVID-19 pandemic and low WTI crude oil prices may result in the continued shut-in of production from U.S. oil and gas wells, which in turn may result in decreased volumes transported on our pipeline systems and decreased overall utilization of our midstream services.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commodity prices, natural gas prices have strengthened in recent months as a reduction in crude oil production has led to decreased supplies of associated natural gas from these wells. Meanwhile, crude oil prices saw a sharp decline as a result of actions by foreign oil-producing nations and a decrease in global demand as result of the COVID-19 pandemic but have subsequently risen and stabilized. We cannot predict the future impacts, or the duration of such impacts, from the COVID-19 pandemic.</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outlook for commodity prices is mixed and could have a varying impact on our business. Reduced demand and increased supply of crude oil has resulted in an increase in worldwide crude oil storage inventories, which is expected to keep crude oil prices depressed for the near term. With respect to natural gas markets, a relatively more moderate decrease in demand, coupled with the previously mentioned decreases in gas production associated with wells drilled to produce crude oil, have more than counterbalanced the reduction in demand. The overall outlook for our midstream services will depend, in part, on the timing and extent of recovery in the commodity markets.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anticipate that current and projected commodity prices and the related impact to activity levels in both the upstream and midstream sectors will impact our business, we cannot predict the ultimate magnitude of that impact and expect it to be varied across our operations, depending on the region, customer, type of service, contract term and other factors.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vast majority of our counterparties are investment grade rated companies, recent market disruptions increased the likelihood that some of our counterparties may be forced to file for bankruptcy protection. However, we believe that the recent increases in commodity prices, along with recent expense-cutting initiatives by many companies, have generally strengthened the credit profile for the majority of our producer counterparties.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Ultimately, the extent to which our business will be impacted by recent market developments depends on the factors described above as well as future developments beyond our control, which are highly uncertain and cannot be predicted. In response to these market events and uncertainties, we reduced 2020 growth capital spending, and we expect to continue to a lower level of growth capital spending going forward. See “Liquidity and Capital Resources” below for additional information on our forecasted capital expenditures. In 2020, we also reduced operating expenses, and we expect that our operating expenses going forward will continue to be lower relative to pre-2020 levels. While current market volatility makes the near-term unpredictable, we believe that overall the long-term demand for our services will continue given the essential nature of the midstream natural gas, NGLs, refined products and crude oil businesses, although we cannot predict any possible changes in such demand with reasonable certainty.</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currently have ample liquidity to fund our business and we do not anticipate any liquidity concerns in the immediate future (see “Liquidity and Capital Resources” below). In addition, while the trading price of ET common units declined significantly during the first nine months of 2020, thereby making equity capital market transactions less attractive in the near term, we continue to have access to the debt capital markets on generally favorable terms. In the event we seek additional equity or debt capital, our blended cost of capital for equity and debt is expected to be modestly higher in the near term; however, we will continue to evaluate growth projects and acquisitions as such opportunities may be identified in the future in light of this higher cost of capital.</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trends and outlook discussed above with respect to the Partnership’s existing business and finances, we also anticipate that the Partnership will continue to increase its focus on the development of alternative energy projects aimed at continuing to reduce its environmental footprint throughout its operations. In February 2021, the Partnership announced the creation of a new group focused on these efforts. The Partnership also recently announced its first-ever dedicated solar power contract, which will reduce the Partnership’s environmental footprint by integrating alternative energy sources when economically beneficial.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Adjusted EBITDA, as reported for each segment in the table below,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to the consolidated financial statements in “Item 8. Financial Statements and Supplementary Data” the Partnership’s consolidated financial statements for all periods presented have been retrospectively adjusted to reflect the change in the accounting policy related to certain barrels of crude oil.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w w:val="97"/>
              </w:rPr>
              <w:t>Year Ended December 31, 2020 Compared to the Year Ended December 31, 2019</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0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Adjusted EBITDA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6700" w:type="dxa"/>
            <w:vAlign w:val="bottom"/>
          </w:tcPr>
          <w:p>
            <w:pPr>
              <w:ind w:left="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00" w:type="dxa"/>
            <w:vAlign w:val="bottom"/>
          </w:tcPr>
          <w:p>
            <w:pPr>
              <w:ind w:left="8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Losses on interest rate derivatives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700" w:type="dxa"/>
            <w:vAlign w:val="bottom"/>
          </w:tcPr>
          <w:p>
            <w:pPr>
              <w:ind w:left="8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700" w:type="dxa"/>
            <w:vAlign w:val="bottom"/>
          </w:tcPr>
          <w:p>
            <w:pPr>
              <w:ind w:left="8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700" w:type="dxa"/>
            <w:vAlign w:val="bottom"/>
          </w:tcPr>
          <w:p>
            <w:pPr>
              <w:ind w:left="8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6700" w:type="dxa"/>
            <w:vAlign w:val="bottom"/>
          </w:tcPr>
          <w:p>
            <w:pPr>
              <w:ind w:left="8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w:t>
      </w:r>
      <w:r>
        <w:rPr>
          <w:rFonts w:ascii="Arial" w:cs="Arial" w:eastAsia="Arial" w:hAnsi="Arial"/>
          <w:sz w:val="17"/>
          <w:szCs w:val="17"/>
          <w:i w:val="1"/>
          <w:iCs w:val="1"/>
          <w:color w:val="auto"/>
        </w:rPr>
        <w:t>consolidated</w:t>
      </w:r>
      <w:r>
        <w:rPr>
          <w:rFonts w:ascii="Arial" w:cs="Arial" w:eastAsia="Arial" w:hAnsi="Arial"/>
          <w:sz w:val="17"/>
          <w:szCs w:val="17"/>
          <w:color w:val="auto"/>
        </w:rPr>
        <w:t>). For the year ended December 31, 2020 compared to the prior year, Adjusted EBITDA decreased 5.5%,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impacts of lower volumes and market prices among several of our core operating segments resulting primarily from COVID-19 related demand reductions. These decreases were partially offset by an increase of $136 million from our NGL and refined products transportation and services segment primarily due to higher throughput volumes, an increase of $68 million from our midstream segment primarily due to the restructuring and assignment of certain gathering and processing contracts, and an increase of $74 million from our investment in Sunoco LP segment primarily due to increased gross profit per gallon sold and a decrease in operating costs. The decrease in Adjusted EBITDA was also offset by a net increase of approximately $569 million from recent acquisitions and assets placed in service.</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expense increased primarily due to additional depreciation from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placed in service and recent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net of interest capitalized, decreased primarily due to the following:</w:t>
      </w:r>
    </w:p>
    <w:p>
      <w:pPr>
        <w:spacing w:after="0" w:line="90" w:lineRule="exact"/>
        <w:rPr>
          <w:sz w:val="20"/>
          <w:szCs w:val="20"/>
          <w:color w:val="auto"/>
        </w:rPr>
      </w:pPr>
    </w:p>
    <w:p>
      <w:pPr>
        <w:ind w:left="340" w:hanging="332"/>
        <w:spacing w:after="0" w:line="246"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interest expenses recognized by the Partnership (excluding Sunoco LP and USAC) decreased by $8 million due to lower borrowing costs on both recently refinanced and floating rate debt, and higher capitalized interest offsetting a higher consolidated debt balance;</w:t>
      </w:r>
    </w:p>
    <w:p>
      <w:pPr>
        <w:spacing w:after="0" w:line="75"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increase of $2 million recognized by USAC was primarily due to a full year of interest expense incurred in the current period on its senior notes 2027 issued in March 2019, partially offset by reduced borrowings and lower weighted average interest rates under its credit agreement; and</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$2 million recognized by Sunoco LP due to a slight increase in average long-term debt.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Impairment Losses</w:t>
      </w:r>
      <w:r>
        <w:rPr>
          <w:rFonts w:ascii="Arial" w:cs="Arial" w:eastAsia="Arial" w:hAnsi="Arial"/>
          <w:sz w:val="17"/>
          <w:szCs w:val="17"/>
          <w:color w:val="auto"/>
        </w:rPr>
        <w:t>. During the year ended December 31, 2020, the Partnership recognized goodwill impairments totaling $2.2 billion and fixed asset</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impairments totaling $58 million, primarily due to decreases in projected future cash flows as a result of overall market demand decline. In addition, USAC recognized a goodwill impairment of $619 million as well as an equipment impairment of $8 million based on changes in market conditions.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the year ended December 31, 2019, the Partnership recognized goodwill impairments totaling $21 million primarily due to changes in assumptions related to projected future revenues and cash flows. Also during the year ended December 31, 2019, Sunoco LP recognized a $47 million write-down on assets held for sale related to its ethanol plant in Fulton, New York, and USAC recognized a $6 million fixed asset impairment related to certain idle compressor assets.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Losses on Interest Rate Derivatives. </w:t>
      </w:r>
      <w:r>
        <w:rPr>
          <w:rFonts w:ascii="Arial" w:cs="Arial" w:eastAsia="Arial" w:hAnsi="Arial"/>
          <w:sz w:val="16"/>
          <w:szCs w:val="16"/>
          <w:color w:val="auto"/>
        </w:rPr>
        <w:t>Our interest rate derivatives are not designated as hedges for accounting purposes; therefore, changes in fair value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earnings each period. Losses on interest rate derivatives decreased by $38 million during the year ended December 31, 2020, compared to the prior year primarily due to a $400 million reduction in notional amount of outstanding forward-starting interest rate derivatives, which was partially offset by lower average interest rates and expenses related to the early termination and settlement of forward-starting interest rate derivatives.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 xml:space="preserve">Unrealized Gains (Losses) on Commodity Risk Management Activities. </w:t>
      </w:r>
      <w:r>
        <w:rPr>
          <w:rFonts w:ascii="Arial" w:cs="Arial" w:eastAsia="Arial" w:hAnsi="Arial"/>
          <w:sz w:val="16"/>
          <w:szCs w:val="16"/>
          <w:color w:val="auto"/>
        </w:rPr>
        <w:t>The unrealized gains and losses on our commodity risk management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changes in fair 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14 to our consolidated financial statements included in “Item 8. Financial Statements and Supplementary Data.”</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fuel prices between periods.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Losses on Extinguishments of Debt. </w:t>
      </w:r>
      <w:r>
        <w:rPr>
          <w:rFonts w:ascii="Arial" w:cs="Arial" w:eastAsia="Arial" w:hAnsi="Arial"/>
          <w:sz w:val="17"/>
          <w:szCs w:val="17"/>
          <w:color w:val="auto"/>
        </w:rPr>
        <w:t>Year ended December 31, 2020 amounts were related to ETO Senior Note redemption in January 2020.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Sunoco LP recognized a $13 million loss on extinguishment of debt related to the repurchase of its outstanding 2023 senior notes in 2020.</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Impairment of Investments in Unconsolidated Affiliate. </w:t>
      </w:r>
      <w:r>
        <w:rPr>
          <w:rFonts w:ascii="Arial" w:cs="Arial" w:eastAsia="Arial" w:hAnsi="Arial"/>
          <w:sz w:val="18"/>
          <w:szCs w:val="18"/>
          <w:color w:val="auto"/>
        </w:rPr>
        <w:t>During the year ended December 31, 2020, the Partnership recorded an impairment to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White Cliffs of $129 million due to a decrease in projected future revenues and cash flows as a result of the overall market demand decline that occurred subsequent to the SemGroup acquisition and related purchase price allocation in December 2019.</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year ended December 31, 2020 compared to the same period in the prior year, income tax expense increased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from the Partnership’s consolidated corporate subsidiaries in 2020 and the impact of a current state tax benefit (net of federal benefit) of $17 million in the prior year, which was primarily due to a change in estimate related to state income taxes in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on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line="230" w:lineRule="exact"/>
              <w:rPr>
                <w:sz w:val="20"/>
                <w:szCs w:val="20"/>
                <w:color w:val="auto"/>
              </w:rPr>
            </w:pPr>
            <w:r>
              <w:rPr>
                <w:rFonts w:ascii="Arial" w:cs="Arial" w:eastAsia="Arial" w:hAnsi="Arial"/>
                <w:sz w:val="26"/>
                <w:szCs w:val="26"/>
                <w:color w:val="auto"/>
                <w:vertAlign w:val="subscript"/>
              </w:rPr>
              <w:t>FEP</w:t>
            </w:r>
            <w:r>
              <w:rPr>
                <w:rFonts w:ascii="Arial" w:cs="Arial" w:eastAsia="Arial" w:hAnsi="Arial"/>
                <w:sz w:val="10"/>
                <w:szCs w:val="10"/>
                <w:color w:val="auto"/>
              </w:rPr>
              <w:t xml:space="preserve"> (1)</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tcPr>
          <w:p>
            <w:pPr>
              <w:ind w:left="520"/>
              <w:spacing w:after="0"/>
              <w:rPr>
                <w:sz w:val="20"/>
                <w:szCs w:val="20"/>
                <w:color w:val="auto"/>
              </w:rPr>
            </w:pPr>
            <w:r>
              <w:rPr>
                <w:rFonts w:ascii="Arial" w:cs="Arial" w:eastAsia="Arial" w:hAnsi="Arial"/>
                <w:sz w:val="18"/>
                <w:szCs w:val="18"/>
                <w:color w:val="auto"/>
              </w:rPr>
              <w:t>Total distributions received from unconsolidated affiliates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27" w:lineRule="auto"/>
        <w:tabs>
          <w:tab w:leader="none" w:pos="328"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equity in earnings (losses) of unconsolidated affiliates includes the impact of non-cash impairments recorded by FEP, which reduced the Partnership’s equity in earnings by $208 million.</w:t>
      </w:r>
    </w:p>
    <w:p>
      <w:pPr>
        <w:spacing w:after="0" w:line="148"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identify the components of Segment Adjusted EBITDA, which is calculated as follows:</w:t>
      </w:r>
    </w:p>
    <w:p>
      <w:pPr>
        <w:spacing w:after="0" w:line="117" w:lineRule="exact"/>
        <w:rPr>
          <w:sz w:val="20"/>
          <w:szCs w:val="20"/>
          <w:color w:val="auto"/>
        </w:rPr>
      </w:pPr>
    </w:p>
    <w:p>
      <w:pPr>
        <w:ind w:left="340" w:right="20" w:hanging="332"/>
        <w:spacing w:after="0" w:line="277"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Segment margin,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w:t>
      </w:r>
      <w:r>
        <w:rPr>
          <w:rFonts w:ascii="Arial" w:cs="Arial" w:eastAsia="Arial" w:hAnsi="Arial"/>
          <w:sz w:val="18"/>
          <w:szCs w:val="18"/>
          <w:color w:val="auto"/>
        </w:rPr>
        <w:t>. These amounts represent the amounts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that are attributable to each segment.</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Unrealized gains or losses on commodity risk management activities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inventory valuation adjustments</w:t>
      </w:r>
      <w:r>
        <w:rPr>
          <w:rFonts w:ascii="Arial" w:cs="Arial" w:eastAsia="Arial" w:hAnsi="Arial"/>
          <w:sz w:val="18"/>
          <w:szCs w:val="18"/>
          <w:color w:val="auto"/>
        </w:rPr>
        <w:t>. These are the unrealized amounts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342" w:lineRule="auto"/>
        <w:tabs>
          <w:tab w:leader="none" w:pos="33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Non-cash compensation expense</w:t>
      </w:r>
      <w:r>
        <w:rPr>
          <w:rFonts w:ascii="Arial" w:cs="Arial" w:eastAsia="Arial" w:hAnsi="Arial"/>
          <w:sz w:val="16"/>
          <w:szCs w:val="16"/>
          <w:color w:val="auto"/>
        </w:rPr>
        <w:t>. These amounts represent the total non-cash compensation recorded in operating expenses and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This expense is not included in Segment Adjusted EBITDA and therefore is added back to calculate the segment measure.</w:t>
      </w:r>
    </w:p>
    <w:p>
      <w:pPr>
        <w:spacing w:after="0" w:line="15"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Adjusted EBITDA related to unconsolidated affiliates</w:t>
      </w:r>
      <w:r>
        <w:rPr>
          <w:rFonts w:ascii="Arial" w:cs="Arial" w:eastAsia="Arial" w:hAnsi="Arial"/>
          <w:sz w:val="17"/>
          <w:szCs w:val="17"/>
          <w:color w:val="auto"/>
        </w:rPr>
        <w:t>. Adjusted EBITDA related to unconsolidated affiliates excludes the same items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business segments, see “Item 1. Business” and Notes 1 and 16 to our consolidated financial statements in “Item 8. Financial Statements and Supplementary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Segment Operating Results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9"/>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transported volumes increased primarily due to increased utilization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Texas pipelines, partially offset by a decrease in volumes as a result of the bankruptcy filing of a transportation customer.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fees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fuel revenues (excluding unrealized gains and losses)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$188 million in realized natural gas sales and other due to lower realized gains from pipeline optimization activity;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$2 million in retained fuel revenues primarily due to lower natural gas prices;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increase of $36 million in realized storage margin primarily due to higher realized gains on financial derivatives used to hedge physical storage gas;</w:t>
      </w:r>
    </w:p>
    <w:p>
      <w:pPr>
        <w:spacing w:after="0" w:line="140"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$13 million in operating expenses primarily due to a $5 million decrease in outside services, a $4 million decrease in employee costs, a $3 million decrease in maintenance project costs and a $2 million decrease in ad valorem taxes;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$3 million in transportation fees primarily due to volume ramp-ups on Red Bluff Express pipeline and new contracts partially offset by the expansion of certain contracts on Regency Intrastate Gas Systems,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 expenses, excluding non-cash compensation,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and accretion 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transported volumes decreased primarily due to lower crude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lower associated gas production and contract expirations on our Tiger Pipeline, as well as multiple weather events and maintenance of third-party facilities impacting our assets along the Gulf Coast.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decreased due to the net impacts of the following:</w:t>
      </w:r>
    </w:p>
    <w:p>
      <w:pPr>
        <w:spacing w:after="0" w:line="62" w:lineRule="exact"/>
        <w:rPr>
          <w:sz w:val="20"/>
          <w:szCs w:val="20"/>
          <w:color w:val="auto"/>
        </w:rPr>
      </w:pPr>
    </w:p>
    <w:p>
      <w:pPr>
        <w:jc w:val="both"/>
        <w:ind w:left="340" w:hanging="332"/>
        <w:spacing w:after="0" w:line="273" w:lineRule="auto"/>
        <w:tabs>
          <w:tab w:leader="none" w:pos="3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decrease of $102 million in revenues primarily due to a decrease of $63 million from a contractual rate adjustment on commitments at our Lake Charles LNG facility effective January 2020, a decrease of $30 million due to additional revenue recognized in 2019 associated with a shipper bankruptcy, a decrease of $28 million due to lower utilization and lower rates on our Panhandle and Trunkline systems, a decrease of $12 million in transportation fees as a result of multiple weather events and maintenance on third-party facilities connected to our systems, and a decrease of $8 million resulting from contract expirations on ETC Tiger. These decreases were partially offset by higher reservation revenue on Transwestern and Rover resulting from higher contracted capacity and higher parking revenue resulting from timing of transactions;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hanging="332"/>
        <w:spacing w:after="0" w:line="259"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decrease of $26 million in Adjusted EBITDA related to unconsolidated affiliates primarily due to lower earnings from our Midcontinent Express Pipeline primarily as a result of lower rates received following the expiration of certain contracts, partially offset by an increase from Citrus primarily due to higher revenues resulting from new contracts, rate increases on existing contracts, the recognition of a contract exit fee and lower operating expenses; partially offset by</w:t>
      </w:r>
    </w:p>
    <w:p>
      <w:pPr>
        <w:spacing w:after="0" w:line="7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decrease of $2 million in operating expense primarily due to $22 million in refunds of ad valorem taxes on Transwestern and lower current year assessments, a $13 million decrease in employee costs and a $9 million decrease in maintenance project costs resulting from cost-cutting initiatives, partially offset by $38 million in bad debt expense associated with a shipper bankruptcy and a $5 million increase related to the valuation of inventory on Panhandle; and</w:t>
      </w:r>
    </w:p>
    <w:p>
      <w:pPr>
        <w:spacing w:after="0" w:line="78"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decrease of $13 million in selling, general and administrative expenses primarily resulting from a $17 million favorable settlement related to excise taxes on Rover and a $5 million decrease in employee costs due to cost-cutting initiatives, partially offset by a $4 million increase in legal and consulting fees related to an ongoing rate case and shipper bankruptcies and a $3 million increase in allocated overhead costs.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gathered volumes decreased primarily in the South Texas and Northeast</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partially offset by the impact of the SemGroup acquisition in the Mid-Continent/Panhandle region and volume growth in the Ark-La-Tex and Permian regions. NGL production increased due to the impact of the SemGroup acquisition in the Mid-Continent/Panhandle region and ethane uplift in the Permian, South Texas and North Texas regions.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processing fee-based revenues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55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Non-fee-based contracts and processing</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3"/>
              </w:rPr>
              <w:t>(81)</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3"/>
              </w:rPr>
              <w:t>(26)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due to the net impacts of the following:</w:t>
      </w:r>
    </w:p>
    <w:p>
      <w:pPr>
        <w:spacing w:after="0" w:line="62" w:lineRule="exact"/>
        <w:rPr>
          <w:sz w:val="20"/>
          <w:szCs w:val="20"/>
          <w:color w:val="auto"/>
        </w:rPr>
      </w:pPr>
    </w:p>
    <w:p>
      <w:pPr>
        <w:jc w:val="both"/>
        <w:ind w:left="340" w:hanging="332"/>
        <w:spacing w:after="0" w:line="259"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$55 million in fee-based margin due to the impact of the SemGroup acquisition in the Mid-Continent/Panhandle region and recognized $103 million related to the restructuring and assignment of certain gathering and processing contracts in the Ark-La-Tex region, which included the recognition of $75 million of deferred revenue received in prior periods. This increase was partially offset by the impact of volume declines in the South Texas region;</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$86 million in operating expenses due to cost-saving initiatives, including a decrease of $39 million in outside services, $25 million in materials, $14 million in employee costs and $8 million in office expenses;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$3 million in selling, general and administrative expenses due to a decrease in allocated overhead costs resulting from overall corporate cost reductions; partially offset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decrease of $70 million in non-fee-based margin due to unfavorable NGL prices of $75 million and favorable natural gas prices of $5 million; and</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decrease of $11 million in non-fee-based margin due to decreased throughput volume, primarily in the South Texas region.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Volumes. </w:t>
      </w:r>
      <w:r>
        <w:rPr>
          <w:rFonts w:ascii="Arial" w:cs="Arial" w:eastAsia="Arial" w:hAnsi="Arial"/>
          <w:sz w:val="17"/>
          <w:szCs w:val="17"/>
          <w:color w:val="auto"/>
        </w:rPr>
        <w:t>For the year ended December 31, 2020 compared to the prior year, NGL transportation volumes increased due to higher throughput volumes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Mariner East pipeline system. In addition, throughput barrels on our Texas NGL pipeline system increased due to higher receipt of liquids production from both wholly-owned and third-party gas plants primarily in the Permian and North Texas regions, as well as higher export volumes feeding into our Nederland Terminal resulting from the initiation of service on our propane export pipeline in the fourth quarter of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Refined products transportation volumes decreased for the year ended December 31, 2020 compared to prior year due to the closure of a third-party refinery during the third quarter of 2019, which negatively impacted supply to our refined products transportation system, and less domestic demand for jet fuel and other refined products. These decreases in volumes were partially offset by the initiation of service of our JC Nolan diesel fuel pipeline in the third quarter of 2019.</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NGL and refined products terminal volumes decreased for the year ended December 31, 2020 compared to the prior year primarily due to the closure of a third-party refinery during the third quarter of 2019 and less domestic demand for jet fuel and other refined products. These decreases were partially offset by higher volumes from our Mariner East system, an increase in loaded vessels at our Nederland Terminal, and the initiation of service on our JC Nolan diesel fuel pipeline and natural gasoline export project, both of which commences service in the third quarter of 2019.</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fractionated volumes at our Mont Belvieu, Texas fractionation facility increased for the year ended December 31, 2020 compared to the prior year primarily due to the commissioning of our sixth and seventh fractionators in February 2019 and February 2020,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Fractionators and refinery services margin</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Transportation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1,895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Terminal Services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54"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$179 million in transportation margin primarily due to a $128 million increase from higher throughput volumes on our Mariner East pipeline system, a $53 million increase from higher throughput volumes received from the Permian region, a $17 million increase due to the initiation of service on our JC Nolan diesel fuel pipeline in the third quarter of 2019, a $14 million increase from higher throughput volumes from the Barnett region, a $12 million increase from higher volumes from the South Texas region and a $3 million increase due to higher throughput on our Mariner West pipeline. These increases were partially offset by a $17 million decrease from lower throughput volumes received from the Eagle Ford region, a $16 million decrease due to less demand for jet fuel and other refined products, and a $13 million decrease resulting from the closure of a third-party refinery during the third quarter of 2019;</w:t>
      </w:r>
    </w:p>
    <w:p>
      <w:pPr>
        <w:spacing w:after="0" w:line="86"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$62 million in fractionators and refinery services margin primarily due to a $57 million increase resulting from the commissioning of our sixth and seventh fractionators in February 2019 and February 2020, respectively, and higher NGL volumes from the Permian and Barnett regions feeding our Mont Belvieu fractionation facility, and a $9 million increase in rail and truck volumes feeding our refinery services facility. These increases were partially offset by a $7 million decrease due primarily to an expiration of a third-party blending contract during the second quarter of 2020;</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$27 million in storage margin primarily due to a $16 million increase from throughput fees generated from exported volumes and an $11 million increase from component product storage fees;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$11 million in selling, general and administrative expenses primarily due to lower allocated overhead costs and lower employee costs resulting from cost-cutting initiatives; partially offset by</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$89 million in terminal services margin primarily due to a $90 million decrease resulting from an expiration of a third-party contract at our Nederland Terminal in the second quarter of 2020, a $29 million decrease due to lower third-party and intercompany volumes feeding our Marcus Hook Terminal, a $16 million decrease due to lower expense reimbursements in 2020, and a $14 million decrease due to less domestic demand for jet fuel and other refined products. These decreases were partially offset by a $60 million increase due to higher throughput on our Mariner East system; and</w:t>
      </w:r>
    </w:p>
    <w:p>
      <w:pPr>
        <w:spacing w:after="0" w:line="79"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$56 million in marketing margin primarily due to an $87 million decrease due to lower margin from our butane blending business, a $37 million decrease in gasoline blending and optimization due primarily to unfavorable market conditions primarily attributable to the COVID-19 pandemic. These decreases were partially offset by a $47 million increase due to higher optimization gains from the sale of NGL component products at our Mont Belvieu facility and a $21 million increase in NGL export and rack volumes.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6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Crude terminals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crude transportation volumes were lower on our Texas pipeline system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Bakken pipeline, driven by lower production in these regions due to lower crude oil prices as well as lower refinery utilization caused by COVID-19 demand destruction, partially offset by contributions from assets acquired in 2019. Crude terminal volumes were higher due to contributions from assets acquired in 2019, partially offset by lower Permian and Bakken pipeline volumes, reduced refinery utilization, and reduced export demand at our Nederland Terminal.</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decreased due to the net impacts of the following:</w:t>
      </w:r>
    </w:p>
    <w:p>
      <w:pPr>
        <w:spacing w:after="0" w:line="116" w:lineRule="exact"/>
        <w:rPr>
          <w:sz w:val="20"/>
          <w:szCs w:val="20"/>
          <w:color w:val="auto"/>
        </w:rPr>
      </w:pPr>
    </w:p>
    <w:p>
      <w:pPr>
        <w:jc w:val="both"/>
        <w:ind w:left="340" w:hanging="332"/>
        <w:spacing w:after="0" w:line="271"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decrease of $693 million in segment margin (excluding unrealized gains and losses on commodity risk management activities) primarily due to a $430 million decrease from our Texas crude pipeline system due to lower utilization and lower average tariff rates realized, a $286 million decrease (excluding a net change of $84 million in unrealized gains and losses on commodity risk management activities) from our crude oil acquisition and marketing business primarily due to a significant contraction in spreads in 2020 as compared to 2019 primarily impacting our Permian to Gulf Coast and Bakken to Gulf Coast trading operations, a $224 million decrease due to lower volumes on our Bakken Pipeline due to lower basin production, and a $35 million decrease in throughput at our crude terminals primarily driven by lower Permian and Bakken volumes, reduced refinery utilization from COVID-19 demand destruction, reduced export demand, and hurricanes impacting operations in the third quarter of 2020; partially offset by a $285 million increase related to assets acquired in 2019; and</w:t>
      </w:r>
    </w:p>
    <w:p>
      <w:pPr>
        <w:spacing w:after="0" w:line="70"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$33 million in selling, general and administrative expenses primarily due to legal expenses, higher insurance expenses, and an increase related to assets acquired in 2019; partially offset by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decrease of $44 million in operating expenses primarily due to lower volume-driven pipeline expenses and corporate cost-cutting initiatives, partially offset by increased costs related to assets acquired in 2019;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$29 million in Adjusted EBITDA related to unconsolidated affiliates due to assets acquired in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Arial" w:cs="Arial" w:eastAsia="Arial" w:hAnsi="Arial"/>
                <w:sz w:val="18"/>
                <w:szCs w:val="18"/>
                <w:color w:val="auto"/>
              </w:rPr>
              <w:t>Years Ended December 31,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r>
      <w:tr>
        <w:trPr>
          <w:trHeight w:val="229"/>
        </w:trPr>
        <w:tc>
          <w:tcPr>
            <w:tcW w:w="40" w:type="dxa"/>
            <w:vAlign w:val="bottom"/>
          </w:tcPr>
          <w:p>
            <w:pPr>
              <w:spacing w:after="0"/>
              <w:rPr>
                <w:sz w:val="19"/>
                <w:szCs w:val="19"/>
                <w:color w:val="auto"/>
              </w:rPr>
            </w:pPr>
          </w:p>
        </w:tc>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w:t>
            </w:r>
          </w:p>
        </w:tc>
      </w:tr>
      <w:tr>
        <w:trPr>
          <w:trHeight w:val="223"/>
        </w:trPr>
        <w:tc>
          <w:tcPr>
            <w:tcW w:w="40" w:type="dxa"/>
            <w:vAlign w:val="bottom"/>
          </w:tcPr>
          <w:p>
            <w:pPr>
              <w:spacing w:after="0"/>
              <w:rPr>
                <w:sz w:val="19"/>
                <w:szCs w:val="19"/>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year ended December 31, 2020 compared to the prior year, Segment Adjusted EBITDA related to the Investment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increased due to the net impacts of the following:</w:t>
      </w:r>
    </w:p>
    <w:p>
      <w:pPr>
        <w:spacing w:after="0" w:line="103" w:lineRule="exact"/>
        <w:rPr>
          <w:sz w:val="20"/>
          <w:szCs w:val="20"/>
          <w:color w:val="auto"/>
        </w:rPr>
      </w:pPr>
    </w:p>
    <w:p>
      <w:pPr>
        <w:ind w:left="340" w:hanging="332"/>
        <w:spacing w:after="0" w:line="342" w:lineRule="auto"/>
        <w:tabs>
          <w:tab w:leader="none" w:pos="3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increase in the gross profit on motor fuel sales of $32 million, primarily due to a 18% increase in gross profit per gallon sold and the receipt of a $13 million make-up payment under Sunoco LP’s fuel supply agreement with 7-Eleven, Inc., partially offset by a 13% decrease in gallons sold; and</w:t>
      </w:r>
    </w:p>
    <w:p>
      <w:pPr>
        <w:spacing w:after="0" w:line="15" w:lineRule="exact"/>
        <w:rPr>
          <w:rFonts w:ascii="Arial" w:cs="Arial" w:eastAsia="Arial" w:hAnsi="Arial"/>
          <w:sz w:val="16"/>
          <w:szCs w:val="16"/>
          <w:color w:val="auto"/>
        </w:rPr>
      </w:pPr>
    </w:p>
    <w:p>
      <w:pPr>
        <w:jc w:val="both"/>
        <w:ind w:left="340" w:hanging="332"/>
        <w:spacing w:after="0" w:line="286" w:lineRule="auto"/>
        <w:tabs>
          <w:tab w:leader="none" w:pos="3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decrease in operating expenses and selling, general and administrative expenses, excluding non-cash compensation expense of $54 million, primarily attributable to lower employee costs, maintenance, advertising, credit card fees and utilities, which was partially offset by a $12 million charge for current expected credit losses on Sunoco LP’s accounts receivable in connection with the financial impact from COVID-19; and</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$6 million in Adjusted EBITDA related to unconsolidated affiliates due to Sunoco LP’s investment in the JC Nolan joint venture;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decrease of $18 million in non-motor fuel sales and lease gross profit primarily due to reduced credit card transactions related to the COVID-19 pandemic and rent concessions in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USAC</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6660" w:type="dxa"/>
            <w:vAlign w:val="bottom"/>
          </w:tcPr>
          <w:p>
            <w:pPr>
              <w:spacing w:after="0"/>
              <w:rPr>
                <w:sz w:val="22"/>
                <w:szCs w:val="22"/>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last year, Segment Adjusted EBITDA related to our investment in USAC</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due to the net impacts of the following:</w:t>
      </w:r>
    </w:p>
    <w:p>
      <w:pPr>
        <w:spacing w:after="0" w:line="62" w:lineRule="exact"/>
        <w:rPr>
          <w:sz w:val="20"/>
          <w:szCs w:val="20"/>
          <w:color w:val="auto"/>
        </w:rPr>
      </w:pPr>
    </w:p>
    <w:p>
      <w:pPr>
        <w:ind w:left="340" w:hanging="332"/>
        <w:spacing w:after="0" w:line="258"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decrease of $10 million in operating expenses primarily driven by a decrease in average revenue generating horsepower and reduced headcount; partially offset by</w:t>
      </w:r>
    </w:p>
    <w:p>
      <w:pPr>
        <w:spacing w:after="0" w:line="1" w:lineRule="exact"/>
        <w:rPr>
          <w:rFonts w:ascii="Arial" w:cs="Arial" w:eastAsia="Arial" w:hAnsi="Arial"/>
          <w:sz w:val="18"/>
          <w:szCs w:val="18"/>
          <w:color w:val="auto"/>
        </w:rPr>
      </w:pPr>
    </w:p>
    <w:p>
      <w:pPr>
        <w:ind w:left="340" w:right="20" w:hanging="332"/>
        <w:spacing w:after="0" w:line="237" w:lineRule="auto"/>
        <w:tabs>
          <w:tab w:leader="none" w:pos="301" w:val="left"/>
        </w:tabs>
        <w:numPr>
          <w:ilvl w:val="0"/>
          <w:numId w:val="82"/>
        </w:numPr>
        <w:rPr>
          <w:rFonts w:ascii="Arial" w:cs="Arial" w:eastAsia="Arial" w:hAnsi="Arial"/>
          <w:sz w:val="20"/>
          <w:szCs w:val="20"/>
          <w:color w:val="auto"/>
        </w:rPr>
      </w:pPr>
      <w:r>
        <w:rPr>
          <w:rFonts w:ascii="Arial" w:cs="Arial" w:eastAsia="Arial" w:hAnsi="Arial"/>
          <w:sz w:val="18"/>
          <w:szCs w:val="18"/>
          <w:color w:val="auto"/>
        </w:rPr>
        <w:t>a decrease of $22 million in segment margin primarily driven by a decrease in revenues primarily due to a decrease in average revenue generating horsepower as a result of a decline in demand for compression services primarily driven by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decrease in U.S. crude oil and natural gas activities and a reduction of ancillary maintenance work, offset by a decrease in costs of products sold of $9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investment in coal handling facilities.</w:t>
      </w:r>
    </w:p>
    <w:p>
      <w:pPr>
        <w:spacing w:after="0" w:line="171" w:lineRule="exact"/>
        <w:rPr>
          <w:rFonts w:ascii="Arial" w:cs="Arial" w:eastAsia="Arial" w:hAnsi="Arial"/>
          <w:sz w:val="18"/>
          <w:szCs w:val="18"/>
          <w:color w:val="auto"/>
        </w:rPr>
      </w:pPr>
    </w:p>
    <w:p>
      <w:pPr>
        <w:ind w:left="340" w:right="2380" w:hanging="332"/>
        <w:spacing w:after="0" w:line="27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Canadian operations, which were acquired in the SemGroup acquisition in December 2019 and include natural gas gathering and processing assets.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increased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of the following:</w:t>
      </w:r>
    </w:p>
    <w:p>
      <w:pPr>
        <w:spacing w:after="0" w:line="62"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$97 million from the acquisition of Energy Transfer Canada;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$26 million primarily due to insurance proceeds received on settled claims related to our MTBE litigation;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$22 million due to lower coal royalties and producer demand from our natural resources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$35 million due to lower revenue from our compressor equipment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$12 million from adverse market conditions due to COVID-19 related demand destruction;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$28 million due to higher merger and acquisition expenses;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$10 million due to intercompany eliminations;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$6 million due to the elimination of Sunoco LP’s interest in the JC Nolan Joint Venture.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5040"/>
        <w:spacing w:after="0" w:line="470" w:lineRule="auto"/>
        <w:rPr>
          <w:sz w:val="20"/>
          <w:szCs w:val="20"/>
          <w:color w:val="auto"/>
        </w:rPr>
      </w:pPr>
      <w:r>
        <w:rPr>
          <w:rFonts w:ascii="Arial" w:cs="Arial" w:eastAsia="Arial" w:hAnsi="Arial"/>
          <w:sz w:val="18"/>
          <w:szCs w:val="18"/>
          <w:b w:val="1"/>
          <w:bCs w:val="1"/>
          <w:color w:val="auto"/>
        </w:rPr>
        <w:t>Year Ended December 31, 2019 Compared to the Year Ended December 31, 2018 Consolidated Results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discontinued operations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t>
      </w:r>
      <w:r>
        <w:rPr>
          <w:rFonts w:ascii="Arial" w:cs="Arial" w:eastAsia="Arial" w:hAnsi="Arial"/>
          <w:sz w:val="16"/>
          <w:szCs w:val="16"/>
          <w:i w:val="1"/>
          <w:iCs w:val="1"/>
          <w:color w:val="auto"/>
        </w:rPr>
        <w:t>consolidated</w:t>
      </w:r>
      <w:r>
        <w:rPr>
          <w:rFonts w:ascii="Arial" w:cs="Arial" w:eastAsia="Arial" w:hAnsi="Arial"/>
          <w:sz w:val="16"/>
          <w:szCs w:val="16"/>
          <w:color w:val="auto"/>
        </w:rPr>
        <w:t>). For the year ended December 31, 2019 compared to the prior year, Adjusted EBITDA increased approximately $1.58</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or 16%. The increase was primarily due to the impact of multiple revenue-generating assets being placed in service and recent acquisitions, as well as increased demand for services on existing assets. The impact of new assets and acquisitions was approximately $784 million, of which the largest increases were from increased volumes to our Mariner East pipeline and terminal assets due to the addition of pipeline capacity in the fourth quarter of 2018 (a $274 million impact to the NGL and refined products transportation and services segment), the commissioning of our fifth and sixth fractionators (a $131 million impact to the NGL and refined products transportation and services segment), the ramp up of volumes on our Bayou Bridge system due to placing phase II in service in the second quarter of 2019 (a $60 million impact to our crude oil transportation and services segment), the Rover pipeline (a $78 million impact to the interstate transportation and storage segment), the addition of gas processing capacity to our Arrowhead gas plant (a $31 million impact to our midstream segment), placing our Permian Express 4 pipeline in service in October 2019 (a $26 million impact to our crude oil transportation and services segment) and the acquisition of USAC (a net impact of $131 million among the investment in USAC and all other segments). The remainder of the increase in Adjusted EBITDA was primarily due to stronger demand on existing assets, particularly due to increased throughput on our Bakken Pipeline system as well as increased production in the Permian, which impacted multiple segments. Additional discussion of these and other factors affecting Adjusted EBITDA is included in the analysis of Segment Adjusted EBITDA in the “Segment Operating Results” section 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increased primarily due to additional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assets recently placed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net of interest capitalized, increased primarily due to the following:</w:t>
      </w:r>
    </w:p>
    <w:p>
      <w:pPr>
        <w:spacing w:after="0" w:line="117" w:lineRule="exact"/>
        <w:rPr>
          <w:sz w:val="20"/>
          <w:szCs w:val="20"/>
          <w:color w:val="auto"/>
        </w:rPr>
      </w:pPr>
    </w:p>
    <w:p>
      <w:pPr>
        <w:ind w:left="340" w:hanging="332"/>
        <w:spacing w:after="0" w:line="277"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$198 million recognized by the Partnership (excluding Sunoco LP and USAC, which are discussed below) primarily due to increases in ETO’s long-term debt.</w:t>
      </w:r>
    </w:p>
    <w:p>
      <w:pPr>
        <w:spacing w:after="0" w:line="62"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increase of $49 million recognized by USAC primarily attributable to higher overall debt balances and higher interest rates on borrowings under the credit agreement. These increases were partially offset by the decrease in borrowings under the credit agreement;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$29 million recognized by Sunoco LP due to an increase in total long-term 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Impairment Losses. </w:t>
      </w:r>
      <w:r>
        <w:rPr>
          <w:rFonts w:ascii="Arial" w:cs="Arial" w:eastAsia="Arial" w:hAnsi="Arial"/>
          <w:sz w:val="18"/>
          <w:szCs w:val="18"/>
          <w:color w:val="auto"/>
        </w:rPr>
        <w:t>During the year ended December 31, 2019, the Partnership recognized goodwill impairments of $12 million related to the Southwest</w:t>
      </w:r>
      <w:r>
        <w:rPr>
          <w:rFonts w:ascii="Arial" w:cs="Arial" w:eastAsia="Arial" w:hAnsi="Arial"/>
          <w:sz w:val="18"/>
          <w:szCs w:val="18"/>
          <w:i w:val="1"/>
          <w:iCs w:val="1"/>
          <w:color w:val="auto"/>
        </w:rPr>
        <w:t xml:space="preserve"> </w:t>
      </w:r>
      <w:r>
        <w:rPr>
          <w:rFonts w:ascii="Arial" w:cs="Arial" w:eastAsia="Arial" w:hAnsi="Arial"/>
          <w:sz w:val="18"/>
          <w:szCs w:val="18"/>
          <w:color w:val="auto"/>
        </w:rPr>
        <w:t>Gas operations within the interstate transportation and storage segment and $9 million related to our North Central operations within the midstream segment, both of which were primarily due to changes in assumptions related to projected future revenues and cash flows. Also during the year ended December 31, 2019, Sunoco LP recognized a $47 million write-down on assets held for sale related to its ethanol plant in Fulton, New York, and USAC recognized a $6 million fixed asset impairment related to certain idle compressor assets.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the Partnership recognized goodwill impairments of $378 million and asset impairments of $4 million related to our midstream operations and asset impairments of $9 million related to idle leased assets in our crude operations. Sunoco LP recognized a $30 million indefinite-lived intangible asset impairment related to contractual rights. USAC recognized a $9 million fixed asset impairment related to certain idle compressor assets. Additional discussion on these impairments is included in “Critical Accounting Estimates” below.</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Gains (Losses) on Interest Rate Derivatives. </w:t>
      </w:r>
      <w:r>
        <w:rPr>
          <w:rFonts w:ascii="Arial" w:cs="Arial" w:eastAsia="Arial" w:hAnsi="Arial"/>
          <w:sz w:val="18"/>
          <w:szCs w:val="18"/>
          <w:color w:val="auto"/>
        </w:rPr>
        <w:t>Our interest rate derivatives are not designated as hedges for accounting purposes; therefore, changes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are recorded in earnings each period. Losses on interest rate derivatives during the year ended December 31, 2019 resulted from a decrease in forward interest rates and gains in 2018 resulted from an increase in forward interest rates.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Unrealized Gains (Losses) on Commodity Risk Management Activities. </w:t>
      </w:r>
      <w:r>
        <w:rPr>
          <w:rFonts w:ascii="Arial" w:cs="Arial" w:eastAsia="Arial" w:hAnsi="Arial"/>
          <w:sz w:val="17"/>
          <w:szCs w:val="17"/>
          <w:color w:val="auto"/>
        </w:rPr>
        <w:t>The unrealized losses on our commodity risk management activities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fair 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13 to our consolidated financial statements included in “Item 8. Financial Statements and Supplementary Data.”</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fuel prices between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Losses on Extinguishments of Debt. </w:t>
      </w:r>
      <w:r>
        <w:rPr>
          <w:rFonts w:ascii="Arial" w:cs="Arial" w:eastAsia="Arial" w:hAnsi="Arial"/>
          <w:sz w:val="18"/>
          <w:szCs w:val="18"/>
          <w:color w:val="auto"/>
        </w:rPr>
        <w:t>Amounts were related to Sunoco LP’s senior note and term loan redemption in January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Discontinued Operations. </w:t>
      </w:r>
      <w:r>
        <w:rPr>
          <w:rFonts w:ascii="Arial" w:cs="Arial" w:eastAsia="Arial" w:hAnsi="Arial"/>
          <w:sz w:val="18"/>
          <w:szCs w:val="18"/>
          <w:color w:val="auto"/>
        </w:rPr>
        <w:t>Amounts were related to the operations of Sunoco LP’s retail business that were disposed of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year ended December 31, 2019 compared to the prior year, income tax expense increased due to an increase in income at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subsidiaries and the recognition of a favorable state tax rate change in the prior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on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of unconsolidated affiliates: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hanging="332"/>
        <w:spacing w:after="0" w:line="234" w:lineRule="auto"/>
        <w:tabs>
          <w:tab w:leader="none" w:pos="328"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Transportation and Storage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540"/>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transported volumes increased primarily due to the impact of reflecting RIGS</w:t>
      </w:r>
      <w:r>
        <w:rPr>
          <w:rFonts w:ascii="Arial" w:cs="Arial" w:eastAsia="Arial" w:hAnsi="Arial"/>
          <w:sz w:val="18"/>
          <w:szCs w:val="18"/>
          <w:i w:val="1"/>
          <w:iCs w:val="1"/>
          <w:color w:val="auto"/>
        </w:rPr>
        <w:t xml:space="preserve"> </w:t>
      </w:r>
      <w:r>
        <w:rPr>
          <w:rFonts w:ascii="Arial" w:cs="Arial" w:eastAsia="Arial" w:hAnsi="Arial"/>
          <w:sz w:val="18"/>
          <w:szCs w:val="18"/>
          <w:color w:val="auto"/>
        </w:rPr>
        <w:t>as a consolidated subsidiary beginning April 2018 and the impact of the Red Bluff Express pipeline coming online in May 2018, as well as the impact of favorable market pricing spreads.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fees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fuel revenues (excluding unrealized gains and losses)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right="20" w:hanging="332"/>
        <w:spacing w:after="0" w:line="277"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increase of $64 million in transportation fees, excluding the impact of consolidating RIGS beginning April 2018 as discussed below, primarily due to the Red Bluff Express pipeline coming online in May 2018, as well as new contracts;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net increase of $11 million primarily due to the consolidation of RIGS beginning April 2018, resulting in increases in transportation fees, retained fuel revenues and operating expenses of $24 million, $2 million and $6 million, respectively, partially offset by a decrease in Adjusted EBITDA related to unconsolidated affiliates of $9 million; and</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increase of $7 million in realized storage margin primarily due to a realized adjustment to the Bammel storage inventory of $25 million in 2018 and higher storage fees, partially offset by a $20 million decrease due to lower physical withdrawals;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decrease of $9 million in retained fuel revenues primarily due to lower gas prices;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decrease of $5 million in realized natural gas sales and other due to lower realized gains from pipeline optimization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Selling, general and administrative, excluding non-cash compensation, amortization and</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transported volumes increased as a result of the addition of new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for delivery out of the Haynesville Shale, higher volumes on our Rover pipeline as a result of the full year availability of new supply connections, and higher throughput on Trunkline and Panhandle due to increased utilization of higher contracted capacity.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in margin of $231 million from the Rover pipeline due to higher reservation and usage resulting from additional connections and utilization of additional compression;</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$40 million in reservation and usage fees due to improved market conditions allowing us to successfully bring new volumes to the system at improved rates, primarily on our Transwestern, Tiger and Panhandle systems;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$6 million from the Sea Robin pipeline due to higher rates resulting from the rate case filed in June 2019, as well as fewer third-party supply interruptions on the Sea Robin system; partially offset by</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$138 million in operating expense primarily due to an increase in ad valorem taxes of $126 million on the Rover pipeline system resulting from placing the final portions of this asset into service in November 2018, an increase of $24 million in transportation expense on Rover due to an increase in transportation volumes, an increase of $5 million in allocated overhead costs and additional operating expense of $4 million for assets acquired in June 2019, partially offset by lower gas imbalance and system gas activity of $15 million and lower storage capacity leased on the Panhandle system of $8 million;</w:t>
      </w:r>
    </w:p>
    <w:p>
      <w:pPr>
        <w:spacing w:after="0" w:line="79"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$9 million in selling, general and administrative expenses primarily due to an increase in insurance expense of $8 million, an increase in employee cost of $4 million, and an increase in allocated overhead costs of $3 million, partially offset by lower Ohio excise tax on our Rover system;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decrease of $15 million in adjusted EBITDA related to unconsolidated affiliates primarily resulting from a $20 million decrease due to lower earnings from MEP as a result of lower capacity being re-contracted at lower rates on expiring contracts, partially offset by a $5 million increase from our Citrus joint venture as we brought new volumes to the system in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Arial" w:cs="Arial" w:eastAsia="Arial" w:hAnsi="Arial"/>
                <w:sz w:val="18"/>
                <w:szCs w:val="18"/>
                <w:color w:val="auto"/>
              </w:rPr>
              <w:t>Years Ended December 31,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gathered volumes increased primarily due to increases in the Northeast,</w:t>
      </w:r>
      <w:r>
        <w:rPr>
          <w:rFonts w:ascii="Arial" w:cs="Arial" w:eastAsia="Arial" w:hAnsi="Arial"/>
          <w:sz w:val="18"/>
          <w:szCs w:val="18"/>
          <w:i w:val="1"/>
          <w:iCs w:val="1"/>
          <w:color w:val="auto"/>
        </w:rPr>
        <w:t xml:space="preserve"> </w:t>
      </w:r>
      <w:r>
        <w:rPr>
          <w:rFonts w:ascii="Arial" w:cs="Arial" w:eastAsia="Arial" w:hAnsi="Arial"/>
          <w:sz w:val="18"/>
          <w:szCs w:val="18"/>
          <w:color w:val="auto"/>
        </w:rPr>
        <w:t>Permian, Ark-La-Tex, South Texas and North Texas regions. NGL production increased due to increases in the Permian and North Texas regions partially offset by ethane rejection in the South Texas region.</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 For the year ended December 31, 2018,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reported for fee-based and non-fee-based margin have been adjusted to reflect reclassification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certain contractual minimum fees from fee-based margin to non-fee-based margin in order to conform to the current period classification.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processing fee-based revenues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Non-fee-based contracts and processing (excluding unrealized gains and losses)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decreased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decrease of $200 million in non-fee-based margin due to lower NGL prices of $183 million and lower gas prices of $50 million, offset by an increase of $33 million in non-fee-based margin due to increased throughput volume in North Texas and Permian regions;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of $86 million in operating expenses due to increases of $33 million in outside services, $29 million in maintenance project costs, $17 million in employee costs and $6 million in office expenses and materials;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of $9 million in selling, general and administrative expenses primarily due to a decrease of $5 million in capitalized overhead and an increase of $4 million in insurance expense;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 increase of $277 million in fee-based margin due to volume growth in the Northeast, Permian, Ark-La-Tex, North Texas and South Texas regions.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Volumes. </w:t>
      </w:r>
      <w:r>
        <w:rPr>
          <w:rFonts w:ascii="Arial" w:cs="Arial" w:eastAsia="Arial" w:hAnsi="Arial"/>
          <w:sz w:val="17"/>
          <w:szCs w:val="17"/>
          <w:color w:val="auto"/>
        </w:rPr>
        <w:t>For the year ended December 31, 2019 compared to the prior year, throughput barrels on our Texas NGL pipeline system increased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liquids production from both wholly-owned and third-party gas plants primarily in the Permian and North Texas regions. In addition, NGL transportation volumes on our Northeast assets increased due to the initiation of service on the Mariner East 2 pipeline system.</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Refined products transportation volumes decreased for the year ended December 31, 2019 compared to prior year due to the closure of a third-party refinery during the third quarter of 2019, negatively impacting supply to our refined products transportation system. These decreases in volumes are partially offset by the initiation of service on the JC Nolan Pipeline in the third quarter of 2019.</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NGL and refined products terminal volumes increased for the year ended December 31, 2019 compared to the prior year primarily due to the initiation of service on our Mariner East 2 pipeline system which commenced operations in the fourth quarter of 2018.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Average volumes fractionated at our Mont Belvieu, Texas fractionation facility increased for the year ended December 31, 2019 compared to the prior year primarily due to the commissioning of our fifth and sixth fractionators in July 2018 and February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Fractionators and refinery services margin</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Transportation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1,716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Terminal Services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93" w:lineRule="auto"/>
        <w:tabs>
          <w:tab w:leader="none" w:pos="3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increase of $483 million in transportation margin primarily due to a $265 million increase resulting from the initiation of service on our Mariner East 2 pipeline in the fourth quarter of 2018, a $212 million increase resulting from higher throughput volumes received from the Permian region on our Texas NGL pipelines, a $29 million increase due to higher throughput volumes from the Barnett region, a $9 million increase from the Eagle Ford region, and a $9 million increase due to the initiation of service on the JC Nolan Pipeline. These increases were partially offset by a $21 million decrease resulting from Mariner East 1 pipeline downtime, a $13 million decrease due to the closure of a third-party refinery during the third quarter of 2019, negatively impacting refined product supply to our system, and a $5 million decrease due to the timing of deficiency fees on Mariner West;</w:t>
      </w:r>
    </w:p>
    <w:p>
      <w:pPr>
        <w:spacing w:after="0" w:line="56" w:lineRule="exact"/>
        <w:rPr>
          <w:rFonts w:ascii="Arial" w:cs="Arial" w:eastAsia="Arial" w:hAnsi="Arial"/>
          <w:sz w:val="16"/>
          <w:szCs w:val="16"/>
          <w:color w:val="auto"/>
        </w:rPr>
      </w:pPr>
    </w:p>
    <w:p>
      <w:pPr>
        <w:jc w:val="both"/>
        <w:ind w:left="340" w:right="20" w:hanging="332"/>
        <w:spacing w:after="0" w:line="286" w:lineRule="auto"/>
        <w:tabs>
          <w:tab w:leader="none" w:pos="3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increase of $153 million in fractionation and refinery services margin primarily due to a $167 million increase resulting from the commissioning of our fifth and sixth fractionators in July 2018 and February 2019, respectively, and higher NGL volumes from the Permian region feeding our Mont Belvieu fractionation facility. This increase was partially offset by a reclassification between our fractionation and storage margins;</w:t>
      </w:r>
    </w:p>
    <w:p>
      <w:pPr>
        <w:spacing w:after="0" w:line="57" w:lineRule="exact"/>
        <w:rPr>
          <w:rFonts w:ascii="Arial" w:cs="Arial" w:eastAsia="Arial" w:hAnsi="Arial"/>
          <w:sz w:val="17"/>
          <w:szCs w:val="17"/>
          <w:color w:val="auto"/>
        </w:rPr>
      </w:pPr>
    </w:p>
    <w:p>
      <w:pPr>
        <w:jc w:val="both"/>
        <w:ind w:left="340" w:hanging="332"/>
        <w:spacing w:after="0" w:line="255"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$136 million in terminal services margin primarily due to a $171 million increase from the initiation of service of our Mariner East 2 pipeline which commenced operations in the fourth quarter of 2018 and a $7 million increase due to increased tank lease revenue from third-party customers. These increases were partially offset by a $16 million decrease in volumes and expense reimbursements from third parties on Mariner East 1, a $16 million decrease due to lower volumes from third-party pipeline, truck and rail deliveries into our Marcus Hook Terminal, a $5 million decrease due to fewer vessels exported out of our Nederland Terminal, and a $4 million decrease due to the closure of a third-party refinery during the third quarter of 2019; and</w:t>
      </w:r>
    </w:p>
    <w:p>
      <w:pPr>
        <w:spacing w:after="0" w:line="84"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increase of $12 million in storage margin primarily due to a reclassification between our storage and fractionation margins; partially offset by</w:t>
      </w:r>
    </w:p>
    <w:p>
      <w:pPr>
        <w:spacing w:after="0" w:line="12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decrease of $30 million in marketing margin primarily due to capacity lease fees incurred by our marketing affiliate on our Mariner East 2 pipeline, offset by increased gains from our butane blending business due to more favorable market conditions and increased volumes, as well as increased optimization gains from the sale of NGL component products at our Mont Belvieu facility;</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$52 million in operating expenses primarily due to a $26 million increase in employee and ad valorem tax expenses on our terminals, fractionation, and transportation operations, a $14 million increase in utility costs to operate our pipelines and our fifth and sixth fractionators which commenced July 2018 and February 2019, respectively, and an $8 million increase in maintenance project costs due to the timing of multiple projects on our transportation assets; and</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$19 million in general and administrative expenses primarily due to a $10 million increase in allocated overhead costs, a $5 million increase in insurance expenses, a $4 million increase in legal fees, and a $2 million increase in employee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Crude Terminals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62" w:lineRule="exact"/>
        <w:rPr>
          <w:sz w:val="20"/>
          <w:szCs w:val="20"/>
          <w:color w:val="auto"/>
        </w:rPr>
      </w:pPr>
    </w:p>
    <w:p>
      <w:pPr>
        <w:jc w:val="both"/>
        <w:ind w:left="340" w:hanging="332"/>
        <w:spacing w:after="0" w:line="269" w:lineRule="auto"/>
        <w:tabs>
          <w:tab w:leader="none" w:pos="335"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increase of $543 million in segment margin (excluding unrealized gains and losses on commodity risk management activities) primarily due to a $282 million increase resulting from higher throughput on our Texas crude pipeline system primarily due to increased production from the Permian region and contributions from capacity expansion projects placed into service, a $219 million increase in throughput on our Bakken pipeline, a favorable change due to inventory valuation adjustment of $75 million, partially offset by a $90 million reduction due to lower pipeline basis spreads net of hedges. We also realized a $66 million increase from higher volumes on our Bayou Bridge Pipeline, a $31 million increase due to the inclusion of assets acquired in 2019, and a $26 million increase primarily from higher throughput, ship loading and tank rental fees at our Nederland Terminal; partially offset by a $54 million decrease from our Oklahoma assets resulting from lower volumes to the system as well as from the timing of a deficiency payment made in the prior year, a $12 million decrease due to the closure of a third-party refinery which was the primary customer utilizing one of our northeast crude terminals. The remainder of the offsetting decrease was primarily attributable to a change in the presentation of certain intrasegment transactions, which were eliminated in the current period presentation but were shown on a gross basis in revenues and operating expenses in the prior period; partially offset by</w:t>
      </w:r>
    </w:p>
    <w:p>
      <w:pPr>
        <w:spacing w:after="0" w:line="73" w:lineRule="exact"/>
        <w:rPr>
          <w:rFonts w:ascii="Arial" w:cs="Arial" w:eastAsia="Arial" w:hAnsi="Arial"/>
          <w:sz w:val="17"/>
          <w:szCs w:val="17"/>
          <w:color w:val="auto"/>
        </w:rPr>
      </w:pPr>
    </w:p>
    <w:p>
      <w:pPr>
        <w:ind w:left="340" w:hanging="332"/>
        <w:spacing w:after="0" w:line="308" w:lineRule="auto"/>
        <w:tabs>
          <w:tab w:leader="none" w:pos="335"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increase of $23 million in operating expenses primarily due to a $30 million increase in throughput-related costs on existing assets, partially offset by a $14 million decrease in management fees as well as the impact of certain intrasegment transactions discussed above;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decrease of $7 million in Adjusted EBITDA related to unconsolidated affiliates due to lower margin from jet fuel sales by our joint ventures.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discontinued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year ended December 31, 2019 compared to the prior year, Segment Adjusted EBITDA related to the Investment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increased due to the net impacts of the following:</w:t>
      </w:r>
    </w:p>
    <w:p>
      <w:pPr>
        <w:spacing w:after="0" w:line="103" w:lineRule="exact"/>
        <w:rPr>
          <w:sz w:val="20"/>
          <w:szCs w:val="20"/>
          <w:color w:val="auto"/>
        </w:rPr>
      </w:pPr>
    </w:p>
    <w:p>
      <w:pPr>
        <w:ind w:left="340" w:hanging="332"/>
        <w:spacing w:after="0" w:line="277"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decrease in operating costs of $76 million, primarily as a result of the conversion of 207 retail sites to commission agent sites during April 2018. These expenses include other operating expense, general and administrative expense and lease expense;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of $25 million related to Adjusted EBITDA from discontinued operations related to the divestment of 1,030 company-operated fuel sites to 7-Eleven in January 2018;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of $4 million in Adjusted EBITDA related to unconsolidated affiliates due to Sunoco LP’s investment in the JC Nolan joint venture;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decrease in the gross profit on motor fuel sales of $76 million (excluding the change in inventory fair value adjustments and unrealized gains and losses on commodity risk management activities) primarily due to lower fuel margins, a one-time benefit of approximately $25 million related to a cash settlement with a fuel supplier recorded in 2018 and an $8 million one-time charge related to a reserve for an open contractual dispute recorded in 2019, partially offset by an increase in gallons sold.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USAC</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investment in USAC segment reflects the consolidated results of USAC from April 2, 2018, the date ET obtained control of USAC, through December 31, 2019. Changes between periods are due to the consolidation of USAC beginning April 2, 2018.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1,504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during the periods presented above primarily include:</w:t>
      </w:r>
    </w:p>
    <w:p>
      <w:pPr>
        <w:spacing w:after="0" w:line="117"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noncontrolling interest in PES. Prior to PES’s reorganization in August 2018, ETO’s 33% interest in PES was reflected as an unconsolidated affiliate; for the period subsequent to the August 2018 reorganization through 2019, ETO held an approximately 7.4% interest in PES and no longer reflected PES as an affiliate;</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investment in coal handling facilities;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Canadian operations, which were acquired in the SemGroup acquisition in December 2019 and include natural gas gathering and processing assets.</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increased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of the following:</w:t>
      </w:r>
    </w:p>
    <w:p>
      <w:pPr>
        <w:spacing w:after="0" w:line="62"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$8 million in gains from park and loan and storage activity;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$11 million in optimized gains on residue gas sales;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$7 million from settled derivatives;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$15 million from a legal settlement;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$12 million from payments related to the PES bankruptcy;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$6 million from the recognition of deferred revenue related to a bankruptcy;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$3 million from power trading activities;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of $3 million from the Energy Transfer Canada joint venture for the period subsequent to our acquisition of SemGroup on December 5, 2019, net of an increase due to SemGroup related corporate expenses;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decrease of $21 million in merger and acquisition expenses; partially offset by</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decrease of $36 million due to the contribution of CDM to USAC in April 2018, subsequent to which CDM is reflected in the Investment in USAC segment;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decrease of $8 million due to lower gas prices and increased power costs;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decrease of $11 million due to lower revenue from our compressor equipment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Company Only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Energy Transfer Merger in October 2018, substantially all of the Partnership’s cash flows are derived from distributions related to its investment in ETO, whose cash flows are derived from its subsidiaries, including ETO’s investments in Sunoco LP and USAC.</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Parent Company’s primary cash requirements are for general and administrative expenses, debt service requirements and distributions to its partners. The Parent Company currently expects to fund its short-term needs for such items with cash flows from its direct and indirect investments in ETO. The Parent Company distributes its available cash remaining after satisfaction of the aforementioned cash requirements to its Unitholders on a quarterly basis.</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Parent Company expects ETO and its respective subsidiaries and investments in Sunoco LP and USAC to utilize their resources, along with cash from their operations, to fund their announced growth capital expenditures and working capital needs; however, the Parent Company may issue debt or equity securities from time to time as it deems prudent to provide liquidity for new capital projects of its subsidiaries or for other partnership purposes.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ETO’s ability to satisfy its obligations and pay distributions to the Parent Company will depend on its future performance, which will be subject to prevailing economic, financial, business and weather conditions, and other factors, many of which are beyond the control of ETO’s management.</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 currently expects capital expenditures in 2021 to be within the following ranges (excluding capital expenditures related to our investments in Sunoco LP and USAC):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Growth</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Maintenance</w:t>
            </w:r>
          </w:p>
        </w:tc>
        <w:tc>
          <w:tcPr>
            <w:tcW w:w="96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High</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Intrastate transportation and storage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Interstate transportation and storage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NGL and refined products transportation and services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transportation and services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(including eliminations)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27" w:lineRule="auto"/>
        <w:tabs>
          <w:tab w:leader="none" w:pos="328"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Includes capital expenditures related to ETO’s proportionate ownership of the Bakken, Rover, and Bayou Bridge pipeline projects and our proportionate ownership of the Orbit Gulf Coast NGL export project.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include these factors in our anticipated growth capital expenditures for each year.</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 generally funds maintenance capital expenditures and distributions with cash flows from operating activities. ETO generally expects to funds growth capital expenditures with proceeds of borrowings under our credit facilities, along with cash from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Sunoco LP expects to invest approximately $120 million in growth capital expenditures and approximately $45 million on maintenance capital expenditures in 2021.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USAC currently plans to spend approximately $22 million in maintenance capital expenditures and currently has budgeted between $30 million and $40 million in expansion capital expenditures in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flows may change in the future due to a number of factors, some of which we cannot control. These include regulatory changes, the price of our products and services, the demand for such products and services, margin requirements resulting from significant changes in commodity prices, operational risks, the successful integration of our acquisitions,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acquisitions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ETO has a significant amount of interstate pipeline construction in progress. Changes in operating assets and liabilities between periods result from factors such as the changes in the value of derivative assets and liabilities, timing of accounts receivable collection, payments on accounts payable, the timing of purchases and sales of inventories, and the timing of advances and deposits received from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operating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2020 was $7.36 billion and income from continuing operations was $140 million. The difference between net income and cash provided by operating activities in 2020 primarily consisted of non-cash items totaling $7.00 billion offset by net changes in operating assets and liabilities of $47 million. The non-cash activity in 2020 consisted primarily of depreciation, depletion and amortization of $3.68 billion, impairment losses of $2.88 billion, non-cash compensation expense of $121 million, equity in earnings of unconsolidated affiliates of $119 million, inventory valuation adjustments of $82 million, losses on extinguishment of debt of $75 million, and deferred income taxes of $210 million. The Partnership also received distributions of $220 million from unconsolidated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2019 was $8.06 billion and income from continuing operations was $4.83 billion. The difference between net income and cash provided by operating activities in 2019 primarily consisted of non-cash items totaling $3.37 billion offset by net changes in operating assets and liabilities of $391 million. The non-cash activity in 2019 consisted primarily of depreciation, depletion and amortization of $3.15 billion, impairment losses of $74 million, non-cash compensation expense of $113 million, equity in earnings of unconsolidated affiliates of $302 million, inventory valuation adjustments of $79 million, losses on extinguishment of debt of $18 million, and deferred income taxes of $217 million. The Partnership also received distributions of $290 million from unconsolidated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2018 was $7.51 billion and income from continuing operations was $3.69 billion. The difference between net income and cash provided by operating activities in 2018 primarily consisted of non-cash items totaling $3.30 billion and net changes in operating assets and liabilities of $234 million. The non-cash activity in 2018 consisted primarily of depreciation, depletion and amortization of $2.86 billion, impairment losses of $431 million, non-cash compensation expense of $105 million, equity in earnings of unconsolidated affiliates of $344 million, inventory valuation adjustments of $85 million, losses on extinguishment of debt of $112 million, and deferred income taxes of $7 million. The Partnership also received distributions of $328 million from unconsolidated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from investing activities primarily consist of cash amounts paid for acquisitions, capital expenditures, cash distributions from our joint ventures, and cash proceeds from sales or contributions of assets or businesses. Changes in capital expenditures between periods primarily result from increases or decreases in our growth capital expenditures to fund our construction and expansion projects.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investing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in 2020 was $4.90 billion. Total capital expenditures (excluding the allowance for equity funds used during construction and net of contributions in aid of construction costs) were $5.06 billion. Additional detail related to our capital expenditures is provided in the table below. We received $19 million of cash proceeds from the sale of assets. The Partnership also received distributions of $187 million from unconsolidated affiliates.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in 2019 was $6.93 billion. Total capital expenditures (excluding the allowance for equity funds used during construction and net of contributions in aid of construction costs) were $5.88 billion. Additional detail related to our capital expenditures is provided in the table below. During 2020, we received $93 million of cash proceeds from the sale of a noncontrolling interest in a subsidiary, paid $787 million in net cash for the SemGroup acquisition, and paid $7 million in cash for all other acquisitions. We received $54 million of cash proceeds from the sale of assets. The Partnership also received distributions of $98 million from unconsolidated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investing activities in 2018 was $7.08 billion. Total capital expenditures (excluding the allowance for equity funds used during construction and net of contributions in aid of construction costs) were $7.30 billion. Additional detail related to our capital expenditures is provided in the table below. We recorded a net increase in cash of $461 million related to the USAC acquisition and paid $429 million in cash from all other acquisitions. We received $87 million of cash proceeds from the sale of assets. The Partnership also received distributions of $69 million from unconsolidated affiliates.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is a summary of the Partnership’s capital expenditures (including only our proportionate share of the Bakken, Rover, and Bayou Bridge pipeline projects, our proportionate share of the Orbit Gulf Coast NGL export project, and net of contributions in aid of construction costs) by period: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color w:val="auto"/>
                <w:w w:val="91"/>
              </w:rPr>
              <w:t>Capital Expenditures Recorded During Period</w:t>
            </w:r>
          </w:p>
        </w:tc>
        <w:tc>
          <w:tcPr>
            <w:tcW w:w="0" w:type="dxa"/>
            <w:vAlign w:val="bottom"/>
          </w:tcPr>
          <w:p>
            <w:pPr>
              <w:spacing w:after="0"/>
              <w:rPr>
                <w:sz w:val="1"/>
                <w:szCs w:val="1"/>
                <w:color w:val="auto"/>
              </w:rPr>
            </w:pPr>
          </w:p>
        </w:tc>
      </w:tr>
      <w:tr>
        <w:trPr>
          <w:trHeight w:val="250"/>
        </w:trPr>
        <w:tc>
          <w:tcPr>
            <w:tcW w:w="6700" w:type="dxa"/>
            <w:vAlign w:val="bottom"/>
            <w:vMerge w:val="restart"/>
          </w:tcPr>
          <w:p>
            <w:pPr>
              <w:jc w:val="center"/>
              <w:ind w:right="3990"/>
              <w:spacing w:after="0"/>
              <w:rPr>
                <w:sz w:val="20"/>
                <w:szCs w:val="20"/>
                <w:color w:val="auto"/>
              </w:rPr>
            </w:pPr>
            <w:r>
              <w:rPr>
                <w:rFonts w:ascii="Arial" w:cs="Arial" w:eastAsia="Arial" w:hAnsi="Arial"/>
                <w:sz w:val="18"/>
                <w:szCs w:val="18"/>
                <w:b w:val="1"/>
                <w:bCs w:val="1"/>
                <w:color w:val="auto"/>
                <w:w w:val="90"/>
              </w:rPr>
              <w:t>Year Ended December 31, 2020:</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Growth</w:t>
            </w: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Maintenance</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Investment in Sunoco LP</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3950"/>
              <w:spacing w:after="0"/>
              <w:rPr>
                <w:sz w:val="20"/>
                <w:szCs w:val="20"/>
                <w:color w:val="auto"/>
              </w:rPr>
            </w:pPr>
            <w:r>
              <w:rPr>
                <w:rFonts w:ascii="Arial" w:cs="Arial" w:eastAsia="Arial" w:hAnsi="Arial"/>
                <w:sz w:val="18"/>
                <w:szCs w:val="18"/>
                <w:color w:val="auto"/>
                <w:w w:val="90"/>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jc w:val="center"/>
              <w:ind w:right="3990"/>
              <w:spacing w:after="0"/>
              <w:rPr>
                <w:sz w:val="20"/>
                <w:szCs w:val="20"/>
                <w:color w:val="auto"/>
              </w:rPr>
            </w:pPr>
            <w:r>
              <w:rPr>
                <w:rFonts w:ascii="Arial" w:cs="Arial" w:eastAsia="Arial" w:hAnsi="Arial"/>
                <w:sz w:val="18"/>
                <w:szCs w:val="18"/>
                <w:b w:val="1"/>
                <w:bCs w:val="1"/>
                <w:color w:val="auto"/>
                <w:w w:val="90"/>
              </w:rPr>
              <w:t>Year Ended December 31, 2019: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6700" w:type="dxa"/>
            <w:vAlign w:val="bottom"/>
          </w:tcPr>
          <w:p>
            <w:pPr>
              <w:jc w:val="center"/>
              <w:ind w:right="4010"/>
              <w:spacing w:after="0" w:line="230" w:lineRule="exact"/>
              <w:rPr>
                <w:sz w:val="20"/>
                <w:szCs w:val="20"/>
                <w:color w:val="auto"/>
              </w:rPr>
            </w:pPr>
            <w:r>
              <w:rPr>
                <w:rFonts w:ascii="Arial" w:cs="Arial" w:eastAsia="Arial" w:hAnsi="Arial"/>
                <w:sz w:val="18"/>
                <w:szCs w:val="18"/>
                <w:color w:val="auto"/>
                <w:w w:val="89"/>
              </w:rPr>
              <w:t xml:space="preserve">Investment in Sunoco LP </w:t>
            </w:r>
            <w:r>
              <w:rPr>
                <w:rFonts w:ascii="Arial" w:cs="Arial" w:eastAsia="Arial" w:hAnsi="Arial"/>
                <w:sz w:val="23"/>
                <w:szCs w:val="23"/>
                <w:color w:val="auto"/>
                <w:w w:val="89"/>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3950"/>
              <w:spacing w:after="0"/>
              <w:rPr>
                <w:sz w:val="20"/>
                <w:szCs w:val="20"/>
                <w:color w:val="auto"/>
              </w:rPr>
            </w:pPr>
            <w:r>
              <w:rPr>
                <w:rFonts w:ascii="Arial" w:cs="Arial" w:eastAsia="Arial" w:hAnsi="Arial"/>
                <w:sz w:val="18"/>
                <w:szCs w:val="18"/>
                <w:color w:val="auto"/>
                <w:w w:val="90"/>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jc w:val="center"/>
              <w:ind w:right="3990"/>
              <w:spacing w:after="0"/>
              <w:rPr>
                <w:sz w:val="20"/>
                <w:szCs w:val="20"/>
                <w:color w:val="auto"/>
              </w:rPr>
            </w:pPr>
            <w:r>
              <w:rPr>
                <w:rFonts w:ascii="Arial" w:cs="Arial" w:eastAsia="Arial" w:hAnsi="Arial"/>
                <w:sz w:val="18"/>
                <w:szCs w:val="18"/>
                <w:b w:val="1"/>
                <w:bCs w:val="1"/>
                <w:color w:val="auto"/>
                <w:w w:val="90"/>
              </w:rPr>
              <w:t>Year Ended December 31, 2018: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6700" w:type="dxa"/>
            <w:vAlign w:val="bottom"/>
          </w:tcPr>
          <w:p>
            <w:pPr>
              <w:jc w:val="center"/>
              <w:ind w:right="4010"/>
              <w:spacing w:after="0" w:line="230" w:lineRule="exact"/>
              <w:rPr>
                <w:sz w:val="20"/>
                <w:szCs w:val="20"/>
                <w:color w:val="auto"/>
              </w:rPr>
            </w:pPr>
            <w:r>
              <w:rPr>
                <w:rFonts w:ascii="Arial" w:cs="Arial" w:eastAsia="Arial" w:hAnsi="Arial"/>
                <w:sz w:val="18"/>
                <w:szCs w:val="18"/>
                <w:color w:val="auto"/>
                <w:w w:val="89"/>
              </w:rPr>
              <w:t xml:space="preserve">Investment in Sunoco LP </w:t>
            </w:r>
            <w:r>
              <w:rPr>
                <w:rFonts w:ascii="Arial" w:cs="Arial" w:eastAsia="Arial" w:hAnsi="Arial"/>
                <w:sz w:val="23"/>
                <w:szCs w:val="23"/>
                <w:color w:val="auto"/>
                <w:w w:val="89"/>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3950"/>
              <w:spacing w:after="0"/>
              <w:rPr>
                <w:sz w:val="20"/>
                <w:szCs w:val="20"/>
                <w:color w:val="auto"/>
              </w:rPr>
            </w:pPr>
            <w:r>
              <w:rPr>
                <w:rFonts w:ascii="Arial" w:cs="Arial" w:eastAsia="Arial" w:hAnsi="Arial"/>
                <w:sz w:val="18"/>
                <w:szCs w:val="18"/>
                <w:color w:val="auto"/>
                <w:w w:val="90"/>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Amounts related to Sunoco LP’s capital expenditures include capital expenditures related to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to partners increased between the periods as a result of increases in the number of common units outstanding or increases in the distribution rate.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financing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was $2.39 billion in 2020. In 2020, our subsidiaries received $1.58 billion in proceeds from the issuance of preferred units. In 2020, we had a consolidated increase in our debt level of $307 million, primarily due to the issuance of subsidiary senior notes. During 2020, we paid distributions of $2.80 billion to our partners, we paid distributions of $1.65 billion to noncontrolling interests, and we paid distributions of $49 million to our redeemable noncontrolling interests. In addition, we received capital contributions of $222 million in cash from noncontrolling interests. During 2020, we incurred debt issuance costs of $59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was $1.25 billion in 2019. Our subsidiaries received $780 million in proceeds from the issuance of preferred units. In 2019, we had a consolidated increase in our debt level of $2.48 billion, primarily due to the issuance of subsidiary notes. During 2019, we paid distributions of $3.05 billion to our partners, we paid distributions of $1.60 billion to noncontrolling interests, and we paid distributions of $53 million to our redeemable noncontrolling interests. In addition, we received capital contributions of $348 million in cash from noncontrolling interests. During 2019, we incurred debt issuance costs of $117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$3.08 billion in 2018. Our subsidiaries received $1.40 billion in proceeds from the issuance of common units, including $58 million from the issuance of ETO Common Units and $1.34 billion from the issuance of other subsidiary common units. In 2018, we had a consolidated increase in our debt level of $53 million, primarily due to the issuance of Parent Company and subsidiary senior notes. During 2018, we paid distributions of $1.68 billion to our partners, we paid distributions of $3.12 billion to noncontrolling interests, and we paid distributions of $24 million to our redeemable noncontrolling interests. In addition, we received capital contributions of $649 million in cash from noncontrolling interests. During 2018, we incurred debt issuance costs of $171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activities related to discontinued operations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discontinued operations was $2.73 billion for the year ended December 31, 2018, which reflected the net impact of cash used in operating activities of $484 million, cash provided by investing activities of $3.21 billion and changes in cash included in current assets held for sale of $11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Description of Indebtedness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0" w:type="dxa"/>
            <w:vAlign w:val="bottom"/>
            <w:gridSpan w:val="2"/>
          </w:tcPr>
          <w:p>
            <w:pPr>
              <w:spacing w:after="0"/>
              <w:rPr>
                <w:sz w:val="20"/>
                <w:szCs w:val="20"/>
                <w:color w:val="auto"/>
              </w:rPr>
            </w:pPr>
            <w:r>
              <w:rPr>
                <w:rFonts w:ascii="Arial" w:cs="Arial" w:eastAsia="Arial" w:hAnsi="Arial"/>
                <w:sz w:val="18"/>
                <w:szCs w:val="18"/>
                <w:color w:val="auto"/>
              </w:rPr>
              <w:t>Our outstanding consolidated indebtedness was as follows: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Parent Company Indebtedness: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78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ET Senior Notes due October 2020</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ET Senior Notes due March 2023</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ET Senior Notes due January 2024</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ET Senior Notes due June 2027</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Subsidiary Indebtedness: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ETO Senior Notes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37,783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36,118</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Transwestern Senior Notes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Panhandle Senior Notes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Bakken Senior Notes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Sunoco LP Senior Notes, Term Loan and lease-related obligations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USAC Senior Notes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HFOTCO Tax-Exempt Notes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ETO $2.00 billion Term Loan facility due October 2022</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ETO $5.00 billion Revolving Credit Facility due December 2023</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Sunoco LP $1.50 billion Revolving Credit Facility due July 2023</w:t>
            </w:r>
          </w:p>
        </w:tc>
        <w:tc>
          <w:tcPr>
            <w:tcW w:w="10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USAC $1.60 billion Revolving Credit Facility due April 2023</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Energy Transfer Canada Revolver due February 2024</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Energy Transfer Canada Revolver Term Loan A due February 2024</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Other long-term debt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premiums, net of discounts and fair value adjustments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debt issuance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51,438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51,054</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less current maturities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51,417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our consolidated indebtedness and that of our subsidiaries are described in more detail below and in Note 6 to our consolidated financial statements, included in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Financing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22, 2020, ETO completed a registered offering (the “January 2020 Senior Notes Offering”) of $1.00 billion aggregate principal amount of ETO’s 2.900% Senior Notes due 2025, $1.50 billion aggregate principal amount of ETO’s 3.750% Senior Notes due 2030, and $2.00 billion aggregate principal amount of ETO’s 5.000% Senior Notes due 2050, (collectively, the “Notes”). The Notes are fully and unconditionally guaranteed by the Partnership’s wholly-owned subsidiary, Sunoco Logistics Partners Operations L.P., on a senior unsecured basis.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November 2020 Senior Notes Offering and Repurchase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2020, Sunoco LP completed a private offering of $800 million in aggregate principal amount of 4.500% senior notes due 2029. Sunoco LP used the proceeds to fund the tender offer on its 4.875% $1 billion senior notes due 2023. Approximately 56% of the 2023 senior notes were tendered. On January 15, 2021, Sunoco LP repurchased the remaining outstanding portion of its 2023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Term Loan and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does not currently have any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Credit Facilities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ETO Credit Facilities (defined as the ETO Term Loan, ETO Five-Year Credit Facility and ETO 364-Day Credit Facility, each of which is described below) are unsecured and initially guaranteed by Sunoco Logistics Operations. Borrowings under the ETO Credit Facilities will bear interest at a eurodollar rate or a base rate, at our option, plus an applicable margin. In addition, we will be required to pay a quarterly commitment fee to each lender equal to the product of the applicable rate and such lender’s applicable percentage of the unused portion of the aggregate commitments under the ETO Credit Facilities.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repay amounts outstanding under the ETO Credit Facilities with proceeds from unit offerings or long-term notes offerings. The timing of borrowings depends on the Partnership’s activities and the cash available to fund those activities. The repayments of amounts outstanding under the ETO Credit Facilities depend on multiple factors, including market conditions and expectations of future working capital needs, and ultimately are a financing decision made by management. Therefore, the balance outstanding under the ETO Credit Facilities may vary significantly between periods. We do not believe that such fluctuations indicate a significant change in our liquidity position, because we expect to continue to be able to repay amounts outstanding under the ETO Credit Facilities with proceeds from unit offerings or long-term note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Term Loan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17, 2019, ETO entered into a term loan credit agreement (the “ETO Term Loan”) providing for a $2.00 billion three-year term loan credit facility. Borrowings under the term loan agreement mature on October 17, 2022 and are available for working capital purposes and for general partnership purposes. The term loan agreement is unsecured and is guaranteed by our subsidiary, Sunoco Logistics Operations.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ETO Term Loan had $2.00 billion outstanding and was fully drawn. The weighted average interest rate on the total amount outstanding as of December 31, 2020 was 1.15%.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Five-Year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ETO’s revolving credit facility (the “ETO Five-Year Credit Facility”) allows for unsecured borrowings up to $5.00 billion and matures on December 1, 2023. The ETO Five-Year Credit Facility contains an accordion feature, under which the total aggregate commitment may be increased up to $6.00 billion under certain conditions.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ETO Five-Year Credit Facility had $3.10 billion outstanding, of which $1.66 billion was commercial paper. The amount available for future borrowings was $1.79 billion after accounting for outstanding letters of credit in the amount of $109 million. The weighted average interest rate on the total amount outstanding as of December 31, 2020 was 1.12%.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364-Day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ETO’s 364-day revolving credit facility (the “ETO 364-Day Facility”) allows for unsecured borrowings up to $1.00 billion and matures on November 26, 2021. As of December 31, 2020, the ETO 364-Day Facility had no outstanding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Sunoco LP Credit Facility had no outstanding borrowings and $8 million in standby letters of credit. The amount available for future borrowings was at December 31, 2020 was $1.5 billion.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USAC had $474 million of outstanding borrowings and no outstanding letters of credit under the credit agreement. As of December 31, 2020, USAC had $1.13 billion of availability under its credit facility. The weighted average interest rate on the total amount outstanding as of December 31, 2020 was 3.27%.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Transfer Canada Credit Facilities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Energy Transfer Canada is party to a credit agreement providing for a C$350 million (US$275 million at the </w:t>
      </w:r>
      <w:r>
        <w:rPr>
          <w:rFonts w:ascii="Arial" w:cs="Arial" w:eastAsia="Arial" w:hAnsi="Arial"/>
          <w:sz w:val="18"/>
          <w:szCs w:val="18"/>
          <w:color w:val="000000"/>
        </w:rPr>
        <w:t>December 31, 2020</w:t>
      </w:r>
      <w:r>
        <w:rPr>
          <w:rFonts w:ascii="Arial" w:cs="Arial" w:eastAsia="Arial" w:hAnsi="Arial"/>
          <w:sz w:val="18"/>
          <w:szCs w:val="18"/>
          <w:color w:val="212529"/>
        </w:rPr>
        <w:t xml:space="preserve"> exchange rate) senior secured term loan facility, a C$525 million (US$412 million at the December 31, 2020 exchange rate) senior secured revolving credit facility, and a C$300 million (US$236 million at the December 31, 2020 exchange rate) senior secured construction loan facility (the “KAPS Facility”). The term loan facility and the revolving credit facility mature on February 25, 2024. The KAPS Facility matures on June 13, 2024. Energy Transfer Canada may incur additional term loans and revolving commitments in an aggregate amount not to exceed C$250 million (US$196 million at the December 31, 2020 exchange rate), subject to receiving commitments for such additional term loans or revolving commitments from either new lenders or increased commitments from existing lenders.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the Parent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Loan Facility and ET Revolving Credit Facility previously contained customary representations, warranties, covenants, and events of default, including a change of control event of default and limitations on incurrence of liens, new lines of business, merger, transactions with affiliates and restrictive agreements. Both facilities have been paid off and terminated.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ETO Credit Facilities (defined as the ETO Term Loan, ETO Five-Year Credit Facility and ETO 364-Day Credit Facility) contain covenants that limit (subject to certain exceptions) the Partnership’s and certain of the Partnership’s subsidiaries’ ability to, among other things:</w:t>
      </w:r>
    </w:p>
    <w:p>
      <w:pPr>
        <w:spacing w:after="0" w:line="38"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Credit Facility ranges from 1.125% to 2.000% and the applicable margin for base rate loans ranges from 0.125% to 1.000%. The applicable rate for commitment fees under the ETO Five-Year Credit Facility ranges from 0.125% to 0.300%. The applicable margin for eurodollar rate loans under the ETO 364-Day Facility ranges from 1.500% to 2.000% and the applicable margin for base rate loans ranges from 0.500% to 1.000%. The applicable rate for commitment fees under the ETO 364-Day Facility ranges from 0.125% to 0.225%.</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5.0 to 1, which can generally be increased to 5.5 to 1 during a Specified Acquisition Period. Our Leverage Ratio was 4.31 to 1 at December 31, 2020, as calculated in accordance with the credit agreements.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17"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5.75 to 1 through the end of the fiscal quarter ending December 31, 2020 and (ii) 5.5 to 1 for the fiscal quarters ending March 31, 2021 and June 30, 2021, (iii) 5.25 to 1 for the fiscal quarters ending September 30, 2021 and December 31, 2021 and (iv) 5.0 to 1 thereafter, subject to a provision for increases to such thresholds, in the case of any fiscal quarter ending September 30, 2021 or thereafter, by 0.50 in connection with certain future acquisitions for the six consecutive month period following the period in which any such acquisition occurs, provided that, in any event, such ratio shall not exceed 5.5 to 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Covenants Related to the HFOTCO Tax Exempt Notes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long-term debt and other contractual obligations as of December 31, 2020:</w:t>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Payments Due by Period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00" w:type="dxa"/>
            <w:vAlign w:val="bottom"/>
            <w:gridSpan w:val="2"/>
            <w:vMerge w:val="restart"/>
          </w:tcPr>
          <w:p>
            <w:pPr>
              <w:ind w:left="940"/>
              <w:spacing w:after="0"/>
              <w:rPr>
                <w:sz w:val="20"/>
                <w:szCs w:val="20"/>
                <w:color w:val="auto"/>
              </w:rPr>
            </w:pPr>
            <w:r>
              <w:rPr>
                <w:rFonts w:ascii="Arial" w:cs="Arial" w:eastAsia="Arial" w:hAnsi="Arial"/>
                <w:sz w:val="18"/>
                <w:szCs w:val="18"/>
                <w:color w:val="auto"/>
              </w:rPr>
              <w:t>Contractual Obligations</w:t>
            </w: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Less Than 1 Year</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1-3 Years</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3-5 Years</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w w:val="97"/>
              </w:rPr>
              <w:t>More Than 5</w:t>
            </w:r>
          </w:p>
        </w:tc>
        <w:tc>
          <w:tcPr>
            <w:tcW w:w="0" w:type="dxa"/>
            <w:vAlign w:val="bottom"/>
          </w:tcPr>
          <w:p>
            <w:pPr>
              <w:spacing w:after="0"/>
              <w:rPr>
                <w:sz w:val="1"/>
                <w:szCs w:val="1"/>
                <w:color w:val="auto"/>
              </w:rPr>
            </w:pPr>
          </w:p>
        </w:tc>
      </w:tr>
      <w:tr>
        <w:trPr>
          <w:trHeight w:val="230"/>
        </w:trPr>
        <w:tc>
          <w:tcPr>
            <w:tcW w:w="37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18,781</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derivatives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Transportation, natural gas storage and</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fractionation contracts</w:t>
            </w: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Service concession arrangement</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8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(5)</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69" w:lineRule="auto"/>
        <w:tabs>
          <w:tab w:leader="none" w:pos="328" w:val="left"/>
        </w:tabs>
        <w:numPr>
          <w:ilvl w:val="0"/>
          <w:numId w:val="100"/>
        </w:numPr>
        <w:rPr>
          <w:rFonts w:ascii="Arial" w:cs="Arial" w:eastAsia="Arial" w:hAnsi="Arial"/>
          <w:sz w:val="21"/>
          <w:szCs w:val="21"/>
          <w:color w:val="auto"/>
          <w:vertAlign w:val="superscript"/>
        </w:rPr>
      </w:pPr>
      <w:r>
        <w:rPr>
          <w:rFonts w:ascii="Arial" w:cs="Arial" w:eastAsia="Arial" w:hAnsi="Arial"/>
          <w:sz w:val="16"/>
          <w:szCs w:val="16"/>
          <w:color w:val="auto"/>
        </w:rPr>
        <w:t>Interest payments on long-term debt are based on the principal amount of debt obligations as of December 31, 2020. With respect to variable rate debt, the interest payments were estimated using the interest rate as of December 31, 2020. To the extent interest rates change, our contractual obligations for interest payments will change. See “Item 7A. Quantitative and Qualitative Disclosures About Market Risk” for further discussion.</w:t>
      </w:r>
    </w:p>
    <w:p>
      <w:pPr>
        <w:spacing w:after="0" w:line="72" w:lineRule="exact"/>
        <w:rPr>
          <w:rFonts w:ascii="Arial" w:cs="Arial" w:eastAsia="Arial" w:hAnsi="Arial"/>
          <w:sz w:val="21"/>
          <w:szCs w:val="21"/>
          <w:color w:val="auto"/>
          <w:vertAlign w:val="superscript"/>
        </w:rPr>
      </w:pPr>
    </w:p>
    <w:p>
      <w:pPr>
        <w:jc w:val="both"/>
        <w:ind w:left="340" w:hanging="332"/>
        <w:spacing w:after="0" w:line="261" w:lineRule="auto"/>
        <w:tabs>
          <w:tab w:leader="none" w:pos="328" w:val="left"/>
        </w:tabs>
        <w:numPr>
          <w:ilvl w:val="0"/>
          <w:numId w:val="100"/>
        </w:numPr>
        <w:rPr>
          <w:rFonts w:ascii="Arial" w:cs="Arial" w:eastAsia="Arial" w:hAnsi="Arial"/>
          <w:sz w:val="22"/>
          <w:szCs w:val="22"/>
          <w:color w:val="auto"/>
          <w:vertAlign w:val="superscript"/>
        </w:rPr>
      </w:pPr>
      <w:r>
        <w:rPr>
          <w:rFonts w:ascii="Arial" w:cs="Arial" w:eastAsia="Arial" w:hAnsi="Arial"/>
          <w:sz w:val="17"/>
          <w:szCs w:val="17"/>
          <w:color w:val="auto"/>
        </w:rPr>
        <w:t>We define a purchase commitment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refined product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December 31, 2020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 fixed price contract payment obligations are based on the contracted fixed price under each commodity contract. Obligations shown in the table represent estimated payment obligations under these contracts for the periods indicated.</w:t>
      </w:r>
    </w:p>
    <w:p>
      <w:pPr>
        <w:spacing w:after="0" w:line="79" w:lineRule="exact"/>
        <w:rPr>
          <w:rFonts w:ascii="Arial" w:cs="Arial" w:eastAsia="Arial" w:hAnsi="Arial"/>
          <w:sz w:val="22"/>
          <w:szCs w:val="22"/>
          <w:color w:val="auto"/>
          <w:vertAlign w:val="superscript"/>
        </w:rPr>
      </w:pPr>
    </w:p>
    <w:p>
      <w:pPr>
        <w:ind w:left="340" w:right="20" w:hanging="332"/>
        <w:spacing w:after="0" w:line="227" w:lineRule="auto"/>
        <w:tabs>
          <w:tab w:leader="none" w:pos="328"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Includes minimum guaranteed payments under service concession arrangements with New Jersey Turnpike Authority and New York Thruway Authority.</w:t>
      </w:r>
    </w:p>
    <w:p>
      <w:pPr>
        <w:spacing w:after="0" w:line="94" w:lineRule="exact"/>
        <w:rPr>
          <w:rFonts w:ascii="Arial" w:cs="Arial" w:eastAsia="Arial" w:hAnsi="Arial"/>
          <w:sz w:val="23"/>
          <w:szCs w:val="23"/>
          <w:color w:val="auto"/>
          <w:vertAlign w:val="superscript"/>
        </w:rPr>
      </w:pPr>
    </w:p>
    <w:p>
      <w:pPr>
        <w:jc w:val="both"/>
        <w:ind w:left="340" w:hanging="332"/>
        <w:spacing w:after="0" w:line="238" w:lineRule="auto"/>
        <w:tabs>
          <w:tab w:leader="none" w:pos="328"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Expected contributions to fund our pension and postretirement benefit plans were included in “Other” above. Environmental liabilities, AROs, unrecognized tax benefits, contingency accruals and deferred revenue, which were included in “Other non-current liabilities” in our consolidated balance sheets, were excluded from the table above as the amounts do not represent contractual obligations or, in some cases, the amount and/or timing of the cash payments is uncertain.</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Excludes non-current deferred tax liabilities of $3.43 billion due to uncertainty of the timing of future cash flows for such liabilities.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the Parent Company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Parent Company Partnership Agreement, the Parent Company will distribute all of its Available Cash, as defined, within 50 days following the end of each fiscal quarter. Available cash generally means, with respect to any quarter, all cash on hand at the end of such quarter less the amount of cash reserves that are necessary or appropriate in the reasonable discretion of the General Partner that is necessary or appropriate to provide for future cash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and paid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ind w:left="1000"/>
              <w:spacing w:after="0"/>
              <w:rPr>
                <w:sz w:val="20"/>
                <w:szCs w:val="20"/>
                <w:color w:val="auto"/>
              </w:rPr>
            </w:pPr>
            <w:r>
              <w:rPr>
                <w:rFonts w:ascii="Arial" w:cs="Arial" w:eastAsia="Arial" w:hAnsi="Arial"/>
                <w:sz w:val="18"/>
                <w:szCs w:val="18"/>
                <w:color w:val="auto"/>
              </w:rPr>
              <w:t>Quarter Ended</w:t>
            </w:r>
          </w:p>
        </w:tc>
        <w:tc>
          <w:tcPr>
            <w:tcW w:w="2700" w:type="dxa"/>
            <w:vAlign w:val="bottom"/>
            <w:gridSpan w:val="2"/>
          </w:tcPr>
          <w:p>
            <w:pPr>
              <w:ind w:left="840"/>
              <w:spacing w:after="0"/>
              <w:rPr>
                <w:sz w:val="20"/>
                <w:szCs w:val="20"/>
                <w:color w:val="auto"/>
              </w:rPr>
            </w:pPr>
            <w:r>
              <w:rPr>
                <w:rFonts w:ascii="Arial" w:cs="Arial" w:eastAsia="Arial" w:hAnsi="Arial"/>
                <w:sz w:val="18"/>
                <w:szCs w:val="18"/>
                <w:color w:val="auto"/>
              </w:rPr>
              <w:t>Record Date</w:t>
            </w:r>
          </w:p>
        </w:tc>
        <w:tc>
          <w:tcPr>
            <w:tcW w:w="274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 2018</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21, 2018</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2018</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 2018</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8,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19, 2018</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2019</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2019</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20, 2019</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2019</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7, 2020</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19, 2020</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2020</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2020</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6, 2020</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19, 2020</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0.1525</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0.1525</w:t>
            </w: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common unitholders elected to participate in a plan pursuant to which those unitholders elected to forego their cash distributions on all or a portion of their common units for a period of up to nine quarters commencing with the distribution for the quarter ended March 31, 2016 and, in lieu of receiving cash distributions on these common units for each such quarter, each said unitholder received ET Series A Convertible Preferred Units (on a one-for-one basis for each common unit as to which the participating unitholder elected be subject to this plan) that entitled them to receive a cash distribution of up to $0.11 per unit. In May 2018, the ET Series A Convertible Preferred Units converted into ET Common Units. See Note 8 to the Partnership’s consolidated financial statements included in “Item 8. Financial Statements and Supplementary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distributions declared and paid with respect to ET Series A Convertible Preferred Unit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140" w:type="dxa"/>
            <w:vAlign w:val="bottom"/>
            <w:gridSpan w:val="2"/>
          </w:tcPr>
          <w:p>
            <w:pPr>
              <w:ind w:left="980"/>
              <w:spacing w:after="0"/>
              <w:rPr>
                <w:sz w:val="20"/>
                <w:szCs w:val="20"/>
                <w:color w:val="auto"/>
              </w:rPr>
            </w:pPr>
            <w:r>
              <w:rPr>
                <w:rFonts w:ascii="Arial" w:cs="Arial" w:eastAsia="Arial" w:hAnsi="Arial"/>
                <w:sz w:val="18"/>
                <w:szCs w:val="18"/>
                <w:color w:val="auto"/>
              </w:rPr>
              <w:t>Quarter Ended</w:t>
            </w:r>
          </w:p>
        </w:tc>
        <w:tc>
          <w:tcPr>
            <w:tcW w:w="2040" w:type="dxa"/>
            <w:vAlign w:val="bottom"/>
          </w:tcPr>
          <w:p>
            <w:pPr>
              <w:ind w:left="840"/>
              <w:spacing w:after="0"/>
              <w:rPr>
                <w:sz w:val="20"/>
                <w:szCs w:val="20"/>
                <w:color w:val="auto"/>
              </w:rPr>
            </w:pPr>
            <w:r>
              <w:rPr>
                <w:rFonts w:ascii="Arial" w:cs="Arial" w:eastAsia="Arial" w:hAnsi="Arial"/>
                <w:sz w:val="18"/>
                <w:szCs w:val="18"/>
                <w:color w:val="auto"/>
              </w:rPr>
              <w:t>Record Date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ind w:left="78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2000" w:type="dxa"/>
            <w:vAlign w:val="bottom"/>
            <w:gridSpan w:val="2"/>
          </w:tcPr>
          <w:p>
            <w:pPr>
              <w:ind w:left="520"/>
              <w:spacing w:after="0"/>
              <w:rPr>
                <w:sz w:val="20"/>
                <w:szCs w:val="20"/>
                <w:color w:val="auto"/>
              </w:rPr>
            </w:pPr>
            <w:r>
              <w:rPr>
                <w:rFonts w:ascii="Arial" w:cs="Arial" w:eastAsia="Arial" w:hAnsi="Arial"/>
                <w:sz w:val="18"/>
                <w:szCs w:val="18"/>
                <w:color w:val="auto"/>
              </w:rPr>
              <w:t>Rate</w:t>
            </w:r>
          </w:p>
        </w:tc>
      </w:tr>
      <w:tr>
        <w:trPr>
          <w:trHeight w:val="223"/>
        </w:trPr>
        <w:tc>
          <w:tcPr>
            <w:tcW w:w="40" w:type="dxa"/>
            <w:vAlign w:val="bottom"/>
          </w:tcPr>
          <w:p>
            <w:pPr>
              <w:spacing w:after="0"/>
              <w:rPr>
                <w:sz w:val="19"/>
                <w:szCs w:val="19"/>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7, 2017</w:t>
            </w: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21, 2017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2040" w:type="dxa"/>
            <w:vAlign w:val="bottom"/>
          </w:tcPr>
          <w:p>
            <w:pPr>
              <w:ind w:left="20"/>
              <w:spacing w:after="0"/>
              <w:rPr>
                <w:sz w:val="20"/>
                <w:szCs w:val="20"/>
                <w:color w:val="auto"/>
              </w:rPr>
            </w:pPr>
            <w:r>
              <w:rPr>
                <w:rFonts w:ascii="Arial" w:cs="Arial" w:eastAsia="Arial" w:hAnsi="Arial"/>
                <w:sz w:val="18"/>
                <w:szCs w:val="18"/>
                <w:color w:val="auto"/>
              </w:rPr>
              <w:t>May 10, 2017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May 19, 2017</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0.1100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21, 2017</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2040" w:type="dxa"/>
            <w:vAlign w:val="bottom"/>
          </w:tcPr>
          <w:p>
            <w:pPr>
              <w:ind w:left="20"/>
              <w:spacing w:after="0"/>
              <w:rPr>
                <w:sz w:val="20"/>
                <w:szCs w:val="20"/>
                <w:color w:val="auto"/>
              </w:rPr>
            </w:pPr>
            <w:r>
              <w:rPr>
                <w:rFonts w:ascii="Arial" w:cs="Arial" w:eastAsia="Arial" w:hAnsi="Arial"/>
                <w:sz w:val="18"/>
                <w:szCs w:val="18"/>
                <w:color w:val="auto"/>
              </w:rPr>
              <w:t>November 7, 2017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November 20, 2017</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0.1100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 2018</w:t>
            </w: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2040" w:type="dxa"/>
            <w:vAlign w:val="bottom"/>
          </w:tcPr>
          <w:p>
            <w:pPr>
              <w:ind w:left="20"/>
              <w:spacing w:after="0"/>
              <w:rPr>
                <w:sz w:val="20"/>
                <w:szCs w:val="20"/>
                <w:color w:val="auto"/>
              </w:rPr>
            </w:pPr>
            <w:r>
              <w:rPr>
                <w:rFonts w:ascii="Arial" w:cs="Arial" w:eastAsia="Arial" w:hAnsi="Arial"/>
                <w:sz w:val="18"/>
                <w:szCs w:val="18"/>
                <w:color w:val="auto"/>
              </w:rPr>
              <w:t>May 7, 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May 21, 2018</w:t>
            </w:r>
          </w:p>
        </w:tc>
        <w:tc>
          <w:tcPr>
            <w:tcW w:w="6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0.1100</w:t>
            </w:r>
          </w:p>
        </w:tc>
        <w:tc>
          <w:tcPr>
            <w:tcW w:w="20" w:type="dxa"/>
            <w:vAlign w:val="bottom"/>
          </w:tcPr>
          <w:p>
            <w:pPr>
              <w:spacing w:after="0"/>
              <w:rPr>
                <w:sz w:val="20"/>
                <w:szCs w:val="20"/>
                <w:color w:val="auto"/>
              </w:rPr>
            </w:pPr>
          </w:p>
        </w:tc>
      </w:tr>
      <w:tr>
        <w:trPr>
          <w:trHeight w:val="863"/>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amounts of distributions declared and paid during the periods presented (all from Available Cash from the Parent Company’s operating surplus and are shown in the period to which they relate)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Limited Partners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 interest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Parent Company distributions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Subsidiaries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subsidiaries are required by their respective partnership agreements to distribute all cash on hand at the end of each quarter, less appropriate reserves determined by the board of directors of their respective general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Distributions on the ETO’s Series A, Series B, Series C, Series D, Series E, Series F and Series G preferred units declared and/or paid by ETO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Period Ended</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Record Date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 Date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 xml:space="preserve">Series A </w:t>
            </w:r>
            <w:r>
              <w:rPr>
                <w:rFonts w:ascii="Arial" w:cs="Arial" w:eastAsia="Arial" w:hAnsi="Arial"/>
                <w:sz w:val="9"/>
                <w:szCs w:val="9"/>
                <w:color w:val="auto"/>
                <w:w w:val="94"/>
              </w:rPr>
              <w:t>(1)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 xml:space="preserve">Series B </w:t>
            </w:r>
            <w:r>
              <w:rPr>
                <w:rFonts w:ascii="Arial" w:cs="Arial" w:eastAsia="Arial" w:hAnsi="Arial"/>
                <w:sz w:val="9"/>
                <w:szCs w:val="9"/>
                <w:color w:val="auto"/>
                <w:w w:val="94"/>
              </w:rPr>
              <w:t>(1)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Series C</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Series D</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Series E</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w w:val="92"/>
              </w:rPr>
              <w:t xml:space="preserve">Series F </w:t>
            </w:r>
            <w:r>
              <w:rPr>
                <w:rFonts w:ascii="Arial" w:cs="Arial" w:eastAsia="Arial" w:hAnsi="Arial"/>
                <w:sz w:val="9"/>
                <w:szCs w:val="9"/>
                <w:color w:val="auto"/>
                <w:w w:val="92"/>
              </w:rPr>
              <w:t>(1)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w w:val="92"/>
              </w:rPr>
              <w:t xml:space="preserve">Series G </w:t>
            </w:r>
            <w:r>
              <w:rPr>
                <w:rFonts w:ascii="Arial" w:cs="Arial" w:eastAsia="Arial" w:hAnsi="Arial"/>
                <w:sz w:val="9"/>
                <w:szCs w:val="9"/>
                <w:color w:val="auto"/>
                <w:w w:val="92"/>
              </w:rPr>
              <w:t>(1)</w:t>
            </w:r>
          </w:p>
        </w:tc>
        <w:tc>
          <w:tcPr>
            <w:tcW w:w="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2018</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15,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0.5634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vertAlign w:val="superscript"/>
              </w:rPr>
              <w:t>*</w:t>
            </w:r>
            <w:r>
              <w:rPr>
                <w:rFonts w:ascii="Arial" w:cs="Arial" w:eastAsia="Arial" w:hAnsi="Arial"/>
                <w:sz w:val="14"/>
                <w:szCs w:val="14"/>
                <w:color w:val="auto"/>
              </w:rPr>
              <w:t xml:space="preserve">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1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w:t>
            </w:r>
          </w:p>
        </w:tc>
        <w:tc>
          <w:tcPr>
            <w:tcW w:w="1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0.5931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jc w:val="right"/>
              <w:ind w:right="101"/>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1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2019</w:t>
            </w:r>
          </w:p>
        </w:tc>
        <w:tc>
          <w:tcPr>
            <w:tcW w:w="1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February 15,</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March 31, 2019</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May 1, 2019</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May 15, 2019</w:t>
            </w: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2019</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2019</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15, 2019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0.5806</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1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w:t>
            </w:r>
          </w:p>
        </w:tc>
        <w:tc>
          <w:tcPr>
            <w:tcW w:w="1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1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3, 2020</w:t>
            </w:r>
          </w:p>
        </w:tc>
        <w:tc>
          <w:tcPr>
            <w:tcW w:w="1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February 18,</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March 31, 2020</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May 1, 2020</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May 15, 2020</w:t>
            </w:r>
          </w:p>
        </w:tc>
        <w:tc>
          <w:tcPr>
            <w:tcW w:w="1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21.19</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22.36 *</w:t>
            </w:r>
          </w:p>
        </w:tc>
        <w:tc>
          <w:tcPr>
            <w:tcW w:w="0" w:type="dxa"/>
            <w:vAlign w:val="bottom"/>
          </w:tcPr>
          <w:p>
            <w:pPr>
              <w:spacing w:after="0"/>
              <w:rPr>
                <w:sz w:val="1"/>
                <w:szCs w:val="1"/>
                <w:color w:val="auto"/>
              </w:rPr>
            </w:pPr>
          </w:p>
        </w:tc>
      </w:tr>
      <w:tr>
        <w:trPr>
          <w:trHeight w:val="192"/>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3, 2020</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17, 2020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1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2,</w:t>
            </w:r>
          </w:p>
        </w:tc>
        <w:tc>
          <w:tcPr>
            <w:tcW w:w="1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33.75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35.625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8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December 31,</w:t>
            </w:r>
          </w:p>
        </w:tc>
        <w:tc>
          <w:tcPr>
            <w:tcW w:w="1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2021</w:t>
            </w:r>
          </w:p>
        </w:tc>
        <w:tc>
          <w:tcPr>
            <w:tcW w:w="12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February 16,</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Represent prorated initial distributions.</w:t>
      </w:r>
    </w:p>
    <w:p>
      <w:pPr>
        <w:spacing w:after="0" w:line="94" w:lineRule="exact"/>
        <w:rPr>
          <w:sz w:val="20"/>
          <w:szCs w:val="20"/>
          <w:color w:val="auto"/>
        </w:rPr>
      </w:pPr>
    </w:p>
    <w:p>
      <w:pPr>
        <w:ind w:left="340" w:hanging="332"/>
        <w:spacing w:after="0" w:line="227" w:lineRule="auto"/>
        <w:tabs>
          <w:tab w:leader="none" w:pos="296"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ETO Series A Preferred Unit, ETO Series B Preferred Unit, ETO Series F Preferred Unit and ETO Series G Preferred Unit distributions are paid on a semi-annual basis.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percentage interests shown for common unitholders and IDR holder for the minimum quarterly distribution are also applicable to quarterly distribution amounts that are less than the minimum quarterly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8"/>
                <w:szCs w:val="18"/>
                <w:color w:val="auto"/>
              </w:rPr>
              <w:t>Marginal Percentage Interest in</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Distributions</w:t>
            </w: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20" w:type="dxa"/>
            <w:vAlign w:val="bottom"/>
            <w:gridSpan w:val="5"/>
            <w:vMerge w:val="restart"/>
          </w:tcPr>
          <w:p>
            <w:pPr>
              <w:jc w:val="center"/>
              <w:ind w:left="290"/>
              <w:spacing w:after="0"/>
              <w:rPr>
                <w:sz w:val="20"/>
                <w:szCs w:val="20"/>
                <w:color w:val="auto"/>
              </w:rPr>
            </w:pPr>
            <w:r>
              <w:rPr>
                <w:rFonts w:ascii="Arial" w:cs="Arial" w:eastAsia="Arial" w:hAnsi="Arial"/>
                <w:sz w:val="18"/>
                <w:szCs w:val="18"/>
                <w:color w:val="auto"/>
                <w:w w:val="93"/>
              </w:rPr>
              <w:t>Total Quarterly Distribution Target Amount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50"/>
              <w:spacing w:after="0" w:line="169" w:lineRule="exact"/>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4"/>
                <w:szCs w:val="14"/>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8"/>
                <w:szCs w:val="18"/>
                <w:color w:val="auto"/>
              </w:rPr>
              <w:t>Holder of IDRs</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620" w:type="dxa"/>
            <w:vAlign w:val="bottom"/>
            <w:tcBorders>
              <w:bottom w:val="single" w:sz="8" w:color="auto"/>
            </w:tcBorders>
            <w:gridSpan w:val="5"/>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2"/>
              </w:rPr>
              <w:t>Unitholders</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w w:val="89"/>
              </w:rPr>
              <w:t>$0.4375</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First Target Distribution</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60" w:type="dxa"/>
            <w:vAlign w:val="bottom"/>
            <w:gridSpan w:val="4"/>
          </w:tcPr>
          <w:p>
            <w:pPr>
              <w:jc w:val="center"/>
              <w:ind w:right="470"/>
              <w:spacing w:after="0"/>
              <w:rPr>
                <w:sz w:val="20"/>
                <w:szCs w:val="20"/>
                <w:color w:val="auto"/>
              </w:rPr>
            </w:pPr>
            <w:r>
              <w:rPr>
                <w:rFonts w:ascii="Arial" w:cs="Arial" w:eastAsia="Arial" w:hAnsi="Arial"/>
                <w:sz w:val="18"/>
                <w:szCs w:val="18"/>
                <w:color w:val="auto"/>
                <w:w w:val="90"/>
              </w:rPr>
              <w:t>$0.4375 to $0.503125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center"/>
              <w:ind w:right="490"/>
              <w:spacing w:after="0"/>
              <w:rPr>
                <w:sz w:val="20"/>
                <w:szCs w:val="20"/>
                <w:color w:val="auto"/>
              </w:rPr>
            </w:pPr>
            <w:r>
              <w:rPr>
                <w:rFonts w:ascii="Arial" w:cs="Arial" w:eastAsia="Arial" w:hAnsi="Arial"/>
                <w:sz w:val="18"/>
                <w:szCs w:val="18"/>
                <w:color w:val="auto"/>
                <w:w w:val="90"/>
              </w:rPr>
              <w:t>$0.503125 to $0.546875</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88"/>
              </w:rPr>
              <w:t>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88"/>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Third Target Distribution</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60" w:type="dxa"/>
            <w:vAlign w:val="bottom"/>
            <w:gridSpan w:val="4"/>
          </w:tcPr>
          <w:p>
            <w:pPr>
              <w:jc w:val="center"/>
              <w:ind w:right="490"/>
              <w:spacing w:after="0"/>
              <w:rPr>
                <w:sz w:val="20"/>
                <w:szCs w:val="20"/>
                <w:color w:val="auto"/>
              </w:rPr>
            </w:pPr>
            <w:r>
              <w:rPr>
                <w:rFonts w:ascii="Arial" w:cs="Arial" w:eastAsia="Arial" w:hAnsi="Arial"/>
                <w:sz w:val="18"/>
                <w:szCs w:val="18"/>
                <w:color w:val="auto"/>
                <w:w w:val="90"/>
              </w:rPr>
              <w:t>$0.546875 to $0.656250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center"/>
              <w:ind w:right="370"/>
              <w:spacing w:after="0"/>
              <w:rPr>
                <w:sz w:val="20"/>
                <w:szCs w:val="20"/>
                <w:color w:val="auto"/>
              </w:rPr>
            </w:pPr>
            <w:r>
              <w:rPr>
                <w:rFonts w:ascii="Arial" w:cs="Arial" w:eastAsia="Arial" w:hAnsi="Arial"/>
                <w:sz w:val="18"/>
                <w:szCs w:val="18"/>
                <w:color w:val="auto"/>
                <w:w w:val="88"/>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center"/>
              <w:ind w:right="490"/>
              <w:spacing w:after="0"/>
              <w:rPr>
                <w:sz w:val="20"/>
                <w:szCs w:val="20"/>
                <w:color w:val="auto"/>
              </w:rPr>
            </w:pPr>
            <w:r>
              <w:rPr>
                <w:rFonts w:ascii="Arial" w:cs="Arial" w:eastAsia="Arial" w:hAnsi="Arial"/>
                <w:sz w:val="18"/>
                <w:szCs w:val="18"/>
                <w:color w:val="auto"/>
                <w:w w:val="90"/>
              </w:rPr>
              <w:t>Above $0.656250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88"/>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740" w:type="dxa"/>
            <w:vAlign w:val="bottom"/>
            <w:gridSpan w:val="8"/>
          </w:tcPr>
          <w:p>
            <w:pPr>
              <w:spacing w:after="0"/>
              <w:rPr>
                <w:sz w:val="20"/>
                <w:szCs w:val="20"/>
                <w:color w:val="auto"/>
              </w:rPr>
            </w:pPr>
            <w:r>
              <w:rPr>
                <w:rFonts w:ascii="Arial" w:cs="Arial" w:eastAsia="Arial" w:hAnsi="Arial"/>
                <w:sz w:val="18"/>
                <w:szCs w:val="18"/>
                <w:color w:val="auto"/>
              </w:rPr>
              <w:t>Distributions on Sunoco LP’s units declared and/or paid by Sunoco LP were as follows: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160" w:type="dxa"/>
            <w:vAlign w:val="bottom"/>
            <w:gridSpan w:val="2"/>
          </w:tcPr>
          <w:p>
            <w:pPr>
              <w:ind w:left="1000"/>
              <w:spacing w:after="0"/>
              <w:rPr>
                <w:sz w:val="20"/>
                <w:szCs w:val="20"/>
                <w:color w:val="auto"/>
              </w:rPr>
            </w:pPr>
            <w:r>
              <w:rPr>
                <w:rFonts w:ascii="Arial" w:cs="Arial" w:eastAsia="Arial" w:hAnsi="Arial"/>
                <w:sz w:val="18"/>
                <w:szCs w:val="18"/>
                <w:color w:val="auto"/>
              </w:rPr>
              <w:t>Quarter Ended</w:t>
            </w:r>
          </w:p>
        </w:tc>
        <w:tc>
          <w:tcPr>
            <w:tcW w:w="1920" w:type="dxa"/>
            <w:vAlign w:val="bottom"/>
            <w:gridSpan w:val="2"/>
          </w:tcPr>
          <w:p>
            <w:pPr>
              <w:ind w:left="840"/>
              <w:spacing w:after="0"/>
              <w:rPr>
                <w:sz w:val="20"/>
                <w:szCs w:val="20"/>
                <w:color w:val="auto"/>
              </w:rPr>
            </w:pPr>
            <w:r>
              <w:rPr>
                <w:rFonts w:ascii="Arial" w:cs="Arial" w:eastAsia="Arial" w:hAnsi="Arial"/>
                <w:sz w:val="18"/>
                <w:szCs w:val="18"/>
                <w:color w:val="auto"/>
              </w:rPr>
              <w:t>Record Date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ind w:left="800"/>
              <w:spacing w:after="0"/>
              <w:rPr>
                <w:sz w:val="20"/>
                <w:szCs w:val="20"/>
                <w:color w:val="auto"/>
              </w:rPr>
            </w:pPr>
            <w:r>
              <w:rPr>
                <w:rFonts w:ascii="Arial" w:cs="Arial" w:eastAsia="Arial" w:hAnsi="Arial"/>
                <w:sz w:val="18"/>
                <w:szCs w:val="18"/>
                <w:color w:val="auto"/>
                <w:w w:val="92"/>
              </w:rPr>
              <w:t>Payment Date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Rate</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May 15, 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14, 2019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May 7, 2020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May 19, 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2020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2020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November 6, 2020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19, 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240" w:type="dxa"/>
            <w:vAlign w:val="bottom"/>
            <w:gridSpan w:val="10"/>
          </w:tcPr>
          <w:p>
            <w:pPr>
              <w:spacing w:after="0"/>
              <w:rPr>
                <w:sz w:val="20"/>
                <w:szCs w:val="20"/>
                <w:color w:val="auto"/>
              </w:rPr>
            </w:pPr>
            <w:r>
              <w:rPr>
                <w:rFonts w:ascii="Arial" w:cs="Arial" w:eastAsia="Arial" w:hAnsi="Arial"/>
                <w:sz w:val="18"/>
                <w:szCs w:val="18"/>
                <w:color w:val="auto"/>
                <w:w w:val="91"/>
              </w:rPr>
              <w:t>The total amount of distributions to the Partnership from Sunoco LP for the periods presented below is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8"/>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Distributions from Sunoco LP</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gridSpan w:val="3"/>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9"/>
              </w:rPr>
              <w:t>2018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 Partner interests</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General Partner interest and IDRs</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Series A Preferred</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ind w:left="360"/>
              <w:spacing w:after="0"/>
              <w:rPr>
                <w:sz w:val="20"/>
                <w:szCs w:val="20"/>
                <w:color w:val="auto"/>
              </w:rPr>
            </w:pPr>
            <w:r>
              <w:rPr>
                <w:rFonts w:ascii="Arial" w:cs="Arial" w:eastAsia="Arial" w:hAnsi="Arial"/>
                <w:sz w:val="18"/>
                <w:szCs w:val="18"/>
                <w:color w:val="auto"/>
              </w:rPr>
              <w:t>Total distributions from Sunoco LP</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gridSpan w:val="3"/>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Energy Transfer Merger and USAC Transactions described in Note 1 and Note 3, respectively, ETO owned approximately 39.7 million USAC common units and 6.4 million USAC Class B units. Subsequent to the conversion of the USAC Class B Units to USAC common units on July 30, 2019, ETO owns approximately 46.1 million USAC common units. As of December 31, 2020, USAC had approximately 97.0 million common units outstanding. USAC currently has a non-economic general partner interest and no outstanding IDRs.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2"/>
          </w:tcPr>
          <w:p>
            <w:pPr>
              <w:ind w:left="1000"/>
              <w:spacing w:after="0"/>
              <w:rPr>
                <w:sz w:val="20"/>
                <w:szCs w:val="20"/>
                <w:color w:val="auto"/>
              </w:rPr>
            </w:pPr>
            <w:r>
              <w:rPr>
                <w:rFonts w:ascii="Arial" w:cs="Arial" w:eastAsia="Arial" w:hAnsi="Arial"/>
                <w:sz w:val="18"/>
                <w:szCs w:val="18"/>
                <w:color w:val="auto"/>
              </w:rPr>
              <w:t>Quarter Ended</w:t>
            </w:r>
          </w:p>
        </w:tc>
        <w:tc>
          <w:tcPr>
            <w:tcW w:w="272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1920" w:type="dxa"/>
            <w:vAlign w:val="bottom"/>
            <w:gridSpan w:val="2"/>
          </w:tcPr>
          <w:p>
            <w:pPr>
              <w:ind w:left="800"/>
              <w:spacing w:after="0"/>
              <w:rPr>
                <w:sz w:val="20"/>
                <w:szCs w:val="20"/>
                <w:color w:val="auto"/>
              </w:rPr>
            </w:pPr>
            <w:r>
              <w:rPr>
                <w:rFonts w:ascii="Arial" w:cs="Arial" w:eastAsia="Arial" w:hAnsi="Arial"/>
                <w:sz w:val="18"/>
                <w:szCs w:val="18"/>
                <w:color w:val="auto"/>
                <w:w w:val="96"/>
              </w:rPr>
              <w:t>Payment Date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Rate</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11, 2018</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July 30, 2018</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August 10, 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9, 2018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January 28, 2019</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February 8, 2019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29, 2019</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10, 2019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July 29, 2019</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August 9, 2019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28, 2019</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8, 2019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January 27, 2020</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February 7, 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27, 2020</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8, 2020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July 31, 2020</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August 10, 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26, 2020</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6, 2020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January 25, 2021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February 5, 2021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240" w:type="dxa"/>
            <w:vAlign w:val="bottom"/>
            <w:gridSpan w:val="8"/>
          </w:tcPr>
          <w:p>
            <w:pPr>
              <w:spacing w:after="0"/>
              <w:rPr>
                <w:sz w:val="20"/>
                <w:szCs w:val="20"/>
                <w:color w:val="auto"/>
              </w:rPr>
            </w:pPr>
            <w:r>
              <w:rPr>
                <w:rFonts w:ascii="Arial" w:cs="Arial" w:eastAsia="Arial" w:hAnsi="Arial"/>
                <w:sz w:val="18"/>
                <w:szCs w:val="18"/>
                <w:color w:val="auto"/>
                <w:w w:val="95"/>
              </w:rPr>
              <w:t>The total amount of distributions to the Partnership from USAC for the periods presented below is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40" w:type="dxa"/>
            <w:vAlign w:val="bottom"/>
            <w:gridSpan w:val="2"/>
            <w:vMerge w:val="restart"/>
          </w:tcPr>
          <w:p>
            <w:pPr>
              <w:ind w:left="20"/>
              <w:spacing w:after="0"/>
              <w:rPr>
                <w:sz w:val="20"/>
                <w:szCs w:val="20"/>
                <w:color w:val="auto"/>
              </w:rPr>
            </w:pPr>
            <w:r>
              <w:rPr>
                <w:rFonts w:ascii="Arial" w:cs="Arial" w:eastAsia="Arial" w:hAnsi="Arial"/>
                <w:sz w:val="18"/>
                <w:szCs w:val="18"/>
                <w:color w:val="auto"/>
              </w:rPr>
              <w:t>Distributions from USAC</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4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 Partner interests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Total distributions from USAC</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selection and application of accounting policies is an important process that has developed as our business activities have evolved and as the accounting rules have developed. Accounting rules generally do not involve a selection among alternatives, but involve an implementation and interpretation of existing rules, and the use of judgment applied to the specific set of circumstances existing in our business. We make every effort to properly comply with all applicable rules, and we believe the proper implementation and consistent application of the accounting rules are critical. Our critical accounting policies are discussed below. For further details on our accounting policies see Note 2 to our consolidated financial statements.</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color w:val="auto"/>
        </w:rPr>
        <w:t>. The preparation of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the accrual for and disclosure of contingent assets and liabilities at the date of the financial statements and the reported amounts of revenues and expenses during the reporting period. The natural gas industry conducts its business by processing actual transactions at the end of the month following the month of delivery. Consequently, the most current month’s financial results for the midstream, NGL and intrastate transportation and storage segments are estimated using volume estimates and market prices. Any differences between estimated results and actual results are recognized in the following month’s financial statements. Management believes that the operating results estimated for the year ended December 31, 2020 represent the actual results in all material respects.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depletion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Impairment of Long-Lived Assets, Goodwill, Intangible Assets and Investments in Unconsolidated Affiliates. </w:t>
      </w:r>
      <w:r>
        <w:rPr>
          <w:rFonts w:ascii="Arial" w:cs="Arial" w:eastAsia="Arial" w:hAnsi="Arial"/>
          <w:sz w:val="18"/>
          <w:szCs w:val="18"/>
          <w:color w:val="auto"/>
        </w:rPr>
        <w:t>Long-lived assets are required to be 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recoverability whenever events or changes in circumstances indicate that the carrying amount of the asset may not be recoverable. Goodwill and intangibles with indefinite lives must be tested for impairment annually or more frequently if events or changes in circumstances indicate that the related asset might be impaired. An impairment of an investment in an unconsolidated affiliate is recognized when circumstances indicate that a decline in the investment value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temporary. An impairment loss should be recognized only if the carrying amount of the asset/goodwill is not recoverable and exceeds its fair value.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test for recoverability when performing a quantitative impairment test, we must make estimates of projected cash flows related to the asset, which include, but are not limited to, assumptions about the use or disposition of the asset, estimated remaining life of the asset, and future expenditures necessary to maintain the asset’s existing service potential. In order to determine fair value, we make certain estimates and assumptions, including, among other things, changes in general economic conditions in regions in which our markets are located, the availability and prices of natural gas, our ability to negotiate favorable sales agreements, the risks that natural gas exploration and production activities will not occur or be successful, our dependence on certain significant customers and producers of natural gas, and competition from other companies, including major energy producers. While we believe we have made reasonable assumptions to calculate the fair value, if future results are not consistent with our estimates, we could be exposed to future impairment losses that could be material to our results of operations.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Partnership determines the fair value of its reporting units using a discounted cash flow method, the guideline company method, or a weighted combination of these methods.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estimates a reasonable control premium, when appropriate, representing the incremental value that accrues to the majority owner from the opportunity to dictate the strategic and operational actions of the business.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key assumption for the measurement of an impairment is management’s estimate of future cash flows and EBITDA. These estimates are based on the annual budget for the upcoming year and forecasted amounts for multiple subsequent years. The annual budget process is typically completed near the annual goodwill impairment testing date, and management uses the most recent information for the annual impairment tests. The forecast is also subjected to a comprehensive update annually in conjunction with the annual budget process and is revised periodically to reflect new information and/or revised expectations. The estimates of future cash flows and EBITDA are subjective in nature and are subject to impacts from the business risks described in “Item 1A. Risk Factors.” Therefore, the actual results could differ significantly from the amounts used for goodwill impairment testing, and significant changes in fair value estimates could occur in a given period. Such changes in fair value estimates could result in additional impairments in future periods; therefore, the actual results could differ significantly from the amounts used for goodwill impairment testing, and significant changes in fair value estimates could occur in a given period, resulting in additional impairments.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change our method of impairment testing, including changing the weight assigned to different valuation models. Such changes could be driven by various factors, including the level of precision or availability of data for our assumptions. Any changes in the method of testing could also result in an impairment or impact the magnitude of an impairment.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2020, 2019 and 2018, the Partnership recorded impairments totaling $3.01 billion, $74 million and $431 million, respectively, including $129 million in impairments in unconsolidated affiliates in 2020, and $66 million, $53 million and $52 million of long-lived asset impairments in 2020, 2019 and 2018, respectively. Additional information on the impairments recorded during these periods is available in “Item 8. Financial Statements and Supplementary Data.”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impairments recorded by the Partnership during the years ended December 31, 2020, 2019 and 2018 represented all of the goodwill within the respective reporting units.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of the Partnership’s goodwill balances, long-lived assets or investments in unconsolidated affiliates is currently at significant risk of a material impairment; however, of the $2.39 billion of goodwill 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Partnership’s consolidated balance sheet as of December 31, 2020, approximately $368 million is recorded in reporting units for which the estimated fair value exceeded the carrying value by less than 20% in the most recent quantitative test.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Estimated Useful Lives of Long-Lived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of long-lived assets is provided using the straight-line method based on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useful lives. Changes in the estimated useful lives of the assets could have a material effect on our results of operation. The Partnership’s results of operations have not been significantly impacted by changes in the estimated useful lives of our long-lived assets during the periods presented, and we do not anticipate any such significant changes in the future. However, changes in facts and circumstances could cause us to change the estimated useful lives of the assets, which could significantly impact the Partnership’s results of operations. Additional information on our accounting policies and the estimated useful lives associated with our long-lived assets is available in “Item 8. Financial Statements and Supplementary Data.”</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Legal and Regulatory Matters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subject to litigation and regulatory proceedings as a result of our business operations and transactions. We utilize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internal and external counsel in evaluating our potential exposure to adverse outcomes from claims, orders, judgments or settlements. To the extent that actual outcomes differ from our estimates, or additional facts and circumstances cause us to revise our estimates, our earnings will be affected. We expense legal costs as incurred, and all recorded legal liabilities are revised, as required, as better information becomes available to us. The factors we consider when recording an accrual for contingencies include, among others: (i) the opinions and views of our legal counsel; (ii) our previous experience; and (iii) the decision of our management as to how we intend to respond to the complaints. As of December 31, 2020 and 2019, accruals of $77 million and $120 million, respectively, were reflected in our consolidated balance sheets related to these contingent obligations.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more information on our litigation and contingencies, see Note 11 to our consolidated financial statements included in “Item 8. Financial Statements and Supplementary Data” in this report.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Environmental Remediation Activities. </w:t>
      </w:r>
      <w:r>
        <w:rPr>
          <w:rFonts w:ascii="Arial" w:cs="Arial" w:eastAsia="Arial" w:hAnsi="Arial"/>
          <w:sz w:val="16"/>
          <w:szCs w:val="16"/>
          <w:color w:val="auto"/>
        </w:rPr>
        <w:t>The Partnership’s accrual for environmental remediation activities reflects anticipated work at identified sites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Losses attributable to unasserted claims are generally reflected in the accruals on an undiscounted basis, to the extent they are probable of occurrence and reasonably estimable. 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general, each remediation site/issue is evaluated individually based upon information available for the site/issue and no pooling or statistical analysis is used to evaluate an aggregate risk for a group of similar items (e.g., service station sites) in determining the amount of probable loss accrual to be recorded. The Partnership’s estimates of environmental remediation costs also frequently involve evaluation of a range of estimates. In many cases, it is difficult to determine that one point in the range of loss estimates is more likely than any other. In these situations, existing accounting guidance requires that the minimum of the range be accrued. Accordingly, the low end of the range often represents the amount of loss which has been recorded. The Partnership’s consolidated balance sheet reflected $306 million and $320 million in environmental accruals as of December 31, 2020 and 2019, respectively.</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Management believes that the Partnership’s exposure to adverse developments with respect to any individual site is not expected to be material. However, if changes in environmental laws or regulations occur or the assumptions used to estimate losses at multiple sites are adjusted, such changes could impact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multiple facilities, formerly owned facilities and third-party sites at the same time. As a result, from time to time, significant charges against income for environmental remediation may occur; however, management does not believe that any such charges would have a material adverse impact on the Partnership’s consolidated financial position.</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 xml:space="preserve">Deferred Income Taxes. </w:t>
      </w:r>
      <w:r>
        <w:rPr>
          <w:rFonts w:ascii="Arial" w:cs="Arial" w:eastAsia="Arial" w:hAnsi="Arial"/>
          <w:sz w:val="17"/>
          <w:szCs w:val="17"/>
          <w:color w:val="auto"/>
        </w:rPr>
        <w:t>ET recognizes benefits in earnings and related deferred tax assets for net operating loss carryforwards (“NOLs”) and tax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carryforwards. If necessary, a charge to earnings and a related valuation allowance are recorded to reduce deferred tax assets to an amount that is more likely than not to be realized by the Partnership in the future. Deferred income tax assets attributable to state and federal NOLs and federal excess business interest expense carryforwards totaling $1.047 billion have been included in ET’s consolidated balance sheet as of December 31, 2020. The state NOL carryforward benefits of $220 million ($174 million net of federal benefit) begin to expire in 2021 with a substantial portion expiring between 2033 and 2039. ET’s corporate subsidiaries have federal NOLs of $3.73 billion ($784 million in benefits) of which $1.3 billion will expire between 2031 and 2037. A total of $787 million of the federal net operating loss carryforward is limited under IRC §382. Although we expect to fully utilize the IRC §382 limited federal net operating loss, the amount utilized in a particular year may be limited. Any federal NOL generated in 2018 and future years can be carried forward indefinitely. We have determined that a valuation allowance totaling $113 million ($89 million net of federal income tax effects) is required for state NOLs as of December 31, 2020 primarily due to significant restrictions on their use in the Commonwealth of Pennsylvania. A separate valuation allowance of $45 million is attributable to foreign tax credits. In making the assessment of the future realization of the deferred tax assets, we rely on future reversals of existing taxable temporary differences, tax planning strategies and forecasted taxable income based on historical and projected future operating results. The potential need for valuation allowances is regularly reviewed by management. If it is more likely than not that the recorded asset will not be realized, additional valuation allowances which increase income tax expense may be recognized in the period such determination is made. Likewise, if it is more likely than not that additional deferred tax assets will be realized, an adjustment to the deferred tax asset will increase income in the period such determination is made.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annual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73"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ability of our subsidiaries to make cash distributions to us, which is dependent on their results of operations, cash flows and financial condition;</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actual amount of cash distributions by our subsidiaries to us;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volumes transported on our subsidiaries’ pipelines and gathering systems;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level of throughput in our subsidiaries’ processing and treating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fees our subsidiaries charge and the margins they realize for their gathering, treating, processing, storage and transportation services;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prices and market demand for, and the relationship between,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energy prices generally;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impacts of world health events, including the COVID-19 pandemic;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prices of natural gas and NGLs compared to the price of alternative and competing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general level of petroleum product demand and the availability and price of NGL supplies;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level of domestic oil, natural gas and NGL production;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availability of imported oil,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actions taken by foreign oil and gas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political and economic stability of petroleum producing nations;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effect of weather conditions on demand for oil,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availability of local, intrastate and interstate transportation systems;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continued ability to find and contract for new sources of natural gas supply;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availability and marketing of competitive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energy efficiencies and technological trends;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governmental regulation and taxation;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changes to, and the application of, regulation of tariff rates and operational requirements related to our subsidiaries’ interstate and intrastate pipelines;</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hazards or operating risks incidental to the gathering, treating, processing and transporting of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competition from other midstream companies and interstate pipeline companies;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loss of key natural gas producers or the providers of fractionation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reductions in the capacity or allocations of third-party pipelines that connect with our subsidiaries pipelines and facilities;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effectiveness of risk-management policies and procedures and the ability of our subsidiaries liquids marketing counterparties to satisfy their financial commitments;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nonpayment or nonperformance by our subsidiaries’ customers;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regulatory, environmental, political and legal uncertainties that may affect the timing and cost of our subsidiaries’ internal growth projects, such as our subsidiaries’ construction of additional pipeline systems;</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risks associated with the construction of new pipelines and treating and processing facilities or additions to our subsidiaries’ existing pipelines and facilities, including difficulties in obtaining permits and rights-of-way or other regulatory approvals and the performance by third-party contractors;</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availability and cost of capital and our subsidiaries’ ability to access certain capital sources;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deterioration of the credit and capital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risks associated with the assets and operations of entities in which our subsidiaries own a noncontrolling interests, including risks related to management actions at such entities that our subsidiaries may not be able to control or exert influence;</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ability to successfully identify and consummate strategic acquisitions at purchase prices that are accretive to our financial results and to successfully integrate acquired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changes in laws and regulations to which we are subject, including tax, environmental, transportation and employment regulations or new interpretations by regulatory agencies concerning such laws and regulations;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costs and effects of legal and administrative proceedings.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risks described under “Item 1A. Risk Factors” in this annual report. 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rates on existing and future credit facilities and future debt offerings could be significantly higher than current levels, causing our financing costs to increase accordingly. Although increased financing costs could limit our ability to raise funds in the capital markets, we expect to remain competitive with respect to acquisitions and capital projects since our competitors would face similar circumstances.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Inflation in the United States has been relatively low in recent years and has not had a material effect on our results of operations. It may in the future, however, increase the cost to acquire or replace property, plant and equipment and may increase the costs of labor and supplies. Our operating revenues and costs are influenced to a greater extent by commodity price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extent permitted by competition, regulation and our existing agreements, we have and will continue to pass along a portion of increased costs to our customers in the form of higher fees.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are in millions)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Market risk includes the risk of loss arising from adverse changes in market rates and prices. We face market risk from commodity variations, risk and interest rate variations, and to a lesser extent, credit risks. From time to time, we may utilize derivative financial instruments as described below to manage our exposure to such risks.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tables below summarize commodity-related financial derivative instruments, fair values and the effect of an assumed hypothetical 10% change in the underlying price of the commodity as of December 31, 2020 and 2019 for ETO and Sunoco LP, including derivatives related to their respective subsidiaries. Dollar amounts are presented in millions.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76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8"/>
                <w:szCs w:val="18"/>
                <w:color w:val="auto"/>
              </w:rPr>
              <w:t>December 31, 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bottom w:val="single" w:sz="8" w:color="auto"/>
            </w:tcBorders>
            <w:gridSpan w:val="6"/>
          </w:tcPr>
          <w:p>
            <w:pPr>
              <w:ind w:left="1200"/>
              <w:spacing w:after="0"/>
              <w:rPr>
                <w:sz w:val="20"/>
                <w:szCs w:val="20"/>
                <w:color w:val="auto"/>
              </w:rPr>
            </w:pPr>
            <w:r>
              <w:rPr>
                <w:rFonts w:ascii="Arial" w:cs="Arial" w:eastAsia="Arial" w:hAnsi="Arial"/>
                <w:sz w:val="18"/>
                <w:szCs w:val="18"/>
                <w:color w:val="auto"/>
                <w:w w:val="88"/>
              </w:rPr>
              <w:t>December 31, 2019</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Arial" w:cs="Arial" w:eastAsia="Arial" w:hAnsi="Arial"/>
                <w:sz w:val="16"/>
                <w:szCs w:val="16"/>
                <w:color w:val="auto"/>
                <w:w w:val="90"/>
              </w:rPr>
              <w:t>Fair Value</w:t>
            </w:r>
          </w:p>
        </w:tc>
        <w:tc>
          <w:tcPr>
            <w:tcW w:w="220" w:type="dxa"/>
            <w:vAlign w:val="bottom"/>
          </w:tcPr>
          <w:p>
            <w:pPr>
              <w:spacing w:after="0"/>
              <w:rPr>
                <w:sz w:val="13"/>
                <w:szCs w:val="13"/>
                <w:color w:val="auto"/>
              </w:rPr>
            </w:pPr>
          </w:p>
        </w:tc>
        <w:tc>
          <w:tcPr>
            <w:tcW w:w="1120" w:type="dxa"/>
            <w:vAlign w:val="bottom"/>
            <w:gridSpan w:val="2"/>
          </w:tcPr>
          <w:p>
            <w:pPr>
              <w:jc w:val="center"/>
              <w:ind w:right="340"/>
              <w:spacing w:after="0" w:line="159" w:lineRule="exact"/>
              <w:rPr>
                <w:sz w:val="20"/>
                <w:szCs w:val="20"/>
                <w:color w:val="auto"/>
              </w:rPr>
            </w:pPr>
            <w:r>
              <w:rPr>
                <w:rFonts w:ascii="Arial" w:cs="Arial" w:eastAsia="Arial" w:hAnsi="Arial"/>
                <w:sz w:val="16"/>
                <w:szCs w:val="16"/>
                <w:color w:val="auto"/>
                <w:w w:val="98"/>
              </w:rPr>
              <w:t>Effect of</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280"/>
              <w:spacing w:after="0" w:line="159" w:lineRule="exact"/>
              <w:rPr>
                <w:sz w:val="20"/>
                <w:szCs w:val="20"/>
                <w:color w:val="auto"/>
              </w:rPr>
            </w:pPr>
            <w:r>
              <w:rPr>
                <w:rFonts w:ascii="Arial" w:cs="Arial" w:eastAsia="Arial" w:hAnsi="Arial"/>
                <w:sz w:val="16"/>
                <w:szCs w:val="16"/>
                <w:color w:val="auto"/>
                <w:w w:val="90"/>
              </w:rPr>
              <w:t>Fair Value</w:t>
            </w:r>
          </w:p>
        </w:tc>
        <w:tc>
          <w:tcPr>
            <w:tcW w:w="200" w:type="dxa"/>
            <w:vAlign w:val="bottom"/>
          </w:tcPr>
          <w:p>
            <w:pPr>
              <w:spacing w:after="0"/>
              <w:rPr>
                <w:sz w:val="13"/>
                <w:szCs w:val="13"/>
                <w:color w:val="auto"/>
              </w:rPr>
            </w:pPr>
          </w:p>
        </w:tc>
        <w:tc>
          <w:tcPr>
            <w:tcW w:w="1020" w:type="dxa"/>
            <w:vAlign w:val="bottom"/>
          </w:tcPr>
          <w:p>
            <w:pPr>
              <w:jc w:val="center"/>
              <w:ind w:right="151"/>
              <w:spacing w:after="0" w:line="159" w:lineRule="exact"/>
              <w:rPr>
                <w:sz w:val="20"/>
                <w:szCs w:val="20"/>
                <w:color w:val="auto"/>
              </w:rPr>
            </w:pPr>
            <w:r>
              <w:rPr>
                <w:rFonts w:ascii="Arial" w:cs="Arial" w:eastAsia="Arial" w:hAnsi="Arial"/>
                <w:sz w:val="16"/>
                <w:szCs w:val="16"/>
                <w:color w:val="auto"/>
                <w:w w:val="98"/>
              </w:rPr>
              <w:t>Effect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6"/>
                <w:szCs w:val="16"/>
                <w:color w:val="auto"/>
              </w:rPr>
              <w:t>Notional Volume</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89"/>
              </w:rPr>
              <w:t>Asset</w:t>
            </w:r>
          </w:p>
        </w:tc>
        <w:tc>
          <w:tcPr>
            <w:tcW w:w="134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94"/>
              </w:rPr>
              <w:t>Hypothetical 10%</w:t>
            </w: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color w:val="auto"/>
              </w:rPr>
              <w:t>Notional Volume</w:t>
            </w:r>
          </w:p>
        </w:tc>
        <w:tc>
          <w:tcPr>
            <w:tcW w:w="140" w:type="dxa"/>
            <w:vAlign w:val="bottom"/>
          </w:tcPr>
          <w:p>
            <w:pPr>
              <w:spacing w:after="0"/>
              <w:rPr>
                <w:sz w:val="14"/>
                <w:szCs w:val="14"/>
                <w:color w:val="auto"/>
              </w:rPr>
            </w:pPr>
          </w:p>
        </w:tc>
        <w:tc>
          <w:tcPr>
            <w:tcW w:w="102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89"/>
              </w:rPr>
              <w:t>Asset</w:t>
            </w:r>
          </w:p>
        </w:tc>
        <w:tc>
          <w:tcPr>
            <w:tcW w:w="122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94"/>
              </w:rPr>
              <w:t>Hypothetical 10%</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color w:val="auto"/>
              </w:rPr>
              <w:t>(Liability)</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Change</w:t>
            </w: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6"/>
                <w:szCs w:val="16"/>
                <w:color w:val="auto"/>
              </w:rPr>
              <w:t>(Liability)</w:t>
            </w:r>
          </w:p>
        </w:tc>
        <w:tc>
          <w:tcPr>
            <w:tcW w:w="200" w:type="dxa"/>
            <w:vAlign w:val="bottom"/>
          </w:tcPr>
          <w:p>
            <w:pPr>
              <w:spacing w:after="0"/>
              <w:rPr>
                <w:sz w:val="17"/>
                <w:szCs w:val="17"/>
                <w:color w:val="auto"/>
              </w:rPr>
            </w:pPr>
          </w:p>
        </w:tc>
        <w:tc>
          <w:tcPr>
            <w:tcW w:w="1020" w:type="dxa"/>
            <w:vAlign w:val="bottom"/>
          </w:tcPr>
          <w:p>
            <w:pPr>
              <w:jc w:val="center"/>
              <w:ind w:right="151"/>
              <w:spacing w:after="0"/>
              <w:rPr>
                <w:sz w:val="20"/>
                <w:szCs w:val="20"/>
                <w:color w:val="auto"/>
              </w:rPr>
            </w:pPr>
            <w:r>
              <w:rPr>
                <w:rFonts w:ascii="Arial" w:cs="Arial" w:eastAsia="Arial" w:hAnsi="Arial"/>
                <w:sz w:val="16"/>
                <w:szCs w:val="16"/>
                <w:color w:val="auto"/>
                <w:w w:val="89"/>
              </w:rPr>
              <w:t>Change</w:t>
            </w:r>
          </w:p>
        </w:tc>
        <w:tc>
          <w:tcPr>
            <w:tcW w:w="0" w:type="dxa"/>
            <w:vAlign w:val="bottom"/>
          </w:tcPr>
          <w:p>
            <w:pPr>
              <w:spacing w:after="0"/>
              <w:rPr>
                <w:sz w:val="1"/>
                <w:szCs w:val="1"/>
                <w:color w:val="auto"/>
              </w:rPr>
            </w:pPr>
          </w:p>
        </w:tc>
      </w:tr>
      <w:tr>
        <w:trPr>
          <w:trHeight w:val="215"/>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Mark-to-Market Derivatives</w:t>
            </w: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i w:val="1"/>
                <w:iCs w:val="1"/>
                <w:color w:val="auto"/>
              </w:rPr>
              <w:t>(Trading)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Natural Gas (BBtu):</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Fixed Swaps/Futures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500"/>
              <w:spacing w:after="0" w:line="230" w:lineRule="exact"/>
              <w:rPr>
                <w:sz w:val="20"/>
                <w:szCs w:val="20"/>
                <w:color w:val="auto"/>
              </w:rPr>
            </w:pPr>
            <w:r>
              <w:rPr>
                <w:rFonts w:ascii="Arial" w:cs="Arial" w:eastAsia="Arial" w:hAnsi="Arial"/>
                <w:sz w:val="18"/>
                <w:szCs w:val="18"/>
                <w:color w:val="auto"/>
              </w:rPr>
              <w:t>Basis Swaps IFERC/NYMEX</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(44,225)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Power (Megawatt):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Forwards</w:t>
            </w:r>
          </w:p>
        </w:tc>
        <w:tc>
          <w:tcPr>
            <w:tcW w:w="1320" w:type="dxa"/>
            <w:vAlign w:val="bottom"/>
          </w:tcPr>
          <w:p>
            <w:pPr>
              <w:jc w:val="right"/>
              <w:spacing w:after="0"/>
              <w:rPr>
                <w:sz w:val="20"/>
                <w:szCs w:val="20"/>
                <w:color w:val="auto"/>
              </w:rPr>
            </w:pPr>
            <w:r>
              <w:rPr>
                <w:rFonts w:ascii="Arial" w:cs="Arial" w:eastAsia="Arial" w:hAnsi="Arial"/>
                <w:sz w:val="18"/>
                <w:szCs w:val="18"/>
                <w:color w:val="auto"/>
              </w:rPr>
              <w:t>1,392,400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3,213,450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Futures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Options – Puts</w:t>
            </w:r>
          </w:p>
        </w:tc>
        <w:tc>
          <w:tcPr>
            <w:tcW w:w="1320" w:type="dxa"/>
            <w:vAlign w:val="bottom"/>
          </w:tcPr>
          <w:p>
            <w:pPr>
              <w:jc w:val="right"/>
              <w:spacing w:after="0"/>
              <w:rPr>
                <w:sz w:val="20"/>
                <w:szCs w:val="20"/>
                <w:color w:val="auto"/>
              </w:rPr>
            </w:pPr>
            <w:r>
              <w:rPr>
                <w:rFonts w:ascii="Arial" w:cs="Arial" w:eastAsia="Arial" w:hAnsi="Arial"/>
                <w:sz w:val="18"/>
                <w:szCs w:val="18"/>
                <w:color w:val="auto"/>
              </w:rPr>
              <w:t>519,071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Options – Calls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i w:val="1"/>
                <w:iCs w:val="1"/>
                <w:color w:val="auto"/>
              </w:rPr>
              <w:t>(Non-Trading)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(BBtu):</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Basis Swaps IFERC/NYMEX</w:t>
            </w:r>
          </w:p>
        </w:tc>
        <w:tc>
          <w:tcPr>
            <w:tcW w:w="1320" w:type="dxa"/>
            <w:vAlign w:val="bottom"/>
          </w:tcPr>
          <w:p>
            <w:pPr>
              <w:jc w:val="right"/>
              <w:spacing w:after="0"/>
              <w:rPr>
                <w:sz w:val="20"/>
                <w:szCs w:val="20"/>
                <w:color w:val="auto"/>
              </w:rPr>
            </w:pPr>
            <w:r>
              <w:rPr>
                <w:rFonts w:ascii="Arial" w:cs="Arial" w:eastAsia="Arial" w:hAnsi="Arial"/>
                <w:sz w:val="18"/>
                <w:szCs w:val="18"/>
                <w:color w:val="auto"/>
              </w:rPr>
              <w:t>(29,173)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Swing Swaps IFERC</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Fixed Swaps/Futures</w:t>
            </w:r>
          </w:p>
        </w:tc>
        <w:tc>
          <w:tcPr>
            <w:tcW w:w="1320" w:type="dxa"/>
            <w:vAlign w:val="bottom"/>
          </w:tcPr>
          <w:p>
            <w:pPr>
              <w:jc w:val="right"/>
              <w:spacing w:after="0"/>
              <w:rPr>
                <w:sz w:val="20"/>
                <w:szCs w:val="20"/>
                <w:color w:val="auto"/>
              </w:rPr>
            </w:pPr>
            <w:r>
              <w:rPr>
                <w:rFonts w:ascii="Arial" w:cs="Arial" w:eastAsia="Arial" w:hAnsi="Arial"/>
                <w:sz w:val="18"/>
                <w:szCs w:val="18"/>
                <w:color w:val="auto"/>
              </w:rPr>
              <w:t>(53,575)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Forward Physical Contracts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NGL (MBbls) – Forwards/Swaps</w:t>
            </w:r>
          </w:p>
        </w:tc>
        <w:tc>
          <w:tcPr>
            <w:tcW w:w="1320" w:type="dxa"/>
            <w:vAlign w:val="bottom"/>
          </w:tcPr>
          <w:p>
            <w:pPr>
              <w:jc w:val="right"/>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Crude (MBbls) – Forwards/Swaps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Refined Products (MBbls) – Futures</w:t>
            </w:r>
          </w:p>
        </w:tc>
        <w:tc>
          <w:tcPr>
            <w:tcW w:w="1320" w:type="dxa"/>
            <w:vAlign w:val="bottom"/>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Corn (thousand bushels)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Fair Value Hedging Derivatives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(Non-Trading)</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Natural Gas (BBtu):</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Basis Swaps IFERC/NYMEX</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Fixed Swaps/Futures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(30,113)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60" w:hanging="252"/>
        <w:spacing w:after="0" w:line="227" w:lineRule="auto"/>
        <w:tabs>
          <w:tab w:leader="none" w:pos="209"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2020, our subsidiaries had $6.72 billion of floating rate debt outstanding. A hypothetical change of 100 basis points would result in a maximum potential change to interest expense of $67 million annually; however, our actual change in interest expense may be less in a given period due to interest rate floors included in our variable rate debt instruments.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manage a portion of our interest rate exposure by utilizing interest rate swaps, including forward-starting interest rate swaps to lock-in the rate on a portion of anticipated debt issuances.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 (dollar amounts presented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Notional Amount Outstanding</w:t>
            </w:r>
          </w:p>
        </w:tc>
        <w:tc>
          <w:tcPr>
            <w:tcW w:w="400" w:type="dxa"/>
            <w:vAlign w:val="bottom"/>
            <w:tcBorders>
              <w:bottom w:val="single" w:sz="8" w:color="auto"/>
            </w:tcBorders>
          </w:tcPr>
          <w:p>
            <w:pPr>
              <w:spacing w:after="0"/>
              <w:rPr>
                <w:sz w:val="20"/>
                <w:szCs w:val="20"/>
                <w:color w:val="auto"/>
              </w:rPr>
            </w:pPr>
          </w:p>
        </w:tc>
      </w:tr>
      <w:tr>
        <w:trPr>
          <w:trHeight w:val="412"/>
        </w:trPr>
        <w:tc>
          <w:tcPr>
            <w:tcW w:w="760" w:type="dxa"/>
            <w:vAlign w:val="bottom"/>
          </w:tcPr>
          <w:p>
            <w:pPr>
              <w:ind w:left="20"/>
              <w:spacing w:after="0"/>
              <w:rPr>
                <w:sz w:val="20"/>
                <w:szCs w:val="20"/>
                <w:color w:val="auto"/>
              </w:rPr>
            </w:pPr>
            <w:r>
              <w:rPr>
                <w:rFonts w:ascii="Arial" w:cs="Arial" w:eastAsia="Arial" w:hAnsi="Arial"/>
                <w:sz w:val="18"/>
                <w:szCs w:val="18"/>
                <w:color w:val="auto"/>
              </w:rPr>
              <w:t>Term</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Type</w:t>
            </w:r>
            <w:r>
              <w:rPr>
                <w:rFonts w:ascii="Arial" w:cs="Arial" w:eastAsia="Arial" w:hAnsi="Arial"/>
                <w:sz w:val="23"/>
                <w:szCs w:val="23"/>
                <w:color w:val="auto"/>
                <w:vertAlign w:val="superscript"/>
              </w:rPr>
              <w:t>(1)</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December 31, 2020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2"/>
              </w:rPr>
              <w:t>December 31, 2019</w:t>
            </w:r>
          </w:p>
        </w:tc>
      </w:tr>
      <w:tr>
        <w:trPr>
          <w:trHeight w:val="223"/>
        </w:trPr>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July 2020</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3.52%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w w:val="93"/>
              </w:rPr>
              <w:t>July 2021</w:t>
            </w:r>
          </w:p>
        </w:tc>
        <w:tc>
          <w:tcPr>
            <w:tcW w:w="740" w:type="dxa"/>
            <w:vAlign w:val="bottom"/>
          </w:tcPr>
          <w:p>
            <w:pPr>
              <w:ind w:lef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July 2022</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60"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3-month LIBOR.</w:t>
      </w:r>
    </w:p>
    <w:p>
      <w:pPr>
        <w:spacing w:after="0" w:line="82"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68" w:lineRule="exact"/>
        <w:rPr>
          <w:rFonts w:ascii="Arial" w:cs="Arial" w:eastAsia="Arial" w:hAnsi="Arial"/>
          <w:sz w:val="21"/>
          <w:szCs w:val="21"/>
          <w:color w:val="auto"/>
          <w:vertAlign w:val="superscript"/>
        </w:rPr>
      </w:pPr>
    </w:p>
    <w:p>
      <w:pPr>
        <w:ind w:left="320" w:hanging="312"/>
        <w:spacing w:after="0" w:line="231" w:lineRule="auto"/>
        <w:tabs>
          <w:tab w:leader="none" w:pos="320"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The July 2020 interest rate swaps were terminated in January 2020.</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hypothetical change of 100 basis points in interest rates for these interest rate swaps would result in a net change in the fair value of interest rate derivatives and earnings (recognized in gains (losses) on interest rate derivatives) of $275 million as of December 31, 2020. For the forward-starting interest rate swaps, a hypothetical change of 100 basis points in interest rates would not affect cash flows until the swaps are settled.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12"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financial statements starting on page </w:t>
      </w:r>
      <w:hyperlink w:anchor="page166">
        <w:r>
          <w:rPr>
            <w:rFonts w:ascii="Arial" w:cs="Arial" w:eastAsia="Arial" w:hAnsi="Arial"/>
            <w:sz w:val="18"/>
            <w:szCs w:val="18"/>
            <w:u w:val="single" w:color="auto"/>
            <w:color w:val="0000FF"/>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 are incorporated by reference.</w:t>
      </w:r>
    </w:p>
    <w:p>
      <w:pPr>
        <w:spacing w:after="0" w:line="16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ITEM 9. CHANGES IN AND DISAGREEMENTS WITH ACCOUNTANTS ON ACCOUNTING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Marshall S. McCrea, III and Thomas E. Long, Co-Chief Executive Officers of our General Partner (Co-Principal Executive Officers), and Bradford D. Whitehurst (Principal Financial Officer), of the effectiveness of the design and operation of our disclosure controls and procedures (as such terms are defined in Rules 13a–15(e) and 15d–15(e) of the Exchange Act) as of the end of the period covered by this report. Based upon that evaluation, management, including Messrs. McCrea, Long and Whitehurst, concluded that our disclosure controls and procedures were adequate and effective as of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Energy Transfer LP and subsidiaries is responsible for establishing and maintaining adequate internal control over financial reporting, as such term is defined in Exchange Act Rule 13a-15(f). Under the supervision and with the participation of our management, including the Co-Chief Executive Officers and Chief Financial Officer of our General Partner, we conducted an evaluation of the effectiveness of our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Framework”).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COSO framework, our management concluded that our internal control over financial reporting was effective as of December 31, 2020.</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 Thornton LLP, an independent registered public accounting firm, has audited the effectiveness of our internal control over financial reporting as of December 31, 2020, as stated in their report, which is included herein.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LE GP,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Energy Transfer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3A215E"/>
        </w:rPr>
        <w:t>Opinion on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have audited the internal control over financial reporting of Energy Transfer LP (a Delaware limited partnership) and subsidiaries (the “Partnership”) as of December 31, 2020,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Partnership maintained, in all material respects, effective internal control over financial reporting as of December 31, 2020,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2020, and our report dated February 19, 2021 expressed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A215E"/>
        </w:rPr>
        <w:t>Basis for opinion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3A215E"/>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has been no change in our internal controls over financial reporting (as defined in Rules 13a–15(f) or Rule 15d–15(f)) that occurred in the three months ended December 31, 2020 that has materially affected, or is reasonably likely to materially affect, our internal controls over financial reporting.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partner, LE GP, LLC, manages and directs all of our activities. The officers and directors of ET are officers and directors of LE GP, LLC. The members of our general partner elect our general partner’s Board of Directors. The board of directors of our general partner has the authority to appoint our executive officers, subject to provisions in the limited liability company agreement of our general partner. Pursuant to other authority, the board of directors of our general partner may appoint additional management personnel to assist in the management of our operations and, in the event of the death, resignation or removal of our chief executive officer, to appoint a replacement.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1, 2021, our Board of Directors is comprised of 11 persons, five of whom qualify as “independent” under the NYSE’s corporate governance standards. We have determined that Messrs. Anderson, Brannon, Grimm, Perry and Washburne are all “independent” under the NYSE’s corporate governance standards.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limited partnership, we are not required by the rules of the NYSE to seek Unitholder approval for the election of any of our directors. We believe that the members of our general partner have appointed as directors individuals with experience, skills and qualifications relevant to the business of the Parent Company, such as experience in energy or related industries or with financial markets, expertise in natural gas operations or finance, and a history of service in senior leadership positions. We do not have a formal process for identifying director nominees, nor do we have a formal policy regarding consideration of diversity in identifying director nominees, but we believe that the members of our general partner have endeavored to assemble a group of individuals with the qualities and attributes required to provide effective oversight of the Parent Company.</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Board Leadership Structure. </w:t>
      </w:r>
      <w:r>
        <w:rPr>
          <w:rFonts w:ascii="Arial" w:cs="Arial" w:eastAsia="Arial" w:hAnsi="Arial"/>
          <w:sz w:val="16"/>
          <w:szCs w:val="16"/>
          <w:color w:val="auto"/>
        </w:rPr>
        <w:t>We have no policy requiring either that the positions of the Chairman of the Board and the Chief Executive Officer, or CEO,</w:t>
      </w:r>
      <w:r>
        <w:rPr>
          <w:rFonts w:ascii="Arial" w:cs="Arial" w:eastAsia="Arial" w:hAnsi="Arial"/>
          <w:sz w:val="16"/>
          <w:szCs w:val="16"/>
          <w:i w:val="1"/>
          <w:iCs w:val="1"/>
          <w:color w:val="auto"/>
        </w:rPr>
        <w:t xml:space="preserve"> </w:t>
      </w:r>
      <w:r>
        <w:rPr>
          <w:rFonts w:ascii="Arial" w:cs="Arial" w:eastAsia="Arial" w:hAnsi="Arial"/>
          <w:sz w:val="16"/>
          <w:szCs w:val="16"/>
          <w:color w:val="auto"/>
        </w:rPr>
        <w:t>be separate or that they be occupied by the same individual. The Board of Directors believes that this issue is properly addressed as part of the succession planning process and that a determination on this subject should be made when it elects a new chief executive officer or at such other times as when consideration of the matter is warranted by circumstances. Previously, the Board of Directors believed that the CEO was best situated to serve as Chairman because he was the director most familiar with the Partnership’s business and industry, and most capable of effectively identifying strategic priorities and leading the discussion and execution of strategy. Beginning in 2021, the Board of Directors has established separate roles for the Executive Chairman and Co-Chief Executive Officers. Independent directors and management have different perspectives and roles in strategy development. Our independent directors bring experience, oversight and expertise from outside the Partnership and from a variety of industries, while the Executive Chairman and Co-Chief Executive Officers bring extensive experience and expertise specifically related to the Partnership’s business.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Risk Oversight</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generally administers its risk oversight function through the board as a whole. Our Co-CEOs, who report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have day-to-day risk management responsibilities. Our Co-CEOs attend the meetings of our Board of Directors, where the Board of Directors routinely receives reports on our financial results, the status of our operations, and other aspects of implementation of our business strategy, with ample opportunity for specific inquiries of management. In addition, at each regular meeting of the Board, management provides a report of the Parent Company’s financial and operational performance, which often prompts questions or feedback from the Board of Directors. The Audit Committee provides additional risk oversight through its quarterly meetings, where it receives a report from the Parent Company’s internal auditor, who reports directly to the Audit Committee, and reviews the Parent Company’s contingencies with management and our independent auditors.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Board of Directors has adopted both a Code of Business Conduct and Ethics applicable to our directors, officers and employees, and Corporate Governance Guidelines for directors and the Board. Current copies of our Code of Business Conduct and Ethics, Corporate Governance Guidelines and charters of the Audit and Compensation Committees of our Board of Directors are available on our website at </w:t>
      </w:r>
      <w:r>
        <w:rPr>
          <w:rFonts w:ascii="Arial" w:cs="Arial" w:eastAsia="Arial" w:hAnsi="Arial"/>
          <w:sz w:val="18"/>
          <w:szCs w:val="18"/>
          <w:u w:val="single" w:color="auto"/>
          <w:color w:val="auto"/>
        </w:rPr>
        <w:t>www.energytransfer.com</w:t>
      </w:r>
      <w:r>
        <w:rPr>
          <w:rFonts w:ascii="Arial" w:cs="Arial" w:eastAsia="Arial" w:hAnsi="Arial"/>
          <w:sz w:val="18"/>
          <w:szCs w:val="18"/>
          <w:color w:val="auto"/>
        </w:rPr>
        <w:t xml:space="preserve"> and will be provided in print form to any Unitholder requesting such information.</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Please note that the preceding Internet address is for information purposes only and is not intended to be a hyperlink. Accordingly, no information found and/or provided at such Internet addresses or at our website in general is intended or deemed to be incorporated by reference herein.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Certification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our Chief Executive Officer provided to the NYSE the annual CEO certification regarding our compliance with the NYSE’s corporate governance listing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Committee</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Partnership Agreement provides that the Board of Directors may, from time to time, appoint members of the Board to serve on the Conflicts Committee with the authority to review specific matters for which the Board of Directors believes there may be a conflict of interest in order to determine if the resolution of such conflict proposed by the general partner is fair and reasonable to the Parent Company and our Unitholders. As a policy matter, the Conflicts Committee generally reviews any proposed related-party transaction that may be material to the Parent Company to determine if the transaction presents a conflict of interest and whether the transaction is fair and reasonable to the Parent Company. Pursuant to the terms of our partnership agreement, any matters approved by the Conflicts Committee will be conclusively deemed to be fair and reasonable to the Parent Company, approved by all partners of the Parent Company and not a breach by the general partner or its Board of Directors of any duties they may owe the Parent Company or the Unitholders. These duties are limited by our Partnership Agreement (see “Risks Related to Conflicts of Interest” in “Item 1A. Risk Factors” in this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has established an Audit Committee in accordance with Section 3(a)(58)(A) of the Exchange Act. The Board of Directors appoints persons who are independent under the NYSE’s standards for audit committee members to serve on its Audit Committee. In addition, the Board determines that at least one member of the Audit Committee has such accounting or related financial management expertise sufficient to qualify such person as the audit committee financial expert in accordance with Item 407(d)(5) of Regulation S-K. The Board determined that based on relevant experience, Audit Committee member Michael K. Grimm qualified as an audit committee financial expert during 2020. A description of the qualifications of Mr. Grimm may be found elsewhere in this Item 10 under “Directors and Executive Officers of the General Partner.”</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Audit Committee meets on a regularly scheduled basis with our independent accountants at least four times each year and is available to meet at their request. The Audit Committee has the authority and responsibility to review our external financial reporting, review our procedures for internal auditing and the adequacy of our internal accounting controls, consider the qualifications and independence of our independent accountants, engage and direct our independent accountants, including the letter of engagement and statement of fees relating to the scope of the annual audit work and special audit work which may be recommended or required by the independent accountants, and to engage the services of any other advisors and accountants as the Audit Committee deems advisable. The Audit Committee reviews and discusses the audited financial statements with management, discusses with our independent auditors matters required to be discussed by auditing standards</w:t>
      </w:r>
      <w:r>
        <w:rPr>
          <w:rFonts w:ascii="Arial" w:cs="Arial" w:eastAsia="Arial" w:hAnsi="Arial"/>
          <w:sz w:val="16"/>
          <w:szCs w:val="16"/>
          <w:i w:val="1"/>
          <w:iCs w:val="1"/>
          <w:color w:val="auto"/>
        </w:rPr>
        <w:t>,</w:t>
      </w:r>
      <w:r>
        <w:rPr>
          <w:rFonts w:ascii="Arial" w:cs="Arial" w:eastAsia="Arial" w:hAnsi="Arial"/>
          <w:sz w:val="16"/>
          <w:szCs w:val="16"/>
          <w:color w:val="auto"/>
        </w:rPr>
        <w:t xml:space="preserve"> and approves the filing of our Form 10-K, which includes our audited financial statements. The Audit Committee periodically recommends to the Board of Directors any changes or modifications to its charter that may be required. The Audit Committee has received written disclosures and the letter from Grant Thornton required by applicable requirements of the Audit Committee concerning independence and has discussed with Grant Thornton that firm’s independence. The Audit Committee recommended to the Board that the audited financial statements of ET be included in ET’s Annual Report on Form 10-K for the year ended December 31, 2020.</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adopts the charter for the Audit Committee. Steven R. Anderson, Richard D. Brannon and Michael K. Grimm serve as elected members of the Audit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Nominating/Corporate Governance Committees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are not required under NYSE rules to appoint a Compensation Committee or a Nominating/Corporate Governance Committee because we are a limited partnership, the Board of Directors of LE GP, LLC has previously established a Compensation Committee to establish standards and make recommendations concerning the compensation of our officers and directors. In addition, the Compensation Committee determines and establishes the standards for any awards to our employees and officers under the equity compensation plans, including the performance standards or other restrictions pertaining to the vesting of any such awards. Messrs. Anderson, Grimm and Washburne serve as members of the Compensation Committee.</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Matters relating to the nomination of directors or corporate governance matters were addressed to and determined by the full Board of Directors for the period ET did not have a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ET Compensation Committee include, among other duties, the following:</w:t>
      </w:r>
    </w:p>
    <w:p>
      <w:pPr>
        <w:spacing w:after="0" w:line="171" w:lineRule="exact"/>
        <w:rPr>
          <w:sz w:val="20"/>
          <w:szCs w:val="20"/>
          <w:color w:val="auto"/>
        </w:rPr>
      </w:pPr>
    </w:p>
    <w:p>
      <w:pPr>
        <w:ind w:left="5480" w:right="2860" w:hanging="5472"/>
        <w:spacing w:after="0" w:line="919" w:lineRule="auto"/>
        <w:tabs>
          <w:tab w:leader="none" w:pos="3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annually review and approve goals and objectives relevant to compensation of our CEO and CFO, if applicable;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right="2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annually evaluate the CEO and CFO’s performance in light of these goals and objectives, and make recommendations to the Board of Directors with respect to the CEO and CFO’s compensation levels, if applicable, based on this evaluation;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determinations with respect to the grant of equity-based awards to executive officers under ET’s equity incentive plans;</w:t>
      </w:r>
    </w:p>
    <w:p>
      <w:pPr>
        <w:spacing w:after="0" w:line="171"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periodically evaluate the terms and administration of ET’s long-term incentive plans to assure that they are structured and administered in a manner consistent with ET’s goals and objectives;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periodically evaluate incentive compensation and equity-related plans and consider amendments if appropriate;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periodically evaluate the compensation of the directors;</w:t>
      </w:r>
    </w:p>
    <w:p>
      <w:pPr>
        <w:spacing w:after="0" w:line="171"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retain and terminate any compensation consultant to be used to assist in the evaluation of director, CEO and CFO or executive officer compensation;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perform other duties as deemed appropriate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adopted a Code of Business Conduct and Ethics applicable to our officers, directors and employees. Specific provisions are applicable to the co-principal executive officers, principal financial officer, principal accounting officer and controller, or those persons performing similar functions, of our general partner. Amendments to, or waivers from, the Code of Business Conduct and Ethics will be available on our website and reported as may be required under SEC rules. Any technical, administrative or other non-substantive amendments to the Code of Business Conduct and Ethics may not be posted.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Non-management Directors and Communications with Directors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non-management directors meet in regularly scheduled sessions. Our non-management directors alternate as the presiding director of such meetings.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 procedure by which Unitholders or interested parties may communicate directly with the Board of Directors, any committee of the Board, any of the independent directors, or any one director serving on the Board of Directors by sending written correspondence addressed to the desired person, committee or group to the attention of Sonia Aubé at Energy Transfer LP 8111 Westchester Drive, Suite 600, Dallas, Texas, 75225. Communications are distributed to the Board of Directors, or to any individual director or directors as appropriate, depending on the facts and circumstances outlined in the communication.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certain information with respect to the executive officers and members of the Board of Directors of our general partner as of February 19, 2021. Executive officers and directors are elected for indefinite terms.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Name</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Age</w:t>
            </w:r>
          </w:p>
        </w:tc>
        <w:tc>
          <w:tcPr>
            <w:tcW w:w="7220" w:type="dxa"/>
            <w:vAlign w:val="bottom"/>
            <w:gridSpan w:val="3"/>
          </w:tcPr>
          <w:p>
            <w:pPr>
              <w:spacing w:after="0"/>
              <w:rPr>
                <w:sz w:val="20"/>
                <w:szCs w:val="20"/>
                <w:color w:val="auto"/>
              </w:rPr>
            </w:pPr>
            <w:r>
              <w:rPr>
                <w:rFonts w:ascii="Arial" w:cs="Arial" w:eastAsia="Arial" w:hAnsi="Arial"/>
                <w:sz w:val="18"/>
                <w:szCs w:val="18"/>
                <w:color w:val="auto"/>
              </w:rPr>
              <w:t>Position with Our General Partner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Kelcy L. Warren</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Chairman of the Board of Directors</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Thomas E. Long</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718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 (Co-Principal Executive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S. (Mackie) McCrea, III</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Co-Chief Executive Officer and Director (Co-Principal Executive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Bradford D. Whitehurst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71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Ramsey</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 and 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Thomas P. Mason</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7180" w:type="dxa"/>
            <w:vAlign w:val="bottom"/>
            <w:gridSpan w:val="2"/>
          </w:tcPr>
          <w:p>
            <w:pPr>
              <w:spacing w:after="0"/>
              <w:rPr>
                <w:sz w:val="20"/>
                <w:szCs w:val="20"/>
                <w:color w:val="auto"/>
              </w:rPr>
            </w:pPr>
            <w:r>
              <w:rPr>
                <w:rFonts w:ascii="Arial" w:cs="Arial" w:eastAsia="Arial" w:hAnsi="Arial"/>
                <w:sz w:val="18"/>
                <w:szCs w:val="18"/>
                <w:color w:val="auto"/>
              </w:rPr>
              <w:t>Executive Vice President, General Counsel and President - LNG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Troy Sturrock</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Controller (Principal Accounting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Steven R. Anderson</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c>
          <w:tcPr>
            <w:tcW w:w="7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Brannon</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Ray C. Davis</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79</w:t>
            </w:r>
          </w:p>
        </w:tc>
        <w:tc>
          <w:tcPr>
            <w:tcW w:w="7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 Grimm</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John W. McReynolds</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7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(Rick) Perry</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Ray W. Washburne</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7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tcPr>
          <w:p>
            <w:pPr>
              <w:ind w:left="1460"/>
              <w:spacing w:after="0"/>
              <w:rPr>
                <w:sz w:val="20"/>
                <w:szCs w:val="20"/>
                <w:color w:val="auto"/>
              </w:rPr>
            </w:pPr>
            <w:r>
              <w:rPr>
                <w:rFonts w:ascii="Arial" w:cs="Arial" w:eastAsia="Arial" w:hAnsi="Arial"/>
                <w:sz w:val="18"/>
                <w:szCs w:val="18"/>
                <w:color w:val="auto"/>
              </w:rPr>
              <w:t>130</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Warren, McCrea and Ramsey also serve as directors of the board of ETO’s general partner. Mr. Ramsey serves as chairman of the board of the general partner of Sunoco LP, and Mr. Long serves as a director of the board of the general partners of Sunoco LP and of USAC. Mr. Mason and Mr. Whitehurst serve as directors of the general partner of USAC.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biographical information regarding the foregoing officers and directors of our general partner:</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Kelcy L. Warren</w:t>
      </w:r>
      <w:r>
        <w:rPr>
          <w:rFonts w:ascii="Arial" w:cs="Arial" w:eastAsia="Arial" w:hAnsi="Arial"/>
          <w:sz w:val="17"/>
          <w:szCs w:val="17"/>
          <w:color w:val="auto"/>
        </w:rPr>
        <w:t>. Mr. Warren serves as Executive Chairman of our general partner. Mr. Warren served as Chief Executive Officer from August 2007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December 2020. He was appointed Co-Chairman of the Board of Directors of our general partner, effective upon the closing of our IPO, and in August 2007, he became the sole Chairman of the Board of our general partner and the Chief Executive Officer and Chairman of the Board of the general partner of ETO. Prior to that, Mr. Warren had served as Co-Chief Executive Officer and Co-Chairman of the Board of the general partner of ETO since the combination of the midstream and intrastate transportation storage operations of La Grange Acquisition, L.P. and the retail propane operations of Heritage in January 2004. Mr. Warren also served as the Chief Executive Officer of PennTex Midstream Partners, LP’s general partner from November 2016 to July 2017. Prior to the combination of the operations of ETO and Heritage Propane, Mr. Warren served as President of the general partner of ET Company I, Ltd. the entity that operated ETO’s midstream assets before it acquired Aquila, Inc.’s midstream assets, having served in that capacity since 1996. From 1996 to 2000, he also served as a Director of Crosstex Energy, Inc. From 1993 to 1996, he served as President, Chief Operating Officer and a Director of Cornerstone Natural Gas, Inc. Mr. Warren has more than 30 years of business experience in the energy industry. Mr. Warren was selected to serve as a director and as Executive Chairman because he previously served as Chief Executive Officer and has more than 30 years in the natural gas industry. Mr. Warren also has relationships with chief executives and other senior management at natural gas transportation companies throughout the United States and brings a unique and valuable perspective to the Board of Directors.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Thomas E. Long. </w:t>
      </w:r>
      <w:r>
        <w:rPr>
          <w:rFonts w:ascii="Arial" w:cs="Arial" w:eastAsia="Arial" w:hAnsi="Arial"/>
          <w:sz w:val="17"/>
          <w:szCs w:val="17"/>
          <w:color w:val="auto"/>
        </w:rPr>
        <w:t>Mr. Long has served as the Co-Chief Executive Officer of our general partner since January 2021. Mr. Long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ET’s general partner from February 2016 until January 2021, and has been a director of our general partner since April 2019. Mr. Long also served as the Chief Financial Officer and as a director of PennTex Midstream Partners, LP’s general partner from November 2016 to July 2017. Mr. Long also serves as Chief Financial Officer of ETO and was previously Executive Vice President and Chief Financial Officer of Regency GP LLC from November 2010 to April 2015. From May 2008 to November 2010, Mr. Long served as Vice President and Chief Financial Officer of Matrix Service Company. Prior to joining Matrix, he served as Vice President and Chief Financial Officer of DCP Midstream Partners, LP, a publicly traded natural gas and natural gas liquids midstream business company located in Denver, Colorado. In that position, he was responsible for all financial aspects of the company since its formation in December 2005. From 1998 to 2005, Mr. Long served in several executive positions with subsidiaries of Duke Energy Corp., one of the nation’s largest electric power companies. Mr. Long has served as a director of Sunoco LP since May 2016, and as Executive Chairman of the Board of USAC since April 2018. Mr. Long was selected to serve on our Board of Directors because of his understanding of energy-related corporate finance gained through his extensive experience in the energy industry.</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Marshall S. (Mackie) McCrea, III</w:t>
      </w:r>
      <w:r>
        <w:rPr>
          <w:rFonts w:ascii="Arial" w:cs="Arial" w:eastAsia="Arial" w:hAnsi="Arial"/>
          <w:sz w:val="16"/>
          <w:szCs w:val="16"/>
          <w:color w:val="auto"/>
        </w:rPr>
        <w:t>. Mr. McCrea has served as the Co-Chief Executive Officer of our general partner since January 2021. Prior to that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President and Chief Commercial Officer of our general partner, having served in that role since October 2018 following the merger of Energy Transfer Equity, L.P. and Energy Transfer Partners, L.P. Prior to that time, he had been the Group Chief Operating Officer and Chief Commercial Officer of the Energy Transfer family since November 2015. Mr. McCrea has served on the Board of Directors of our general partner since December 2009. Mr. McCrea was appointed as a director of the general partner of ETO in December 2009. Prior to that, he served as President and Chief Operating Officer of ETO’s general partner from June 2008 to November 2015 and President – Midstream from March 2007 to June 2008. Previously he served as the Senior Vice President – Commercial Development since January 2004. In March 2005, Mr. McCrea was named President of La Grange Acquisition LP, ETO’s primary operating subsidiary, after serving as Senior Vice President-Business Development and Producer Services since 1997. Mr. McCrea also served as the Chairman of the Board of Directors of the general partner of Sunoco Logistics Partners L.P. from October 2012 to April 2017. Mr. McCrea was selected to serve as a director because he brings extensive project development and operational experience to the Board. He has held various positions in the natural gas business over the past 25 years and is able to assist the Board of Directors in creating and executing the Partnership’s strategic plan.</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Bradford D. Whitehurst. </w:t>
      </w:r>
      <w:r>
        <w:rPr>
          <w:rFonts w:ascii="Arial" w:cs="Arial" w:eastAsia="Arial" w:hAnsi="Arial"/>
          <w:sz w:val="18"/>
          <w:szCs w:val="18"/>
          <w:color w:val="auto"/>
        </w:rPr>
        <w:t>Mr. Whitehurst was appointed Chief Financial Officer of Energy Transfer in January 2021. From August 2014 through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he served as Executive Vice President – Head of Tax. Prior to joining Energy Transfer, Mr. Whitehurst was a partner in the Washington, DC office of Bingham McCutchen LLP and an attorney in the Washington, DC offices of both McKee Nelson LLP and Hogan &amp; Hartson. Mr. Whitehurst has specialized in partnership taxation and has advised ET and its subsidiaries in his role as outside counsel since 2006. He has served as a member of the board of directors of USAC since April 2018.</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Matthew S. Ramsey</w:t>
      </w:r>
      <w:r>
        <w:rPr>
          <w:rFonts w:ascii="Arial" w:cs="Arial" w:eastAsia="Arial" w:hAnsi="Arial"/>
          <w:sz w:val="17"/>
          <w:szCs w:val="17"/>
          <w:color w:val="auto"/>
        </w:rPr>
        <w:t>. Mr. Ramsey was appointed as a director of ET’s general partner in July 2012 and as a director of ETO’s general partner in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Mr. Ramsey has been the Chief Operating Officer or our general partner since October 2018 following the merger of Energy Transfer Equity, L.P. and Energy Transfer Partners, L.P., and currently serves as President and Chief Operating Officer of ETO’s general partner since November 2015. Mr. Ramsey also served as President and Chief Operating Officer and Chairman of the board of directors of PennTex Midstream Partners, LP’s general partner from November 2016 to July 2017. Mr. Ramsey is also a director of Sunoco LP, having served as chairman of Sunoco LP’s board since April 2015, and of USAC, having served on that board since April 2018. Mr. Ramsey previously served as President of RPM Exploration, Ltd., a private oil and gas exploration partnership, and previously served as a director of RSP Permian, Inc. where he served on the audit and compensation committees. Mr. Ramsey formerly served as President of DDD Energy, Inc. until its sale in 2002. From 1996 to 2000, Mr. Ramsey served as President and Chief Executive Officer of OEC Compression Corporation, Inc., a publicly traded oil field service company, providing gas compression services to a variety of energy clients. Previously, Mr. Ramsey served as Vice President of Nuevo Energy Company, an independent energy company. Additionally, he was employed by Torch Energy Advisors, Inc., a company providing management and operations services to energy companies including Nuevo Energy, last serving as Executive Vice President. Mr. Ramsey joined Torch Energy as Vice President of Land and was named Senior Vice President of Land in 1992. Mr. Ramsey holds a B.B.A. in Marketing from the University of Texas at Austin and a J.D. from South Texas College of Law. Mr. Ramsey is a graduate of Harvard Business School Advanced Management Program. Mr. Ramsey is licensed to practice law in the State of Texas. He is qualified to practice in the Western District of Texas and the United States Court of Appeals for the Fifth Circuit. Mr. Ramsey formerly served as a director of Southern Union Company. Mr. Ramsey was selected to serve based on vast experience in the oil and gas space and ET believes that he provides valuable industry insight as a member of our Board of Directors.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Thomas P. Mason</w:t>
      </w:r>
      <w:r>
        <w:rPr>
          <w:rFonts w:ascii="Arial" w:cs="Arial" w:eastAsia="Arial" w:hAnsi="Arial"/>
          <w:sz w:val="18"/>
          <w:szCs w:val="18"/>
          <w:color w:val="auto"/>
        </w:rPr>
        <w:t>. Mr. Mason became Executive Vice President and General Counsel of the general partner of ET in December 2015, and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 Vice President, General Counsel and President - LNG since October 2018 following the merger of Energy Transfer Equity, L.P. and Energy Transfer Partners, L.P. In February 2021, Mr. Mason assumed leadership responsibility over the Partnership’s new Alternative Energy Group, which focuses on the development of alternative energy projects aimed at continuing to reduce ET’s environmental footprint throughout its operations. Mr. Mason also served as a director of PennTex Midstream Partners, LP’s general partner from November 2016 to July 2017. Mr. Mason previously served as Senior Vice President, General Counsel and Secretary of ETO’s general partner from April 2012 to December 2015, as Vice President, General Counsel and Secretary from June 2008 and as General Counsel and Secretary from February 2007. Prior to joining ETO, he was a partner in the Houston office of Vinson &amp; Elkins. Mr. Mason has specialized in securities offerings and mergers and acquisitions for more than 25 years. Mr. Mason also served on the Board of Directors of the general partner of Sunoco Logistics from October 2012 to April 2017 and has served on the Board of Directors of USAC since April 2018.</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John W. McReynolds</w:t>
      </w:r>
      <w:r>
        <w:rPr>
          <w:rFonts w:ascii="Arial" w:cs="Arial" w:eastAsia="Arial" w:hAnsi="Arial"/>
          <w:sz w:val="16"/>
          <w:szCs w:val="16"/>
          <w:color w:val="auto"/>
        </w:rPr>
        <w:t>. Mr. McReynolds became Special Advisor to ET in October 2018 and served in that role until February 2021. Prior to that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McReynolds served as our President from March 2005 until October 2018. He has served as a Director since August 2005. He served as our Chief Financial Officer from August 2005 to June 2013, and previously served as a Director of ETO’s general partner from August 2001 through May 2010. Mr. McReynolds has been in the energy industry for his entire career. Prior to joining Energy Transfer, Mr. McReynolds was in private law practice for over 20 years, specializing exclusively in energy-related finance, securities, corporations and partnerships, mergers and acquisitions, syndications, and a wide variety of energy-related litigation. His practice dealt with all forms of fossil fuels, and the transportation and handling thereof, together with the financing and structuring of all forms of business entities related thereto. Mr. McReynolds was selected to serve in the indicated roles with the Energy Transfer partnerships because of this extensive background and experience, as well as his many contacts and relationships in the industry.</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 Troy Sturrock. </w:t>
      </w:r>
      <w:r>
        <w:rPr>
          <w:rFonts w:ascii="Arial" w:cs="Arial" w:eastAsia="Arial" w:hAnsi="Arial"/>
          <w:sz w:val="16"/>
          <w:szCs w:val="16"/>
          <w:color w:val="auto"/>
        </w:rPr>
        <w:t>Mr. Sturrock is the Senior Vice President and Controller of our general partner having assumed that role in October 2018 following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of Energy Transfer Equity, L.P. and Energy Transfer Partners, L.P. He has served as the Senior Vice President and Controller of the general partner of ETO since August 2016 and previously served as Vice President and Controller of our General Partner beginning in June 2015. Mr. Sturrock also served as a Senior Vice President of PennTex Midstream Partners, LP’s general partner, from November 2016 until July 2017, and as its Controller and Principal Accounting Officer from January 2017 until July 2017. Mr. Sturrock previously served as Vice President and Controller of Regency GP LLC from February 2008, and in November 2010 was appointed as the principal accounting officer. From June 2006 to February 2008, Mr. Sturrock served as the Assistant Controller and Director of financial reporting and tax for Regency GP LLC. Mr. Sturrock is a Certified Public Accountant.</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Steven R. Anderson. </w:t>
      </w:r>
      <w:r>
        <w:rPr>
          <w:rFonts w:ascii="Arial" w:cs="Arial" w:eastAsia="Arial" w:hAnsi="Arial"/>
          <w:sz w:val="18"/>
          <w:szCs w:val="18"/>
          <w:color w:val="auto"/>
        </w:rPr>
        <w:t>Mr. Anderson was elected to the Board of Directors of our general partner in June 2018 and serves on the audit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Mr. Anderson began his career in the energy business in the early 1970's with Conoco in the Permian Basin area. He then spent some 25 years with ANR Pipeline and its successor, The Coastal Corporation, as a natural gas supply and midstream executive. He later was Vice President of Commercial Operations with Aquila Midstream and, upon the sale of that business to Energy Transfer in 2002, he became a part of the management team there.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six years prior to his retirement from Energy Transfer in October 2009, he served as Vice President of Mergers and Acquisitions. Since that time, he has been involved in private investments and has served on the boards of directors of the St. John Health System and Saint Simeon's Episcopal Home in Tulsa, Oklahoma, as well as various other community and civic organizations. Mr. Anderson also served as a member of the board of directors of Sunoco Logistics Partners L.P. from October 2012 until April 2017. Mr. Anderson was selected to serve on our Board of Directors based on his experience in the midstream energy industry generally, and his knowledge of Energy Transfer’s business specifically. Mr. Anderson also brings recent experience on audit and compensation committees of another publicly traded partnership.</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Richard D. Brannon. </w:t>
      </w:r>
      <w:r>
        <w:rPr>
          <w:rFonts w:ascii="Arial" w:cs="Arial" w:eastAsia="Arial" w:hAnsi="Arial"/>
          <w:sz w:val="16"/>
          <w:szCs w:val="16"/>
          <w:color w:val="auto"/>
        </w:rPr>
        <w:t>Mr. Brannon was appointed to the Board of Directors of our general partner in March 2016 and has served as the Chairman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 committee since April 2016. Mr. Brannon is the CEO of CH4 Energy II, CH4 Energy Six, and CH4 Energy-Finley Utah, LLC, all independent companies focused on horizontal oil and gas development. Mr. Brannon previously served on the board of directors of WildHorse Resource Development from its IPO in December 2016 until June 2018. Mr. Brannon also formerly served on the Board of Directors and as a member of the audit committee and compensation committee of Sunoco LP, Regency, OEC Compression and Cornerstone Natural Gas Corp. He has over 35 years of experience in the energy business, having started his career in 1981 with Texas Oil &amp; Gas. The members of our general partner selected Mr. Brannon to serve as director based on his knowledge of the energy industry and his experience as a director and audit and compensation committee member for other public companies.</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Ray C. Davis. </w:t>
      </w:r>
      <w:r>
        <w:rPr>
          <w:rFonts w:ascii="Arial" w:cs="Arial" w:eastAsia="Arial" w:hAnsi="Arial"/>
          <w:sz w:val="16"/>
          <w:szCs w:val="16"/>
          <w:color w:val="auto"/>
        </w:rPr>
        <w:t>Mr. Davis was appointed to the Board of Directors of the general partner of Energy Transfer LP in July 2018 and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Energy Transfer Partners, L.L.C. from February 2018 until July 2018. From February 2013 until February 2018, Mr. Davis was an independent investor. He has also been a principal owner, and served as co-chairman of the board of directors, of the Texas Rangers major league baseball club since August 2010. Mr. Davis previously served on the Board of Directors of Energy Transfer LP (formerly Energy Transfer Equity, L.P.), effective upon the closing of its IPO in February 2006 until his resignation in February 2013. Mr. Davis also served as ETO’s Co-Chief Executive Officer from the combination of the midstream and transportation operations and the retail propane operations in January 2004 until his retirement from these positions in August 2007, and as the Co-Chairman of the Board of Directors of our general partner from January 2004 until June 2011. Mr. Davis also held various executive positions with Energy Transfer prior to 2004. From 1996 to 2000, he served as a Director of Crosstex Energy, Inc. From 1993 to 1996, he served as Chairman of the Board of Directors and Chief Executive Officer of Cornerstone Natural Gas, Inc. Mr. Davis was selected to serve as director based on his over 40 years of business experience in the energy industry and his expertise in the Partnership’s asset portfolio.</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Michael K. Grimm. </w:t>
      </w:r>
      <w:r>
        <w:rPr>
          <w:rFonts w:ascii="Arial" w:cs="Arial" w:eastAsia="Arial" w:hAnsi="Arial"/>
          <w:sz w:val="17"/>
          <w:szCs w:val="17"/>
          <w:color w:val="auto"/>
        </w:rPr>
        <w:t>Mr. Grimm was appointed to the Board of Directors of our general partner in October 2018, and has served on the audit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since that time. Prior to that time, Mr. Grimm served as a director of ETO’s general partner beginning in December 2005, and served on the audit and compensation committee during that time. Mr. Grimm is one of the original founders of Rising Star Energy, L.L.C., a privately held upstream exploration and production company active in onshore continental United States, and served as its President and Chief Executive Officer from 1995 until 2006 when it was sold. Mr. Grimm is currently President of Rising Star Petroleum, LLC. Mr. Grimm was formerly Chairman of the Board of RSP Permian, Inc. (NYSE: RSPP) from January 2014 until June 2018. From November 2018 until it was sold in 2019, Mr. Grimm served on the Board of Directors of Anadarko Petroleum Corporation. Prior to the formation of Rising Star, Mr. Grimm was Vice President of Worldwide Exploration and Land for Placid Oil Company from 1990 to 1994. Prior to joining Placid Oil Company, Mr. Grimm was employed by Amoco Production Company for thirteen years where he held numerous positions throughout the exploration department in Houston, New Orleans and Chicago. Mr. Grimm has been an active member of the American Association of Professional Landmen, Dallas Wildcat Committee, Dallas Producers Club, and the All-American Wildcatters. He has a B.B.A. from the University of Texas at Austin. Mr. Grimm was selected to serve as a director because of his extensive experience in the energy industry and his service as a senior executive at several energy-related companies, in addition to his contacts in the industry gained through his involvement in energy-related organizations.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James R. (Rick) Perry. </w:t>
      </w:r>
      <w:r>
        <w:rPr>
          <w:rFonts w:ascii="Arial" w:cs="Arial" w:eastAsia="Arial" w:hAnsi="Arial"/>
          <w:sz w:val="16"/>
          <w:szCs w:val="16"/>
          <w:color w:val="auto"/>
        </w:rPr>
        <w:t>Mr. Perry was appointed to the Board of Directors of our general partner in January 2020. He formerly served as U.S. Secretary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from March 2017 until December 2019. Prior to that, he served as the Governor of the State of Texas from 2000 until January 2015. Mr. Perry served as Lieutenant Governor of Texas from 1998 to 2000, and as Agriculture Commissioner from 1991 to 1998. Prior to 1991, he also served in the Texas House of Representatives. Mr. Perry previously served on the Board of Directors of Energy Transfer Operating, L.P. (formerly Energy Transfer Partners, L.P.) from February 2015 until December 2016. Mr. Perry was selected to serve as a director because of his vast experience as an executive in the highest office of state government. In addition, Mr. Perry has been involved in finance and budget planning processes throughout his career in government as a member of the Texas House Appropriations Committee, the Legislative Budget Board and as Governor.</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Ray W. Washburne. </w:t>
      </w:r>
      <w:r>
        <w:rPr>
          <w:rFonts w:ascii="Arial" w:cs="Arial" w:eastAsia="Arial" w:hAnsi="Arial"/>
          <w:sz w:val="18"/>
          <w:szCs w:val="18"/>
          <w:color w:val="auto"/>
        </w:rPr>
        <w:t>Mr. Washburne was appointed to the Board of Directors of our general partner in April 2019. He is currently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Charter Holdings, Inc., a Dallas-based investment company involved in real estate, restaurants and diversified financial investments. In addition, he currently serves on the President’s Intelligence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Advisory Board (PIAB). From August 2017 to February 2019, Mr. Washburne served as the President and Chief Executive Officer of the Overseas Private Investment Corporation (OPIC), the United States government’s development finance institution. From 2000 to 2017, Mr. Washburne served on the board of directors of Veritex Holdings, Inc. (Nasdaq: VBTX), a Texas -based bank holding company that conducts banking activities through its subsidiary, Veritex Community Bank. He has also served as an adjunct professor at the Cox School of Business at Southern Methodist University. Mr. Washburne is also a member of the Republican Governors Association Executive Roundtable, the American Enterprise Institute, the Council on Foreign Relations, and is on the Advisory Board of the United States Southern Command. Mr. Washburne was selected to serve on the Board of Directors because of his expertise in international finance, his relationships in government, and his experience on the board of a publicly traded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General Partner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does not receive any management fee or other compensation in connection with its management of the Partnership.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16(a) of the Securities Exchange Act of 1934 requires the directors and executive officers of our general partner, as well as persons who own more than ten percent of the common units representing limited partnership interests in us, to file reports of ownership and changes of ownership on Forms 3, 4 and 5 with the SEC. The SEC regulations also require that copies of these Section 16(a) reports be furnished to us by such reporting persons. Based upon a review of copies of these reports, we believe all applicable Section 16(a) reports were timely filed in 2020.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a limited partnership, we are managed by our General Partner. Our General Partner is majority owned by Mr. Kelcy Warren.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100% of ETP GP and its general partner, ETP LLC. We refer to ETP GP and ETP LLC together as the “ETP GP Entities.” ETP GP is the general partner of 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ET does not have officers or directors. Instead, we are managed by the board of directors of our General Partner, and the executive officers of our General Partner perform all of ET’s management functions. As a result, the executive officers of our General Partner are ET’s executive officers, and their compensation is administered by our General Partner. This Compensation Discussion and Analysis is, therefore, focused on the total compensation of the executive officers of our General Partner as set forth below. The persons we refer to in this discussion as our “named executive officers” are the following:</w:t>
      </w:r>
    </w:p>
    <w:p>
      <w:pPr>
        <w:spacing w:after="0" w:line="103"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Kelcy L. Warren, Executive Chairman and Chief Executive Officer during 2020 (Executive Chairman effective January 1, 2021);</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Thomas E. Long, Chief Financial Officer during 2020 (Co-Chief Executive Officer effective January 1, 2021);</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Marshall S. (Mackie) McCrea, III, President and Chief Commercial Officer during 2020 (Co-Chief Executive Officer effective January 1, 2021);</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Matthew S. Ramsey, Chief Operating Officer;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Thomas P. Mason, Executive Vice President, General Counsel and President — LNG.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2021, Mr. Warren assumed the role of Executive Chairman, and Messrs. Long and McCrea were appointed Co-Chief Executive Officers.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Bradford D. Whitehurst was appointed Chief Financial Officer of our General Partner effective January 8, 2021. Mr. Whitehurst is excluded from the compensation discussion and analysis and compensation tables herein, as he was not a named executive officer during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Philosophy for Compensation of Executives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general, our General Partner’s philosophy for executive compensation is based on the premise that a significant portion of each executive’s compensation should be incentive-based or “at-risk” compensation and that executives’ total compensation levels should be highly competitive in the marketplace for executive talent and abilities. Our General Partner seeks a total compensation program for its executive officers, including the named executive officers, that provides for a slightly below the median market annual base compensation (i.e. approximately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to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market) but incentive-based compensation composed of a combination of compensation vehicles to reward both short and long-term performance that are both targeted to pay-out at approximately the top-quartile of market. Our General Partner believes the incentive-based balance is achieved by (i) the payment of annual discretionary cash bonuses that consider the achievement of the Partnership’s financial performance objectives for a fiscal year set at the beginning of such fiscal year and the individual contributions of its executive officers, including the named executive officers to the success of the Partnership and the achievement of the annual financial performance objectives and (ii) the annual grant of time-based restricted unit, phantom unit awards or cash restricted unit awards under the Partnership’s equity incentive plan(s) or the equity incentive programs of Sunoco LP, as applicable based on the allocation of executive officers awards, including awards to the named executive officers, which awards are intended to provide a longer term incentive and retention value to its key employees to focus their efforts on increasing the market price of its publicly traded units and to increase the cash distribution the Partnership and/or the other affiliated partnerships pay to their respective unitholders.</w:t>
      </w:r>
    </w:p>
    <w:p>
      <w:pPr>
        <w:spacing w:after="0" w:line="13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Partnership has historically granted restricted unit and/or phantom unit awards (“RSUs”) that vest, based generally upon continued employment, at a rate of 60% after the third year of service and the remaining 40% after the fifth year of service. In 2020, ET also granted cash restricted units (“CRSUs”) that vest, based generally upon continued employment, at a rate of 1/3 annually over a three-year period. For 2020, the awards to employees were generally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split equally between RSUs and CRSUs. The Partnership believes that these equity-based incentive arrangements are important in attracting and retaining executive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officers and key employees as well as motivating these individuals to achieve stated business objectives. The equity-based compensation reflects the importance our General Partner places on aligning the interests of its named executive officers with those of Unitholders.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below, our compensation committee and/or the compensation committee of the general partner of Sunoco LP, as applicable, all in consultation with our General Partner, are responsible for the compensation policies and compensation level of our executive officers, including the named executive officers of our General Partner. In this discussion, we refer to our compensation committee as the “ET Compensation Committee.”</w:t>
      </w:r>
    </w:p>
    <w:p>
      <w:pPr>
        <w:spacing w:after="0" w:line="111" w:lineRule="exact"/>
        <w:rPr>
          <w:sz w:val="20"/>
          <w:szCs w:val="20"/>
          <w:color w:val="auto"/>
        </w:rPr>
      </w:pPr>
    </w:p>
    <w:p>
      <w:pPr>
        <w:ind w:right="980"/>
        <w:spacing w:after="0" w:line="438" w:lineRule="auto"/>
        <w:rPr>
          <w:sz w:val="20"/>
          <w:szCs w:val="20"/>
          <w:color w:val="auto"/>
        </w:rPr>
      </w:pPr>
      <w:r>
        <w:rPr>
          <w:rFonts w:ascii="Arial" w:cs="Arial" w:eastAsia="Arial" w:hAnsi="Arial"/>
          <w:sz w:val="18"/>
          <w:szCs w:val="18"/>
          <w:color w:val="auto"/>
        </w:rPr>
        <w:t xml:space="preserve">For a more detailed description of the compensation to the Partnership’s named executive officers, please see “– Compensation Tables” below. </w:t>
      </w:r>
      <w:r>
        <w:rPr>
          <w:rFonts w:ascii="Arial" w:cs="Arial" w:eastAsia="Arial" w:hAnsi="Arial"/>
          <w:sz w:val="18"/>
          <w:szCs w:val="18"/>
          <w:b w:val="1"/>
          <w:bCs w:val="1"/>
          <w:i w:val="1"/>
          <w:iCs w:val="1"/>
          <w:color w:val="auto"/>
        </w:rPr>
        <w:t>Distributions to Our General Partner</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General Partner is majority-owned by Mr. Warren. We pay quarterly distributions to our General Partner in accordance with our partnership agreement with respect to its ownership of its general partner interest as specified in our partnership agreement. The cash distributions we make to our General Partner bear no relationship to the level or components of compensation of our General Partner’s executive officers. Distributions to our General Partner are described in detail in Note 8 to our consolidated financial statements. Our named executive officers also own directly and indirectly certain of our limited partner interests and, accordingly, receive quarterly distributions. Such per unit distributions equal the per unit distributions made to all our limited partners and bear no relationship to the level of compensation of the named executive officers or the services they perform as employees.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a more detailed description of the compensation of our named executive officers, please see “Compensation Tables”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structured to achieve the following:</w:t>
      </w:r>
    </w:p>
    <w:p>
      <w:pPr>
        <w:spacing w:after="0" w:line="171" w:lineRule="exact"/>
        <w:rPr>
          <w:sz w:val="20"/>
          <w:szCs w:val="20"/>
          <w:color w:val="auto"/>
        </w:rPr>
      </w:pPr>
    </w:p>
    <w:p>
      <w:pPr>
        <w:ind w:left="340" w:hanging="332"/>
        <w:spacing w:after="0" w:line="277" w:lineRule="auto"/>
        <w:tabs>
          <w:tab w:leader="none" w:pos="3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reward executives with an industry-competitive total compensation package of base salaries and significant incentive opportunities yielding a total compensation package approaching the top-quartile of the market;</w:t>
      </w:r>
    </w:p>
    <w:p>
      <w:pPr>
        <w:spacing w:after="0" w:line="116"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attract, retain and reward talented executive officers and key management employees by providing total compensation competitive with that of other executive officers and key management employees employed by publicly traded limited partnerships of similar size and in similar lines of business;</w:t>
      </w:r>
    </w:p>
    <w:p>
      <w:pPr>
        <w:spacing w:after="0" w:line="69" w:lineRule="exact"/>
        <w:rPr>
          <w:rFonts w:ascii="Arial" w:cs="Arial" w:eastAsia="Arial" w:hAnsi="Arial"/>
          <w:sz w:val="16"/>
          <w:szCs w:val="16"/>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motivate executive officers and key employees to achieve strong financial and operational performance;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emphasize performance-based, or “at-risk,” compensation;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reward individual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the compensation paid to our named executive officers consisted of the following components:</w:t>
      </w:r>
    </w:p>
    <w:p>
      <w:pPr>
        <w:spacing w:after="0" w:line="171"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non-equity incentive plan compensation consisting solely of discretionary cash bonuses;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time-vested restricted/phantom unit awards and cash restricted units under the equity incentive plan(s);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 of distribution equivalent rights (“DERs”) on unvested time-based restricted unit awards under our equity incentive plan;</w:t>
      </w:r>
    </w:p>
    <w:p>
      <w:pPr>
        <w:spacing w:after="0" w:line="171"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vesting of previously issued time-based restricted unit and/or phantom unit awards issued pursuant to our equity incentive plans or the equity incentive plans(s) of affiliates;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401(k) plan employer contributions.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ET Compensation Committee considers relevant data available to it to assess our competitive position with respect to base salary, annual short-term incentives and long-term incentive compensation for our executive officers, including the named executive officers. The ET Compensation Committee also considers individual performance, levels of responsibility, skills and experience.</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the ET Compensation Committee engages a third-party independent compensation consultant to provide a full market competitive compensation analysis for compensation levels at peer companies in order to assist in the determination of compensation levels for our executive officers, including the named executive officers. Most recently, Longnecker &amp; Associates (“Longnecker”) evaluated the market competitiveness of total compensation levels of a number of officers of the Partnership to provide market information with respect to compensation of those executives during the year ended December 31, 2019. In particular, the review by Longnecker was designed to (i) evaluate the market competitiveness of total compensation levels for certain members of senior management, including our named executive officers; (ii) assist in the determination of appropriate compensation levels for our senior management, including the named executive officers; and (iii) confirm that our compensation programs were yielding compensation packages consistent with our overall compensation philosophy.</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conducting its review, Longnecker specifically considered the larger size of the combined ET entities from an energy industry perspective. During 2019, Longnecker assisted in the development of the final “peer group” of leading companies in the energy industry that most closely reflect the profile of ET in terms of revenues, assets and market value as well as competition for talent at the senior management level and similarly situated general industry companies with similar revenues, assets and market value. In setting such peer group, the size of ET on a combined basis was considered. As part of the evaluation conducted by Longnecker, a determination was made to focus the analysis specifically on the energy industry peers. This decision was based on a determination that an energy industry peer group provided a more than sufficient amount of comparative data to consider and evaluate total compensation. This focus allowed Longnecker to report on specific industry related data comparing the levels of annual base salary, annual short-term cash bonus and long-term equity incentive awards at industry peer group companies with those of the named executive officers to ensure that compensation of the named executive officers is both consistent with the compensation philosophy and competitive with the compensation for executive officers of these other companies. The identified companies were: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Energy Peer Group:</w:t>
            </w:r>
          </w:p>
        </w:tc>
        <w:tc>
          <w:tcPr>
            <w:tcW w:w="7080" w:type="dxa"/>
            <w:vAlign w:val="bottom"/>
          </w:tcPr>
          <w:p>
            <w:pPr>
              <w:spacing w:after="0"/>
              <w:rPr>
                <w:sz w:val="20"/>
                <w:szCs w:val="20"/>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Conoco Phillips</w:t>
            </w:r>
          </w:p>
        </w:tc>
        <w:tc>
          <w:tcPr>
            <w:tcW w:w="70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 Marathon Petroleum Corporation</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 Enterprise Products Partners, L.P.</w:t>
            </w:r>
          </w:p>
        </w:tc>
        <w:tc>
          <w:tcPr>
            <w:tcW w:w="7080" w:type="dxa"/>
            <w:vAlign w:val="bottom"/>
          </w:tcPr>
          <w:p>
            <w:pPr>
              <w:ind w:left="1520"/>
              <w:spacing w:after="0"/>
              <w:rPr>
                <w:sz w:val="20"/>
                <w:szCs w:val="20"/>
                <w:color w:val="auto"/>
              </w:rPr>
            </w:pPr>
            <w:r>
              <w:rPr>
                <w:rFonts w:ascii="Arial" w:cs="Arial" w:eastAsia="Arial" w:hAnsi="Arial"/>
                <w:sz w:val="18"/>
                <w:szCs w:val="18"/>
                <w:color w:val="auto"/>
              </w:rPr>
              <w:t>• Kinder Morgan, Inc.</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Plains All American Pipeline, L.P.</w:t>
            </w:r>
          </w:p>
        </w:tc>
        <w:tc>
          <w:tcPr>
            <w:tcW w:w="70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 The Williams Companies, Inc.</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 Valero Energy Corporation</w:t>
            </w:r>
          </w:p>
        </w:tc>
        <w:tc>
          <w:tcPr>
            <w:tcW w:w="7080" w:type="dxa"/>
            <w:vAlign w:val="bottom"/>
          </w:tcPr>
          <w:p>
            <w:pPr>
              <w:ind w:left="1520"/>
              <w:spacing w:after="0"/>
              <w:rPr>
                <w:sz w:val="20"/>
                <w:szCs w:val="20"/>
                <w:color w:val="auto"/>
              </w:rPr>
            </w:pPr>
            <w:r>
              <w:rPr>
                <w:rFonts w:ascii="Arial" w:cs="Arial" w:eastAsia="Arial" w:hAnsi="Arial"/>
                <w:sz w:val="18"/>
                <w:szCs w:val="18"/>
                <w:color w:val="auto"/>
              </w:rPr>
              <w:t>• Phillips 66</w:t>
            </w:r>
          </w:p>
        </w:tc>
      </w:tr>
    </w:tbl>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analysis provided by Longnecker in 2019 covered all major components of total compensation, including annual base salary, annual short-term cash bonus and long-term incentive awards for the senior executives of these companies. In preparing the review materials, Longnecker utilized generally accepted compensation principles as determined by WorldatWork and gathered data from public disclosures of peer companies, including 10-K and proxy data and published survey data from multiple sources that are relevant to ET’s peer group, industry, financial size and operational breadth. The Longnecker review process also included significant engagement with management to fully understand job scope, responsibilities and roles of each of the executive officers, which discussions allow Longnecker the ability to completely evaluate specific aspects of an executive officer’s position to allow for more accurate comparisons.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Longnecker’s 2019 review, the ET Compensation Committee reviewed the information provided, including Longnecker’s specific conclusions and recommended considerations for all compensation going forward. The ET Compensation Committee considered and reviewed the results of the study performed by Longnecker to determine if the results indicated that the compensation programs were yielding a competitive total compensation model prioritizing incentive-based compensation and rewarding achievement of short and long-term performance objectives and considered Longnecker’s conclusions and recommendations. While Longnecker found that the Partnership is achieving its stated objectives with respect to the “at-risk” approach, they also found that certain adjustments could be considered moving forward to allow the Partnership to continue to achieve its targeted percentiles on base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and incentive compensation (short and long-term). Longnecker’s suggested adjustments as part of the 2019 were not implemented in 2020 as management and the ET Compensation Committee determined to postpone any changes in light of the impacts of the COVID-19 pandemic on ET and on the global energy market.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information received as part of Longnecker’s 2019 review, the ET Compensation Committee also utilizes information obtained from other sources in its determination of compensation levels for our named executive officers, such as annual third party surveys, although third party survey data is not used by the ET Compensation Committee to benchmark the amount of total compensation or any specific element of compensation for the named executive officers.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2019 compensation analysis for executive officers, Longnecker also provided advice and feedback on certain other matters, including the appropriateness, targets and composition of the annual equity award pools and the annual bonus awards under the Energy Transfer Annual Bonus Plan (the “Bonus Plan”) and benchmarking on certain non-named executive officer hires and promotions.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2020, Longnecker also provided advice and recommendations on the total compensation packages for Messrs. McCrea and Long in connection with their joint appointment as Co-Chief Executive Officers, including with respect to certain one-time equity and cash awards, as applicable.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designed to provide for a competitive fixed level of pay that attracts and retains executive officers and compensates them for</w:t>
      </w:r>
      <w:r>
        <w:rPr>
          <w:rFonts w:ascii="Arial" w:cs="Arial" w:eastAsia="Arial" w:hAnsi="Arial"/>
          <w:sz w:val="17"/>
          <w:szCs w:val="17"/>
          <w:i w:val="1"/>
          <w:iCs w:val="1"/>
          <w:color w:val="auto"/>
        </w:rPr>
        <w:t xml:space="preserve"> </w:t>
      </w:r>
      <w:r>
        <w:rPr>
          <w:rFonts w:ascii="Arial" w:cs="Arial" w:eastAsia="Arial" w:hAnsi="Arial"/>
          <w:sz w:val="17"/>
          <w:szCs w:val="17"/>
          <w:color w:val="auto"/>
        </w:rPr>
        <w:t>their level of responsibility and sustained individual performance (including experience, scope of responsibility and results achieved). The salaries of the named executive officers are reviewed on an annual basis. As discussed above, the base salaries of our named executive officers are targeted to yield an annual base salary slightly below the median level of market (i.e. approximately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to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market) and are determined by the ET Compensation Committee after taking into account the recommendations of Mr. Warren.</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merit review process, the ET Compensation Committee considers the recommendations of Mr. Warren, any relevant compensation study data (with the data aged as appropriate) and the merit increase pool set for all employees of the Partnership and/or its employing affiliates. During 2020, given the challenging conditions within the industry, including the impacts of the COVID-19 pandemic, the ET Compensation Committee did not approve any increases to base salaries of the named executive officers. Thus, 2020 base salaries for the named executive officers were consistent with the prior year amounts: $1,114,555 for Mr. McCrea; $600,000 for Mr. Long; $696,598 for Mr. Ramsey; and $631,396 for Mr. Mason. Mr. Warren has voluntarily determined that his salary will be $1.00 per year (plus an amount sufficient to cover his allocated payroll deductions for health and welfare benefits).</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their promotions to Co-Chief Executive Officer effective January 1, 2021, the ET Compensation Committee approved increases in the annual base salaries of Messrs. McCrea and Long to $1,300,000.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In addition to base salary, the ET Compensation Committee makes determinations whether to make discretionary annual cash bonus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to executives, including our named executive officers, following the end of the year under the Bonus Plan.</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Bonus Plan is a discretionary annual cash bonus plan available to all employees, including the named executive officers. The purpose of the Bonus Plan is to reward employees for contributions towards the Partnership’s business goals and to aid in motivating employees. The Bonus Plan is administered by the ET Compensation Committee and the ET Compensation Committee has the authority to establish and interpret the rules and regulations relating to the Bonus Plan, to select participants, to determine and approve the size of any actual award amount, to make all determinations, including factual determinations, under the Bonus Plan, and to take all other actions necessary or appropriate for the proper administration of the Bonus Plan.</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each calendar year (the “Performance Period”), the ET Compensation Committee will evaluate and determine an overall funded cash bonus pool based on achievement of (i) an internal Adjusted EBITDA target (“Adjusted EBITDA Target”), (ii) an internal distributable cash flow target (“DCF Target”) and</w:t>
      </w:r>
    </w:p>
    <w:p>
      <w:pPr>
        <w:jc w:val="both"/>
        <w:ind w:firstLine="8"/>
        <w:spacing w:after="0" w:line="267" w:lineRule="auto"/>
        <w:tabs>
          <w:tab w:leader="none" w:pos="32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performance of each department compared to the applicable departmental budget (“Departmental Budget Target”). The Adjusted EBITDA Target and the DCF Target are defined for purposes of the Bonus Plan using the same definitions as used in the Partnership’s audited financial statements included in its annual and quarterly filings on Forms 10-K and 10-Q for the terms Adjusted EBITDA and Distributable Cash Flow. The performance criteria are weighted 60% on the achievement of the Adjusted EBITDA Target, 20% on the achievement of the DCF Target and 20% on the achievement of the Departmental Budget Target (collectively, “Budget Targets”). The total amount of cash to be allocated to the funded bonus pool will range from 0% to 120% for each of the budgeted DCF Target and Adjusted EBITDA Target and will range from 0% to 100% of the Departmental Budget Target. The maximum funding of the bonus pool is 116% of the total pool target and to achieve such funding each of the Adjusted EBITDA and the DCF Target must achieve 120% funding and the Department Budget target must achieve its 100% target. While the funded bonus pool will reflect an aggregation of performance under each target, in the event performance under the Adjusted EBITDA Target is below 80% of its target, no bonus pool will be funded. If the bonus pool is funded, a participant may earn a cash award for the Performance Period based upon the level of attainment of the Budget Targets and his or her individual performance. Awards are paid in cash as soon as practicable after the end of the Performance Period but in no event later than two and one-half months after the end of the Performance Period.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achievement of the Budget Targets sets a bonus pool under the Bonus Plan, actual bonus awards are discretionary. These discretionary bonuses, if awarded, are intended to reward our named executive officers for the achievement of the Budget Targets during the Performance Period in light of the contribution of each individual to our profitability and success during such year. The ET Compensation Committee also considers the recommendation of Mr. Warren in determining the specific annual cash bonus amounts for each of the named executive officers. The ET Compensation Committee does not establish its own financial performance objectives in advance for purposes of determining whether to approve any annual bonuses, and it does not utilize any formulaic approach to determine annual bonuses.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2020, the ET Compensation Committee approved short-term annual cash bonus pool targets for Mr. McCrea of 160% of his annual base earnings and for Messrs. Long, Ramsey and Mason of 130% of their annual base earnings. The named executive officer bonus pool targets remained the same for the 2020 Performance Period as they were for the 2019 period. In connection with their promotions to Co-Chief Executive Officer effective January 1, 2021, the ET Compensation Committee established bonus pool targets for Messrs. McCrea and Long of 160% of their annual base earnings.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respect of a 2020 bonus pool funding, executive management recommended to the Compensation Committee that the bonus be paid at a 0% payout. This recommendation was made in consideration of a number of factors including (i) the challenging conditions within the industry, specifically the impacts of the COVID-19 pandemic on ET and the global energy market; (ii) the impact of market conditions on current capital projects and certain planned future capital growth projects; and (ii) the reduction of quarterly cash distributions payable to ET common unit holders by 50% in 2020. After considering quantitative and qualitative factors, including performance level achieved, the Compensation Committee exercised its negative discretion, to award a 0% payout of the non-equity incentive bonus.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ET maintains and operates (i) the Second Amended and Restated Energy Transfer LP 2008 Incentive Plan (the “2008 Incentive Plan”); (ii)</w:t>
      </w:r>
      <w:r>
        <w:rPr>
          <w:rFonts w:ascii="Arial" w:cs="Arial" w:eastAsia="Arial" w:hAnsi="Arial"/>
          <w:sz w:val="17"/>
          <w:szCs w:val="17"/>
          <w:i w:val="1"/>
          <w:iCs w:val="1"/>
          <w:color w:val="auto"/>
        </w:rPr>
        <w:t xml:space="preserve"> </w:t>
      </w:r>
      <w:r>
        <w:rPr>
          <w:rFonts w:ascii="Arial" w:cs="Arial" w:eastAsia="Arial" w:hAnsi="Arial"/>
          <w:sz w:val="17"/>
          <w:szCs w:val="17"/>
          <w:color w:val="auto"/>
        </w:rPr>
        <w:t>the Energy Transfer LP 2011 Long-Term Incentive Plan (the “2011 Incentive Plan”); the (iii) Energy Transfer LP 2015 Long-Term Incentive Plan (the “2015 Plan”); (iv) the Amended and Restated Energy Transfer LP Long-Term Incentive Plan (the “ET Plan,” together with the 2008 Incentive Plan, the 2011 Incentive Plan and the 2015 Plan, the “ET Incentive Plans”). The ET Incentive Plans authorize the ET Compensation Committee, in its discretion, to grant awards, as applicable, under each respective plan of RSUs upon such terms and conditions as it may determine appropriate and in accordance with general guidelines as defined by the ET Incentive Plans. ET has generally used time-vested restricted units and/or phantom units as the vehicle for its annual equity awards to eligible employees, including the named executive officers.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2020, ET adopted the Energy Transfer LP Long-Term Cash Restricted Unit Plan (the “CRU Plan”). The CRU Plan authorizes the ET Compensation Committee, in its discretion, to grant awards, as applicable, of CRSUs, upon such terms and conditions as it may determine appropriate and in accordance with general guidelines as defined by the CRU Plan. Like awards from the ET Incentive Plans, awards from the CRU Plan will be used to incentivize and reward eligible employees over a long-term basis, and the CRU Plan is included for purposes of these discussions as an “ET Incentive Plan.”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2020, the annual long-term incentive targets set by the ET Compensation Committee for the named executive officers were 900% of annual base salary for Mr. McCrea and 500% of annual base salary for Messrs. Long, Ramsey and Mason. The targets of the named executive officers were the same as the prior year’s targets.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annual long-term incentive targets are used as the basis to determine the target number of units to be awarded to the eligible participant, including the named executive officers. A multiple of base salary is used to set the pool target, that number is then divided by a weighted average price determined by considering ET’s modified total unitholder return “(TUR”) performance as measured against the average return of ET’s identified peer group over defined time periods. The modified TUR is designed to create a recognition of a performance adjustment to the equity awards based on the prior periods measured</w:t>
      </w:r>
    </w:p>
    <w:p>
      <w:pPr>
        <w:spacing w:after="0" w:line="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add an element of performance impact in setting grant date value even though the RSUs and CRSUs themselves are a time-vested vehicle. For purposes of establishing an initial price, ET utilizes a 60 trading-day trailing weighted average price of ET common units prior to November 13, 2020. This average trading price is then subject to adjustment when ET’s TUR is more than 5% greater or less than that of its identified peer group. If the TUR analysis yields a result that is within 5% percent of its identified peer group, the ET Compensation Committee will simply use the 60 trading day trailing weighted average price divided by the applicable salary multiple to establish a target pool for each eligible participant, including the named executive officers. If ET’s TUR is outside of the 5% deviation, the 60 trading day trailing weighted average will be adjusted up or down to a maximum of 15% from the trailing weighted average price based on ET’s performance as compared to the identified group. For 2019, the peer group included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Enterprise Products Partners, L.P.</w:t>
            </w:r>
          </w:p>
        </w:tc>
        <w:tc>
          <w:tcPr>
            <w:tcW w:w="72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 Kinder Morgan, Inc.</w:t>
            </w:r>
          </w:p>
        </w:tc>
        <w:tc>
          <w:tcPr>
            <w:tcW w:w="20" w:type="dxa"/>
            <w:vAlign w:val="bottom"/>
          </w:tcPr>
          <w:p>
            <w:pPr>
              <w:spacing w:after="0"/>
              <w:rPr>
                <w:sz w:val="19"/>
                <w:szCs w:val="19"/>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 The Williams Companies, Inc.</w:t>
            </w:r>
          </w:p>
        </w:tc>
        <w:tc>
          <w:tcPr>
            <w:tcW w:w="7200" w:type="dxa"/>
            <w:vAlign w:val="bottom"/>
          </w:tcPr>
          <w:p>
            <w:pPr>
              <w:ind w:left="1640"/>
              <w:spacing w:after="0"/>
              <w:rPr>
                <w:sz w:val="20"/>
                <w:szCs w:val="20"/>
                <w:color w:val="auto"/>
              </w:rPr>
            </w:pPr>
            <w:r>
              <w:rPr>
                <w:rFonts w:ascii="Arial" w:cs="Arial" w:eastAsia="Arial" w:hAnsi="Arial"/>
                <w:sz w:val="18"/>
                <w:szCs w:val="18"/>
                <w:color w:val="auto"/>
              </w:rPr>
              <w:t>• Plains All American Pipeline, L.P.</w:t>
            </w:r>
          </w:p>
        </w:tc>
        <w:tc>
          <w:tcPr>
            <w:tcW w:w="2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Phillips 66 Partners LP</w:t>
            </w:r>
          </w:p>
        </w:tc>
        <w:tc>
          <w:tcPr>
            <w:tcW w:w="72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 MPLX LP</w:t>
            </w:r>
          </w:p>
        </w:tc>
        <w:tc>
          <w:tcPr>
            <w:tcW w:w="20" w:type="dxa"/>
            <w:vAlign w:val="bottom"/>
          </w:tcPr>
          <w:p>
            <w:pPr>
              <w:spacing w:after="0"/>
              <w:rPr>
                <w:sz w:val="19"/>
                <w:szCs w:val="19"/>
                <w:color w:val="auto"/>
              </w:rPr>
            </w:pPr>
          </w:p>
        </w:tc>
      </w:tr>
      <w:tr>
        <w:trPr>
          <w:trHeight w:val="850"/>
        </w:trPr>
        <w:tc>
          <w:tcPr>
            <w:tcW w:w="4020" w:type="dxa"/>
            <w:vAlign w:val="bottom"/>
          </w:tcPr>
          <w:p>
            <w:pPr>
              <w:spacing w:after="0"/>
              <w:rPr>
                <w:sz w:val="24"/>
                <w:szCs w:val="24"/>
                <w:color w:val="auto"/>
              </w:rPr>
            </w:pPr>
          </w:p>
        </w:tc>
        <w:tc>
          <w:tcPr>
            <w:tcW w:w="7200" w:type="dxa"/>
            <w:vAlign w:val="bottom"/>
          </w:tcPr>
          <w:p>
            <w:pPr>
              <w:jc w:val="right"/>
              <w:ind w:right="537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2020, the Partnership’s TUR underperformed the identified peer group by between 14% and 16% based on the average of the identified three comparison periods: (i) year-to-date 2020, (ii) trailing twelve months, and (iii) full-year 2019. Consequently, the 2020 long-term incentive base price was increased to reduce the total available restricted pool by approximately 15%.</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December 2020, the ET Compensation Committee in consultation with Mr. Warren approved grants of RSUs to Messrs. McCrea, Long, Ramsey and Mason of 746,350 units, 178,550 units, 207,300 units and 234,900 units, respectively. The ET Compensation Committee also approved grants of CRSUs to</w:t>
      </w:r>
    </w:p>
    <w:p>
      <w:pPr>
        <w:jc w:val="both"/>
        <w:spacing w:after="0" w:line="277" w:lineRule="auto"/>
        <w:rPr>
          <w:sz w:val="20"/>
          <w:szCs w:val="20"/>
          <w:color w:val="auto"/>
        </w:rPr>
      </w:pPr>
      <w:r>
        <w:rPr>
          <w:rFonts w:ascii="Arial" w:cs="Arial" w:eastAsia="Arial" w:hAnsi="Arial"/>
          <w:sz w:val="18"/>
          <w:szCs w:val="18"/>
          <w:color w:val="auto"/>
        </w:rPr>
        <w:t>Messrs. Long, Ramsey and Mason of 178,500, 207,300 and 234,900 units, respectively. As with base salary and annual bonus, Mr. Warren does not accept or receive annual long-term incentive awards.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more fully described below under “</w:t>
      </w:r>
      <w:r>
        <w:rPr>
          <w:rFonts w:ascii="Arial" w:cs="Arial" w:eastAsia="Arial" w:hAnsi="Arial"/>
          <w:sz w:val="17"/>
          <w:szCs w:val="17"/>
          <w:i w:val="1"/>
          <w:iCs w:val="1"/>
          <w:color w:val="auto"/>
        </w:rPr>
        <w:t>Affiliate and Subsidiary Equity Awards</w:t>
      </w:r>
      <w:r>
        <w:rPr>
          <w:rFonts w:ascii="Arial" w:cs="Arial" w:eastAsia="Arial" w:hAnsi="Arial"/>
          <w:sz w:val="17"/>
          <w:szCs w:val="17"/>
          <w:color w:val="auto"/>
        </w:rPr>
        <w:t>,” for 2020, in discussions between the General Partner, the ET Compensation Committee and the compensation committee of the general partner of Sunoco LP, it was determined that for 2020, Messrs. Long and Ramsey’s awards would be comprised of RSUs and CRSUs under the ET Incentive Plans and RSUs under the Sunoco LP 2018 Long-Term Incentive Plan (the “2018 Sunoco LP Plan”) in consideration of their roles and responsibilities for Sunoco LP and their status, as members of the Boards of Directors of the general partner of Sunoco LP. Messrs. Long and Ramsey’s total 2020 long-term awards were allocated approximately 80% to the ET Incentive Plans and approximately 20% to the 2018 Sunoco LP Plan. The awards of Messrs. McCrea and Mason for 2020 were allocated entirely to the ET Incentive Plans. While Mr. Long likely will not receive future long-term incentive awards under the 2018 Sunoco LP Plan in his role as Co-CEO, it is anticipated that Mr. Ramsey will continue to recognize an aggregation of RSUs and CRSUs under the ET Incentive Plans and the 2018 Sunoco LP Plan, as applicable. For purposes of establishing a pool value for awards to eligible participants, including Messrs. Ramsey and Long, Sunoco LP utilized the same practices in terms of peer group TUR analysis to set a grant date valuation.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RSUs granted in 2020 provide for incremental vesting over a five-year period, with 60% vesting at the end of the third year and the remaining 40% vesting at the end of the fifth year. Vesting of the awards are generally subject to continued employment through each specified vesting date. The RSU awards entitle the recipients to receive, with respect to each ET unit subject to such award that has not either vested or been forfeited, a DER cash payment promptly following each such distribution by ET to its common unitholders.</w:t>
      </w:r>
    </w:p>
    <w:p>
      <w:pPr>
        <w:spacing w:after="0" w:line="173"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The CRSUs granted in 2020 provide for incremental vesting over a three-year period, with 1/3 vesting at the end of each year. Each CRSU entitles the award recipient to receive cash equal to the market value of one ET common unit upon vesting. The CRSU do not include rights to DER cash payments.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approving the grant of such RSUs and CRSUs, including to the named executive officers, the ET Compensation Committee considered several factors, including the long-term objective of retaining such individuals as key drivers of ET’s future success, the existing level of equity ownership of such individuals and the previous awards to such individuals of equity awards subject to vesting. Vesting of the 2020 awards would accelerate in the event of the death or disability of the recipient, including the named executive officers, or in the event of a change in control of ET as that term is defined under the ET Incentive Plans.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Mr. McCrea did not receive an award of CRSUs; instead, he received a special one-time time vested cash award of $5,000,000 payable as follows:</w:t>
      </w:r>
    </w:p>
    <w:p>
      <w:pPr>
        <w:spacing w:after="0" w:line="62"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$1,800,000.00 on December 31,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$1,600,000.00 on July 1,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$1,600,00.00 on December 5, 2022.</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amount is intended to approximate 50% of Mr. McCrea’s targeted annual equity award and replace the award of CRSUs made to other named executive officers.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below under “Potential Payments Upon a Termination or Change of Control,” all outstanding equity awards would automatically accelerate upon a change in control event, which means vesting automatically accelerates upon a change of control irrespective of whether the officer is terminated. In addition, the award agreements for the restricted units and cash restricted units awarded in 2020, as well as other awards outstanding held by Partnership employees, including the named executive officers, also include certain acceleration provisions upon retirement with the ability to accelerate 40% of outstanding unvested awards under the ET Incentive Plans at age 65 and 50% at age 68. These acceleration provisions require that the participant have not less than five (5) years of employment service to the Partnership or an affiliate and require a six (6) month delay in the vesting after retirement pursuant to the requirements of Section 409(A) of the Code.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permitting the accelerated vesting of equity awards upon a change in control creates an important retention tool for us by enabling employees to realize value from these awards in the event that we undergo a change in control transaction.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 we believe permitting acceleration of vesting upon a change in control creates a sense of stability in the course of transactions that could create uncertainty regarding their future employment and encourage these officers to remain focused on their job responsibilities.</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Affiliate and Subsidiary Equity Awards. </w:t>
      </w:r>
      <w:r>
        <w:rPr>
          <w:rFonts w:ascii="Arial" w:cs="Arial" w:eastAsia="Arial" w:hAnsi="Arial"/>
          <w:sz w:val="18"/>
          <w:szCs w:val="18"/>
          <w:color w:val="auto"/>
        </w:rPr>
        <w:t>In addition to their roles as officers for ET during 2020, Messrs. Long and Ramsey have certain responsibilities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Sunoco LP, including as members of the Board of Directors of the general partner of Sunoco LP.</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Sunoco LP Compensation Committee in December 2020 approved grants of RSUs to Messrs. Long and Ramsey of 27,800 and 32,300 restricted units, respectively, under the 2018 Sunoco LP Plan. The terms and conditions of the restricted unit to Messrs. Long and Ramsey under the 2018 Sunoco LP Plan, as applicable, were the same and provided for vesting over a five-year period, with 60% vesting at the end of the third year and the remaining 40% vesting at the end of the fifth year, subject generally to continued employment through each specified vesting date. All of the awards would be accelerated in the event of their death, disability, upon a change in control or retirement at ages 65 or 68. The retirement acceleration provisions for these awards under the 2018 Sunoco Plan are the same as the retirement acceleration provisions under ET Incentive Plans with the ability to accelerate at retirement 40% of outstanding unvested awards at age 65 and 50% at age 68.</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Special One-Time Awards to Co-Chief Executive Officers. </w:t>
      </w:r>
      <w:r>
        <w:rPr>
          <w:rFonts w:ascii="Arial" w:cs="Arial" w:eastAsia="Arial" w:hAnsi="Arial"/>
          <w:sz w:val="18"/>
          <w:szCs w:val="18"/>
          <w:color w:val="auto"/>
        </w:rPr>
        <w:t>In recognition of their assumption of their new roles as Co-Chief Executive Officers, the ET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approved certain one-time awards to Messrs. McCrea and Long which occurred in 2021 and therefore are not reflected within the executive compensation tables that follow this discussion.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McCrea received a special one-time award of 241,815 RSUs under the ET Incentive Plans and a special cash payment of $1,625,000 in connection with his appointment as Co-Chief Executive Officer.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Long received a special one-time award of 483,630 RSUs under the ET Incentive Plans in connection with his appointment as Co-Chief Executive Officer.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 awards to Messrs. McCrea and Long were made at the same grant date valuation and vesting schedules used for the annual equity awards described above under “—Equity Awards” section above. These awards were approved by the ET Compensation Committee on December 30, 2020 to be effective immediately upon Messrs. McCrea and Long assuming their new roles on January 1, 2021 and will be reflected in the 2021 Summary Compensation Tables.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Unit Ownership Guidelines. </w:t>
      </w:r>
      <w:r>
        <w:rPr>
          <w:rFonts w:ascii="Arial" w:cs="Arial" w:eastAsia="Arial" w:hAnsi="Arial"/>
          <w:sz w:val="16"/>
          <w:szCs w:val="16"/>
          <w:color w:val="auto"/>
        </w:rPr>
        <w:t>The Board of Directors of our General Partner has adopted the Executive Unit Ownership Guidelines (the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set forth minimum ownership guidelines applicable to certain executives of ET with respect to ET and Sunoco LP common units representing limited partnership interests, as applicable. The applicable Guidelines are denominated as a multiple of base salary, and the amount of common units required to be owned increases with the level of responsibility. Under these Guidelines, the President and Chief Commercial Officer and the Chief Operating Officer are expected to own common units having a minimum value of five times his base salary, while each of the remaining named executive officers (other than the CEO) are expected to own common units having a minimum value of four times their respective base salary. In addition to the named executive officers, these Guidelines also apply to other covered executives, which executives are expected to own either directly or indirectly in accordance with the terms of the Guidelines, common units having minimum values ranging from two to four times their respective base salary.</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ET Compensation Committee believes that the ownership of ET and/or Sunoco LP common units, as reflected in these Guidelines, is an important means of tying the financial risks and rewards for its executives to ET’s total unitholder return, aligning the interests of such executives with those of Unitholders, and promoting ET’s interest in good corporate governance.</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Covered executives are generally required to achieve their ownership level within five years of becoming subject to the Guidelines; however, certain covered executives, based on their tenure as an executive, were required to achieve compliance within two years of the December 2013 effective date of the Guidelines. Thus, compliance with the Guidelines was required for Messrs. McCrea and Mason beginning in December 2015, Mr. Long in December 2018 and Mr. Ramsey in December 2020. As of December 31, 2020, all of the named executive officers were compliant with the Guidelines.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Covered executives may satisfy the Guidelines through direct ownership of ET and/or Sunoco LP common units or indirect ownership by certain immediate family members. Direct or indirect ownership of ET and/or Sunoco LP common units shall count on a one-to-one ratio for purposes of satisfying minimum ownership requirements; however, unvested unit awards may not be used to satisfy the minimum ownership requirements.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Executive officers, including the named executive officers, who have not yet met their respective guideline must retain and hold all common units (less common units sold to cover the executive’s applicable taxes and withholding obligation) received in connection with long-term incentive awards. Once the required ownership level is achieved, ownership of the required common units must be maintained for as long as the covered executive is subject to the Guidelines. However, those individuals who have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met or exceeded their applicable ownership level guideline may dispose of the common units in a manner consistent with applicable laws, rules and regulations, including regulations of the SEC and our internal policies, but only to the extent that such individual’s remaining ownership of common units would continue to exceed the applicable ownership level.</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Qualified Retirement Plan Benefits</w:t>
      </w:r>
      <w:r>
        <w:rPr>
          <w:rFonts w:ascii="Arial" w:cs="Arial" w:eastAsia="Arial" w:hAnsi="Arial"/>
          <w:sz w:val="17"/>
          <w:szCs w:val="17"/>
          <w:color w:val="auto"/>
        </w:rPr>
        <w:t>. The Energy Transfer LP 401(k) Plan (the “ET 401(k) Plan”) is a defined contribution 401(k) plan, which covers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employees, including the named executive officers. Employees may elect to defer up to 100% of their eligible compensation after applicable taxes, as limited under the Internal Revenue Code. We make a matching contribution that is not less than the aggregate amount of matching contributions that would be credited to a participant’s account based on a rate of match equal to 100% of each participant’s elective deferrals up to 5% of covered compensation. During 2020, in response to challenging conditions within the industry, including impacts of the COVID-19 pandemic, ET suspended its 401(k) matching contribution from July 1, 2020 through December 31, 2020. The amounts deferred by the participant are fully vested at all times, and the amounts contributed by the Partnership become vested based on years of service. We provide this benefit as a means to incentivize employees and provide them with an opportunity to save for their retirement.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Partnership provides a 3% profit sharing contribution to employee 401(k) accounts for all employees with a base compensation below a specified threshold. The contribution is in addition to the 401(k) matching contribution and employees become vested based on years of service. As with the 401(k) matching contributions, ET suspended the profit sharing contribution from July 1, 2020 through December 31, 2020.</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Health and Welfare Benefits</w:t>
      </w:r>
      <w:r>
        <w:rPr>
          <w:rFonts w:ascii="Arial" w:cs="Arial" w:eastAsia="Arial" w:hAnsi="Arial"/>
          <w:sz w:val="18"/>
          <w:szCs w:val="18"/>
          <w:color w:val="auto"/>
        </w:rPr>
        <w:t>. All full-time employees, including our named executive officers may participate in ETP GP’s health and welfare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including medical, dental, vision, flexible spending, life insurance and disability insurance.</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Termination Benefits. </w:t>
      </w:r>
      <w:r>
        <w:rPr>
          <w:rFonts w:ascii="Arial" w:cs="Arial" w:eastAsia="Arial" w:hAnsi="Arial"/>
          <w:sz w:val="16"/>
          <w:szCs w:val="16"/>
          <w:color w:val="auto"/>
        </w:rPr>
        <w:t>Our named executive officers do not have any employment agreements that call for payments of termination or severance benefits or</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for any payments in the event of a change in control of our General Partner; however, the award agreement to the named executive officers under the ET Incentive Plans, the 2018 Sunoco LP Plan and the Sunoco LP 2012 Long-Term Incentive Plan (the “2012 Sunoco LP Plan”) provide for immediate vesting of all unvested restricted unit awards in the event of a (i) change of control, as defined in the plan; (ii) death or (iii) disability, as defined in the applicable plan. Please refer to “Compensation Tables - Potential Payments Upon a Termination or Change of Control” for additional information.</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ETP GP has also adopted the ETP GP Severance Plan and Summary Plan Description effective as of June 12, 2013, (the “Severance Plan”), which provides for payment of certain severance benefits in the event of Qualifying Termination (as that term is defined in the Severance Plan). In general, the Severance Plan provides payment of two weeks of annual base salary for each year or partial year of employment service up to a maximum of fifty-two weeks or one year of annual base salary (with a minimum of four weeks of annual base salary) and up to three months of continued group health insurance coverage. The Severance Plan also provides that we may determine to pay benefits in addition to those provided under the Severance Plan based on special circumstances, which additional benefits shall be unique and non-precedent setting. The Severance Plan is available to all salaried employees on a nondiscriminatory basis; therefore, amounts that would be payable to our named executive officers upon a Qualified Termination have been excluded from “Compensation Tables – Potential Payments Upon a Termination or Change of Control” below.</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Energy Transfer LP Non-Qualified Deferred Compensation Plan </w:t>
      </w:r>
      <w:r>
        <w:rPr>
          <w:rFonts w:ascii="Arial" w:cs="Arial" w:eastAsia="Arial" w:hAnsi="Arial"/>
          <w:sz w:val="17"/>
          <w:szCs w:val="17"/>
          <w:color w:val="auto"/>
        </w:rPr>
        <w:t>(the “ET NQDC Plan”) is a deferred compensation plan, which permits eligible highly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compensated employees to defer a portion of their salary, bonus, and/or quarterly non-vested phantom unit distribution equivalent income until retirement, termination of employment or other designated distribution event. Each year under the ET NQDC Plan, eligible employees are permitted to make an irrevocable election to defer up to 50% of their annual base salary, 50% of their quarterly non-vested phantom unit distribution income, and/or 50% of their discretionary performance bonus compensation during the following year. Pursuant to the ET NQDC Plan, ET may make annual discretionary matching contributions to participants’ accounts; however, ET has not made any discretionary contributions to participants’ accounts and currently has no plans to make any discretionary contributions to participants’ accounts. All amounts credited under the ET NQDC Plan (other than discretionary credits) are immediately 100% vested. Participant accounts are credited with deemed earnings or losses based on hypothetical investment fund choices made by the participants among available funds.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elect to have their account balances distributed in one lump sum payment or in annual installments over a period of three or five years upon retirement, and in a lump sum upon other termination events. Participants may also elect to take lump-sum in-service withdrawals five years or longer in the future, and such scheduled in-service withdrawals may be further deferred prior to the withdrawal date. Upon a change in control (as defined in the ET NQDC Plan) of ET, all ET NQDC Plan accounts are immediately vested in full. However, distributions are not accelerated and, instead, are made in accordance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ET NQDC Plan’s normal distribution provisions unless a participant has elected to receive a change of control distribution pursuant to his deferral agreement. None of our named executive officers currently participate in this plan.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Risk Assessment Related to our Compensation Structure</w:t>
      </w:r>
      <w:r>
        <w:rPr>
          <w:rFonts w:ascii="Arial" w:cs="Arial" w:eastAsia="Arial" w:hAnsi="Arial"/>
          <w:sz w:val="17"/>
          <w:szCs w:val="17"/>
          <w:color w:val="auto"/>
        </w:rPr>
        <w:t>. We believe that the compensation plans and programs for our named executive officers,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our other employees, are appropriately structured and are not reasonably likely to result in material risk to us. We believe these compensation plans and programs are structured in a manner that does not promote excessive risk-taking that could harm our value or reward poor judgment. We also believe we have allocated compensation among base salary and short and long-term compensation in such a way as to not encourage excessive risk-taking. In particular, we generally do not adjust base annual salaries for executive officers and other employees significantly from year to year, and therefore the annual base salary of our employees is not generally impacted by our overall financial performance or the financial performance of a portion of our operations. Our subsidiaries generally determine whether, and to what extent, their respective named executive officers receive a cash bonus based on achievement of specified financial performance objectives as well as the individual contributions of our named executive officers to the Partnership’s success. We and our subsidiaries use restricted units and phantom units rather than unit options for equity awards because restricted units and phantom units retain value even in a depressed market so that employees are less likely to take unreasonable risks to get, or keep, options “in-the-money.” Finally, the time-based vesting over five years for our long-term incentive awards ensures that the interests of employees align with those of Unitholders and our subsidiaries’ unitholders for our long-term performance.</w:t>
      </w:r>
    </w:p>
    <w:p>
      <w:pPr>
        <w:spacing w:after="0" w:line="121" w:lineRule="exact"/>
        <w:rPr>
          <w:sz w:val="20"/>
          <w:szCs w:val="20"/>
          <w:color w:val="auto"/>
        </w:rPr>
      </w:pPr>
    </w:p>
    <w:p>
      <w:pPr>
        <w:ind w:right="5100"/>
        <w:spacing w:after="0" w:line="440" w:lineRule="auto"/>
        <w:rPr>
          <w:sz w:val="20"/>
          <w:szCs w:val="20"/>
          <w:color w:val="auto"/>
        </w:rPr>
      </w:pPr>
      <w:r>
        <w:rPr>
          <w:rFonts w:ascii="Arial" w:cs="Arial" w:eastAsia="Arial" w:hAnsi="Arial"/>
          <w:sz w:val="18"/>
          <w:szCs w:val="18"/>
          <w:b w:val="1"/>
          <w:bCs w:val="1"/>
          <w:color w:val="auto"/>
        </w:rPr>
        <w:t xml:space="preserve">Tax and Accounting Implications of Equity-Based Compensation Arrangements </w:t>
      </w:r>
      <w:r>
        <w:rPr>
          <w:rFonts w:ascii="Arial" w:cs="Arial" w:eastAsia="Arial" w:hAnsi="Arial"/>
          <w:sz w:val="18"/>
          <w:szCs w:val="18"/>
          <w:i w:val="1"/>
          <w:iCs w:val="1"/>
          <w:color w:val="auto"/>
        </w:rPr>
        <w:t>Deductibility of Executive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limited partnership and not a corporation for United States federal income tax purposes. Therefore, we believe that the compensation paid to the named executive officers is not subject to the deduction limitations under Section 162(m) of the Internal Revenue Code and therefore is generally fully deductible for United States federal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Non-Cash Compensation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non-cash compensation arrangements, we record compensation expense over the vesting period of the awards, as discussed further in Note 9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Steven R. Anderson, Mr. Michael K. Grimm and Mr. Ray W. Washburne are the only members of the ET Compensation Committee. During 2020, no member of the ET Compensation Committee was an officer or employee of us or any of our subsidiaries or served as an officer of any company with respect to which any of our executive officers served on such company’s board of directors. Mr. Grimm is not a former employee of ours or any of our subsidiaries. Mr. Anderson was previously an employee of the Partnership until his retirement in October 2009, as discussed in his biographical information included in “Item 10. Directors, Executive Officers and 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Committee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board of directors of our General Partner has reviewed and discussed the section entitled “Compensation Discussion and Analysis” with the management of ET. Based on this review and discussion, we have recommended that the Compensation Discussion and Analysis be included in this annual report on Form 10-K.</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Compensation Committee of the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Board of Directors of LE GP,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general partner of Energy Transfer LP</w:t>
      </w:r>
    </w:p>
    <w:p>
      <w:pPr>
        <w:spacing w:after="0" w:line="2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Anderson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Michael K. Grimm</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 W. Washburne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report shall not be deemed to be incorporated by reference by any general statement or reference to this annual report on Form 10-K into any filing under the Securities Act of 1933, as amended, or the Securities Exchange Act of 1934, as amended, except to the extent that we specifically incorporate this information by reference, and shall not otherwise be deemed filed under those Acts.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308"/>
              <w:spacing w:after="0"/>
              <w:rPr>
                <w:sz w:val="20"/>
                <w:szCs w:val="20"/>
                <w:color w:val="auto"/>
              </w:rPr>
            </w:pPr>
            <w:r>
              <w:rPr>
                <w:rFonts w:ascii="Arial" w:cs="Arial" w:eastAsia="Arial" w:hAnsi="Arial"/>
                <w:sz w:val="14"/>
                <w:szCs w:val="14"/>
                <w:color w:val="auto"/>
                <w:w w:val="90"/>
              </w:rPr>
              <w:t>Change in</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308"/>
              <w:spacing w:after="0" w:line="135" w:lineRule="exact"/>
              <w:rPr>
                <w:sz w:val="20"/>
                <w:szCs w:val="20"/>
                <w:color w:val="auto"/>
              </w:rPr>
            </w:pPr>
            <w:r>
              <w:rPr>
                <w:rFonts w:ascii="Arial" w:cs="Arial" w:eastAsia="Arial" w:hAnsi="Arial"/>
                <w:sz w:val="14"/>
                <w:szCs w:val="14"/>
                <w:color w:val="auto"/>
                <w:w w:val="90"/>
              </w:rPr>
              <w:t>Pension</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jc w:val="center"/>
              <w:ind w:right="288"/>
              <w:spacing w:after="0"/>
              <w:rPr>
                <w:sz w:val="20"/>
                <w:szCs w:val="20"/>
                <w:color w:val="auto"/>
              </w:rPr>
            </w:pPr>
            <w:r>
              <w:rPr>
                <w:rFonts w:ascii="Arial" w:cs="Arial" w:eastAsia="Arial" w:hAnsi="Arial"/>
                <w:sz w:val="14"/>
                <w:szCs w:val="14"/>
                <w:color w:val="auto"/>
                <w:w w:val="98"/>
              </w:rPr>
              <w:t>Non-Equity</w:t>
            </w:r>
          </w:p>
        </w:tc>
        <w:tc>
          <w:tcPr>
            <w:tcW w:w="128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88"/>
              </w:rPr>
              <w:t>Value and</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vMerge w:val="restart"/>
          </w:tcPr>
          <w:p>
            <w:pPr>
              <w:jc w:val="center"/>
              <w:ind w:right="328"/>
              <w:spacing w:after="0"/>
              <w:rPr>
                <w:sz w:val="20"/>
                <w:szCs w:val="20"/>
                <w:color w:val="auto"/>
              </w:rPr>
            </w:pPr>
            <w:r>
              <w:rPr>
                <w:rFonts w:ascii="Arial" w:cs="Arial" w:eastAsia="Arial" w:hAnsi="Arial"/>
                <w:sz w:val="14"/>
                <w:szCs w:val="14"/>
                <w:color w:val="auto"/>
                <w:w w:val="97"/>
              </w:rPr>
              <w:t>Equity</w:t>
            </w:r>
          </w:p>
        </w:tc>
        <w:tc>
          <w:tcPr>
            <w:tcW w:w="1400" w:type="dxa"/>
            <w:vAlign w:val="bottom"/>
            <w:gridSpan w:val="3"/>
            <w:vMerge w:val="continue"/>
          </w:tcPr>
          <w:p>
            <w:pPr>
              <w:spacing w:after="0"/>
              <w:rPr>
                <w:sz w:val="11"/>
                <w:szCs w:val="11"/>
                <w:color w:val="auto"/>
              </w:rPr>
            </w:pPr>
          </w:p>
        </w:tc>
        <w:tc>
          <w:tcPr>
            <w:tcW w:w="128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7"/>
              </w:rPr>
              <w:t>Nonqualified</w:t>
            </w:r>
          </w:p>
        </w:tc>
        <w:tc>
          <w:tcPr>
            <w:tcW w:w="1420" w:type="dxa"/>
            <w:vAlign w:val="bottom"/>
            <w:gridSpan w:val="3"/>
            <w:vMerge w:val="restart"/>
          </w:tcPr>
          <w:p>
            <w:pPr>
              <w:jc w:val="center"/>
              <w:ind w:right="308"/>
              <w:spacing w:after="0"/>
              <w:rPr>
                <w:sz w:val="20"/>
                <w:szCs w:val="20"/>
                <w:color w:val="auto"/>
              </w:rPr>
            </w:pPr>
            <w:r>
              <w:rPr>
                <w:rFonts w:ascii="Arial" w:cs="Arial" w:eastAsia="Arial" w:hAnsi="Arial"/>
                <w:sz w:val="14"/>
                <w:szCs w:val="14"/>
                <w:color w:val="auto"/>
              </w:rPr>
              <w:t>All Other</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color w:val="auto"/>
              </w:rPr>
              <w:t>Salary</w:t>
            </w:r>
          </w:p>
        </w:tc>
        <w:tc>
          <w:tcPr>
            <w:tcW w:w="140" w:type="dxa"/>
            <w:vAlign w:val="bottom"/>
          </w:tcPr>
          <w:p>
            <w:pPr>
              <w:spacing w:after="0"/>
              <w:rPr>
                <w:sz w:val="11"/>
                <w:szCs w:val="11"/>
                <w:color w:val="auto"/>
              </w:rPr>
            </w:pPr>
          </w:p>
        </w:tc>
        <w:tc>
          <w:tcPr>
            <w:tcW w:w="960" w:type="dxa"/>
            <w:vAlign w:val="bottom"/>
            <w:gridSpan w:val="3"/>
            <w:vMerge w:val="restart"/>
          </w:tcPr>
          <w:p>
            <w:pPr>
              <w:jc w:val="right"/>
              <w:ind w:right="428"/>
              <w:spacing w:after="0"/>
              <w:rPr>
                <w:sz w:val="20"/>
                <w:szCs w:val="20"/>
                <w:color w:val="auto"/>
              </w:rPr>
            </w:pPr>
            <w:r>
              <w:rPr>
                <w:rFonts w:ascii="Arial" w:cs="Arial" w:eastAsia="Arial" w:hAnsi="Arial"/>
                <w:sz w:val="14"/>
                <w:szCs w:val="14"/>
                <w:color w:val="auto"/>
              </w:rPr>
              <w:t>Bonus</w:t>
            </w:r>
          </w:p>
        </w:tc>
        <w:tc>
          <w:tcPr>
            <w:tcW w:w="1060" w:type="dxa"/>
            <w:vAlign w:val="bottom"/>
            <w:gridSpan w:val="3"/>
            <w:vMerge w:val="continue"/>
          </w:tcPr>
          <w:p>
            <w:pPr>
              <w:spacing w:after="0"/>
              <w:rPr>
                <w:sz w:val="11"/>
                <w:szCs w:val="11"/>
                <w:color w:val="auto"/>
              </w:rPr>
            </w:pPr>
          </w:p>
        </w:tc>
        <w:tc>
          <w:tcPr>
            <w:tcW w:w="1400" w:type="dxa"/>
            <w:vAlign w:val="bottom"/>
            <w:gridSpan w:val="3"/>
          </w:tcPr>
          <w:p>
            <w:pPr>
              <w:jc w:val="center"/>
              <w:ind w:right="308"/>
              <w:spacing w:after="0" w:line="135" w:lineRule="exact"/>
              <w:rPr>
                <w:sz w:val="20"/>
                <w:szCs w:val="20"/>
                <w:color w:val="auto"/>
              </w:rPr>
            </w:pPr>
            <w:r>
              <w:rPr>
                <w:rFonts w:ascii="Arial" w:cs="Arial" w:eastAsia="Arial" w:hAnsi="Arial"/>
                <w:sz w:val="14"/>
                <w:szCs w:val="14"/>
                <w:color w:val="auto"/>
                <w:w w:val="93"/>
              </w:rPr>
              <w:t>Incentive Plan</w:t>
            </w:r>
          </w:p>
        </w:tc>
        <w:tc>
          <w:tcPr>
            <w:tcW w:w="128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5"/>
              </w:rPr>
              <w:t>Deferred</w:t>
            </w:r>
          </w:p>
        </w:tc>
        <w:tc>
          <w:tcPr>
            <w:tcW w:w="1420" w:type="dxa"/>
            <w:vAlign w:val="bottom"/>
            <w:gridSpan w:val="3"/>
            <w:vMerge w:val="continue"/>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Name and Principal Position</w:t>
            </w:r>
          </w:p>
        </w:tc>
        <w:tc>
          <w:tcPr>
            <w:tcW w:w="100" w:type="dxa"/>
            <w:vAlign w:val="bottom"/>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color w:val="auto"/>
              </w:rPr>
              <w:t>Year</w:t>
            </w: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60" w:type="dxa"/>
            <w:vAlign w:val="bottom"/>
            <w:gridSpan w:val="3"/>
          </w:tcPr>
          <w:p>
            <w:pPr>
              <w:jc w:val="center"/>
              <w:ind w:right="328"/>
              <w:spacing w:after="0" w:line="135" w:lineRule="exact"/>
              <w:rPr>
                <w:sz w:val="20"/>
                <w:szCs w:val="20"/>
                <w:color w:val="auto"/>
              </w:rPr>
            </w:pPr>
            <w:r>
              <w:rPr>
                <w:rFonts w:ascii="Arial" w:cs="Arial" w:eastAsia="Arial" w:hAnsi="Arial"/>
                <w:sz w:val="12"/>
                <w:szCs w:val="12"/>
                <w:color w:val="auto"/>
              </w:rPr>
              <w:t xml:space="preserve">Awards </w:t>
            </w:r>
            <w:r>
              <w:rPr>
                <w:rFonts w:ascii="Arial" w:cs="Arial" w:eastAsia="Arial" w:hAnsi="Arial"/>
                <w:sz w:val="15"/>
                <w:szCs w:val="15"/>
                <w:color w:val="auto"/>
                <w:vertAlign w:val="superscript"/>
              </w:rPr>
              <w:t>(1)</w:t>
            </w:r>
          </w:p>
        </w:tc>
        <w:tc>
          <w:tcPr>
            <w:tcW w:w="1400" w:type="dxa"/>
            <w:vAlign w:val="bottom"/>
            <w:gridSpan w:val="3"/>
          </w:tcPr>
          <w:p>
            <w:pPr>
              <w:jc w:val="center"/>
              <w:ind w:right="308"/>
              <w:spacing w:after="0" w:line="135" w:lineRule="exact"/>
              <w:rPr>
                <w:sz w:val="20"/>
                <w:szCs w:val="20"/>
                <w:color w:val="auto"/>
              </w:rPr>
            </w:pPr>
            <w:r>
              <w:rPr>
                <w:rFonts w:ascii="Arial" w:cs="Arial" w:eastAsia="Arial" w:hAnsi="Arial"/>
                <w:sz w:val="12"/>
                <w:szCs w:val="12"/>
                <w:color w:val="auto"/>
              </w:rPr>
              <w:t>Compensation</w:t>
            </w:r>
            <w:r>
              <w:rPr>
                <w:rFonts w:ascii="Arial" w:cs="Arial" w:eastAsia="Arial" w:hAnsi="Arial"/>
                <w:sz w:val="15"/>
                <w:szCs w:val="15"/>
                <w:color w:val="auto"/>
                <w:vertAlign w:val="superscript"/>
              </w:rPr>
              <w:t>(2)</w:t>
            </w:r>
          </w:p>
        </w:tc>
        <w:tc>
          <w:tcPr>
            <w:tcW w:w="128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3"/>
              </w:rPr>
              <w:t>Compensation</w:t>
            </w:r>
          </w:p>
        </w:tc>
        <w:tc>
          <w:tcPr>
            <w:tcW w:w="1420" w:type="dxa"/>
            <w:vAlign w:val="bottom"/>
            <w:gridSpan w:val="3"/>
          </w:tcPr>
          <w:p>
            <w:pPr>
              <w:jc w:val="center"/>
              <w:ind w:right="328"/>
              <w:spacing w:after="0" w:line="135" w:lineRule="exact"/>
              <w:rPr>
                <w:sz w:val="20"/>
                <w:szCs w:val="20"/>
                <w:color w:val="auto"/>
              </w:rPr>
            </w:pPr>
            <w:r>
              <w:rPr>
                <w:rFonts w:ascii="Arial" w:cs="Arial" w:eastAsia="Arial" w:hAnsi="Arial"/>
                <w:sz w:val="12"/>
                <w:szCs w:val="12"/>
                <w:color w:val="auto"/>
              </w:rPr>
              <w:t>Compensation</w:t>
            </w:r>
            <w:r>
              <w:rPr>
                <w:rFonts w:ascii="Arial" w:cs="Arial" w:eastAsia="Arial" w:hAnsi="Arial"/>
                <w:sz w:val="15"/>
                <w:szCs w:val="15"/>
                <w:color w:val="auto"/>
                <w:vertAlign w:val="superscript"/>
              </w:rPr>
              <w:t>(3)</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88"/>
              <w:spacing w:after="0"/>
              <w:rPr>
                <w:sz w:val="20"/>
                <w:szCs w:val="20"/>
                <w:color w:val="auto"/>
              </w:rPr>
            </w:pPr>
            <w:r>
              <w:rPr>
                <w:rFonts w:ascii="Arial" w:cs="Arial" w:eastAsia="Arial" w:hAnsi="Arial"/>
                <w:sz w:val="14"/>
                <w:szCs w:val="14"/>
                <w:color w:val="auto"/>
                <w:w w:val="94"/>
              </w:rPr>
              <w:t>Earnings ($)</w:t>
            </w:r>
          </w:p>
        </w:tc>
        <w:tc>
          <w:tcPr>
            <w:tcW w:w="1160" w:type="dxa"/>
            <w:vAlign w:val="bottom"/>
          </w:tcPr>
          <w:p>
            <w:pPr>
              <w:jc w:val="center"/>
              <w:ind w:right="49"/>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40" w:type="dxa"/>
            <w:vAlign w:val="bottom"/>
            <w:tcBorders>
              <w:top w:val="single" w:sz="8" w:color="auto"/>
            </w:tcBorders>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Kelcy L. Warren </w:t>
            </w:r>
            <w:r>
              <w:rPr>
                <w:rFonts w:ascii="Arial" w:cs="Arial" w:eastAsia="Arial" w:hAnsi="Arial"/>
                <w:sz w:val="18"/>
                <w:szCs w:val="18"/>
                <w:color w:val="auto"/>
                <w:vertAlign w:val="superscript"/>
              </w:rPr>
              <w:t>(4)</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Executive Chairman and former Chief</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182"/>
        </w:trPr>
        <w:tc>
          <w:tcPr>
            <w:tcW w:w="2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Executive Officer</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gridSpan w:val="3"/>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20" w:type="dxa"/>
            <w:vAlign w:val="bottom"/>
            <w:gridSpan w:val="3"/>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0" w:type="dxa"/>
            <w:vAlign w:val="bottom"/>
          </w:tcPr>
          <w:p>
            <w:pPr>
              <w:spacing w:after="0"/>
              <w:rPr>
                <w:sz w:val="1"/>
                <w:szCs w:val="1"/>
                <w:color w:val="auto"/>
              </w:rPr>
            </w:pPr>
          </w:p>
        </w:tc>
      </w:tr>
      <w:tr>
        <w:trPr>
          <w:trHeight w:val="88"/>
        </w:trPr>
        <w:tc>
          <w:tcPr>
            <w:tcW w:w="2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60" w:type="dxa"/>
            <w:vAlign w:val="bottom"/>
            <w:gridSpan w:val="3"/>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1400" w:type="dxa"/>
            <w:vAlign w:val="bottom"/>
            <w:gridSpan w:val="3"/>
            <w:vMerge w:val="continue"/>
            <w:shd w:val="clear" w:color="auto" w:fill="CCEEFF"/>
          </w:tcPr>
          <w:p>
            <w:pPr>
              <w:spacing w:after="0"/>
              <w:rPr>
                <w:sz w:val="7"/>
                <w:szCs w:val="7"/>
                <w:color w:val="auto"/>
              </w:rPr>
            </w:pPr>
          </w:p>
        </w:tc>
        <w:tc>
          <w:tcPr>
            <w:tcW w:w="1280" w:type="dxa"/>
            <w:vAlign w:val="bottom"/>
            <w:gridSpan w:val="3"/>
            <w:vMerge w:val="continue"/>
            <w:shd w:val="clear" w:color="auto" w:fill="CCEEFF"/>
          </w:tcPr>
          <w:p>
            <w:pPr>
              <w:spacing w:after="0"/>
              <w:rPr>
                <w:sz w:val="7"/>
                <w:szCs w:val="7"/>
                <w:color w:val="auto"/>
              </w:rPr>
            </w:pPr>
          </w:p>
        </w:tc>
        <w:tc>
          <w:tcPr>
            <w:tcW w:w="1420" w:type="dxa"/>
            <w:vAlign w:val="bottom"/>
            <w:gridSpan w:val="3"/>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Thomas E. Long</w:t>
            </w:r>
          </w:p>
        </w:tc>
        <w:tc>
          <w:tcPr>
            <w:tcW w:w="10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623,077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2,781,255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21,603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3,425,935</w:t>
            </w:r>
          </w:p>
        </w:tc>
        <w:tc>
          <w:tcPr>
            <w:tcW w:w="0" w:type="dxa"/>
            <w:vAlign w:val="bottom"/>
          </w:tcPr>
          <w:p>
            <w:pPr>
              <w:spacing w:after="0"/>
              <w:rPr>
                <w:sz w:val="1"/>
                <w:szCs w:val="1"/>
                <w:color w:val="auto"/>
              </w:rPr>
            </w:pPr>
          </w:p>
        </w:tc>
      </w:tr>
      <w:tr>
        <w:trPr>
          <w:trHeight w:val="169"/>
        </w:trPr>
        <w:tc>
          <w:tcPr>
            <w:tcW w:w="2540" w:type="dxa"/>
            <w:vAlign w:val="bottom"/>
          </w:tcPr>
          <w:p>
            <w:pPr>
              <w:ind w:left="180"/>
              <w:spacing w:after="0"/>
              <w:rPr>
                <w:sz w:val="20"/>
                <w:szCs w:val="20"/>
                <w:color w:val="auto"/>
              </w:rPr>
            </w:pPr>
            <w:r>
              <w:rPr>
                <w:rFonts w:ascii="Arial" w:cs="Arial" w:eastAsia="Arial" w:hAnsi="Arial"/>
                <w:sz w:val="14"/>
                <w:szCs w:val="14"/>
                <w:color w:val="auto"/>
                <w:w w:val="98"/>
              </w:rPr>
              <w:t>Co-Chief Executive Officer and former</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570,869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3,352,795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21,544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4,845,208</w:t>
            </w:r>
          </w:p>
        </w:tc>
        <w:tc>
          <w:tcPr>
            <w:tcW w:w="0" w:type="dxa"/>
            <w:vAlign w:val="bottom"/>
          </w:tcPr>
          <w:p>
            <w:pPr>
              <w:spacing w:after="0"/>
              <w:rPr>
                <w:sz w:val="1"/>
                <w:szCs w:val="1"/>
                <w:color w:val="auto"/>
              </w:rPr>
            </w:pPr>
          </w:p>
        </w:tc>
      </w:tr>
      <w:tr>
        <w:trPr>
          <w:trHeight w:val="182"/>
        </w:trPr>
        <w:tc>
          <w:tcPr>
            <w:tcW w:w="2540" w:type="dxa"/>
            <w:vAlign w:val="bottom"/>
          </w:tcPr>
          <w:p>
            <w:pPr>
              <w:ind w:left="360"/>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537,338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1,000,000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4,251,335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ind w:left="84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21,294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6,609,967</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540" w:type="dxa"/>
            <w:vAlign w:val="bottom"/>
            <w:shd w:val="clear" w:color="auto" w:fill="CCEEFF"/>
          </w:tcPr>
          <w:p>
            <w:pPr>
              <w:ind w:left="20"/>
              <w:spacing w:after="0" w:line="195" w:lineRule="exact"/>
              <w:rPr>
                <w:sz w:val="20"/>
                <w:szCs w:val="20"/>
                <w:color w:val="auto"/>
              </w:rPr>
            </w:pPr>
            <w:r>
              <w:rPr>
                <w:rFonts w:ascii="Arial" w:cs="Arial" w:eastAsia="Arial" w:hAnsi="Arial"/>
                <w:sz w:val="14"/>
                <w:szCs w:val="14"/>
                <w:color w:val="auto"/>
              </w:rPr>
              <w:t xml:space="preserve">Marshall S. (Mackie) McCrea, III </w:t>
            </w:r>
            <w:r>
              <w:rPr>
                <w:rFonts w:ascii="Arial" w:cs="Arial" w:eastAsia="Arial" w:hAnsi="Arial"/>
                <w:sz w:val="18"/>
                <w:szCs w:val="18"/>
                <w:color w:val="auto"/>
                <w:vertAlign w:val="superscript"/>
              </w:rPr>
              <w:t>(5)</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1,157,423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1,800,000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4,597,516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7,572,984</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Co-Chief Executive Officer and former</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1,094,260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8,734,720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1,750,817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11,601,341</w:t>
            </w:r>
          </w:p>
        </w:tc>
        <w:tc>
          <w:tcPr>
            <w:tcW w:w="0" w:type="dxa"/>
            <w:vAlign w:val="bottom"/>
          </w:tcPr>
          <w:p>
            <w:pPr>
              <w:spacing w:after="0"/>
              <w:rPr>
                <w:sz w:val="1"/>
                <w:szCs w:val="1"/>
                <w:color w:val="auto"/>
              </w:rPr>
            </w:pPr>
          </w:p>
        </w:tc>
      </w:tr>
      <w:tr>
        <w:trPr>
          <w:trHeight w:val="95"/>
        </w:trPr>
        <w:tc>
          <w:tcPr>
            <w:tcW w:w="2540" w:type="dxa"/>
            <w:vAlign w:val="bottom"/>
            <w:shd w:val="clear" w:color="auto" w:fill="CCEEFF"/>
          </w:tcPr>
          <w:p>
            <w:pPr>
              <w:ind w:left="360"/>
              <w:spacing w:after="0" w:line="95" w:lineRule="exact"/>
              <w:rPr>
                <w:sz w:val="20"/>
                <w:szCs w:val="20"/>
                <w:color w:val="auto"/>
              </w:rPr>
            </w:pPr>
            <w:r>
              <w:rPr>
                <w:rFonts w:ascii="Arial" w:cs="Arial" w:eastAsia="Arial" w:hAnsi="Arial"/>
                <w:sz w:val="10"/>
                <w:szCs w:val="10"/>
                <w:color w:val="auto"/>
              </w:rPr>
              <w:t>President and Chief Commercial</w:t>
            </w: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1,059,976</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3"/>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7,834,782</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1,866,000</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gridSpan w:val="3"/>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19,362</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10,780,120</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3"/>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Matthew S. Ramsey</w:t>
            </w:r>
          </w:p>
        </w:tc>
        <w:tc>
          <w:tcPr>
            <w:tcW w:w="10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723,390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3,229,770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22,097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3,975,257</w:t>
            </w:r>
          </w:p>
        </w:tc>
        <w:tc>
          <w:tcPr>
            <w:tcW w:w="0" w:type="dxa"/>
            <w:vAlign w:val="bottom"/>
          </w:tcPr>
          <w:p>
            <w:pPr>
              <w:spacing w:after="0"/>
              <w:rPr>
                <w:sz w:val="1"/>
                <w:szCs w:val="1"/>
                <w:color w:val="auto"/>
              </w:rPr>
            </w:pPr>
          </w:p>
        </w:tc>
      </w:tr>
      <w:tr>
        <w:trPr>
          <w:trHeight w:val="211"/>
        </w:trPr>
        <w:tc>
          <w:tcPr>
            <w:tcW w:w="2540" w:type="dxa"/>
            <w:vAlign w:val="bottom"/>
          </w:tcPr>
          <w:p>
            <w:pPr>
              <w:ind w:left="180"/>
              <w:spacing w:after="0"/>
              <w:rPr>
                <w:sz w:val="20"/>
                <w:szCs w:val="20"/>
                <w:color w:val="auto"/>
              </w:rPr>
            </w:pPr>
            <w:r>
              <w:rPr>
                <w:rFonts w:ascii="Arial" w:cs="Arial" w:eastAsia="Arial" w:hAnsi="Arial"/>
                <w:sz w:val="14"/>
                <w:szCs w:val="14"/>
                <w:color w:val="auto"/>
              </w:rPr>
              <w:t>Chief Operating Officer</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683,913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3,123,186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889,100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4,715,743</w:t>
            </w: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662,486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2,818,415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4,400,195</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Thomas P. Mason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655,680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2,609,350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3,285,037</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Executive Vice President, General</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619,899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2,749,440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805,900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4,194,783</w:t>
            </w:r>
          </w:p>
        </w:tc>
        <w:tc>
          <w:tcPr>
            <w:tcW w:w="0" w:type="dxa"/>
            <w:vAlign w:val="bottom"/>
          </w:tcPr>
          <w:p>
            <w:pPr>
              <w:spacing w:after="0"/>
              <w:rPr>
                <w:sz w:val="1"/>
                <w:szCs w:val="1"/>
                <w:color w:val="auto"/>
              </w:rPr>
            </w:pPr>
          </w:p>
        </w:tc>
      </w:tr>
      <w:tr>
        <w:trPr>
          <w:trHeight w:val="123"/>
        </w:trPr>
        <w:tc>
          <w:tcPr>
            <w:tcW w:w="254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Counsel and President – LNG</w:t>
            </w:r>
          </w:p>
        </w:tc>
        <w:tc>
          <w:tcPr>
            <w:tcW w:w="10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3"/>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gridSpan w:val="3"/>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600,477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3,945,353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75" w:lineRule="auto"/>
        <w:tabs>
          <w:tab w:leader="none" w:pos="328"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Equity award amounts reflect the aggregate grant date fair value of unit awards granted for the periods presented, computed in accordance with FASB ASC Topic 718, disregarding any estimates for forfeitures. For Messrs. Long and Ramsey amounts include equity awards of our subsidiary, Sunoco LP, as reflected in the “Grants of Plan-Based Awards Table.” See Note 9 to our consolidated financial statements included in “Item 8. Financial Statements and Supplementary Data” for additional assumptions underlying the value of the equity awards. Although the CRSU awards may only be settled in cash, they are based upon the value of ET common units and are accounted for as equity awards within these compensation tables.</w:t>
      </w:r>
    </w:p>
    <w:p>
      <w:pPr>
        <w:spacing w:after="0" w:line="68" w:lineRule="exact"/>
        <w:rPr>
          <w:rFonts w:ascii="Arial" w:cs="Arial" w:eastAsia="Arial" w:hAnsi="Arial"/>
          <w:sz w:val="21"/>
          <w:szCs w:val="21"/>
          <w:color w:val="auto"/>
          <w:vertAlign w:val="superscript"/>
        </w:rPr>
      </w:pPr>
    </w:p>
    <w:p>
      <w:pPr>
        <w:ind w:left="340" w:hanging="332"/>
        <w:spacing w:after="0" w:line="227" w:lineRule="auto"/>
        <w:tabs>
          <w:tab w:leader="none" w:pos="328"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ET maintains the Bonus Plan which provides for discretionary bonuses. Awards of discretionary bonuses are tied to achievement of targeted performance objectives and described in the Compensation Discussion and Analysis.</w:t>
      </w:r>
    </w:p>
    <w:p>
      <w:pPr>
        <w:spacing w:after="0" w:line="94" w:lineRule="exact"/>
        <w:rPr>
          <w:rFonts w:ascii="Arial" w:cs="Arial" w:eastAsia="Arial" w:hAnsi="Arial"/>
          <w:sz w:val="23"/>
          <w:szCs w:val="23"/>
          <w:color w:val="auto"/>
          <w:vertAlign w:val="superscript"/>
        </w:rPr>
      </w:pPr>
    </w:p>
    <w:p>
      <w:pPr>
        <w:jc w:val="both"/>
        <w:ind w:left="340" w:hanging="332"/>
        <w:spacing w:after="0" w:line="260" w:lineRule="auto"/>
        <w:tabs>
          <w:tab w:leader="none" w:pos="328" w:val="left"/>
        </w:tabs>
        <w:numPr>
          <w:ilvl w:val="0"/>
          <w:numId w:val="114"/>
        </w:numPr>
        <w:rPr>
          <w:rFonts w:ascii="Arial" w:cs="Arial" w:eastAsia="Arial" w:hAnsi="Arial"/>
          <w:sz w:val="22"/>
          <w:szCs w:val="22"/>
          <w:color w:val="auto"/>
          <w:vertAlign w:val="superscript"/>
        </w:rPr>
      </w:pPr>
      <w:r>
        <w:rPr>
          <w:rFonts w:ascii="Arial" w:cs="Arial" w:eastAsia="Arial" w:hAnsi="Arial"/>
          <w:sz w:val="17"/>
          <w:szCs w:val="17"/>
          <w:color w:val="auto"/>
        </w:rPr>
        <w:t>The amounts reflected for 2020 in this column include (i) matching contributions to the ET 401(k) Plan made on behalf of the named executive officers of $13,846 for Mr. Long, $10,288 for Mr. McCrea and $14,250 each for Messrs. Ramsey and Mason, and (ii) health savings account contributions made on behalf of the named executive officers of $2,000 each for Messrs. Long and McCrea, and (iii) the dollar value of life insurance premiums paid for the benefit of the named executive officers. The amounts reflected for all periods exclude distribution payments in connection with distribution equivalent rights on unvested unit awards, because the dollar value of such distributions are factored into the grant date fair value reported in the “Equity Awards” column of the Summary Compensation Table at the time that the unit awards and distribution equivalent rights were originally granted. For 2020, distribution payments in connection with distribution equivalent rights totaled $913,658 for Mr. Long, $2,284,899 for Mr. McCrea, $916,013 for Mr. Ramsey, and $774,910 for Mr. Mason.</w:t>
      </w:r>
    </w:p>
    <w:p>
      <w:pPr>
        <w:spacing w:after="0" w:line="79" w:lineRule="exact"/>
        <w:rPr>
          <w:rFonts w:ascii="Arial" w:cs="Arial" w:eastAsia="Arial" w:hAnsi="Arial"/>
          <w:sz w:val="22"/>
          <w:szCs w:val="22"/>
          <w:color w:val="auto"/>
          <w:vertAlign w:val="superscript"/>
        </w:rPr>
      </w:pPr>
    </w:p>
    <w:p>
      <w:pPr>
        <w:jc w:val="both"/>
        <w:ind w:left="340" w:hanging="332"/>
        <w:spacing w:after="0" w:line="234" w:lineRule="auto"/>
        <w:tabs>
          <w:tab w:leader="none" w:pos="328"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Mr. Warren has voluntarily determined that his salary will be reduced to $1.00 per year (plus an amount sufficient to cover his allocated payroll deductions for health and welfare benefits). He also does not accept a cash bonus or any equity or incentive awards under any applicable incentive plans.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The amounts reflected in the bonus column for Mr. McCrea represents the first payment of Mr. McCrea’s time-vested cash award, which award represents 50% of Mr. McCrea’s total equity award target. This amount was paid on December 31,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in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All Other Unit Awards: Number</w:t>
            </w:r>
          </w:p>
        </w:tc>
        <w:tc>
          <w:tcPr>
            <w:tcW w:w="2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Grant Date Fair Value of Unit</w:t>
            </w: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232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of Units</w:t>
            </w: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ind w:right="668"/>
              <w:spacing w:after="0" w:line="189"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8"/>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ET Unit Awards:</w:t>
            </w:r>
          </w:p>
        </w:tc>
        <w:tc>
          <w:tcPr>
            <w:tcW w:w="2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Kelcy L. Warren</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320" w:type="dxa"/>
            <w:vAlign w:val="bottom"/>
            <w:gridSpan w:val="3"/>
            <w:shd w:val="clear" w:color="auto" w:fill="CCEEFF"/>
          </w:tcPr>
          <w:p>
            <w:pPr>
              <w:ind w:left="1900"/>
              <w:spacing w:after="0"/>
              <w:rPr>
                <w:sz w:val="20"/>
                <w:szCs w:val="20"/>
                <w:color w:val="auto"/>
              </w:rPr>
            </w:pPr>
            <w:r>
              <w:rPr>
                <w:rFonts w:ascii="Arial" w:cs="Arial" w:eastAsia="Arial" w:hAnsi="Arial"/>
                <w:sz w:val="14"/>
                <w:szCs w:val="14"/>
                <w:color w:val="auto"/>
              </w:rPr>
              <w:t>—   $</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520"/>
              <w:spacing w:after="0"/>
              <w:rPr>
                <w:sz w:val="20"/>
                <w:szCs w:val="20"/>
                <w:color w:val="auto"/>
              </w:rPr>
            </w:pPr>
            <w:r>
              <w:rPr>
                <w:rFonts w:ascii="Arial" w:cs="Arial" w:eastAsia="Arial" w:hAnsi="Arial"/>
                <w:sz w:val="14"/>
                <w:szCs w:val="14"/>
                <w:color w:val="auto"/>
              </w:rPr>
              <w:t>Thomas E. Long</w:t>
            </w: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178,550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1,099,868</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Marshal S. (Mackie) McCrea, III</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746,350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4,597,516</w:t>
            </w:r>
          </w:p>
        </w:tc>
        <w:tc>
          <w:tcPr>
            <w:tcW w:w="0" w:type="dxa"/>
            <w:vAlign w:val="bottom"/>
          </w:tcPr>
          <w:p>
            <w:pPr>
              <w:spacing w:after="0"/>
              <w:rPr>
                <w:sz w:val="1"/>
                <w:szCs w:val="1"/>
                <w:color w:val="auto"/>
              </w:rPr>
            </w:pPr>
          </w:p>
        </w:tc>
      </w:tr>
      <w:tr>
        <w:trPr>
          <w:trHeight w:val="186"/>
        </w:trPr>
        <w:tc>
          <w:tcPr>
            <w:tcW w:w="4660" w:type="dxa"/>
            <w:vAlign w:val="bottom"/>
          </w:tcPr>
          <w:p>
            <w:pPr>
              <w:ind w:left="520"/>
              <w:spacing w:after="0"/>
              <w:rPr>
                <w:sz w:val="20"/>
                <w:szCs w:val="20"/>
                <w:color w:val="auto"/>
              </w:rPr>
            </w:pPr>
            <w:r>
              <w:rPr>
                <w:rFonts w:ascii="Arial" w:cs="Arial" w:eastAsia="Arial" w:hAnsi="Arial"/>
                <w:sz w:val="14"/>
                <w:szCs w:val="14"/>
                <w:color w:val="auto"/>
              </w:rPr>
              <w:t>Matthew S. Ramsey</w:t>
            </w: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207,300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1,276,968</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Thomas P. Mason</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1,446,984</w:t>
            </w:r>
          </w:p>
        </w:tc>
        <w:tc>
          <w:tcPr>
            <w:tcW w:w="0" w:type="dxa"/>
            <w:vAlign w:val="bottom"/>
          </w:tcPr>
          <w:p>
            <w:pPr>
              <w:spacing w:after="0"/>
              <w:rPr>
                <w:sz w:val="1"/>
                <w:szCs w:val="1"/>
                <w:color w:val="auto"/>
              </w:rPr>
            </w:pPr>
          </w:p>
        </w:tc>
      </w:tr>
      <w:tr>
        <w:trPr>
          <w:trHeight w:val="188"/>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ET Cash Restricted Unit Awards: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Thomas E. Long</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883,527</w:t>
            </w:r>
          </w:p>
        </w:tc>
        <w:tc>
          <w:tcPr>
            <w:tcW w:w="0" w:type="dxa"/>
            <w:vAlign w:val="bottom"/>
          </w:tcPr>
          <w:p>
            <w:pPr>
              <w:spacing w:after="0"/>
              <w:rPr>
                <w:sz w:val="1"/>
                <w:szCs w:val="1"/>
                <w:color w:val="auto"/>
              </w:rPr>
            </w:pPr>
          </w:p>
        </w:tc>
      </w:tr>
      <w:tr>
        <w:trPr>
          <w:trHeight w:val="186"/>
        </w:trPr>
        <w:tc>
          <w:tcPr>
            <w:tcW w:w="4660" w:type="dxa"/>
            <w:vAlign w:val="bottom"/>
          </w:tcPr>
          <w:p>
            <w:pPr>
              <w:ind w:left="520"/>
              <w:spacing w:after="0"/>
              <w:rPr>
                <w:sz w:val="20"/>
                <w:szCs w:val="20"/>
                <w:color w:val="auto"/>
              </w:rPr>
            </w:pPr>
            <w:r>
              <w:rPr>
                <w:rFonts w:ascii="Arial" w:cs="Arial" w:eastAsia="Arial" w:hAnsi="Arial"/>
                <w:sz w:val="14"/>
                <w:szCs w:val="14"/>
                <w:color w:val="auto"/>
              </w:rPr>
              <w:t>Matthew S. Ramsey</w:t>
            </w: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207,300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1,025,792</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Thomas P. Mason</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1,162,366</w:t>
            </w:r>
          </w:p>
        </w:tc>
        <w:tc>
          <w:tcPr>
            <w:tcW w:w="0" w:type="dxa"/>
            <w:vAlign w:val="bottom"/>
          </w:tcPr>
          <w:p>
            <w:pPr>
              <w:spacing w:after="0"/>
              <w:rPr>
                <w:sz w:val="1"/>
                <w:szCs w:val="1"/>
                <w:color w:val="auto"/>
              </w:rPr>
            </w:pPr>
          </w:p>
        </w:tc>
      </w:tr>
      <w:tr>
        <w:trPr>
          <w:trHeight w:val="188"/>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Sunoco LP Unit Awards: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Thomas E. Long</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797,860</w:t>
            </w:r>
          </w:p>
        </w:tc>
        <w:tc>
          <w:tcPr>
            <w:tcW w:w="0" w:type="dxa"/>
            <w:vAlign w:val="bottom"/>
          </w:tcPr>
          <w:p>
            <w:pPr>
              <w:spacing w:after="0"/>
              <w:rPr>
                <w:sz w:val="1"/>
                <w:szCs w:val="1"/>
                <w:color w:val="auto"/>
              </w:rPr>
            </w:pPr>
          </w:p>
        </w:tc>
      </w:tr>
      <w:tr>
        <w:trPr>
          <w:trHeight w:val="182"/>
        </w:trPr>
        <w:tc>
          <w:tcPr>
            <w:tcW w:w="4660" w:type="dxa"/>
            <w:vAlign w:val="bottom"/>
          </w:tcPr>
          <w:p>
            <w:pPr>
              <w:ind w:left="520"/>
              <w:spacing w:after="0"/>
              <w:rPr>
                <w:sz w:val="20"/>
                <w:szCs w:val="20"/>
                <w:color w:val="auto"/>
              </w:rPr>
            </w:pPr>
            <w:r>
              <w:rPr>
                <w:rFonts w:ascii="Arial" w:cs="Arial" w:eastAsia="Arial" w:hAnsi="Arial"/>
                <w:sz w:val="14"/>
                <w:szCs w:val="14"/>
                <w:color w:val="auto"/>
              </w:rPr>
              <w:t>Matthew S. Ramsey</w:t>
            </w: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12/30/2020</w:t>
            </w: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32,300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927,010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340" w:hanging="332"/>
        <w:spacing w:after="0" w:line="224" w:lineRule="auto"/>
        <w:tabs>
          <w:tab w:leader="none" w:pos="328"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We have computed the grant date fair value of unit awards in accordance with FASB ASC Topic 718, as further described above and in Note 9 to our consolidated financial statements. For ET cash restricted unit awards, the grant date fair value is discounted for the expected distribution yield during the vesting period, as those awards do not include distribution equivalent rights.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the Plan-Based Awards Table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material factors necessary to understand the information disclosed in the tables above with respect to salaries, bonuses, equity awards, and 401(k) plan contributions can be found in the Compensation Discussion and Analysis that precedes these tables.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2020 Fiscal Year-End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Borders>
              <w:bottom w:val="single" w:sz="8" w:color="auto"/>
            </w:tcBorders>
            <w:gridSpan w:val="4"/>
          </w:tcPr>
          <w:p>
            <w:pPr>
              <w:jc w:val="right"/>
              <w:ind w:right="2128"/>
              <w:spacing w:after="0"/>
              <w:rPr>
                <w:sz w:val="20"/>
                <w:szCs w:val="20"/>
                <w:color w:val="auto"/>
              </w:rPr>
            </w:pPr>
            <w:r>
              <w:rPr>
                <w:rFonts w:ascii="Arial" w:cs="Arial" w:eastAsia="Arial" w:hAnsi="Arial"/>
                <w:sz w:val="14"/>
                <w:szCs w:val="14"/>
                <w:b w:val="1"/>
                <w:bCs w:val="1"/>
                <w:color w:val="auto"/>
              </w:rPr>
              <w:t xml:space="preserve">Unit Awards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Number of Units That Have Not Vested</w:t>
            </w:r>
            <w:r>
              <w:rPr>
                <w:rFonts w:ascii="Arial" w:cs="Arial" w:eastAsia="Arial" w:hAnsi="Arial"/>
                <w:sz w:val="18"/>
                <w:szCs w:val="18"/>
                <w:b w:val="1"/>
                <w:bCs w:val="1"/>
                <w:color w:val="auto"/>
                <w:vertAlign w:val="superscript"/>
              </w:rPr>
              <w:t>(2)</w:t>
            </w:r>
          </w:p>
        </w:tc>
        <w:tc>
          <w:tcPr>
            <w:tcW w:w="25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Market or Payout Value of Units That</w:t>
            </w: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1"/>
                <w:szCs w:val="11"/>
                <w:color w:val="auto"/>
              </w:rPr>
            </w:pPr>
          </w:p>
        </w:tc>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500" w:type="dxa"/>
            <w:vAlign w:val="bottom"/>
          </w:tcPr>
          <w:p>
            <w:pPr>
              <w:jc w:val="center"/>
              <w:ind w:right="48"/>
              <w:spacing w:after="0" w:line="135" w:lineRule="exact"/>
              <w:rPr>
                <w:sz w:val="20"/>
                <w:szCs w:val="20"/>
                <w:color w:val="auto"/>
              </w:rPr>
            </w:pPr>
            <w:r>
              <w:rPr>
                <w:rFonts w:ascii="Arial" w:cs="Arial" w:eastAsia="Arial" w:hAnsi="Arial"/>
                <w:sz w:val="12"/>
                <w:szCs w:val="12"/>
                <w:b w:val="1"/>
                <w:bCs w:val="1"/>
                <w:color w:val="auto"/>
              </w:rPr>
              <w:t xml:space="preserve">Have Not Vested </w:t>
            </w:r>
            <w:r>
              <w:rPr>
                <w:rFonts w:ascii="Arial" w:cs="Arial" w:eastAsia="Arial" w:hAnsi="Arial"/>
                <w:sz w:val="15"/>
                <w:szCs w:val="15"/>
                <w:b w:val="1"/>
                <w:bCs w:val="1"/>
                <w:color w:val="auto"/>
                <w:vertAlign w:val="superscript"/>
              </w:rPr>
              <w:t>(3)</w:t>
            </w:r>
          </w:p>
        </w:tc>
        <w:tc>
          <w:tcPr>
            <w:tcW w:w="0" w:type="dxa"/>
            <w:vAlign w:val="bottom"/>
          </w:tcPr>
          <w:p>
            <w:pPr>
              <w:spacing w:after="0"/>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2720" w:type="dxa"/>
            <w:vAlign w:val="bottom"/>
            <w:gridSpan w:val="2"/>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center"/>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304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ET Unit Awards:</w:t>
            </w:r>
          </w:p>
        </w:tc>
        <w:tc>
          <w:tcPr>
            <w:tcW w:w="120" w:type="dxa"/>
            <w:vAlign w:val="bottom"/>
          </w:tcPr>
          <w:p>
            <w:pPr>
              <w:spacing w:after="0"/>
              <w:rPr>
                <w:sz w:val="15"/>
                <w:szCs w:val="15"/>
                <w:color w:val="auto"/>
              </w:rPr>
            </w:pPr>
          </w:p>
        </w:tc>
        <w:tc>
          <w:tcPr>
            <w:tcW w:w="2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2400"/>
              <w:spacing w:after="0"/>
              <w:rPr>
                <w:sz w:val="20"/>
                <w:szCs w:val="20"/>
                <w:color w:val="auto"/>
              </w:rPr>
            </w:pPr>
            <w:r>
              <w:rPr>
                <w:rFonts w:ascii="Arial" w:cs="Arial" w:eastAsia="Arial" w:hAnsi="Arial"/>
                <w:sz w:val="14"/>
                <w:szCs w:val="14"/>
                <w:color w:val="auto"/>
              </w:rPr>
              <w:t>—   $</w:t>
            </w: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Thomas E. Long</w:t>
            </w: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178,550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1,103,439</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215,000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1,328,700</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136,475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843,416</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10/19/2018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115,200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711,936</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12/20/2017</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48,430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299,297</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12/29/2016</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30,236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186,858</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Marshal S. (Mackie) McCrea, III</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746,350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4,612,443</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682,400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4,217,232</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605,740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3,743,473</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214,952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1,328,403</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172,231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1,064,388</w:t>
            </w:r>
          </w:p>
        </w:tc>
        <w:tc>
          <w:tcPr>
            <w:tcW w:w="0" w:type="dxa"/>
            <w:vAlign w:val="bottom"/>
          </w:tcPr>
          <w:p>
            <w:pPr>
              <w:spacing w:after="0"/>
              <w:rPr>
                <w:sz w:val="1"/>
                <w:szCs w:val="1"/>
                <w:color w:val="auto"/>
              </w:rPr>
            </w:pP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12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tcPr>
          <w:p>
            <w:pPr>
              <w:spacing w:after="0"/>
              <w:rPr>
                <w:sz w:val="15"/>
                <w:szCs w:val="15"/>
                <w:color w:val="auto"/>
              </w:rPr>
            </w:pPr>
          </w:p>
        </w:tc>
        <w:tc>
          <w:tcPr>
            <w:tcW w:w="2620" w:type="dxa"/>
            <w:vAlign w:val="bottom"/>
          </w:tcPr>
          <w:p>
            <w:pPr>
              <w:jc w:val="right"/>
              <w:ind w:right="8"/>
              <w:spacing w:after="0"/>
              <w:rPr>
                <w:sz w:val="20"/>
                <w:szCs w:val="20"/>
                <w:color w:val="auto"/>
              </w:rPr>
            </w:pPr>
            <w:r>
              <w:rPr>
                <w:rFonts w:ascii="Arial" w:cs="Arial" w:eastAsia="Arial" w:hAnsi="Arial"/>
                <w:sz w:val="14"/>
                <w:szCs w:val="14"/>
                <w:color w:val="auto"/>
              </w:rPr>
              <w:t>207,300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1,281,114</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189,600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1,171,728</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168,260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1,039,847</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12/20/2017</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89,564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553,506</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12/29/2016</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73,440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453,859</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234,900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1,451,682</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214,800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1,327,464</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190,640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1,178,155</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334,462</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251,186</w:t>
            </w:r>
          </w:p>
        </w:tc>
        <w:tc>
          <w:tcPr>
            <w:tcW w:w="0" w:type="dxa"/>
            <w:vAlign w:val="bottom"/>
          </w:tcPr>
          <w:p>
            <w:pPr>
              <w:spacing w:after="0"/>
              <w:rPr>
                <w:sz w:val="1"/>
                <w:szCs w:val="1"/>
                <w:color w:val="auto"/>
              </w:rPr>
            </w:pPr>
          </w:p>
        </w:tc>
      </w:tr>
      <w:tr>
        <w:trPr>
          <w:trHeight w:val="188"/>
        </w:trPr>
        <w:tc>
          <w:tcPr>
            <w:tcW w:w="3040" w:type="dxa"/>
            <w:vAlign w:val="bottom"/>
          </w:tcPr>
          <w:p>
            <w:pPr>
              <w:ind w:left="180"/>
              <w:spacing w:after="0"/>
              <w:rPr>
                <w:sz w:val="20"/>
                <w:szCs w:val="20"/>
                <w:color w:val="auto"/>
              </w:rPr>
            </w:pPr>
            <w:r>
              <w:rPr>
                <w:rFonts w:ascii="Arial" w:cs="Arial" w:eastAsia="Arial" w:hAnsi="Arial"/>
                <w:sz w:val="14"/>
                <w:szCs w:val="14"/>
                <w:b w:val="1"/>
                <w:bCs w:val="1"/>
                <w:color w:val="auto"/>
              </w:rPr>
              <w:t>ET Cash Restricted Unit Awards:</w:t>
            </w: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Thomas E. Long</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178,550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887,058</w:t>
            </w:r>
          </w:p>
        </w:tc>
        <w:tc>
          <w:tcPr>
            <w:tcW w:w="0" w:type="dxa"/>
            <w:vAlign w:val="bottom"/>
          </w:tcPr>
          <w:p>
            <w:pPr>
              <w:spacing w:after="0"/>
              <w:rPr>
                <w:sz w:val="1"/>
                <w:szCs w:val="1"/>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207,300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1,029,892</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234,900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1,167,012</w:t>
            </w:r>
          </w:p>
        </w:tc>
        <w:tc>
          <w:tcPr>
            <w:tcW w:w="0" w:type="dxa"/>
            <w:vAlign w:val="bottom"/>
          </w:tcPr>
          <w:p>
            <w:pPr>
              <w:spacing w:after="0"/>
              <w:rPr>
                <w:sz w:val="1"/>
                <w:szCs w:val="1"/>
                <w:color w:val="auto"/>
              </w:rPr>
            </w:pPr>
          </w:p>
        </w:tc>
      </w:tr>
      <w:tr>
        <w:trPr>
          <w:trHeight w:val="188"/>
        </w:trPr>
        <w:tc>
          <w:tcPr>
            <w:tcW w:w="3040" w:type="dxa"/>
            <w:vAlign w:val="bottom"/>
          </w:tcPr>
          <w:p>
            <w:pPr>
              <w:ind w:left="180"/>
              <w:spacing w:after="0"/>
              <w:rPr>
                <w:sz w:val="20"/>
                <w:szCs w:val="20"/>
                <w:color w:val="auto"/>
              </w:rPr>
            </w:pPr>
            <w:r>
              <w:rPr>
                <w:rFonts w:ascii="Arial" w:cs="Arial" w:eastAsia="Arial" w:hAnsi="Arial"/>
                <w:sz w:val="14"/>
                <w:szCs w:val="14"/>
                <w:b w:val="1"/>
                <w:bCs w:val="1"/>
                <w:color w:val="auto"/>
              </w:rPr>
              <w:t>Sunoco LP Unit Awards:</w:t>
            </w: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27,800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800,084</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19,500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561,210</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12/19/2018</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19,325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556,174</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12/21/2017</w:t>
            </w: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196,826</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255,682</w:t>
            </w:r>
          </w:p>
        </w:tc>
        <w:tc>
          <w:tcPr>
            <w:tcW w:w="0" w:type="dxa"/>
            <w:vAlign w:val="bottom"/>
          </w:tcPr>
          <w:p>
            <w:pPr>
              <w:spacing w:after="0"/>
              <w:rPr>
                <w:sz w:val="1"/>
                <w:szCs w:val="1"/>
                <w:color w:val="auto"/>
              </w:rPr>
            </w:pP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12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tcPr>
          <w:p>
            <w:pPr>
              <w:spacing w:after="0"/>
              <w:rPr>
                <w:sz w:val="15"/>
                <w:szCs w:val="15"/>
                <w:color w:val="auto"/>
              </w:rPr>
            </w:pPr>
          </w:p>
        </w:tc>
        <w:tc>
          <w:tcPr>
            <w:tcW w:w="2620" w:type="dxa"/>
            <w:vAlign w:val="bottom"/>
          </w:tcPr>
          <w:p>
            <w:pPr>
              <w:jc w:val="right"/>
              <w:ind w:right="8"/>
              <w:spacing w:after="0"/>
              <w:rPr>
                <w:sz w:val="20"/>
                <w:szCs w:val="20"/>
                <w:color w:val="auto"/>
              </w:rPr>
            </w:pPr>
            <w:r>
              <w:rPr>
                <w:rFonts w:ascii="Arial" w:cs="Arial" w:eastAsia="Arial" w:hAnsi="Arial"/>
                <w:sz w:val="14"/>
                <w:szCs w:val="14"/>
                <w:color w:val="auto"/>
              </w:rPr>
              <w:t>32,300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929,594</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22,600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650,428</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12/19/2018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23,825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685,684</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12/21/2017</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7,643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219,966</w:t>
            </w: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12/29/2016</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9,320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268,230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38" w:lineRule="auto"/>
        <w:tabs>
          <w:tab w:leader="none" w:pos="328"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Certain of these outstanding awards represent former Energy Transfer Partners, L.P. awards that converted into ET awards upon the merger of Energy Transfer Equity, L.P. (now named Energy Transfer LP) and Energy Transfer Partners, L.P. (now named Energy Transfer Operating, L.P.) in October 2018. Furthermore, some of those converted awards had previously been converted in connection with the merger of Energy Transfer Partners, L.P. and Sunoco Logistics Partners L.P. in April 2017.</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ET and Sunoco LP unit awards outstanding vest as follows:</w:t>
      </w:r>
    </w:p>
    <w:p>
      <w:pPr>
        <w:spacing w:after="0" w:line="93" w:lineRule="exact"/>
        <w:rPr>
          <w:rFonts w:ascii="Arial" w:cs="Arial" w:eastAsia="Arial" w:hAnsi="Arial"/>
          <w:sz w:val="23"/>
          <w:szCs w:val="23"/>
          <w:color w:val="auto"/>
          <w:vertAlign w:val="superscript"/>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at a rate of 60% in December 2023 and 40% in December 2025 for awards granted in December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at a rate of 60% in December 2022 and 40% in December 2024 for awards granted in December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at a rate of 60% in December 2021 and 40% in December 2023 for awards granted in October and December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100% in December 2022 for the remaining outstanding portion of awards granted in December 2017;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100% in December 2021 for the remaining outstanding portion of awards granted in December 2016.</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Such awards may be settled at the election of the ET Compensation Committee in (i) common units of ET (subject to the approval of the ET Incentive Plans prior to the first vesting date by a majority of Unitholders pursuant to the rules of the New York Stock Exchange); (ii) cash equal to the Fair Market Value (as such term is defined in the ET Incentive Plans) of the ET common units that would otherwise be delivered pursuant to the terms of each named executive officers grant agreement; or (iii) other securities or property in an amount equal to the Fair Market Value of ET common units that would otherwise be delivered pursuant to the terms of the grant agreement, or a combination thereof as determined by the ET Compensation Committee in its discretion.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ET cash restricted unit awards granted in December 2020 vest 1/3 per year in December 2021, 2022 and 2023.</w:t>
      </w:r>
    </w:p>
    <w:p>
      <w:pPr>
        <w:spacing w:after="0" w:line="171" w:lineRule="exact"/>
        <w:rPr>
          <w:sz w:val="20"/>
          <w:szCs w:val="20"/>
          <w:color w:val="auto"/>
        </w:rPr>
      </w:pPr>
    </w:p>
    <w:p>
      <w:pPr>
        <w:jc w:val="both"/>
        <w:ind w:left="340" w:hanging="332"/>
        <w:spacing w:after="0" w:line="234" w:lineRule="auto"/>
        <w:tabs>
          <w:tab w:leader="none" w:pos="328" w:val="left"/>
        </w:tabs>
        <w:numPr>
          <w:ilvl w:val="0"/>
          <w:numId w:val="118"/>
        </w:numPr>
        <w:rPr>
          <w:rFonts w:ascii="Arial" w:cs="Arial" w:eastAsia="Arial" w:hAnsi="Arial"/>
          <w:sz w:val="23"/>
          <w:szCs w:val="23"/>
          <w:color w:val="auto"/>
          <w:vertAlign w:val="superscript"/>
        </w:rPr>
      </w:pPr>
      <w:r>
        <w:rPr>
          <w:rFonts w:ascii="Arial" w:cs="Arial" w:eastAsia="Arial" w:hAnsi="Arial"/>
          <w:sz w:val="18"/>
          <w:szCs w:val="18"/>
          <w:color w:val="auto"/>
        </w:rPr>
        <w:t>Market value was computed as the number of unvested awards as of December 31, 2020 multiplied by the closing price of respective common units of ET and Sunoco LP. For ET cash restricted unit awards, the grant date fair value is discounted for the expected distribution yield during the vesting period, as those awards do not include distribution equivalent rights.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Vested in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auto"/>
            </w:tcBorders>
            <w:gridSpan w:val="4"/>
          </w:tcPr>
          <w:p>
            <w:pPr>
              <w:jc w:val="right"/>
              <w:ind w:right="1788"/>
              <w:spacing w:after="0"/>
              <w:rPr>
                <w:sz w:val="20"/>
                <w:szCs w:val="20"/>
                <w:color w:val="auto"/>
              </w:rPr>
            </w:pPr>
            <w:r>
              <w:rPr>
                <w:rFonts w:ascii="Arial" w:cs="Arial" w:eastAsia="Arial" w:hAnsi="Arial"/>
                <w:sz w:val="14"/>
                <w:szCs w:val="14"/>
                <w:b w:val="1"/>
                <w:bCs w:val="1"/>
                <w:color w:val="auto"/>
              </w:rPr>
              <w:t>Unit Awards</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Number of Units</w:t>
            </w:r>
          </w:p>
        </w:tc>
        <w:tc>
          <w:tcPr>
            <w:tcW w:w="1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5"/>
              </w:rPr>
              <w:t>Value Realized on Vesting</w:t>
            </w:r>
          </w:p>
        </w:tc>
        <w:tc>
          <w:tcPr>
            <w:tcW w:w="0" w:type="dxa"/>
            <w:vAlign w:val="bottom"/>
          </w:tcPr>
          <w:p>
            <w:pPr>
              <w:spacing w:after="0"/>
              <w:rPr>
                <w:sz w:val="1"/>
                <w:szCs w:val="1"/>
                <w:color w:val="auto"/>
              </w:rPr>
            </w:pPr>
          </w:p>
        </w:tc>
      </w:tr>
      <w:tr>
        <w:trPr>
          <w:trHeight w:val="135"/>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Acquired on Vesting</w:t>
            </w: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00" w:type="dxa"/>
            <w:vAlign w:val="bottom"/>
            <w:gridSpan w:val="2"/>
            <w:vMerge w:val="continue"/>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86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3"/>
        </w:trPr>
        <w:tc>
          <w:tcPr>
            <w:tcW w:w="66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ET Unit Awards:</w:t>
            </w:r>
          </w:p>
        </w:tc>
        <w:tc>
          <w:tcPr>
            <w:tcW w:w="100" w:type="dxa"/>
            <w:vAlign w:val="bottom"/>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2500" w:type="dxa"/>
            <w:vAlign w:val="bottom"/>
            <w:gridSpan w:val="3"/>
            <w:shd w:val="clear" w:color="auto" w:fill="CCEEFF"/>
          </w:tcPr>
          <w:p>
            <w:pPr>
              <w:ind w:left="1920"/>
              <w:spacing w:after="0"/>
              <w:rPr>
                <w:sz w:val="20"/>
                <w:szCs w:val="20"/>
                <w:color w:val="auto"/>
              </w:rPr>
            </w:pPr>
            <w:r>
              <w:rPr>
                <w:rFonts w:ascii="Arial" w:cs="Arial" w:eastAsia="Arial" w:hAnsi="Arial"/>
                <w:sz w:val="14"/>
                <w:szCs w:val="14"/>
                <w:color w:val="auto"/>
              </w:rPr>
              <w:t>N/A  $</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gridSpan w:val="2"/>
          </w:tcPr>
          <w:p>
            <w:pPr>
              <w:ind w:left="360"/>
              <w:spacing w:after="0"/>
              <w:rPr>
                <w:sz w:val="20"/>
                <w:szCs w:val="20"/>
                <w:color w:val="auto"/>
              </w:rPr>
            </w:pPr>
            <w:r>
              <w:rPr>
                <w:rFonts w:ascii="Arial" w:cs="Arial" w:eastAsia="Arial" w:hAnsi="Arial"/>
                <w:sz w:val="14"/>
                <w:szCs w:val="14"/>
                <w:color w:val="auto"/>
              </w:rPr>
              <w:t>Thomas E. Long</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92,610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641,787</w:t>
            </w:r>
          </w:p>
        </w:tc>
        <w:tc>
          <w:tcPr>
            <w:tcW w:w="0" w:type="dxa"/>
            <w:vAlign w:val="bottom"/>
          </w:tcPr>
          <w:p>
            <w:pPr>
              <w:spacing w:after="0"/>
              <w:rPr>
                <w:sz w:val="1"/>
                <w:szCs w:val="1"/>
                <w:color w:val="auto"/>
              </w:rPr>
            </w:pPr>
          </w:p>
        </w:tc>
      </w:tr>
      <w:tr>
        <w:trPr>
          <w:trHeight w:val="192"/>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Marshall S. (Mackie) McCrea, III</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465,098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3,223,129</w:t>
            </w:r>
          </w:p>
        </w:tc>
        <w:tc>
          <w:tcPr>
            <w:tcW w:w="0" w:type="dxa"/>
            <w:vAlign w:val="bottom"/>
          </w:tcPr>
          <w:p>
            <w:pPr>
              <w:spacing w:after="0"/>
              <w:rPr>
                <w:sz w:val="1"/>
                <w:szCs w:val="1"/>
                <w:color w:val="auto"/>
              </w:rPr>
            </w:pPr>
          </w:p>
        </w:tc>
      </w:tr>
      <w:tr>
        <w:trPr>
          <w:trHeight w:val="186"/>
        </w:trPr>
        <w:tc>
          <w:tcPr>
            <w:tcW w:w="670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193,626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1,341,828</w:t>
            </w:r>
          </w:p>
        </w:tc>
        <w:tc>
          <w:tcPr>
            <w:tcW w:w="0" w:type="dxa"/>
            <w:vAlign w:val="bottom"/>
          </w:tcPr>
          <w:p>
            <w:pPr>
              <w:spacing w:after="0"/>
              <w:rPr>
                <w:sz w:val="1"/>
                <w:szCs w:val="1"/>
                <w:color w:val="auto"/>
              </w:rPr>
            </w:pPr>
          </w:p>
        </w:tc>
      </w:tr>
      <w:tr>
        <w:trPr>
          <w:trHeight w:val="192"/>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114,858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795,966</w:t>
            </w:r>
          </w:p>
        </w:tc>
        <w:tc>
          <w:tcPr>
            <w:tcW w:w="0" w:type="dxa"/>
            <w:vAlign w:val="bottom"/>
          </w:tcPr>
          <w:p>
            <w:pPr>
              <w:spacing w:after="0"/>
              <w:rPr>
                <w:sz w:val="1"/>
                <w:szCs w:val="1"/>
                <w:color w:val="auto"/>
              </w:rPr>
            </w:pPr>
          </w:p>
        </w:tc>
      </w:tr>
      <w:tr>
        <w:trPr>
          <w:trHeight w:val="188"/>
        </w:trPr>
        <w:tc>
          <w:tcPr>
            <w:tcW w:w="6700" w:type="dxa"/>
            <w:vAlign w:val="bottom"/>
            <w:gridSpan w:val="2"/>
          </w:tcPr>
          <w:p>
            <w:pPr>
              <w:ind w:left="180"/>
              <w:spacing w:after="0"/>
              <w:rPr>
                <w:sz w:val="20"/>
                <w:szCs w:val="20"/>
                <w:color w:val="auto"/>
              </w:rPr>
            </w:pPr>
            <w:r>
              <w:rPr>
                <w:rFonts w:ascii="Arial" w:cs="Arial" w:eastAsia="Arial" w:hAnsi="Arial"/>
                <w:sz w:val="14"/>
                <w:szCs w:val="14"/>
                <w:b w:val="1"/>
                <w:bCs w:val="1"/>
                <w:color w:val="auto"/>
              </w:rPr>
              <w:t>Sunoco LP Unit Awards:</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459,900</w:t>
            </w:r>
          </w:p>
        </w:tc>
        <w:tc>
          <w:tcPr>
            <w:tcW w:w="0" w:type="dxa"/>
            <w:vAlign w:val="bottom"/>
          </w:tcPr>
          <w:p>
            <w:pPr>
              <w:spacing w:after="0"/>
              <w:rPr>
                <w:sz w:val="1"/>
                <w:szCs w:val="1"/>
                <w:color w:val="auto"/>
              </w:rPr>
            </w:pPr>
          </w:p>
        </w:tc>
      </w:tr>
      <w:tr>
        <w:trPr>
          <w:trHeight w:val="186"/>
        </w:trPr>
        <w:tc>
          <w:tcPr>
            <w:tcW w:w="670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25,584</w:t>
            </w:r>
          </w:p>
        </w:tc>
        <w:tc>
          <w:tcPr>
            <w:tcW w:w="0" w:type="dxa"/>
            <w:vAlign w:val="bottom"/>
          </w:tcPr>
          <w:p>
            <w:pPr>
              <w:spacing w:after="0"/>
              <w:rPr>
                <w:sz w:val="1"/>
                <w:szCs w:val="1"/>
                <w:color w:val="auto"/>
              </w:rPr>
            </w:pPr>
          </w:p>
        </w:tc>
      </w:tr>
      <w:tr>
        <w:trPr>
          <w:trHeight w:val="192"/>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545,618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652"/>
        <w:spacing w:after="0" w:line="227" w:lineRule="auto"/>
        <w:tabs>
          <w:tab w:leader="none" w:pos="648" w:val="left"/>
        </w:tabs>
        <w:numPr>
          <w:ilvl w:val="0"/>
          <w:numId w:val="119"/>
        </w:numPr>
        <w:rPr>
          <w:rFonts w:ascii="Arial" w:cs="Arial" w:eastAsia="Arial" w:hAnsi="Arial"/>
          <w:sz w:val="23"/>
          <w:szCs w:val="23"/>
          <w:color w:val="auto"/>
          <w:vertAlign w:val="superscript"/>
        </w:rPr>
      </w:pPr>
      <w:r>
        <w:rPr>
          <w:rFonts w:ascii="Arial" w:cs="Arial" w:eastAsia="Arial" w:hAnsi="Arial"/>
          <w:sz w:val="18"/>
          <w:szCs w:val="18"/>
          <w:color w:val="auto"/>
        </w:rPr>
        <w:t>Amounts presented represent the value realized upon vesting of these awards, which is calculated as the number of units vested multiplied by the applicable closing market price of applicable common units upon the vesting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have not issued option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a Termination or Change of Control</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As discussed in our Compensation Discussion and Analysis above, any unvested equity awards (including cash restricted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pursuant the ET Incentive Plans will automatically become vested upon a change of control, which is generally defined as the occurrence of one or more of the following events: (i) any person or group becomes the beneficial owner of 50% or more of the voting power or voting securities of ET or its general partner; (ii) LE GP, LLC or an affiliate of LE GP, LLC ceases to be the general partner of ET; or (iii) the sale or other disposition, including by liquidation or dissolution, of all or substantially all of the assets of ET in one or more transactions to anyone other than an affiliate of ET.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as explained in </w:t>
      </w:r>
      <w:r>
        <w:rPr>
          <w:rFonts w:ascii="Arial" w:cs="Arial" w:eastAsia="Arial" w:hAnsi="Arial"/>
          <w:sz w:val="18"/>
          <w:szCs w:val="18"/>
          <w:i w:val="1"/>
          <w:iCs w:val="1"/>
          <w:color w:val="auto"/>
        </w:rPr>
        <w:t>Equity Awards</w:t>
      </w:r>
      <w:r>
        <w:rPr>
          <w:rFonts w:ascii="Arial" w:cs="Arial" w:eastAsia="Arial" w:hAnsi="Arial"/>
          <w:sz w:val="18"/>
          <w:szCs w:val="18"/>
          <w:color w:val="auto"/>
        </w:rPr>
        <w:t xml:space="preserve"> section of our Compensation Discussion and Analysis above, the restricted unit awards, phantom unit awards and cash restricted unit awards under the ET Incentive Plans, the Sunoco LP Plan and the 2012 Sunoco LP Plan generally require the continued employment of the recipient during the vesting period, provided however, the unvested awards will be accelerated in the event of the death or disability of the award recipient prior to the applicable vesting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 being satisfied. All awards outstanding to the named executive officers under the ET Incentive Plans, the 2018 Sunoco LP Plan or the 2012 Sunoco LP Plan would be accelerated in the event of a change in control of the Partnership.</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October 2018 equity award to Mr. Long included a provision in the applicable award agreement for acceleration of unvested restricted unit/restricted phantom unit awards upon a termination of employment by the general partner of the applicable partnership issuing the award without “cause.” For purposes of the awards the term “cause” shall mean: (i) a conviction (treating a nolo contendere plea as a conviction) of a felony (whether or not any right to appeal has been or may be 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 (v) improper conduct materially prejudicial to the business of the partnership or any of its or their affiliates,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ET Compensation Committee and the compensation committee of the general partner of Sunoco LP, have approved a retirement provision, which provides that employees, including the named executive officers with at least ten years of service with the general partner, who leave the respective general partner voluntarily due to retirement (i) after age 65 but prior to age 68 are eligible for accelerated vesting of 40% of his or her award; or (ii) after 68 are eligible for accelerated vesting of 50% his or her award. The acceleration of the awards is subject to the applicable provisions of IRC Section 409(A).</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Mason previously received a one-time special incentive retention bonus, for which he would be obligated to repay $3,150,000 if his employment terminates (other than as a result of (x) a termination without cause by ET or by Mr. Mason for Good Reason; (y) his death; or (z) his permanent disability) prior to February 24,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As discussed in our Compensation Discussion and Analysis above, all amounts under the ET NQDC Plan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credits) are immediately 100% vested. Upon a change of control (as defined in the ET NQDC Plan), distributions from the respective plan would be made in accordance with the normal distribution provisions of the respective plan. A change of control is generally defined in the ET NQDC Plan as any change of control event within the meaning of Treasury Regulation Section 1.409A-3(i)(5).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Section 953(b) of the Dodd-Frank Wall Street Reform and Consumer Protection Act, and Item 402(u) of Regulation S-K, set forth below is information about the relationship of the annual total compensation of Mr. Warren, the Chairman and Chief Executive Officer and the annual total compensation of our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2020 calendar year, the annual total compensation of Mr. Warren, as reported in the Summary Compensation Table of this Item 11 was $6,392.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median total compensation of the employees supporting the Partnership (other than Mr. Warren) was $110,358 for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this information, for 2020 the ratio of the annual total compensation of Mr. Warren to the median of the annual total compensation of the 8,149 employees supporting ETO as of December 31, 2020 was approximately 1 to 17 as Mr. Warren has voluntarily elected not to accept any salary, bonus or equity incentive compensation (other than a salary of $1.00 per year plus an amount sufficient to cover his allocated employee premium contributions for health and welfare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 identify the median of the annual total compensation of the employees supporting the Partnership, the following steps were taken:</w:t>
      </w:r>
    </w:p>
    <w:p>
      <w:pPr>
        <w:spacing w:after="0" w:line="117" w:lineRule="exact"/>
        <w:rPr>
          <w:sz w:val="20"/>
          <w:szCs w:val="20"/>
          <w:color w:val="auto"/>
        </w:rPr>
      </w:pPr>
    </w:p>
    <w:p>
      <w:pPr>
        <w:jc w:val="both"/>
        <w:ind w:left="340" w:hanging="332"/>
        <w:spacing w:after="0" w:line="286" w:lineRule="auto"/>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It was determined that, as of December 31, 2020, the applicable employee populations consisted of 8,149 with all of the identified individuals being employed in the United States. This population consisted of all of our full-time and part-time employees. We did not engage any independent contractors in 2020 that are required to be included in our employee population for the CEO pay ratio evaluation.</w:t>
      </w:r>
    </w:p>
    <w:p>
      <w:pPr>
        <w:spacing w:after="0" w:line="57"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total earnings of our employees as reflected in our payroll records as reported on Form W-2 for 2020.</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identified our median employee using W-2 reporting and applied this compensation measure consistently to all of our employees required to be included in the calculation. We did not make any cost of living adjustments in identifying the “median employee.”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hanging="332"/>
        <w:spacing w:after="0" w:line="296"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elements of the employee’s compensation for 2020 resulting in an annual compensation of $110,358. The difference between such employee’s total earnings and the employee’s total compensation represents the estimated value of the employee’s health care benefits (estimated for the employee and such employee’s eligible dependents at $11,119) and the employee’s 401(k) matching contribution and profit sharing contribution (estimated at $3,130 per employee, includes $1,972 per employee on average matching contribution and $1,158 per employee on average profit sharing contribution (employees earning over $175,000 in base are ineligible for profit sharing)).</w:t>
      </w:r>
    </w:p>
    <w:p>
      <w:pPr>
        <w:spacing w:after="0" w:line="53" w:lineRule="exact"/>
        <w:rPr>
          <w:rFonts w:ascii="Arial" w:cs="Arial" w:eastAsia="Arial" w:hAnsi="Arial"/>
          <w:sz w:val="16"/>
          <w:szCs w:val="16"/>
          <w:color w:val="auto"/>
        </w:rPr>
      </w:pPr>
    </w:p>
    <w:p>
      <w:pPr>
        <w:ind w:left="340" w:hanging="332"/>
        <w:spacing w:after="0"/>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 respect to Mr. Warren, we used the amount reported in the “Total” column of our 2020 Summary Compensation Table under this Item 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the compensation arrangements for outside directors included a $100,000 annual retainer for services on the board. If a director served on the ET Audit Committee, such director would receive an annual cash retainer ($15,000 or $25,000 in the case of the chairman). If a director served on the ET Compensation Committee, such director would receive an annual cash retainer ($7,500 or $15,000 in the case of the chairman). The fees for membership on the Conflicts Committee are determined on a per instance basis for each committee assignment.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outside directors of our General Partner are also entitled to an annual restricted unit award under the ET Incentive Plans equal to an aggregate of $100,000 divided by the closing price of ET common units on the date of grant. These ET common units will vest 60% after the third year and the remaining 40% after the fifth year after the grant date. The compensation expense recorded is based on the grant-date market value of the ET common units and is recognized over the vesting period. Distributions are paid during the vesting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the non-employee directors of our General Partner in 2020 is reflected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7"/>
                <w:szCs w:val="17"/>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Fees Paid in Cash</w:t>
            </w:r>
            <w:r>
              <w:rPr>
                <w:rFonts w:ascii="Arial" w:cs="Arial" w:eastAsia="Arial" w:hAnsi="Arial"/>
                <w:sz w:val="18"/>
                <w:szCs w:val="18"/>
                <w:b w:val="1"/>
                <w:bCs w:val="1"/>
                <w:color w:val="auto"/>
                <w:vertAlign w:val="superscript"/>
              </w:rPr>
              <w:t>(1)</w:t>
            </w:r>
          </w:p>
        </w:tc>
        <w:tc>
          <w:tcPr>
            <w:tcW w:w="380" w:type="dxa"/>
            <w:vAlign w:val="bottom"/>
          </w:tcPr>
          <w:p>
            <w:pPr>
              <w:spacing w:after="0"/>
              <w:rPr>
                <w:sz w:val="17"/>
                <w:szCs w:val="17"/>
                <w:color w:val="auto"/>
              </w:rPr>
            </w:pPr>
          </w:p>
        </w:tc>
        <w:tc>
          <w:tcPr>
            <w:tcW w:w="1920" w:type="dxa"/>
            <w:vAlign w:val="bottom"/>
            <w:gridSpan w:val="2"/>
          </w:tcPr>
          <w:p>
            <w:pPr>
              <w:ind w:left="280"/>
              <w:spacing w:after="0"/>
              <w:rPr>
                <w:sz w:val="20"/>
                <w:szCs w:val="20"/>
                <w:color w:val="auto"/>
              </w:rPr>
            </w:pPr>
            <w:r>
              <w:rPr>
                <w:rFonts w:ascii="Arial" w:cs="Arial" w:eastAsia="Arial" w:hAnsi="Arial"/>
                <w:sz w:val="14"/>
                <w:szCs w:val="14"/>
                <w:b w:val="1"/>
                <w:bCs w:val="1"/>
                <w:color w:val="auto"/>
              </w:rPr>
              <w:t>Unit Awards</w:t>
            </w:r>
            <w:r>
              <w:rPr>
                <w:rFonts w:ascii="Arial" w:cs="Arial" w:eastAsia="Arial" w:hAnsi="Arial"/>
                <w:sz w:val="18"/>
                <w:szCs w:val="18"/>
                <w:b w:val="1"/>
                <w:bCs w:val="1"/>
                <w:color w:val="auto"/>
                <w:vertAlign w:val="superscript"/>
              </w:rPr>
              <w:t>(2)</w:t>
            </w:r>
          </w:p>
        </w:tc>
        <w:tc>
          <w:tcPr>
            <w:tcW w:w="190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All Other Compensation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90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Steven R. Anderson</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122,500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ind w:right="17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222,497</w:t>
            </w:r>
          </w:p>
        </w:tc>
        <w:tc>
          <w:tcPr>
            <w:tcW w:w="0" w:type="dxa"/>
            <w:vAlign w:val="bottom"/>
          </w:tcPr>
          <w:p>
            <w:pPr>
              <w:spacing w:after="0"/>
              <w:rPr>
                <w:sz w:val="1"/>
                <w:szCs w:val="1"/>
                <w:color w:val="auto"/>
              </w:rPr>
            </w:pPr>
          </w:p>
        </w:tc>
      </w:tr>
      <w:tr>
        <w:trPr>
          <w:trHeight w:val="186"/>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Richard D. Brannon</w:t>
            </w: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224,997</w:t>
            </w:r>
          </w:p>
        </w:tc>
        <w:tc>
          <w:tcPr>
            <w:tcW w:w="0" w:type="dxa"/>
            <w:vAlign w:val="bottom"/>
          </w:tcPr>
          <w:p>
            <w:pPr>
              <w:spacing w:after="0"/>
              <w:rPr>
                <w:sz w:val="1"/>
                <w:szCs w:val="1"/>
                <w:color w:val="auto"/>
              </w:rPr>
            </w:pPr>
          </w:p>
        </w:tc>
      </w:tr>
      <w:tr>
        <w:trPr>
          <w:trHeight w:val="19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Ray C. Davis</w:t>
            </w: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199,997</w:t>
            </w:r>
          </w:p>
        </w:tc>
        <w:tc>
          <w:tcPr>
            <w:tcW w:w="0" w:type="dxa"/>
            <w:vAlign w:val="bottom"/>
          </w:tcPr>
          <w:p>
            <w:pPr>
              <w:spacing w:after="0"/>
              <w:rPr>
                <w:sz w:val="1"/>
                <w:szCs w:val="1"/>
                <w:color w:val="auto"/>
              </w:rPr>
            </w:pPr>
          </w:p>
        </w:tc>
      </w:tr>
      <w:tr>
        <w:trPr>
          <w:trHeight w:val="186"/>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Michael K. Grimm</w:t>
            </w: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229,997</w:t>
            </w:r>
          </w:p>
        </w:tc>
        <w:tc>
          <w:tcPr>
            <w:tcW w:w="0" w:type="dxa"/>
            <w:vAlign w:val="bottom"/>
          </w:tcPr>
          <w:p>
            <w:pPr>
              <w:spacing w:after="0"/>
              <w:rPr>
                <w:sz w:val="1"/>
                <w:szCs w:val="1"/>
                <w:color w:val="auto"/>
              </w:rPr>
            </w:pPr>
          </w:p>
        </w:tc>
      </w:tr>
      <w:tr>
        <w:trPr>
          <w:trHeight w:val="192"/>
        </w:trPr>
        <w:tc>
          <w:tcPr>
            <w:tcW w:w="21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James R. Perry </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174,997</w:t>
            </w:r>
          </w:p>
        </w:tc>
        <w:tc>
          <w:tcPr>
            <w:tcW w:w="0" w:type="dxa"/>
            <w:vAlign w:val="bottom"/>
          </w:tcPr>
          <w:p>
            <w:pPr>
              <w:spacing w:after="0"/>
              <w:rPr>
                <w:sz w:val="1"/>
                <w:szCs w:val="1"/>
                <w:color w:val="auto"/>
              </w:rPr>
            </w:pPr>
          </w:p>
        </w:tc>
      </w:tr>
      <w:tr>
        <w:trPr>
          <w:trHeight w:val="182"/>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Ray W. Washburne</w:t>
            </w:r>
          </w:p>
        </w:tc>
        <w:tc>
          <w:tcPr>
            <w:tcW w:w="2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107,500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207,497</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23"/>
          <w:szCs w:val="23"/>
          <w:color w:val="auto"/>
          <w:vertAlign w:val="superscript"/>
        </w:rPr>
      </w:pPr>
      <w:r>
        <w:rPr>
          <w:rFonts w:ascii="Arial" w:cs="Arial" w:eastAsia="Arial" w:hAnsi="Arial"/>
          <w:sz w:val="18"/>
          <w:szCs w:val="18"/>
          <w:color w:val="auto"/>
        </w:rPr>
        <w:t>Fees paid in cash are based on amounts paid during the period.</w:t>
      </w:r>
    </w:p>
    <w:p>
      <w:pPr>
        <w:spacing w:after="0" w:line="93"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122"/>
        </w:numPr>
        <w:rPr>
          <w:rFonts w:ascii="Arial" w:cs="Arial" w:eastAsia="Arial" w:hAnsi="Arial"/>
          <w:sz w:val="23"/>
          <w:szCs w:val="23"/>
          <w:color w:val="auto"/>
          <w:vertAlign w:val="superscript"/>
        </w:rPr>
      </w:pPr>
      <w:r>
        <w:rPr>
          <w:rFonts w:ascii="Arial" w:cs="Arial" w:eastAsia="Arial" w:hAnsi="Arial"/>
          <w:sz w:val="18"/>
          <w:szCs w:val="18"/>
          <w:color w:val="auto"/>
        </w:rPr>
        <w:t>Equity award amounts reflect the aggregate grant date fair value of unit awards granted for the periods presented, computed in accordance with FASB ASC Topic 718, disregarding any estimates for forfeitures. See Note 9 to our consolidated financial statements included in “Item 8. Financial Statements and Supplementary Data” for additional assumptions underlying the value of the equity awards.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22"/>
        </w:numPr>
        <w:rPr>
          <w:rFonts w:ascii="Arial" w:cs="Arial" w:eastAsia="Arial" w:hAnsi="Arial"/>
          <w:sz w:val="23"/>
          <w:szCs w:val="23"/>
          <w:color w:val="auto"/>
          <w:vertAlign w:val="superscript"/>
        </w:rPr>
      </w:pPr>
      <w:r>
        <w:rPr>
          <w:rFonts w:ascii="Arial" w:cs="Arial" w:eastAsia="Arial" w:hAnsi="Arial"/>
          <w:sz w:val="18"/>
          <w:szCs w:val="18"/>
          <w:color w:val="auto"/>
        </w:rPr>
        <w:t>Mr. Perry was appointed as a director of our General Partner on January 1, 2020.</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Mr. Anderson had 17,543 unvested ET restricted units outstanding, Mr. Brannon had 23,767 unvested ET restricted units outstanding, Mr. Davis had 17,543 unvested ET restricted units outstanding, Mr. Grimm had 26,259 unvested ET restricted units outstanding, Mr. Perry had 9,996 unvested ET restricted units outstanding and Mr. Washburne had 9,996 unvested ET restricted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340" w:right="3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 tabular format, a summary of our equity plan information as of December 31,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Number of securities to</w:t>
            </w:r>
          </w:p>
        </w:tc>
        <w:tc>
          <w:tcPr>
            <w:tcW w:w="180" w:type="dxa"/>
            <w:vAlign w:val="bottom"/>
          </w:tcPr>
          <w:p>
            <w:pPr>
              <w:spacing w:after="0"/>
              <w:rPr>
                <w:sz w:val="15"/>
                <w:szCs w:val="15"/>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Weighted-average</w:t>
            </w:r>
          </w:p>
        </w:tc>
        <w:tc>
          <w:tcPr>
            <w:tcW w:w="250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50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be issued upon exercise</w:t>
            </w:r>
          </w:p>
        </w:tc>
        <w:tc>
          <w:tcPr>
            <w:tcW w:w="180" w:type="dxa"/>
            <w:vAlign w:val="bottom"/>
          </w:tcPr>
          <w:p>
            <w:pPr>
              <w:spacing w:after="0"/>
              <w:rPr>
                <w:sz w:val="15"/>
                <w:szCs w:val="15"/>
                <w:color w:val="auto"/>
              </w:rPr>
            </w:pPr>
          </w:p>
        </w:tc>
        <w:tc>
          <w:tcPr>
            <w:tcW w:w="190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0"/>
              </w:rPr>
              <w:t>exercise price of</w:t>
            </w:r>
          </w:p>
        </w:tc>
        <w:tc>
          <w:tcPr>
            <w:tcW w:w="250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of outstanding options,</w:t>
            </w:r>
          </w:p>
        </w:tc>
        <w:tc>
          <w:tcPr>
            <w:tcW w:w="180" w:type="dxa"/>
            <w:vAlign w:val="bottom"/>
          </w:tcPr>
          <w:p>
            <w:pPr>
              <w:spacing w:after="0"/>
              <w:rPr>
                <w:sz w:val="15"/>
                <w:szCs w:val="15"/>
                <w:color w:val="auto"/>
              </w:rPr>
            </w:pPr>
          </w:p>
        </w:tc>
        <w:tc>
          <w:tcPr>
            <w:tcW w:w="190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0"/>
              </w:rPr>
              <w:t>outstanding options,</w:t>
            </w:r>
          </w:p>
        </w:tc>
        <w:tc>
          <w:tcPr>
            <w:tcW w:w="250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176"/>
        </w:trPr>
        <w:tc>
          <w:tcPr>
            <w:tcW w:w="4240" w:type="dxa"/>
            <w:vAlign w:val="bottom"/>
            <w:gridSpan w:val="2"/>
            <w:vMerge w:val="restart"/>
          </w:tcPr>
          <w:p>
            <w:pPr>
              <w:ind w:left="1560"/>
              <w:spacing w:after="0"/>
              <w:rPr>
                <w:sz w:val="20"/>
                <w:szCs w:val="20"/>
                <w:color w:val="auto"/>
              </w:rPr>
            </w:pPr>
            <w:r>
              <w:rPr>
                <w:rFonts w:ascii="Arial" w:cs="Arial" w:eastAsia="Arial" w:hAnsi="Arial"/>
                <w:sz w:val="18"/>
                <w:szCs w:val="18"/>
                <w:color w:val="auto"/>
              </w:rPr>
              <w:t>Plan Category</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warrants and rights</w:t>
            </w:r>
          </w:p>
        </w:tc>
        <w:tc>
          <w:tcPr>
            <w:tcW w:w="180" w:type="dxa"/>
            <w:vAlign w:val="bottom"/>
          </w:tcPr>
          <w:p>
            <w:pPr>
              <w:spacing w:after="0"/>
              <w:rPr>
                <w:sz w:val="15"/>
                <w:szCs w:val="15"/>
                <w:color w:val="auto"/>
              </w:rPr>
            </w:pPr>
          </w:p>
        </w:tc>
        <w:tc>
          <w:tcPr>
            <w:tcW w:w="190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0"/>
              </w:rPr>
              <w:t>warrants and rights</w:t>
            </w:r>
          </w:p>
        </w:tc>
        <w:tc>
          <w:tcPr>
            <w:tcW w:w="2500" w:type="dxa"/>
            <w:vAlign w:val="bottom"/>
          </w:tcPr>
          <w:p>
            <w:pPr>
              <w:jc w:val="center"/>
              <w:spacing w:after="0" w:line="176" w:lineRule="exact"/>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229"/>
        </w:trPr>
        <w:tc>
          <w:tcPr>
            <w:tcW w:w="4240" w:type="dxa"/>
            <w:vAlign w:val="bottom"/>
            <w:gridSpan w:val="2"/>
            <w:vMerge w:val="continue"/>
          </w:tcPr>
          <w:p>
            <w:pPr>
              <w:spacing w:after="0"/>
              <w:rPr>
                <w:sz w:val="19"/>
                <w:szCs w:val="19"/>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19"/>
                <w:szCs w:val="19"/>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(b)</w:t>
            </w: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Equity compensation plans not approved by security</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29,451,869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restart"/>
          </w:tcPr>
          <w:p>
            <w:pPr>
              <w:ind w:left="1540"/>
              <w:spacing w:after="0"/>
              <w:rPr>
                <w:sz w:val="20"/>
                <w:szCs w:val="20"/>
                <w:color w:val="auto"/>
              </w:rPr>
            </w:pPr>
            <w:r>
              <w:rPr>
                <w:rFonts w:ascii="Arial" w:cs="Arial" w:eastAsia="Arial" w:hAnsi="Arial"/>
                <w:sz w:val="18"/>
                <w:szCs w:val="18"/>
                <w:color w:val="auto"/>
              </w:rPr>
              <w:t>—</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34,298,844</w:t>
            </w:r>
          </w:p>
        </w:tc>
        <w:tc>
          <w:tcPr>
            <w:tcW w:w="0" w:type="dxa"/>
            <w:vAlign w:val="bottom"/>
          </w:tcPr>
          <w:p>
            <w:pPr>
              <w:spacing w:after="0"/>
              <w:rPr>
                <w:sz w:val="1"/>
                <w:szCs w:val="1"/>
                <w:color w:val="auto"/>
              </w:rPr>
            </w:pPr>
          </w:p>
        </w:tc>
      </w:tr>
      <w:tr>
        <w:trPr>
          <w:trHeight w:val="23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2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29,451,869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34,298,844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Transfer LP Units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February 12, 2021, regarding the beneficial ownership of our voting securities by (i) certain beneficial owners of more than 5% of our Common Units, (ii) each director and named executive officer of our General Partner and (iii) all current directors and executive officers of our General Partner as a group. The General Partner knows of no other person not disclosed herein who beneficially owns more than 5% of our Common Units.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ind w:left="3080"/>
              <w:spacing w:after="0"/>
              <w:rPr>
                <w:sz w:val="20"/>
                <w:szCs w:val="20"/>
                <w:color w:val="auto"/>
              </w:rPr>
            </w:pPr>
            <w:r>
              <w:rPr>
                <w:rFonts w:ascii="Arial" w:cs="Arial" w:eastAsia="Arial" w:hAnsi="Arial"/>
                <w:sz w:val="18"/>
                <w:szCs w:val="18"/>
                <w:color w:val="auto"/>
              </w:rPr>
              <w:t>Name and Address of</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Beneficially</w:t>
            </w:r>
          </w:p>
        </w:tc>
        <w:tc>
          <w:tcPr>
            <w:tcW w:w="1720" w:type="dxa"/>
            <w:vAlign w:val="bottom"/>
            <w:vMerge w:val="restart"/>
          </w:tcPr>
          <w:p>
            <w:pPr>
              <w:jc w:val="right"/>
              <w:ind w:right="190"/>
              <w:spacing w:after="0"/>
              <w:rPr>
                <w:sz w:val="20"/>
                <w:szCs w:val="20"/>
                <w:color w:val="auto"/>
              </w:rPr>
            </w:pPr>
            <w:r>
              <w:rPr>
                <w:rFonts w:ascii="Arial" w:cs="Arial" w:eastAsia="Arial" w:hAnsi="Arial"/>
                <w:sz w:val="18"/>
                <w:szCs w:val="18"/>
                <w:color w:val="auto"/>
              </w:rPr>
              <w:t>Percent of Class</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140"/>
              <w:spacing w:after="0" w:line="230" w:lineRule="exact"/>
              <w:rPr>
                <w:sz w:val="20"/>
                <w:szCs w:val="20"/>
                <w:color w:val="auto"/>
              </w:rPr>
            </w:pPr>
            <w:r>
              <w:rPr>
                <w:rFonts w:ascii="Arial" w:cs="Arial" w:eastAsia="Arial" w:hAnsi="Arial"/>
                <w:sz w:val="18"/>
                <w:szCs w:val="18"/>
                <w:color w:val="auto"/>
              </w:rPr>
              <w:t xml:space="preserve">Beneficial Owner </w:t>
            </w:r>
            <w:r>
              <w:rPr>
                <w:rFonts w:ascii="Arial" w:cs="Arial" w:eastAsia="Arial" w:hAnsi="Arial"/>
                <w:sz w:val="23"/>
                <w:szCs w:val="23"/>
                <w:color w:val="auto"/>
                <w:vertAlign w:val="superscript"/>
              </w:rPr>
              <w:t>(1)</w:t>
            </w:r>
          </w:p>
        </w:tc>
        <w:tc>
          <w:tcPr>
            <w:tcW w:w="16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6"/>
              </w:rPr>
              <w:t xml:space="preserve">Owned </w:t>
            </w:r>
            <w:r>
              <w:rPr>
                <w:rFonts w:ascii="Arial" w:cs="Arial" w:eastAsia="Arial" w:hAnsi="Arial"/>
                <w:sz w:val="23"/>
                <w:szCs w:val="23"/>
                <w:color w:val="auto"/>
                <w:w w:val="86"/>
                <w:vertAlign w:val="superscript"/>
              </w:rPr>
              <w:t>(2)</w:t>
            </w: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Kelcy L. Warren </w:t>
            </w:r>
            <w:r>
              <w:rPr>
                <w:rFonts w:ascii="Arial" w:cs="Arial" w:eastAsia="Arial" w:hAnsi="Arial"/>
                <w:sz w:val="23"/>
                <w:szCs w:val="23"/>
                <w:color w:val="auto"/>
                <w:vertAlign w:val="superscript"/>
              </w:rPr>
              <w:t>(3)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259,940,845</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Ray C. Davis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89,974,506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E. Long</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395,231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Marshall S. (Mackie) McCrea, III</w:t>
            </w:r>
          </w:p>
        </w:tc>
        <w:tc>
          <w:tcPr>
            <w:tcW w:w="1520" w:type="dxa"/>
            <w:vAlign w:val="bottom"/>
          </w:tcPr>
          <w:p>
            <w:pPr>
              <w:jc w:val="right"/>
              <w:spacing w:after="0"/>
              <w:rPr>
                <w:sz w:val="20"/>
                <w:szCs w:val="20"/>
                <w:color w:val="auto"/>
              </w:rPr>
            </w:pPr>
            <w:r>
              <w:rPr>
                <w:rFonts w:ascii="Arial" w:cs="Arial" w:eastAsia="Arial" w:hAnsi="Arial"/>
                <w:sz w:val="18"/>
                <w:szCs w:val="18"/>
                <w:color w:val="auto"/>
              </w:rPr>
              <w:t>2,430,302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S. Ramsey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428,745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Thomas P. Mason</w:t>
            </w:r>
          </w:p>
        </w:tc>
        <w:tc>
          <w:tcPr>
            <w:tcW w:w="1520" w:type="dxa"/>
            <w:vAlign w:val="bottom"/>
          </w:tcPr>
          <w:p>
            <w:pPr>
              <w:jc w:val="right"/>
              <w:spacing w:after="0"/>
              <w:rPr>
                <w:sz w:val="20"/>
                <w:szCs w:val="20"/>
                <w:color w:val="auto"/>
              </w:rPr>
            </w:pPr>
            <w:r>
              <w:rPr>
                <w:rFonts w:ascii="Arial" w:cs="Arial" w:eastAsia="Arial" w:hAnsi="Arial"/>
                <w:sz w:val="18"/>
                <w:szCs w:val="18"/>
                <w:color w:val="auto"/>
              </w:rPr>
              <w:t>598,760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Bradford D. Whitehurst </w:t>
            </w:r>
            <w:r>
              <w:rPr>
                <w:rFonts w:ascii="Arial" w:cs="Arial" w:eastAsia="Arial" w:hAnsi="Arial"/>
                <w:sz w:val="23"/>
                <w:szCs w:val="23"/>
                <w:color w:val="auto"/>
                <w:vertAlign w:val="superscript"/>
              </w:rPr>
              <w:t>(5)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Richard D. Brannon </w:t>
            </w:r>
            <w:r>
              <w:rPr>
                <w:rFonts w:ascii="Arial" w:cs="Arial" w:eastAsia="Arial" w:hAnsi="Arial"/>
                <w:sz w:val="23"/>
                <w:szCs w:val="23"/>
                <w:color w:val="auto"/>
                <w:vertAlign w:val="superscript"/>
              </w:rPr>
              <w:t>(6)</w:t>
            </w:r>
          </w:p>
        </w:tc>
        <w:tc>
          <w:tcPr>
            <w:tcW w:w="1520" w:type="dxa"/>
            <w:vAlign w:val="bottom"/>
          </w:tcPr>
          <w:p>
            <w:pPr>
              <w:jc w:val="right"/>
              <w:spacing w:after="0"/>
              <w:rPr>
                <w:sz w:val="20"/>
                <w:szCs w:val="20"/>
                <w:color w:val="auto"/>
              </w:rPr>
            </w:pPr>
            <w:r>
              <w:rPr>
                <w:rFonts w:ascii="Arial" w:cs="Arial" w:eastAsia="Arial" w:hAnsi="Arial"/>
                <w:sz w:val="18"/>
                <w:szCs w:val="18"/>
                <w:color w:val="auto"/>
              </w:rPr>
              <w:t>396,504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Steven R. Anderson </w:t>
            </w:r>
            <w:r>
              <w:rPr>
                <w:rFonts w:ascii="Arial" w:cs="Arial" w:eastAsia="Arial" w:hAnsi="Arial"/>
                <w:sz w:val="23"/>
                <w:szCs w:val="23"/>
                <w:color w:val="auto"/>
                <w:vertAlign w:val="superscript"/>
              </w:rPr>
              <w:t>(7)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1,544,618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Michael K. Grimm </w:t>
            </w:r>
            <w:r>
              <w:rPr>
                <w:rFonts w:ascii="Arial" w:cs="Arial" w:eastAsia="Arial" w:hAnsi="Arial"/>
                <w:sz w:val="23"/>
                <w:szCs w:val="23"/>
                <w:color w:val="auto"/>
                <w:vertAlign w:val="superscript"/>
              </w:rPr>
              <w:t>(8)</w:t>
            </w:r>
          </w:p>
        </w:tc>
        <w:tc>
          <w:tcPr>
            <w:tcW w:w="1520" w:type="dxa"/>
            <w:vAlign w:val="bottom"/>
          </w:tcPr>
          <w:p>
            <w:pPr>
              <w:jc w:val="right"/>
              <w:spacing w:after="0"/>
              <w:rPr>
                <w:sz w:val="20"/>
                <w:szCs w:val="20"/>
                <w:color w:val="auto"/>
              </w:rPr>
            </w:pPr>
            <w:r>
              <w:rPr>
                <w:rFonts w:ascii="Arial" w:cs="Arial" w:eastAsia="Arial" w:hAnsi="Arial"/>
                <w:sz w:val="18"/>
                <w:szCs w:val="18"/>
                <w:color w:val="auto"/>
              </w:rPr>
              <w:t>131,573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John W. McReynolds </w:t>
            </w:r>
            <w:r>
              <w:rPr>
                <w:rFonts w:ascii="Arial" w:cs="Arial" w:eastAsia="Arial" w:hAnsi="Arial"/>
                <w:sz w:val="23"/>
                <w:szCs w:val="23"/>
                <w:color w:val="auto"/>
                <w:vertAlign w:val="superscript"/>
              </w:rPr>
              <w:t>(9)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30,225,200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James R. Perry</w:t>
            </w:r>
          </w:p>
        </w:tc>
        <w:tc>
          <w:tcPr>
            <w:tcW w:w="1520" w:type="dxa"/>
            <w:vAlign w:val="bottom"/>
          </w:tcPr>
          <w:p>
            <w:pPr>
              <w:jc w:val="right"/>
              <w:spacing w:after="0"/>
              <w:rPr>
                <w:sz w:val="20"/>
                <w:szCs w:val="20"/>
                <w:color w:val="auto"/>
              </w:rPr>
            </w:pPr>
            <w:r>
              <w:rPr>
                <w:rFonts w:ascii="Arial" w:cs="Arial" w:eastAsia="Arial" w:hAnsi="Arial"/>
                <w:sz w:val="18"/>
                <w:szCs w:val="18"/>
                <w:color w:val="auto"/>
              </w:rPr>
              <w:t>120,020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Ray W. Washburne </w:t>
            </w:r>
            <w:r>
              <w:rPr>
                <w:rFonts w:ascii="Arial" w:cs="Arial" w:eastAsia="Arial" w:hAnsi="Arial"/>
                <w:sz w:val="23"/>
                <w:szCs w:val="23"/>
                <w:color w:val="auto"/>
                <w:vertAlign w:val="superscript"/>
              </w:rPr>
              <w:t>(10)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(14 persons)</w:t>
            </w:r>
          </w:p>
        </w:tc>
        <w:tc>
          <w:tcPr>
            <w:tcW w:w="1520" w:type="dxa"/>
            <w:vAlign w:val="bottom"/>
          </w:tcPr>
          <w:p>
            <w:pPr>
              <w:jc w:val="right"/>
              <w:spacing w:after="0"/>
              <w:rPr>
                <w:sz w:val="20"/>
                <w:szCs w:val="20"/>
                <w:color w:val="auto"/>
              </w:rPr>
            </w:pPr>
            <w:r>
              <w:rPr>
                <w:rFonts w:ascii="Arial" w:cs="Arial" w:eastAsia="Arial" w:hAnsi="Arial"/>
                <w:sz w:val="18"/>
                <w:szCs w:val="18"/>
                <w:color w:val="auto"/>
              </w:rPr>
              <w:t>386,634,279</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117" w:lineRule="exact"/>
        <w:rPr>
          <w:sz w:val="20"/>
          <w:szCs w:val="20"/>
          <w:color w:val="auto"/>
        </w:rPr>
      </w:pPr>
    </w:p>
    <w:p>
      <w:pPr>
        <w:ind w:left="340" w:right="20" w:hanging="332"/>
        <w:spacing w:after="0" w:line="227" w:lineRule="auto"/>
        <w:tabs>
          <w:tab w:leader="none" w:pos="328" w:val="left"/>
        </w:tabs>
        <w:numPr>
          <w:ilvl w:val="0"/>
          <w:numId w:val="123"/>
        </w:numPr>
        <w:rPr>
          <w:rFonts w:ascii="Arial" w:cs="Arial" w:eastAsia="Arial" w:hAnsi="Arial"/>
          <w:sz w:val="23"/>
          <w:szCs w:val="23"/>
          <w:color w:val="auto"/>
          <w:vertAlign w:val="superscript"/>
        </w:rPr>
      </w:pPr>
      <w:r>
        <w:rPr>
          <w:rFonts w:ascii="Arial" w:cs="Arial" w:eastAsia="Arial" w:hAnsi="Arial"/>
          <w:sz w:val="18"/>
          <w:szCs w:val="18"/>
          <w:color w:val="auto"/>
        </w:rPr>
        <w:t>The address for Mr. Davis is 5950 Sherry Lane, Dallas, Texas 75225. The address for all other listed beneficial owners is 8111 Westchester Drive, Suite 600, Dallas, Texas 75225.</w:t>
      </w:r>
    </w:p>
    <w:p>
      <w:pPr>
        <w:spacing w:after="0" w:line="94" w:lineRule="exact"/>
        <w:rPr>
          <w:rFonts w:ascii="Arial" w:cs="Arial" w:eastAsia="Arial" w:hAnsi="Arial"/>
          <w:sz w:val="23"/>
          <w:szCs w:val="23"/>
          <w:color w:val="auto"/>
          <w:vertAlign w:val="superscript"/>
        </w:rPr>
      </w:pPr>
    </w:p>
    <w:p>
      <w:pPr>
        <w:jc w:val="both"/>
        <w:ind w:left="340" w:hanging="332"/>
        <w:spacing w:after="0"/>
        <w:tabs>
          <w:tab w:leader="none" w:pos="328" w:val="left"/>
        </w:tabs>
        <w:numPr>
          <w:ilvl w:val="0"/>
          <w:numId w:val="123"/>
        </w:numPr>
        <w:rPr>
          <w:rFonts w:ascii="Arial" w:cs="Arial" w:eastAsia="Arial" w:hAnsi="Arial"/>
          <w:sz w:val="23"/>
          <w:szCs w:val="23"/>
          <w:color w:val="auto"/>
          <w:vertAlign w:val="superscript"/>
        </w:rPr>
      </w:pPr>
      <w:r>
        <w:rPr>
          <w:rFonts w:ascii="Arial" w:cs="Arial" w:eastAsia="Arial" w:hAnsi="Arial"/>
          <w:sz w:val="18"/>
          <w:szCs w:val="18"/>
          <w:color w:val="auto"/>
        </w:rPr>
        <w:t>Beneficial ownership for the purposes of this table is defined by Rule 13d-3 under the Exchange Act of 1934. Under that rule, a person is generally considered to be the beneficial owner of a security if he has or shares the power to vote or direct the voting thereof or to dispose or direct the disposition thereof or has the right to acquire either of those powers within sixty days. The nature of beneficial ownership for all listed persons is direct with sole investment and disposition power unless otherwise noted. The beneficial ownership of each listed person is based on 2,702,436,307 common units outstanding in the aggregate as of February 12,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hanging="332"/>
        <w:spacing w:after="0" w:line="244" w:lineRule="auto"/>
        <w:tabs>
          <w:tab w:leader="none" w:pos="32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104,276,511 common units held by Kelcy Warren Partners, L.P. and 10,244,429 common units held by Kelcy Warren Partners II, L.P., the general partners of which are owned by Mr. Warren. Also includes 97,577,803 common units held by Kelcy Warren Partners III, LLC formerly known as Seven Bridges Holdings, LLC, of which Mr. Warren is a member. Also includes 328,383 common units attributable to the interest of Mr. Warren in ET Company Ltd and Three Dawaco, Inc., over which Mr. Warren exercises shared voting and dispositive power with Ray Davis. Also includes 601,076 common units held by LE GP, LLC. Mr. Warren may be deemed to own common units held by LE GP, LLC due to his ownership of 81.2% of its member interests. The voting and disposition of these common units is directly controlled by the board of directors of LE GP, LLC. Mr. Warren disclaims beneficial ownership of common units owned by LE GP, LLC other than to the extent of his interest in such entity. Also includes 104,166 common units held by Mr. Warren’s spouse.</w:t>
      </w:r>
    </w:p>
    <w:p>
      <w:pPr>
        <w:spacing w:after="0" w:line="94" w:lineRule="exact"/>
        <w:rPr>
          <w:rFonts w:ascii="Arial" w:cs="Arial" w:eastAsia="Arial" w:hAnsi="Arial"/>
          <w:sz w:val="23"/>
          <w:szCs w:val="23"/>
          <w:color w:val="auto"/>
          <w:vertAlign w:val="superscript"/>
        </w:rPr>
      </w:pPr>
    </w:p>
    <w:p>
      <w:pPr>
        <w:jc w:val="both"/>
        <w:ind w:left="340" w:hanging="332"/>
        <w:spacing w:after="0" w:line="243" w:lineRule="auto"/>
        <w:tabs>
          <w:tab w:leader="none" w:pos="32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51,701 Common Units held by Avatar Holdings LLC, 1,941,721 common units held by Avatar BW, Ltd., 28,203,003 common units held by Avatar ETC Stock Holdings LLC, 3,557,757 common units held by Avatar Investments LP, 121,117 common units held by Avatar Stock Holdings, LP and 1,112,069 common units held by RCD Stock Holdings, LLC, all of which entities are owned or controlled by Mr. Davis. Also includes 15,987,283 common units held by a remainder trust for Mr. Davis’ spouse and 9,536,054 Common Units held by two trusts for the benefit of Mr. Davis’ grandchildren, for which Mr. Davis serves as trustee. Mr. Davis shares voting and dispositive power with his wife with respect to common units held directly. Also includes 328,383 common units attributable to ET Company Ltd. Mr. Davis is a former executive officer and director of ETO and is currently a director of the general partner of ET, LE GP, LLC.</w:t>
      </w:r>
    </w:p>
    <w:p>
      <w:pPr>
        <w:spacing w:after="0" w:line="114"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186,898 common units held by Mr. Whitehurst in a margin account.</w:t>
      </w:r>
    </w:p>
    <w:p>
      <w:pPr>
        <w:spacing w:after="0" w:line="147"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337,820 common units held by B4 Capital Investments, LP, a limited partnership of which a limited liability company owned by Mr. Brannon and his wife is the sole general partner and of which Mr. Brannon and his wife are the sole limited partners.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1,544,558 common units held by Steven R. Anderson Revocable Trust, for which Mr. Anderson serves as trustee. As of December 31, 2020, 603,100 common units were pledged as collateral.</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6,660 common units held by two trusts for the benefit of Mr. Grimm’s children, for which Mr. Grimm serves as trustee.</w:t>
      </w:r>
    </w:p>
    <w:p>
      <w:pPr>
        <w:spacing w:after="0" w:line="93"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17,445,608 common units held by McReynolds Energy Partners L.P. and 12,142,593 common units held by McReynolds Equity Partners L.P., the general partners of which are owned by Mr. McReynolds. Mr. McReynolds disclaims beneficial ownership of common units owned by such limited partnerships other than to the extent of his interest in such entities.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2,090 common units held by Mr. Washburne’s wife.</w:t>
      </w:r>
    </w:p>
    <w:p>
      <w:pPr>
        <w:spacing w:after="0" w:line="144" w:lineRule="exact"/>
        <w:rPr>
          <w:sz w:val="20"/>
          <w:szCs w:val="20"/>
          <w:color w:val="auto"/>
        </w:rPr>
      </w:pPr>
    </w:p>
    <w:p>
      <w:pPr>
        <w:ind w:right="1160" w:firstLine="1164"/>
        <w:spacing w:after="0" w:line="466" w:lineRule="auto"/>
        <w:rPr>
          <w:sz w:val="20"/>
          <w:szCs w:val="20"/>
          <w:color w:val="auto"/>
        </w:rPr>
      </w:pPr>
      <w:r>
        <w:rPr>
          <w:rFonts w:ascii="Arial" w:cs="Arial" w:eastAsia="Arial" w:hAnsi="Arial"/>
          <w:sz w:val="17"/>
          <w:szCs w:val="17"/>
          <w:b w:val="1"/>
          <w:bCs w:val="1"/>
          <w:color w:val="auto"/>
        </w:rPr>
        <w:t xml:space="preserve">ITEM 13. CERTAIN RELATIONSHIPS AND RELATED TRANSACTIONS, AND DIRECTOR INDEPENDENCE </w:t>
      </w:r>
      <w:r>
        <w:rPr>
          <w:rFonts w:ascii="Arial" w:cs="Arial" w:eastAsia="Arial" w:hAnsi="Arial"/>
          <w:sz w:val="17"/>
          <w:szCs w:val="17"/>
          <w:color w:val="auto"/>
        </w:rPr>
        <w:t>As of December 31, 2020, our interests in ETO consisted of 100% of the general partner interests and 2,458,702,066 ETO common units.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Parent Company’s principal sources of cash flow are derived from its direct and indirect investments in the limited partner and general partner interests in ETO, Sunoco LP and USAC, all of which are limited partnerships engaged in diversified energy-related services, and cash flows from the operations of Lake Charles LNG.</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McCrea and Mr. Ramsey, current directors of LE GP, LLC, our general partner, are also directors and executive officers of ETO’s general partner. Mr. Long, also currently a director of LE GP, LLC, is also an executive officer of ETO’s general partner. In addition, Mr. Warren, our Executive Chairman, is also the Executive Chairman of ETO’s general partner.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director independence, see “Item 10. Directors, Executive Officers and Corporate Governance.”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policy matter, our Conflicts Committee generally reviews any proposed related party transaction that may be material to the Partnership to determine whether the transaction is fair and reasonable to the Partnership. The Partnership’s board of directors makes the determinations as to whether there exists a related party transaction in the normal course of reviewing transactions for approval as the Partnership’s board of directors is advised by its management of the parties involved in each material transaction as to which the board of directors’ approval is sought by the Partnership’s management. In addition, the Partnership’s board of directors makes inquiries to independently ascertain whether related parties may have an interest in the proposed transaction. While there are no written policies or procedures for the board of directors to follow in making these determinations, the Partnership’s board makes those determinations in light of its contractually-limited fiduciary duties to the Unitholders. The partnership agreement of ET provides that any matter approved by the Conflicts Committee will be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conclusively deemed to be fair and reasonable to ET, approved by all the partners of ET and not a breach by the General Partner or its Board of Directors of any duties they may owe ET or the Unitholders (see “Risks Related to Conflicts of Interest” in “Item 1A. Risk Factors” in this annual report).</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Parent Company has agreements with subsidiaries to provide or receive various general and administrative services. The Parent Company pays ETO to provide services on its behalf and the behalf of other subsidiaries of the Parent Company. The Parent Company receives management fees from certain of its subsidiaries, which include the reimbursement of various general and administrative services for expenses incurred by ETO on behalf of those subsidiaries. All such amounts have been eliminated in our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fees billed by Grant Thornton LLP for the audit of our annual financial statements and other services rendered (dollars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6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19"/>
                <w:szCs w:val="19"/>
                <w:color w:val="auto"/>
              </w:rPr>
            </w:pPr>
          </w:p>
        </w:tc>
      </w:tr>
      <w:tr>
        <w:trPr>
          <w:trHeight w:val="223"/>
        </w:trPr>
        <w:tc>
          <w:tcPr>
            <w:tcW w:w="81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0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hanging="332"/>
        <w:spacing w:after="0" w:line="234" w:lineRule="auto"/>
        <w:tabs>
          <w:tab w:leader="none" w:pos="328" w:val="left"/>
        </w:tabs>
        <w:numPr>
          <w:ilvl w:val="0"/>
          <w:numId w:val="125"/>
        </w:numPr>
        <w:rPr>
          <w:rFonts w:ascii="Arial" w:cs="Arial" w:eastAsia="Arial" w:hAnsi="Arial"/>
          <w:sz w:val="23"/>
          <w:szCs w:val="23"/>
          <w:color w:val="auto"/>
          <w:vertAlign w:val="superscript"/>
        </w:rPr>
      </w:pPr>
      <w:r>
        <w:rPr>
          <w:rFonts w:ascii="Arial" w:cs="Arial" w:eastAsia="Arial" w:hAnsi="Arial"/>
          <w:sz w:val="18"/>
          <w:szCs w:val="18"/>
          <w:color w:val="auto"/>
        </w:rPr>
        <w:t>Includes fees for audits of annual financial statements of our companies, reviews of the related quarterly financial statements, and services that are normally provided by the independent accountants in connection with statutory and regulatory filings or engagements, including reviews of documents filed with the SEC and services related to the audit of our internal control over financial reporting.</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charter of the Audit Committee,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Audit Committee also oversees and directs our internal auditing program and reviews our internal controls.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adopted a policy for the pre-approval of audit and permitted non-audit services provided by our principal independent accountants. The policy requires that all services provided by Grant Thornton LLP including audit services, audit-related services, tax services and other services, must be pre-approved by the Audit Committee. All fees paid or expected to be paid to Grant Thornton LLP for fiscal years 2020 and 2019 were pre-approved by the Audit Committee in accordance with this policy.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63"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auditors’ internal quality-control procedures;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external auditors;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independence of the external auditors;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aggregate fees billed by our external auditors for each of the previous two years;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rotation of the lead partner.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PART IV</w:t>
            </w: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9"/>
        </w:trPr>
        <w:tc>
          <w:tcPr>
            <w:tcW w:w="740" w:type="dxa"/>
            <w:vAlign w:val="bottom"/>
          </w:tcPr>
          <w:p>
            <w:pPr>
              <w:spacing w:after="0"/>
              <w:rPr>
                <w:sz w:val="24"/>
                <w:szCs w:val="24"/>
                <w:color w:val="auto"/>
              </w:rPr>
            </w:pPr>
          </w:p>
        </w:tc>
        <w:tc>
          <w:tcPr>
            <w:tcW w:w="9680" w:type="dxa"/>
            <w:vAlign w:val="bottom"/>
            <w:gridSpan w:val="3"/>
          </w:tcPr>
          <w:p>
            <w:pPr>
              <w:ind w:left="2140"/>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4"/>
        </w:trPr>
        <w:tc>
          <w:tcPr>
            <w:tcW w:w="10420" w:type="dxa"/>
            <w:vAlign w:val="bottom"/>
            <w:gridSpan w:val="4"/>
          </w:tcPr>
          <w:p>
            <w:pPr>
              <w:spacing w:after="0"/>
              <w:rPr>
                <w:sz w:val="20"/>
                <w:szCs w:val="20"/>
                <w:color w:val="auto"/>
              </w:rPr>
            </w:pPr>
            <w:r>
              <w:rPr>
                <w:rFonts w:ascii="Arial" w:cs="Arial" w:eastAsia="Arial" w:hAnsi="Arial"/>
                <w:sz w:val="18"/>
                <w:szCs w:val="18"/>
                <w:color w:val="auto"/>
              </w:rPr>
              <w:t>The following documents are filed as a part of this Report</w:t>
            </w:r>
            <w:r>
              <w:rPr>
                <w:rFonts w:ascii="Arial" w:cs="Arial" w:eastAsia="Arial" w:hAnsi="Arial"/>
                <w:sz w:val="18"/>
                <w:szCs w:val="18"/>
                <w:b w:val="1"/>
                <w:bCs w:val="1"/>
                <w:color w:val="auto"/>
              </w:rPr>
              <w:t>:</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0"/>
              </w:rPr>
              <w:t>Page</w:t>
            </w:r>
          </w:p>
        </w:tc>
        <w:tc>
          <w:tcPr>
            <w:tcW w:w="160" w:type="dxa"/>
            <w:vAlign w:val="bottom"/>
          </w:tcPr>
          <w:p>
            <w:pPr>
              <w:spacing w:after="0"/>
              <w:rPr>
                <w:sz w:val="24"/>
                <w:szCs w:val="24"/>
                <w:color w:val="auto"/>
              </w:rPr>
            </w:pPr>
          </w:p>
        </w:tc>
      </w:tr>
      <w:tr>
        <w:trPr>
          <w:trHeight w:val="372"/>
        </w:trPr>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Financial Statements – see Index to Financial Statements</w:t>
            </w:r>
          </w:p>
        </w:tc>
        <w:tc>
          <w:tcPr>
            <w:tcW w:w="180" w:type="dxa"/>
            <w:vAlign w:val="bottom"/>
          </w:tcPr>
          <w:p>
            <w:pPr>
              <w:spacing w:after="0"/>
              <w:rPr>
                <w:sz w:val="24"/>
                <w:szCs w:val="24"/>
                <w:color w:val="auto"/>
              </w:rPr>
            </w:pPr>
          </w:p>
        </w:tc>
        <w:tc>
          <w:tcPr>
            <w:tcW w:w="340" w:type="dxa"/>
            <w:vAlign w:val="bottom"/>
            <w:tcBorders>
              <w:bottom w:val="single" w:sz="8" w:color="0000FF"/>
            </w:tcBorders>
            <w:gridSpan w:val="2"/>
          </w:tcPr>
          <w:p>
            <w:pPr>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66">
              <w:r>
                <w:rPr>
                  <w:rFonts w:ascii="Arial" w:cs="Arial" w:eastAsia="Arial" w:hAnsi="Arial"/>
                  <w:sz w:val="18"/>
                  <w:szCs w:val="18"/>
                  <w:color w:val="0000FF"/>
                  <w:w w:val="86"/>
                </w:rPr>
                <w:t>1</w:t>
              </w:r>
            </w:hyperlink>
          </w:p>
        </w:tc>
      </w:tr>
      <w:tr>
        <w:trPr>
          <w:trHeight w:val="412"/>
        </w:trPr>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Financial Statement Schedules – None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Exhibits – see Index to Exhibits</w:t>
            </w:r>
          </w:p>
        </w:tc>
        <w:tc>
          <w:tcPr>
            <w:tcW w:w="520" w:type="dxa"/>
            <w:vAlign w:val="bottom"/>
            <w:gridSpan w:val="3"/>
          </w:tcPr>
          <w:p>
            <w:pPr>
              <w:ind w:left="200"/>
              <w:spacing w:after="0"/>
              <w:rPr>
                <w:rFonts w:ascii="Arial" w:cs="Arial" w:eastAsia="Arial" w:hAnsi="Arial"/>
                <w:sz w:val="18"/>
                <w:szCs w:val="18"/>
                <w:u w:val="single" w:color="auto"/>
                <w:color w:val="0000FF"/>
                <w:w w:val="99"/>
              </w:rPr>
            </w:pPr>
            <w:hyperlink w:anchor="page161">
              <w:r>
                <w:rPr>
                  <w:rFonts w:ascii="Arial" w:cs="Arial" w:eastAsia="Arial" w:hAnsi="Arial"/>
                  <w:sz w:val="18"/>
                  <w:szCs w:val="18"/>
                  <w:u w:val="single" w:color="auto"/>
                  <w:color w:val="0000FF"/>
                  <w:w w:val="99"/>
                </w:rPr>
                <w:t>155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139"/>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on the following Exhibit Index are filed as part of this report. Exhibits required by Item 601 of Regulation S-K, but which are not listed below, are 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10520" w:type="dxa"/>
            <w:vAlign w:val="bottom"/>
            <w:gridSpan w:val="41"/>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040" w:type="dxa"/>
            <w:vAlign w:val="bottom"/>
            <w:gridSpan w:val="3"/>
          </w:tcPr>
          <w:p>
            <w:pPr>
              <w:jc w:val="center"/>
              <w:ind w:right="120"/>
              <w:spacing w:after="0" w:line="189" w:lineRule="exact"/>
              <w:rPr>
                <w:sz w:val="20"/>
                <w:szCs w:val="20"/>
                <w:color w:val="auto"/>
              </w:rPr>
            </w:pPr>
            <w:r>
              <w:rPr>
                <w:rFonts w:ascii="Arial" w:cs="Arial" w:eastAsia="Arial" w:hAnsi="Arial"/>
                <w:sz w:val="18"/>
                <w:szCs w:val="18"/>
                <w:b w:val="1"/>
                <w:bCs w:val="1"/>
                <w:color w:val="auto"/>
                <w:w w:val="94"/>
              </w:rPr>
              <w:t>Number</w:t>
            </w:r>
          </w:p>
        </w:tc>
        <w:tc>
          <w:tcPr>
            <w:tcW w:w="10520" w:type="dxa"/>
            <w:vAlign w:val="bottom"/>
            <w:gridSpan w:val="4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gridSpan w:val="34"/>
          </w:tcPr>
          <w:p>
            <w:pPr>
              <w:spacing w:after="0"/>
              <w:rPr>
                <w:sz w:val="20"/>
                <w:szCs w:val="20"/>
                <w:color w:val="auto"/>
              </w:rPr>
            </w:pPr>
            <w:r>
              <w:rPr>
                <w:rFonts w:ascii="Arial" w:cs="Arial" w:eastAsia="Arial" w:hAnsi="Arial"/>
                <w:sz w:val="18"/>
                <w:szCs w:val="18"/>
                <w:b w:val="1"/>
                <w:bCs w:val="1"/>
                <w:color w:val="auto"/>
              </w:rPr>
              <w:t>Energy Transfer Equity, L.P.</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2.1</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6"/>
              </w:rPr>
            </w:pPr>
            <w:hyperlink r:id="rId177">
              <w:r>
                <w:rPr>
                  <w:rFonts w:ascii="Arial" w:cs="Arial" w:eastAsia="Arial" w:hAnsi="Arial"/>
                  <w:sz w:val="18"/>
                  <w:szCs w:val="18"/>
                  <w:color w:val="0000FF"/>
                  <w:w w:val="96"/>
                </w:rPr>
                <w:t>Agreement and Plan of Merger, dated as of September 28, 2015, among Energy Transfer Corp LP, ETE Corp GP, LLC, Energy Transfer</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Equity, L.P., LE GP, LLC, ETE GP, LLC and The Williams Companies, Inc. (incorporated by reference to Exhibit 2.1 to Form 8-K/A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No. 1-32740) filed October 2, 2015)</w:t>
              </w:r>
            </w:hyperlink>
          </w:p>
        </w:tc>
        <w:tc>
          <w:tcPr>
            <w:tcW w:w="768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2.2</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6"/>
              </w:rPr>
            </w:pPr>
            <w:hyperlink r:id="rId178">
              <w:r>
                <w:rPr>
                  <w:rFonts w:ascii="Arial" w:cs="Arial" w:eastAsia="Arial" w:hAnsi="Arial"/>
                  <w:sz w:val="18"/>
                  <w:szCs w:val="18"/>
                  <w:color w:val="0000FF"/>
                  <w:w w:val="96"/>
                </w:rPr>
                <w:t>Agreement and Plan of Merger, dated as of November 20, 2016, by and among Energy Transfer Partners, L.P., Energy Transfer Partners</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80" w:type="dxa"/>
            <w:vAlign w:val="bottom"/>
            <w:tcBorders>
              <w:top w:val="single" w:sz="8" w:color="0000FF"/>
            </w:tcBorders>
            <w:gridSpan w:val="34"/>
          </w:tcPr>
          <w:p>
            <w:pPr>
              <w:spacing w:after="0" w:line="156" w:lineRule="exact"/>
              <w:rPr>
                <w:rFonts w:ascii="Arial" w:cs="Arial" w:eastAsia="Arial" w:hAnsi="Arial"/>
                <w:sz w:val="18"/>
                <w:szCs w:val="18"/>
                <w:color w:val="0000FF"/>
                <w:w w:val="97"/>
              </w:rPr>
            </w:pPr>
            <w:hyperlink r:id="rId178">
              <w:r>
                <w:rPr>
                  <w:rFonts w:ascii="Arial" w:cs="Arial" w:eastAsia="Arial" w:hAnsi="Arial"/>
                  <w:sz w:val="18"/>
                  <w:szCs w:val="18"/>
                  <w:color w:val="0000FF"/>
                  <w:w w:val="97"/>
                </w:rPr>
                <w:t>GP, L.P., Sunoco Logistics Partners L.P., Sunoco Partners LLC and, solely for purposes of certain provisions therein, Energy Transfer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Equity, L.P. (incorporated by reference to Exhibit 2.1 to Form 8-K (File No. 1-11727) filed November 21, 2016)</w:t>
              </w:r>
            </w:hyperlink>
          </w:p>
        </w:tc>
        <w:tc>
          <w:tcPr>
            <w:tcW w:w="22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2.3</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9"/>
              </w:rPr>
            </w:pPr>
            <w:hyperlink r:id="rId179">
              <w:r>
                <w:rPr>
                  <w:rFonts w:ascii="Arial" w:cs="Arial" w:eastAsia="Arial" w:hAnsi="Arial"/>
                  <w:sz w:val="18"/>
                  <w:szCs w:val="18"/>
                  <w:color w:val="0000FF"/>
                  <w:w w:val="99"/>
                </w:rPr>
                <w:t>Amendment No. 1 to Agreement and Plan of Merger, dated as of December 16, 2016, by and among Sunoco Logistics Partners L.P.,</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Sunoco Partners LLC, SXL Acquisition Sub LLC, SXL Acquisition Sub LP, Energy Transfer Partners, L.P., Energy Transfer Partners GP,</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20" w:type="dxa"/>
            <w:vAlign w:val="bottom"/>
            <w:gridSpan w:val="26"/>
          </w:tcPr>
          <w:p>
            <w:pPr>
              <w:spacing w:after="0" w:line="156" w:lineRule="exact"/>
              <w:rPr>
                <w:rFonts w:ascii="Arial" w:cs="Arial" w:eastAsia="Arial" w:hAnsi="Arial"/>
                <w:sz w:val="18"/>
                <w:szCs w:val="18"/>
                <w:color w:val="0000FF"/>
                <w:w w:val="97"/>
              </w:rPr>
            </w:pPr>
            <w:hyperlink r:id="rId179">
              <w:r>
                <w:rPr>
                  <w:rFonts w:ascii="Arial" w:cs="Arial" w:eastAsia="Arial" w:hAnsi="Arial"/>
                  <w:sz w:val="18"/>
                  <w:szCs w:val="18"/>
                  <w:color w:val="0000FF"/>
                  <w:w w:val="97"/>
                </w:rPr>
                <w:t>L.P., ETP Acquisition Sub, LLC and, solely for purposes of certain provisions therein, Energy Transfer Equity, L.P.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reference to Exhibit 2.2 to Form 8-K (File No. 1-11727) filed December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2.4</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7"/>
              </w:rPr>
            </w:pPr>
            <w:hyperlink r:id="rId180">
              <w:r>
                <w:rPr>
                  <w:rFonts w:ascii="Arial" w:cs="Arial" w:eastAsia="Arial" w:hAnsi="Arial"/>
                  <w:sz w:val="18"/>
                  <w:szCs w:val="18"/>
                  <w:color w:val="0000FF"/>
                  <w:w w:val="97"/>
                </w:rPr>
                <w:t>Contribution Agreement, dated as of January 15, 2018, by and among USA Compression Partners, LP, Energy Transfer Partners, L.P.,</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Energy Transfer Partners GP, L.P., ETC Compression, LLC and, solely for certain purposes therein, Energy Transfer Equity,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(incorporated by reference to Exhibit 2.1 to Form 8-K (File No. 1-32740) filed January 16, 2018)</w:t>
              </w:r>
            </w:hyperlink>
          </w:p>
        </w:tc>
        <w:tc>
          <w:tcPr>
            <w:tcW w:w="32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2.5</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Purchase Agreement, dated as of January 15, 2018, by and among USA Compression Holdings, LLC, Energy Transfer Equity, L.P., Energy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8"/>
              </w:rPr>
            </w:pPr>
            <w:hyperlink r:id="rId181">
              <w:r>
                <w:rPr>
                  <w:rFonts w:ascii="Arial" w:cs="Arial" w:eastAsia="Arial" w:hAnsi="Arial"/>
                  <w:sz w:val="18"/>
                  <w:szCs w:val="18"/>
                  <w:color w:val="0000FF"/>
                  <w:w w:val="98"/>
                </w:rPr>
                <w:t>Transfer Partners, L.L.C. and, solely for certain purposes therein, R/C IV USACP Holdings, L.P. and Energy Transfer Partners, L.P.</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0" w:type="dxa"/>
            <w:vAlign w:val="bottom"/>
            <w:tcBorders>
              <w:bottom w:val="single" w:sz="8" w:color="0000FF"/>
            </w:tcBorders>
            <w:gridSpan w:val="12"/>
          </w:tcPr>
          <w:p>
            <w:pPr>
              <w:spacing w:after="0" w:line="15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(incorporated by reference to Exhibit 2.2 to Form 8-K (File No. 1-32740) filed January 16, 2018)</w:t>
              </w:r>
            </w:hyperlink>
          </w:p>
        </w:tc>
        <w:tc>
          <w:tcPr>
            <w:tcW w:w="340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2.6</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6"/>
              </w:rPr>
            </w:pPr>
            <w:hyperlink r:id="rId182">
              <w:r>
                <w:rPr>
                  <w:rFonts w:ascii="Arial" w:cs="Arial" w:eastAsia="Arial" w:hAnsi="Arial"/>
                  <w:sz w:val="18"/>
                  <w:szCs w:val="18"/>
                  <w:color w:val="0000FF"/>
                  <w:w w:val="96"/>
                </w:rPr>
                <w:t>Agreement and Plan of Merger, dated as of August 1, 2018, by and among LE GP, LLC, Energy Transfer Equity, L.P., Streamline Merger</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20" w:type="dxa"/>
            <w:vAlign w:val="bottom"/>
            <w:tcBorders>
              <w:top w:val="single" w:sz="8" w:color="0000FF"/>
              <w:bottom w:val="single" w:sz="8" w:color="0000FF"/>
            </w:tcBorders>
            <w:gridSpan w:val="36"/>
          </w:tcPr>
          <w:p>
            <w:pPr>
              <w:spacing w:after="0" w:line="156" w:lineRule="exact"/>
              <w:rPr>
                <w:rFonts w:ascii="Arial" w:cs="Arial" w:eastAsia="Arial" w:hAnsi="Arial"/>
                <w:sz w:val="18"/>
                <w:szCs w:val="18"/>
                <w:color w:val="0000FF"/>
                <w:w w:val="95"/>
              </w:rPr>
            </w:pPr>
            <w:hyperlink r:id="rId182">
              <w:r>
                <w:rPr>
                  <w:rFonts w:ascii="Arial" w:cs="Arial" w:eastAsia="Arial" w:hAnsi="Arial"/>
                  <w:sz w:val="18"/>
                  <w:szCs w:val="18"/>
                  <w:color w:val="0000FF"/>
                  <w:w w:val="95"/>
                </w:rPr>
                <w:t>Sub, LLC, Energy Transfer Partners, L.L.C. and Energy Transfer Partners, L.P. (incorporated by reference to Exhibit 2.1 to Form 8-K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No. 1-32740) filed August 3, 2018)</w:t>
              </w:r>
            </w:hyperlink>
          </w:p>
        </w:tc>
        <w:tc>
          <w:tcPr>
            <w:tcW w:w="7900" w:type="dxa"/>
            <w:vAlign w:val="bottom"/>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2.7</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rPr>
            </w:pPr>
            <w:hyperlink r:id="rId183">
              <w:r>
                <w:rPr>
                  <w:rFonts w:ascii="Arial" w:cs="Arial" w:eastAsia="Arial" w:hAnsi="Arial"/>
                  <w:sz w:val="18"/>
                  <w:szCs w:val="18"/>
                  <w:color w:val="0000FF"/>
                </w:rPr>
                <w:t>Agreement and Plan of Merger, dated as of September 15, 2019, by and among Energy Transfer LP, Nautilus Merger Sub LLC and</w:t>
              </w:r>
            </w:hyperlink>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40" w:type="dxa"/>
            <w:vAlign w:val="bottom"/>
            <w:tcBorders>
              <w:top w:val="single" w:sz="8" w:color="0000FF"/>
            </w:tcBorders>
            <w:gridSpan w:val="37"/>
          </w:tcPr>
          <w:p>
            <w:pPr>
              <w:spacing w:after="0" w:line="195" w:lineRule="exact"/>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SemGroup Corporation (incorporated by reference to Exhibit 2.1 to Form 8-K (File No. 1-32740) filed September 16, 2019)</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gridSpan w:val="2"/>
          </w:tcPr>
          <w:p>
            <w:pPr>
              <w:ind w:left="20"/>
              <w:spacing w:after="0" w:line="190" w:lineRule="exact"/>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2.8</w:t>
              </w:r>
            </w:hyperlink>
          </w:p>
        </w:tc>
        <w:tc>
          <w:tcPr>
            <w:tcW w:w="260" w:type="dxa"/>
            <w:vAlign w:val="bottom"/>
          </w:tcPr>
          <w:p>
            <w:pPr>
              <w:spacing w:after="0"/>
              <w:rPr>
                <w:sz w:val="16"/>
                <w:szCs w:val="16"/>
                <w:color w:val="auto"/>
              </w:rPr>
            </w:pPr>
          </w:p>
        </w:tc>
        <w:tc>
          <w:tcPr>
            <w:tcW w:w="10520" w:type="dxa"/>
            <w:vAlign w:val="bottom"/>
            <w:gridSpan w:val="41"/>
          </w:tcPr>
          <w:p>
            <w:pPr>
              <w:spacing w:after="0" w:line="190" w:lineRule="exact"/>
              <w:rPr>
                <w:rFonts w:ascii="Arial" w:cs="Arial" w:eastAsia="Arial" w:hAnsi="Arial"/>
                <w:sz w:val="18"/>
                <w:szCs w:val="18"/>
                <w:color w:val="0000FF"/>
                <w:w w:val="96"/>
              </w:rPr>
            </w:pPr>
            <w:hyperlink r:id="rId184">
              <w:r>
                <w:rPr>
                  <w:rFonts w:ascii="Arial" w:cs="Arial" w:eastAsia="Arial" w:hAnsi="Arial"/>
                  <w:sz w:val="18"/>
                  <w:szCs w:val="18"/>
                  <w:color w:val="0000FF"/>
                  <w:w w:val="96"/>
                </w:rPr>
                <w:t>Agreement and Plan of Merger, dated as of February 16, 2021, by and among Energy Transfer LP, Elk Merger Sub LLC, Elk GP Merger</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320" w:type="dxa"/>
            <w:vAlign w:val="bottom"/>
            <w:tcBorders>
              <w:top w:val="single" w:sz="8" w:color="0000FF"/>
              <w:bottom w:val="single" w:sz="8" w:color="0000FF"/>
            </w:tcBorders>
            <w:gridSpan w:val="31"/>
          </w:tcPr>
          <w:p>
            <w:pPr>
              <w:spacing w:after="0" w:line="169" w:lineRule="exact"/>
              <w:rPr>
                <w:rFonts w:ascii="Arial" w:cs="Arial" w:eastAsia="Arial" w:hAnsi="Arial"/>
                <w:sz w:val="18"/>
                <w:szCs w:val="18"/>
                <w:color w:val="0000FF"/>
                <w:w w:val="96"/>
              </w:rPr>
            </w:pPr>
            <w:hyperlink r:id="rId184">
              <w:r>
                <w:rPr>
                  <w:rFonts w:ascii="Arial" w:cs="Arial" w:eastAsia="Arial" w:hAnsi="Arial"/>
                  <w:sz w:val="18"/>
                  <w:szCs w:val="18"/>
                  <w:color w:val="0000FF"/>
                  <w:w w:val="96"/>
                </w:rPr>
                <w:t>Sub LLC, Enable Midstream Partners, LP, Enable GP, LLC, solely for the purpose of Section 21.(a)(i), LE GP, LLC, and, solely for the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80" w:type="dxa"/>
            <w:vAlign w:val="bottom"/>
            <w:gridSpan w:val="39"/>
          </w:tcPr>
          <w:p>
            <w:pPr>
              <w:spacing w:after="0" w:line="169" w:lineRule="exact"/>
              <w:rPr>
                <w:rFonts w:ascii="Arial" w:cs="Arial" w:eastAsia="Arial" w:hAnsi="Arial"/>
                <w:sz w:val="18"/>
                <w:szCs w:val="18"/>
                <w:color w:val="0000FF"/>
              </w:rPr>
            </w:pPr>
            <w:hyperlink r:id="rId184">
              <w:r>
                <w:rPr>
                  <w:rFonts w:ascii="Arial" w:cs="Arial" w:eastAsia="Arial" w:hAnsi="Arial"/>
                  <w:sz w:val="18"/>
                  <w:szCs w:val="18"/>
                  <w:color w:val="0000FF"/>
                </w:rPr>
                <w:t>purpose of Section 1.1(b)(i), CenterPoint Energy, Inc. (incorporated by reference to Exhibit 2.1 to Form 8-K (File No. 1-32740)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0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84">
              <w:r>
                <w:rPr>
                  <w:rFonts w:ascii="Arial" w:cs="Arial" w:eastAsia="Arial" w:hAnsi="Arial"/>
                  <w:sz w:val="18"/>
                  <w:szCs w:val="18"/>
                  <w:color w:val="0000FF"/>
                </w:rPr>
                <w:t>February 17, 2021)</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2"/>
          </w:tcPr>
          <w:p>
            <w:pPr>
              <w:ind w:left="2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3.1</w:t>
              </w:r>
            </w:hyperlink>
          </w:p>
        </w:tc>
        <w:tc>
          <w:tcPr>
            <w:tcW w:w="260" w:type="dxa"/>
            <w:vAlign w:val="bottom"/>
          </w:tcPr>
          <w:p>
            <w:pPr>
              <w:spacing w:after="0"/>
              <w:rPr>
                <w:sz w:val="19"/>
                <w:szCs w:val="19"/>
                <w:color w:val="auto"/>
              </w:rPr>
            </w:pPr>
          </w:p>
        </w:tc>
        <w:tc>
          <w:tcPr>
            <w:tcW w:w="10520" w:type="dxa"/>
            <w:vAlign w:val="bottom"/>
            <w:gridSpan w:val="41"/>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Certificate of Limited Partnership of Energy Transfer Equity, L.P. (incorporated by reference to Exhibit 3.2 to Form S-1 (File No. 333-</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128097) filed September 2, 2005)</w:t>
              </w:r>
            </w:hyperlink>
          </w:p>
        </w:tc>
        <w:tc>
          <w:tcPr>
            <w:tcW w:w="77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3.1.1</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6"/>
              </w:rPr>
            </w:pPr>
            <w:hyperlink r:id="rId186">
              <w:r>
                <w:rPr>
                  <w:rFonts w:ascii="Arial" w:cs="Arial" w:eastAsia="Arial" w:hAnsi="Arial"/>
                  <w:sz w:val="18"/>
                  <w:szCs w:val="18"/>
                  <w:color w:val="0000FF"/>
                  <w:w w:val="96"/>
                </w:rPr>
                <w:t>Certificate of Amendment to Certificate of Limited Partnership of Energy Transfer LP (incorporated by reference to Exhibit 3.1 to Form 8-</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50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K (File No. 1-32740) filed October 19,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3.2</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9"/>
              </w:rPr>
            </w:pPr>
            <w:hyperlink r:id="rId187">
              <w:r>
                <w:rPr>
                  <w:rFonts w:ascii="Arial" w:cs="Arial" w:eastAsia="Arial" w:hAnsi="Arial"/>
                  <w:sz w:val="18"/>
                  <w:szCs w:val="18"/>
                  <w:color w:val="0000FF"/>
                  <w:w w:val="99"/>
                </w:rPr>
                <w:t>Third Amended Restated Agreement of Limited Partnership of Energy Transfer Equity, L.P., dated February 8, 2006 (incorporated by</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reference to Exhibit 3.1 to Form 8-K (File No. 1-32740) filed February 14, 2006)</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40" w:type="dxa"/>
            <w:vAlign w:val="bottom"/>
            <w:gridSpan w:val="8"/>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3.3</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6"/>
              </w:rPr>
            </w:pPr>
            <w:hyperlink r:id="rId188">
              <w:r>
                <w:rPr>
                  <w:rFonts w:ascii="Arial" w:cs="Arial" w:eastAsia="Arial" w:hAnsi="Arial"/>
                  <w:sz w:val="18"/>
                  <w:szCs w:val="18"/>
                  <w:color w:val="0000FF"/>
                  <w:w w:val="96"/>
                </w:rPr>
                <w:t>Amendment No. 1 to Third Amended and Restated Agreement of Limited Partnership of Energy Transfer Equity, L.P. dated November 1,</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2006 (incorporated by reference to Exhibit 3.3.1 to Form 10-K (File No. 1-32740) filed November 29, 2006)</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1"/>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3.4</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6"/>
              </w:rPr>
            </w:pPr>
            <w:hyperlink r:id="rId189">
              <w:r>
                <w:rPr>
                  <w:rFonts w:ascii="Arial" w:cs="Arial" w:eastAsia="Arial" w:hAnsi="Arial"/>
                  <w:sz w:val="18"/>
                  <w:szCs w:val="18"/>
                  <w:color w:val="0000FF"/>
                  <w:w w:val="96"/>
                </w:rPr>
                <w:t>Amendment No. 2 to Third Amended and Restated Agreement of Limited Partnership of Energy Transfer Equity, L.P., dated November 9,</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2007 (incorporated by reference to Exhibit 3.3.2 to Form 8-K (File No. 1-32740) filed November 13, 2007)</w:t>
              </w:r>
            </w:hyperlink>
          </w:p>
        </w:tc>
        <w:tc>
          <w:tcPr>
            <w:tcW w:w="2520" w:type="dxa"/>
            <w:vAlign w:val="bottom"/>
            <w:tcBorders>
              <w:top w:val="single" w:sz="8" w:color="0000FF"/>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3.5</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Amendment No. 3 to Third Amended and Restated Agreement of Limited Partnership of Energy Transfer Equity, L.P., dated May 26, 2010</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(incorporated by reference to Exhibit 3.1 to Form 8-K (File No. 1-32740) filed June 2, 2010)</w:t>
              </w:r>
            </w:hyperlink>
          </w:p>
        </w:tc>
        <w:tc>
          <w:tcPr>
            <w:tcW w:w="3520" w:type="dxa"/>
            <w:vAlign w:val="bottom"/>
            <w:tcBorders>
              <w:top w:val="single" w:sz="8" w:color="0000FF"/>
            </w:tcBorders>
            <w:gridSpan w:val="14"/>
          </w:tcPr>
          <w:p>
            <w:pPr>
              <w:spacing w:after="0"/>
              <w:rPr>
                <w:sz w:val="13"/>
                <w:szCs w:val="13"/>
                <w:color w:val="auto"/>
              </w:rPr>
            </w:pPr>
          </w:p>
        </w:tc>
        <w:tc>
          <w:tcPr>
            <w:tcW w:w="140" w:type="dxa"/>
            <w:vAlign w:val="bottom"/>
            <w:gridSpan w:val="7"/>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3.6</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5"/>
              </w:rPr>
            </w:pPr>
            <w:hyperlink r:id="rId191">
              <w:r>
                <w:rPr>
                  <w:rFonts w:ascii="Arial" w:cs="Arial" w:eastAsia="Arial" w:hAnsi="Arial"/>
                  <w:sz w:val="18"/>
                  <w:szCs w:val="18"/>
                  <w:color w:val="0000FF"/>
                  <w:w w:val="95"/>
                </w:rPr>
                <w:t>Amendment No. 4 to Third Amended and Restated Agreement of Limited Partnership of Energy Transfer Equity, L.P., dated December 23,</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2013 (incorporated by reference to Exhibit 3.1 to Form 8-K (File No. 1-32740) filed December 27, 2013)</w:t>
              </w:r>
            </w:hyperlink>
          </w:p>
        </w:tc>
        <w:tc>
          <w:tcPr>
            <w:tcW w:w="2760" w:type="dxa"/>
            <w:vAlign w:val="bottom"/>
            <w:tcBorders>
              <w:top w:val="single" w:sz="8" w:color="0000FF"/>
            </w:tcBorders>
            <w:gridSpan w:val="19"/>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3.7</w:t>
              </w:r>
            </w:hyperlink>
          </w:p>
        </w:tc>
        <w:tc>
          <w:tcPr>
            <w:tcW w:w="260" w:type="dxa"/>
            <w:vAlign w:val="bottom"/>
          </w:tcPr>
          <w:p>
            <w:pPr>
              <w:spacing w:after="0"/>
              <w:rPr>
                <w:sz w:val="18"/>
                <w:szCs w:val="18"/>
                <w:color w:val="auto"/>
              </w:rPr>
            </w:pPr>
          </w:p>
        </w:tc>
        <w:tc>
          <w:tcPr>
            <w:tcW w:w="10520" w:type="dxa"/>
            <w:vAlign w:val="bottom"/>
            <w:gridSpan w:val="41"/>
          </w:tcPr>
          <w:p>
            <w:pPr>
              <w:spacing w:after="0"/>
              <w:rPr>
                <w:rFonts w:ascii="Arial" w:cs="Arial" w:eastAsia="Arial" w:hAnsi="Arial"/>
                <w:sz w:val="18"/>
                <w:szCs w:val="18"/>
                <w:color w:val="0000FF"/>
                <w:w w:val="99"/>
              </w:rPr>
            </w:pPr>
            <w:hyperlink r:id="rId192">
              <w:r>
                <w:rPr>
                  <w:rFonts w:ascii="Arial" w:cs="Arial" w:eastAsia="Arial" w:hAnsi="Arial"/>
                  <w:sz w:val="18"/>
                  <w:szCs w:val="18"/>
                  <w:color w:val="0000FF"/>
                  <w:w w:val="99"/>
                </w:rPr>
                <w:t>Amendment No. 5 to the Third Amended and Restated Agreement of Limited Partnership of Energy Transfer Equity, L.P., dated as of</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March 8, 2016 (incorporated by reference to Exhibit 3.1 to Form 8-K (File No. 1-32740) filed March 9, 2016)</w:t>
              </w:r>
            </w:hyperlink>
          </w:p>
        </w:tc>
        <w:tc>
          <w:tcPr>
            <w:tcW w:w="44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tcBorders>
              <w:top w:val="single" w:sz="8" w:color="0000FF"/>
            </w:tcBorders>
            <w:gridSpan w:val="8"/>
          </w:tcPr>
          <w:p>
            <w:pPr>
              <w:ind w:left="4440"/>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10500" w:type="dxa"/>
            <w:vAlign w:val="bottom"/>
            <w:gridSpan w:val="39"/>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9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4"/>
              </w:rPr>
              <w:t>Number</w:t>
            </w:r>
          </w:p>
        </w:tc>
        <w:tc>
          <w:tcPr>
            <w:tcW w:w="10500" w:type="dxa"/>
            <w:vAlign w:val="bottom"/>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3.8</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9"/>
              </w:rPr>
            </w:pPr>
            <w:hyperlink r:id="rId195">
              <w:r>
                <w:rPr>
                  <w:rFonts w:ascii="Arial" w:cs="Arial" w:eastAsia="Arial" w:hAnsi="Arial"/>
                  <w:sz w:val="18"/>
                  <w:szCs w:val="18"/>
                  <w:color w:val="0000FF"/>
                  <w:w w:val="99"/>
                </w:rPr>
                <w:t>Amendment No. 6 to the Third Amended and Restated Agreement of Limited Partnership of Energy Transfer Equity, L.P., dated as of</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8"/>
              </w:rPr>
            </w:pPr>
            <w:hyperlink r:id="rId195">
              <w:r>
                <w:rPr>
                  <w:rFonts w:ascii="Arial" w:cs="Arial" w:eastAsia="Arial" w:hAnsi="Arial"/>
                  <w:sz w:val="18"/>
                  <w:szCs w:val="18"/>
                  <w:color w:val="0000FF"/>
                  <w:w w:val="98"/>
                </w:rPr>
                <w:t>October 19, 2018 (incorporated by reference to Exhibit 3.2 of Form 8-K, File No.1-32740, filed October 19, 2018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20" w:type="dxa"/>
            <w:vAlign w:val="bottom"/>
            <w:gridSpan w:val="20"/>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reference to Exhibit 3.2 to Form 8-K (File No. 1-32740) filed October 19, 2018</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3.9</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8"/>
              </w:rPr>
            </w:pPr>
            <w:hyperlink r:id="rId196">
              <w:r>
                <w:rPr>
                  <w:rFonts w:ascii="Arial" w:cs="Arial" w:eastAsia="Arial" w:hAnsi="Arial"/>
                  <w:sz w:val="18"/>
                  <w:szCs w:val="18"/>
                  <w:color w:val="0000FF"/>
                  <w:w w:val="98"/>
                </w:rPr>
                <w:t>Amendment No. 7 to the Third Amended and Restated Agreement of Limited Partnership of Energy Transfer LP dated as of August 6,</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2019 (incorporated by reference to Exhibit 3.10 to Form 10-Q (File No. 1-32740) filed August 8,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4.1</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3"/>
              </w:rPr>
            </w:pPr>
            <w:hyperlink r:id="rId197">
              <w:r>
                <w:rPr>
                  <w:rFonts w:ascii="Arial" w:cs="Arial" w:eastAsia="Arial" w:hAnsi="Arial"/>
                  <w:sz w:val="18"/>
                  <w:szCs w:val="18"/>
                  <w:color w:val="0000FF"/>
                  <w:w w:val="93"/>
                </w:rPr>
                <w:t>Indenture, dated September 20, 2010 between Energy Transfer Equity, L.P. and U.S. Bank National Association, as trustee (incorporated by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reference to Exhibit 4.1 to Form 8-K (File No. 1-32740) filed September 20, 2010)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4.2</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7"/>
              </w:rPr>
            </w:pPr>
            <w:hyperlink r:id="rId198">
              <w:r>
                <w:rPr>
                  <w:rFonts w:ascii="Arial" w:cs="Arial" w:eastAsia="Arial" w:hAnsi="Arial"/>
                  <w:sz w:val="18"/>
                  <w:szCs w:val="18"/>
                  <w:color w:val="0000FF"/>
                  <w:w w:val="97"/>
                </w:rPr>
                <w:t>Fourth Supplemental Indenture, dated December 2, 2013 between Energy Transfer Equity, L.P. and U.S. Bank National Association, as</w:t>
              </w:r>
            </w:hyperlink>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4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w w:val="95"/>
              </w:rPr>
            </w:pPr>
            <w:hyperlink r:id="rId198">
              <w:r>
                <w:rPr>
                  <w:rFonts w:ascii="Arial" w:cs="Arial" w:eastAsia="Arial" w:hAnsi="Arial"/>
                  <w:sz w:val="18"/>
                  <w:szCs w:val="18"/>
                  <w:u w:val="single" w:color="auto"/>
                  <w:color w:val="0000FF"/>
                  <w:w w:val="95"/>
                </w:rPr>
                <w:t>trustee (including form of the Notes) (incorporated by reference to Exhibit 4.2 to Form 8-K (File No. 1-32740) filed December 2, 2013)</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gridSpan w:val="2"/>
          </w:tcPr>
          <w:p>
            <w:pPr>
              <w:ind w:left="20"/>
              <w:spacing w:after="0" w:line="190" w:lineRule="exact"/>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4.3</w:t>
              </w:r>
            </w:hyperlink>
          </w:p>
        </w:tc>
        <w:tc>
          <w:tcPr>
            <w:tcW w:w="260" w:type="dxa"/>
            <w:vAlign w:val="bottom"/>
          </w:tcPr>
          <w:p>
            <w:pPr>
              <w:spacing w:after="0"/>
              <w:rPr>
                <w:sz w:val="16"/>
                <w:szCs w:val="16"/>
                <w:color w:val="auto"/>
              </w:rPr>
            </w:pPr>
          </w:p>
        </w:tc>
        <w:tc>
          <w:tcPr>
            <w:tcW w:w="10500" w:type="dxa"/>
            <w:vAlign w:val="bottom"/>
            <w:gridSpan w:val="39"/>
          </w:tcPr>
          <w:p>
            <w:pPr>
              <w:spacing w:after="0" w:line="190" w:lineRule="exact"/>
              <w:rPr>
                <w:rFonts w:ascii="Arial" w:cs="Arial" w:eastAsia="Arial" w:hAnsi="Arial"/>
                <w:sz w:val="18"/>
                <w:szCs w:val="18"/>
                <w:color w:val="0000FF"/>
                <w:w w:val="96"/>
              </w:rPr>
            </w:pPr>
            <w:hyperlink r:id="rId199">
              <w:r>
                <w:rPr>
                  <w:rFonts w:ascii="Arial" w:cs="Arial" w:eastAsia="Arial" w:hAnsi="Arial"/>
                  <w:sz w:val="18"/>
                  <w:szCs w:val="18"/>
                  <w:color w:val="0000FF"/>
                  <w:w w:val="96"/>
                </w:rPr>
                <w:t>Fifth Supplemental Indenture, dated May 28, 2014 between Energy Transfer Equity, L.P. and U.S. Bank National Association, as trustee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(incorporated by reference to Exhibit 4.2 to Form 8-K (File No. 1-32740) filed May 28,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4.4</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6"/>
              </w:rPr>
            </w:pPr>
            <w:hyperlink r:id="rId200">
              <w:r>
                <w:rPr>
                  <w:rFonts w:ascii="Arial" w:cs="Arial" w:eastAsia="Arial" w:hAnsi="Arial"/>
                  <w:sz w:val="18"/>
                  <w:szCs w:val="18"/>
                  <w:color w:val="0000FF"/>
                  <w:w w:val="96"/>
                </w:rPr>
                <w:t>Sixth Supplemental Indenture, dated May 28, 2014 between Energy Transfer Equity, L.P. and U.S. Bank National Association, as trustee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(incorporated by reference to Exhibit 4.3 to Form 8-K (File No. 1-32740) filed May 28,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ind w:left="20"/>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4.5</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4"/>
              </w:rPr>
            </w:pPr>
            <w:hyperlink r:id="rId201">
              <w:r>
                <w:rPr>
                  <w:rFonts w:ascii="Arial" w:cs="Arial" w:eastAsia="Arial" w:hAnsi="Arial"/>
                  <w:sz w:val="18"/>
                  <w:szCs w:val="18"/>
                  <w:color w:val="0000FF"/>
                  <w:w w:val="94"/>
                </w:rPr>
                <w:t>Seventh Supplemental Indenture, dated May 22, 2015 between Energy Transfer Equity, L.P. and U.S. Bank National Association, as trustee</w:t>
              </w:r>
            </w:hyperlink>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20" w:type="dxa"/>
            <w:vAlign w:val="bottom"/>
            <w:tcBorders>
              <w:top w:val="single" w:sz="8" w:color="0000FF"/>
            </w:tcBorders>
            <w:gridSpan w:val="35"/>
          </w:tcPr>
          <w:p>
            <w:pPr>
              <w:spacing w:after="0" w:line="195" w:lineRule="exact"/>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(including form of the Notes) (incorporated by reference to Exhibit 4.2 to Form 8-K (File No. 1-32740) filed May 22, 2015)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gridSpan w:val="2"/>
          </w:tcPr>
          <w:p>
            <w:pPr>
              <w:ind w:left="20"/>
              <w:spacing w:after="0" w:line="190" w:lineRule="exact"/>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4.6</w:t>
              </w:r>
            </w:hyperlink>
          </w:p>
        </w:tc>
        <w:tc>
          <w:tcPr>
            <w:tcW w:w="260" w:type="dxa"/>
            <w:vAlign w:val="bottom"/>
          </w:tcPr>
          <w:p>
            <w:pPr>
              <w:spacing w:after="0"/>
              <w:rPr>
                <w:sz w:val="16"/>
                <w:szCs w:val="16"/>
                <w:color w:val="auto"/>
              </w:rPr>
            </w:pPr>
          </w:p>
        </w:tc>
        <w:tc>
          <w:tcPr>
            <w:tcW w:w="10500" w:type="dxa"/>
            <w:vAlign w:val="bottom"/>
            <w:gridSpan w:val="39"/>
          </w:tcPr>
          <w:p>
            <w:pPr>
              <w:spacing w:after="0" w:line="190"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Eighth Supplemental Indenture dated October 18, 2017 between Energy Transfer Equity, L.P. and U.S. Bank National Association, as</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trustee (incorporated by reference to Exhibit 4.2 to Form 8-K (File No. 1-32740) filed October 18th, 2017)</w:t>
              </w:r>
            </w:hyperlink>
          </w:p>
        </w:tc>
        <w:tc>
          <w:tcPr>
            <w:tcW w:w="26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4.7</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7"/>
              </w:rPr>
            </w:pPr>
            <w:hyperlink r:id="rId203">
              <w:r>
                <w:rPr>
                  <w:rFonts w:ascii="Arial" w:cs="Arial" w:eastAsia="Arial" w:hAnsi="Arial"/>
                  <w:sz w:val="18"/>
                  <w:szCs w:val="18"/>
                  <w:color w:val="0000FF"/>
                  <w:w w:val="97"/>
                </w:rPr>
                <w:t>Description of Registrant’s securities registered pursuant to Section 12 of the Securities Exchange Act of 1934 - Description of common</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units (incorporated by reference to Exhibit 4.10 to Form 10-K (File No. 1-32740) filed February 21, 2020)</w:t>
              </w:r>
            </w:hyperlink>
          </w:p>
        </w:tc>
        <w:tc>
          <w:tcPr>
            <w:tcW w:w="250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4.8</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7"/>
              </w:rPr>
            </w:pPr>
            <w:hyperlink r:id="rId204">
              <w:r>
                <w:rPr>
                  <w:rFonts w:ascii="Arial" w:cs="Arial" w:eastAsia="Arial" w:hAnsi="Arial"/>
                  <w:sz w:val="18"/>
                  <w:szCs w:val="18"/>
                  <w:color w:val="0000FF"/>
                  <w:w w:val="97"/>
                </w:rPr>
                <w:t>Ninth Supplemental Indenture, dated as of March 25, 2019, between Energy Transfer LP and U.S. Bank National Association as trustee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(incorporated by reference to Exhibit 4.2 to Form 8-K (File No. 1-32740) filed March 27, 2019)</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10.1+</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8"/>
              </w:rPr>
            </w:pPr>
            <w:hyperlink r:id="rId205">
              <w:r>
                <w:rPr>
                  <w:rFonts w:ascii="Arial" w:cs="Arial" w:eastAsia="Arial" w:hAnsi="Arial"/>
                  <w:sz w:val="18"/>
                  <w:szCs w:val="18"/>
                  <w:color w:val="0000FF"/>
                  <w:w w:val="98"/>
                </w:rPr>
                <w:t>Amended and Restated Energy Transfer LP Long-Term Incentive Plan (formerly Amended and Restated Energy Transfer Equity, L.P.</w:t>
              </w:r>
            </w:hyperlink>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40" w:type="dxa"/>
            <w:vAlign w:val="bottom"/>
            <w:tcBorders>
              <w:top w:val="single" w:sz="8" w:color="0000FF"/>
            </w:tcBorders>
            <w:gridSpan w:val="36"/>
          </w:tcPr>
          <w:p>
            <w:pPr>
              <w:spacing w:after="0" w:line="195" w:lineRule="exact"/>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Long-Term Incentive Plan) (incorporated by reference to Exhibit 10.1 to Form 10-K (File No. 1-32740) filed February 23, 2018)</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20"/>
              <w:spacing w:after="0"/>
              <w:rPr>
                <w:rFonts w:ascii="Arial" w:cs="Arial" w:eastAsia="Arial" w:hAnsi="Arial"/>
                <w:sz w:val="18"/>
                <w:szCs w:val="18"/>
                <w:u w:val="single" w:color="auto"/>
                <w:color w:val="0000FF"/>
              </w:rPr>
            </w:pPr>
            <w:hyperlink w:anchor="page251">
              <w:r>
                <w:rPr>
                  <w:rFonts w:ascii="Arial" w:cs="Arial" w:eastAsia="Arial" w:hAnsi="Arial"/>
                  <w:sz w:val="18"/>
                  <w:szCs w:val="18"/>
                  <w:u w:val="single" w:color="auto"/>
                  <w:color w:val="0000FF"/>
                </w:rPr>
                <w:t>10.2*+</w:t>
              </w:r>
            </w:hyperlink>
          </w:p>
        </w:tc>
        <w:tc>
          <w:tcPr>
            <w:tcW w:w="260" w:type="dxa"/>
            <w:vAlign w:val="bottom"/>
          </w:tcPr>
          <w:p>
            <w:pPr>
              <w:spacing w:after="0"/>
              <w:rPr>
                <w:sz w:val="19"/>
                <w:szCs w:val="19"/>
                <w:color w:val="auto"/>
              </w:rPr>
            </w:pPr>
          </w:p>
        </w:tc>
        <w:tc>
          <w:tcPr>
            <w:tcW w:w="10500" w:type="dxa"/>
            <w:vAlign w:val="bottom"/>
            <w:gridSpan w:val="39"/>
          </w:tcPr>
          <w:p>
            <w:pPr>
              <w:spacing w:after="0"/>
              <w:rPr>
                <w:rFonts w:ascii="Arial" w:cs="Arial" w:eastAsia="Arial" w:hAnsi="Arial"/>
                <w:sz w:val="18"/>
                <w:szCs w:val="18"/>
                <w:u w:val="single" w:color="auto"/>
                <w:color w:val="0000FF"/>
              </w:rPr>
            </w:pPr>
            <w:hyperlink w:anchor="page251">
              <w:r>
                <w:rPr>
                  <w:rFonts w:ascii="Arial" w:cs="Arial" w:eastAsia="Arial" w:hAnsi="Arial"/>
                  <w:sz w:val="18"/>
                  <w:szCs w:val="18"/>
                  <w:u w:val="single" w:color="auto"/>
                  <w:color w:val="0000FF"/>
                </w:rPr>
                <w:t>First Amendment to the Amended and Restated Energy Transfer LP Long-Term Incentive Plan</w:t>
              </w:r>
            </w:hyperlink>
          </w:p>
        </w:tc>
        <w:tc>
          <w:tcPr>
            <w:tcW w:w="0" w:type="dxa"/>
            <w:vAlign w:val="bottom"/>
          </w:tcPr>
          <w:p>
            <w:pPr>
              <w:spacing w:after="0"/>
              <w:rPr>
                <w:sz w:val="1"/>
                <w:szCs w:val="1"/>
                <w:color w:val="auto"/>
              </w:rPr>
            </w:pPr>
          </w:p>
        </w:tc>
      </w:tr>
      <w:tr>
        <w:trPr>
          <w:trHeight w:val="190"/>
        </w:trPr>
        <w:tc>
          <w:tcPr>
            <w:tcW w:w="780" w:type="dxa"/>
            <w:vAlign w:val="bottom"/>
            <w:gridSpan w:val="2"/>
          </w:tcPr>
          <w:p>
            <w:pPr>
              <w:ind w:left="20"/>
              <w:spacing w:after="0" w:line="190" w:lineRule="exact"/>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10.3+</w:t>
              </w:r>
            </w:hyperlink>
          </w:p>
        </w:tc>
        <w:tc>
          <w:tcPr>
            <w:tcW w:w="260" w:type="dxa"/>
            <w:vAlign w:val="bottom"/>
          </w:tcPr>
          <w:p>
            <w:pPr>
              <w:spacing w:after="0"/>
              <w:rPr>
                <w:sz w:val="16"/>
                <w:szCs w:val="16"/>
                <w:color w:val="auto"/>
              </w:rPr>
            </w:pPr>
          </w:p>
        </w:tc>
        <w:tc>
          <w:tcPr>
            <w:tcW w:w="10500" w:type="dxa"/>
            <w:vAlign w:val="bottom"/>
            <w:gridSpan w:val="39"/>
          </w:tcPr>
          <w:p>
            <w:pPr>
              <w:spacing w:after="0" w:line="190" w:lineRule="exact"/>
              <w:rPr>
                <w:rFonts w:ascii="Arial" w:cs="Arial" w:eastAsia="Arial" w:hAnsi="Arial"/>
                <w:sz w:val="18"/>
                <w:szCs w:val="18"/>
                <w:color w:val="0000FF"/>
                <w:w w:val="97"/>
              </w:rPr>
            </w:pPr>
            <w:hyperlink r:id="rId206">
              <w:r>
                <w:rPr>
                  <w:rFonts w:ascii="Arial" w:cs="Arial" w:eastAsia="Arial" w:hAnsi="Arial"/>
                  <w:sz w:val="18"/>
                  <w:szCs w:val="18"/>
                  <w:color w:val="0000FF"/>
                  <w:w w:val="97"/>
                </w:rPr>
                <w:t>Second Amendment to the Amended and Restated Energy Transfer LP Long-Term Incentive Plan (incorporated by reference to Exhibit</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 No. 1-32740) filed January 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10.4+</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6"/>
              </w:rPr>
            </w:pPr>
            <w:hyperlink r:id="rId207">
              <w:r>
                <w:rPr>
                  <w:rFonts w:ascii="Arial" w:cs="Arial" w:eastAsia="Arial" w:hAnsi="Arial"/>
                  <w:sz w:val="18"/>
                  <w:szCs w:val="18"/>
                  <w:color w:val="0000FF"/>
                  <w:w w:val="96"/>
                </w:rPr>
                <w:t>Energy Transfer LP Long-Term Cash Restricted Unit Plan (incorporated by reference to Exhibit 10.2 to Form 8-K (File No. 1-32740) filed</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January 6, 2021)</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10.5+</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7"/>
              </w:rPr>
            </w:pPr>
            <w:hyperlink r:id="rId208">
              <w:r>
                <w:rPr>
                  <w:rFonts w:ascii="Arial" w:cs="Arial" w:eastAsia="Arial" w:hAnsi="Arial"/>
                  <w:sz w:val="18"/>
                  <w:szCs w:val="18"/>
                  <w:color w:val="0000FF"/>
                  <w:w w:val="97"/>
                </w:rPr>
                <w:t>Form of Cash Unit Award Agreement under the Energy Transfer LP Long-Term Cash Restricted Unit Plan (incorporated by reference to</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Exhibit 10.3 to Form 8-K (File No. 1-32740) filed January 6, 2021)</w:t>
              </w:r>
            </w:hyperlink>
          </w:p>
        </w:tc>
        <w:tc>
          <w:tcPr>
            <w:tcW w:w="53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10.6+</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7"/>
              </w:rPr>
            </w:pPr>
            <w:hyperlink r:id="rId209">
              <w:r>
                <w:rPr>
                  <w:rFonts w:ascii="Arial" w:cs="Arial" w:eastAsia="Arial" w:hAnsi="Arial"/>
                  <w:sz w:val="18"/>
                  <w:szCs w:val="18"/>
                  <w:color w:val="0000FF"/>
                  <w:w w:val="97"/>
                </w:rPr>
                <w:t>Second Amended and Restated Energy Transfer LP 2008 Long-Term Incentive Plan (formerly Second Amended and Restated Energy</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Transfer Partners, L.P. 2008 Long-Term Incentive Plan) (incorporated by reference to Exhibit 4.1 to Form S-8 (File No. 333-229456)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209">
              <w:r>
                <w:rPr>
                  <w:rFonts w:ascii="Arial" w:cs="Arial" w:eastAsia="Arial" w:hAnsi="Arial"/>
                  <w:sz w:val="18"/>
                  <w:szCs w:val="18"/>
                  <w:color w:val="0000FF"/>
                  <w:w w:val="88"/>
                </w:rPr>
                <w:t>January 31, 2019)</w:t>
              </w:r>
            </w:hyperlink>
          </w:p>
        </w:tc>
        <w:tc>
          <w:tcPr>
            <w:tcW w:w="8780" w:type="dxa"/>
            <w:vAlign w:val="bottom"/>
            <w:tcBorders>
              <w:top w:val="single" w:sz="8" w:color="0000FF"/>
            </w:tcBorders>
            <w:gridSpan w:val="15"/>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10.7+</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5"/>
              </w:rPr>
            </w:pPr>
            <w:hyperlink r:id="rId210">
              <w:r>
                <w:rPr>
                  <w:rFonts w:ascii="Arial" w:cs="Arial" w:eastAsia="Arial" w:hAnsi="Arial"/>
                  <w:sz w:val="18"/>
                  <w:szCs w:val="18"/>
                  <w:color w:val="0000FF"/>
                  <w:w w:val="95"/>
                </w:rPr>
                <w:t>Energy Transfer LP 2011 Long-Term Incentive Plan (formerly Regency Energy Partners LP 2011 Long-Term Incentive Plan) (incorporated</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by reference to Exhibit 4.2 to Form S-8 (File No 333-229456) filed January 31, 2019)</w:t>
              </w:r>
            </w:hyperlink>
          </w:p>
        </w:tc>
        <w:tc>
          <w:tcPr>
            <w:tcW w:w="4200" w:type="dxa"/>
            <w:vAlign w:val="bottom"/>
            <w:tcBorders>
              <w:top w:val="single" w:sz="8" w:color="0000FF"/>
            </w:tcBorders>
            <w:gridSpan w:val="2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10.8+</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5"/>
              </w:rPr>
            </w:pPr>
            <w:hyperlink r:id="rId211">
              <w:r>
                <w:rPr>
                  <w:rFonts w:ascii="Arial" w:cs="Arial" w:eastAsia="Arial" w:hAnsi="Arial"/>
                  <w:sz w:val="18"/>
                  <w:szCs w:val="18"/>
                  <w:color w:val="0000FF"/>
                  <w:w w:val="95"/>
                </w:rPr>
                <w:t>Energy Transfer LP 2015 Long-Term Incentive Plan, as amended and restated (formerly Sunoco Partners LLC Long-Term Incentive Plan,</w:t>
              </w:r>
            </w:hyperlink>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60" w:type="dxa"/>
            <w:vAlign w:val="bottom"/>
            <w:tcBorders>
              <w:top w:val="single" w:sz="8" w:color="0000FF"/>
            </w:tcBorders>
            <w:gridSpan w:val="27"/>
          </w:tcPr>
          <w:p>
            <w:pPr>
              <w:spacing w:after="0" w:line="195" w:lineRule="exact"/>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as amended and restated) (incorporated by reference to Exhibit 4.3 to Form S-8 (File No. 333-229456) filed January 31, 2019)</w:t>
              </w:r>
            </w:hyperlink>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1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gridSpan w:val="2"/>
          </w:tcPr>
          <w:p>
            <w:pPr>
              <w:ind w:left="20"/>
              <w:spacing w:after="0" w:line="190" w:lineRule="exact"/>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10.9+</w:t>
              </w:r>
            </w:hyperlink>
          </w:p>
        </w:tc>
        <w:tc>
          <w:tcPr>
            <w:tcW w:w="260" w:type="dxa"/>
            <w:vAlign w:val="bottom"/>
          </w:tcPr>
          <w:p>
            <w:pPr>
              <w:spacing w:after="0"/>
              <w:rPr>
                <w:sz w:val="16"/>
                <w:szCs w:val="16"/>
                <w:color w:val="auto"/>
              </w:rPr>
            </w:pPr>
          </w:p>
        </w:tc>
        <w:tc>
          <w:tcPr>
            <w:tcW w:w="10500" w:type="dxa"/>
            <w:vAlign w:val="bottom"/>
            <w:gridSpan w:val="39"/>
          </w:tcPr>
          <w:p>
            <w:pPr>
              <w:spacing w:after="0" w:line="190" w:lineRule="exact"/>
              <w:rPr>
                <w:rFonts w:ascii="Arial" w:cs="Arial" w:eastAsia="Arial" w:hAnsi="Arial"/>
                <w:sz w:val="18"/>
                <w:szCs w:val="18"/>
                <w:color w:val="0000FF"/>
                <w:w w:val="98"/>
              </w:rPr>
            </w:pPr>
            <w:hyperlink r:id="rId212">
              <w:r>
                <w:rPr>
                  <w:rFonts w:ascii="Arial" w:cs="Arial" w:eastAsia="Arial" w:hAnsi="Arial"/>
                  <w:sz w:val="18"/>
                  <w:szCs w:val="18"/>
                  <w:color w:val="0000FF"/>
                  <w:w w:val="98"/>
                </w:rPr>
                <w:t>Form of Director and Officer Indemnification Agreement (incorporated by reference to Exhibit 10.26 to Form S-1 (File No. 333-128097)</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filed December 20, 2005)</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10.10</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4"/>
              </w:rPr>
            </w:pPr>
            <w:hyperlink r:id="rId213">
              <w:r>
                <w:rPr>
                  <w:rFonts w:ascii="Arial" w:cs="Arial" w:eastAsia="Arial" w:hAnsi="Arial"/>
                  <w:sz w:val="18"/>
                  <w:szCs w:val="18"/>
                  <w:color w:val="0000FF"/>
                  <w:w w:val="94"/>
                </w:rPr>
                <w:t>Registration Rights Agreement, dated November 27, 2006, by and among Energy Transfer Equity, L.P. and certain investors named therein</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(incorporated by reference to Exhibit 99.1 to Form 8-K (File No. 1-32740) filed November 30, 2006)</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5"/>
            <w:shd w:val="clear" w:color="auto" w:fill="0000FF"/>
          </w:tcPr>
          <w:p>
            <w:pPr>
              <w:spacing w:after="0" w:line="20" w:lineRule="exact"/>
              <w:rPr>
                <w:sz w:val="1"/>
                <w:szCs w:val="1"/>
                <w:color w:val="auto"/>
              </w:rPr>
            </w:pPr>
          </w:p>
        </w:tc>
        <w:tc>
          <w:tcPr>
            <w:tcW w:w="4500" w:type="dxa"/>
            <w:vAlign w:val="bottom"/>
            <w:gridSpan w:val="8"/>
            <w:shd w:val="clear" w:color="auto" w:fill="0000FF"/>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10.11+</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6"/>
              </w:rPr>
            </w:pPr>
            <w:hyperlink r:id="rId214">
              <w:r>
                <w:rPr>
                  <w:rFonts w:ascii="Arial" w:cs="Arial" w:eastAsia="Arial" w:hAnsi="Arial"/>
                  <w:sz w:val="18"/>
                  <w:szCs w:val="18"/>
                  <w:color w:val="0000FF"/>
                  <w:w w:val="96"/>
                </w:rPr>
                <w:t>LE GP, LLC Amended and Restated Outside Director Compensation Policy (incorporated by reference to Exhibit 10.9 to Form 10-K (File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14">
              <w:r>
                <w:rPr>
                  <w:rFonts w:ascii="Arial" w:cs="Arial" w:eastAsia="Arial" w:hAnsi="Arial"/>
                  <w:sz w:val="18"/>
                  <w:szCs w:val="18"/>
                  <w:color w:val="0000FF"/>
                  <w:w w:val="91"/>
                </w:rPr>
                <w:t>No. 1-32740) filed February 22, 2019)</w:t>
              </w:r>
            </w:hyperlink>
          </w:p>
        </w:tc>
        <w:tc>
          <w:tcPr>
            <w:tcW w:w="7560" w:type="dxa"/>
            <w:vAlign w:val="bottom"/>
            <w:tcBorders>
              <w:top w:val="single" w:sz="8" w:color="0000FF"/>
            </w:tcBorders>
            <w:gridSpan w:val="2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ind w:left="20"/>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10.12</w:t>
              </w:r>
            </w:hyperlink>
          </w:p>
        </w:tc>
        <w:tc>
          <w:tcPr>
            <w:tcW w:w="260" w:type="dxa"/>
            <w:vAlign w:val="bottom"/>
          </w:tcPr>
          <w:p>
            <w:pPr>
              <w:spacing w:after="0"/>
              <w:rPr>
                <w:sz w:val="18"/>
                <w:szCs w:val="18"/>
                <w:color w:val="auto"/>
              </w:rPr>
            </w:pPr>
          </w:p>
        </w:tc>
        <w:tc>
          <w:tcPr>
            <w:tcW w:w="10500" w:type="dxa"/>
            <w:vAlign w:val="bottom"/>
            <w:gridSpan w:val="39"/>
          </w:tcPr>
          <w:p>
            <w:pPr>
              <w:spacing w:after="0"/>
              <w:rPr>
                <w:rFonts w:ascii="Arial" w:cs="Arial" w:eastAsia="Arial" w:hAnsi="Arial"/>
                <w:sz w:val="18"/>
                <w:szCs w:val="18"/>
                <w:color w:val="0000FF"/>
                <w:w w:val="98"/>
              </w:rPr>
            </w:pPr>
            <w:hyperlink r:id="rId215">
              <w:r>
                <w:rPr>
                  <w:rFonts w:ascii="Arial" w:cs="Arial" w:eastAsia="Arial" w:hAnsi="Arial"/>
                  <w:sz w:val="18"/>
                  <w:szCs w:val="18"/>
                  <w:color w:val="0000FF"/>
                  <w:w w:val="98"/>
                </w:rPr>
                <w:t>Registration Rights Agreement, dated March 2, 2007, by and among Energy Transfer Equity, L.P. and certain investors named therein</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(incorporated by reference to Exhibit 99.1 to Form 8-K (File No. 1-32740) filed March 5, 2007)</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Borders>
              <w:top w:val="single" w:sz="8" w:color="0000FF"/>
            </w:tcBorders>
            <w:gridSpan w:val="7"/>
          </w:tcPr>
          <w:p>
            <w:pPr>
              <w:ind w:left="4440"/>
              <w:spacing w:after="0"/>
              <w:rPr>
                <w:sz w:val="20"/>
                <w:szCs w:val="20"/>
                <w:color w:val="auto"/>
              </w:rPr>
            </w:pPr>
            <w:r>
              <w:rPr>
                <w:rFonts w:ascii="Arial" w:cs="Arial" w:eastAsia="Arial" w:hAnsi="Arial"/>
                <w:sz w:val="18"/>
                <w:szCs w:val="18"/>
                <w:color w:val="auto"/>
              </w:rPr>
              <w:t>156</w:t>
            </w:r>
          </w:p>
        </w:tc>
        <w:tc>
          <w:tcPr>
            <w:tcW w:w="8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10440" w:type="dxa"/>
            <w:vAlign w:val="bottom"/>
            <w:gridSpan w:val="3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9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4"/>
              </w:rPr>
              <w:t>Number</w:t>
            </w:r>
          </w:p>
        </w:tc>
        <w:tc>
          <w:tcPr>
            <w:tcW w:w="1044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10.13</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4"/>
              </w:rPr>
            </w:pPr>
            <w:hyperlink r:id="rId218">
              <w:r>
                <w:rPr>
                  <w:rFonts w:ascii="Arial" w:cs="Arial" w:eastAsia="Arial" w:hAnsi="Arial"/>
                  <w:sz w:val="18"/>
                  <w:szCs w:val="18"/>
                  <w:color w:val="0000FF"/>
                  <w:w w:val="94"/>
                </w:rPr>
                <w:t>Unitholder Rights and Restrictions Agreement, dated as of May 7, 2007, by and among Energy Transfer Equity, L.P., Ray C. Davis, Natural</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3"/>
              </w:rPr>
            </w:pPr>
            <w:hyperlink r:id="rId218">
              <w:r>
                <w:rPr>
                  <w:rFonts w:ascii="Arial" w:cs="Arial" w:eastAsia="Arial" w:hAnsi="Arial"/>
                  <w:sz w:val="18"/>
                  <w:szCs w:val="18"/>
                  <w:color w:val="0000FF"/>
                  <w:w w:val="93"/>
                </w:rPr>
                <w:t>Gas Partners VI, L.P. and Enterprise GP Holdings, L.P. (incorporated by reference to Exhibit 10.45 to Form 8-K (File No. 1-32740)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May 7, 2007)</w:t>
              </w:r>
            </w:hyperlink>
          </w:p>
        </w:tc>
        <w:tc>
          <w:tcPr>
            <w:tcW w:w="934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10.14</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4"/>
              </w:rPr>
            </w:pPr>
            <w:hyperlink r:id="rId219">
              <w:r>
                <w:rPr>
                  <w:rFonts w:ascii="Arial" w:cs="Arial" w:eastAsia="Arial" w:hAnsi="Arial"/>
                  <w:sz w:val="18"/>
                  <w:szCs w:val="18"/>
                  <w:color w:val="0000FF"/>
                  <w:w w:val="94"/>
                </w:rPr>
                <w:t>Shared Services Agreement dated as of August 26, 2005, by and between Energy Transfer Equity, L.P. and Energy Transfer Partners, L.P.</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(incorporated by reference to Exhibit 10.30 to Form S-1/A (File No. 333-128097) filed December 20, 2005)</w:t>
              </w:r>
            </w:hyperlink>
          </w:p>
        </w:tc>
        <w:tc>
          <w:tcPr>
            <w:tcW w:w="24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10.15</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4"/>
              </w:rPr>
            </w:pPr>
            <w:hyperlink r:id="rId220">
              <w:r>
                <w:rPr>
                  <w:rFonts w:ascii="Arial" w:cs="Arial" w:eastAsia="Arial" w:hAnsi="Arial"/>
                  <w:sz w:val="18"/>
                  <w:szCs w:val="18"/>
                  <w:color w:val="0000FF"/>
                  <w:w w:val="94"/>
                </w:rPr>
                <w:t>Second Amendment, dated April 30, 2013, to the Shared Services Agreement dated as of August 26, 2005, as amended May 26, 2010, by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5"/>
              </w:rPr>
            </w:pPr>
            <w:hyperlink r:id="rId220">
              <w:r>
                <w:rPr>
                  <w:rFonts w:ascii="Arial" w:cs="Arial" w:eastAsia="Arial" w:hAnsi="Arial"/>
                  <w:sz w:val="18"/>
                  <w:szCs w:val="18"/>
                  <w:color w:val="0000FF"/>
                  <w:w w:val="95"/>
                </w:rPr>
                <w:t>and between Energy Transfer Equity, L.P. and Energy Transfer Partners, L.P.(incorporated by reference to Exhibit 10.2 to Form 8-K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0" w:type="dxa"/>
            <w:vAlign w:val="bottom"/>
            <w:gridSpan w:val="30"/>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No. 1-32740) filed May 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10.16</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2"/>
              </w:rPr>
            </w:pPr>
            <w:hyperlink r:id="rId221">
              <w:r>
                <w:rPr>
                  <w:rFonts w:ascii="Arial" w:cs="Arial" w:eastAsia="Arial" w:hAnsi="Arial"/>
                  <w:sz w:val="18"/>
                  <w:szCs w:val="18"/>
                  <w:color w:val="0000FF"/>
                  <w:w w:val="92"/>
                </w:rPr>
                <w:t>Third Amendment, dated February 19, 2014, to the Shared Services Agreement dated as of August 26, 2005, as amended May 26, 2010 and</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4"/>
              </w:rPr>
            </w:pPr>
            <w:hyperlink r:id="rId221">
              <w:r>
                <w:rPr>
                  <w:rFonts w:ascii="Arial" w:cs="Arial" w:eastAsia="Arial" w:hAnsi="Arial"/>
                  <w:sz w:val="18"/>
                  <w:szCs w:val="18"/>
                  <w:color w:val="0000FF"/>
                  <w:w w:val="94"/>
                </w:rPr>
                <w:t>April 30, 2013 by and between Energy Transfer Equity, L.P. and Energy Transfer Partners, L.P. (incorporated by reference to Exhibit 10.1</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60" w:type="dxa"/>
            <w:vAlign w:val="bottom"/>
            <w:gridSpan w:val="28"/>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to Form 8-K (File No. 1-32740) filed February 19,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10.17+</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8"/>
              </w:rPr>
            </w:pPr>
            <w:hyperlink r:id="rId222">
              <w:r>
                <w:rPr>
                  <w:rFonts w:ascii="Arial" w:cs="Arial" w:eastAsia="Arial" w:hAnsi="Arial"/>
                  <w:sz w:val="18"/>
                  <w:szCs w:val="18"/>
                  <w:color w:val="0000FF"/>
                  <w:w w:val="98"/>
                </w:rPr>
                <w:t>Retention Agreement, by and among Energy Transfer Equity, L.P. and Thomas P. Mason, dated February 24, 2016 (incorporated by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reference to Exhibit 10.21 to Form 10-K (File No. 1-32740) filed February 29, 2016)</w:t>
              </w:r>
            </w:hyperlink>
          </w:p>
        </w:tc>
        <w:tc>
          <w:tcPr>
            <w:tcW w:w="43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10.18</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5"/>
              </w:rPr>
            </w:pPr>
            <w:hyperlink r:id="rId223">
              <w:r>
                <w:rPr>
                  <w:rFonts w:ascii="Arial" w:cs="Arial" w:eastAsia="Arial" w:hAnsi="Arial"/>
                  <w:sz w:val="18"/>
                  <w:szCs w:val="18"/>
                  <w:color w:val="0000FF"/>
                  <w:w w:val="95"/>
                </w:rPr>
                <w:t>Equity Restructuring Agreement, dated as of January 15, 2018, by and among Energy Transfer Equity, L.P., USA Compression Partners,</w:t>
              </w:r>
            </w:hyperlink>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8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w w:val="95"/>
              </w:rPr>
            </w:pPr>
            <w:hyperlink r:id="rId223">
              <w:r>
                <w:rPr>
                  <w:rFonts w:ascii="Arial" w:cs="Arial" w:eastAsia="Arial" w:hAnsi="Arial"/>
                  <w:sz w:val="18"/>
                  <w:szCs w:val="18"/>
                  <w:u w:val="single" w:color="auto"/>
                  <w:color w:val="0000FF"/>
                  <w:w w:val="95"/>
                </w:rPr>
                <w:t>LP and USA Compression GP, LLC. (incorporated by reference to Exhibit 10.1 to Form 8-K (File No. 1-32740) filed January 16, 2018)</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line="190" w:lineRule="exact"/>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10.19</w:t>
              </w:r>
            </w:hyperlink>
          </w:p>
        </w:tc>
        <w:tc>
          <w:tcPr>
            <w:tcW w:w="260" w:type="dxa"/>
            <w:vAlign w:val="bottom"/>
          </w:tcPr>
          <w:p>
            <w:pPr>
              <w:spacing w:after="0"/>
              <w:rPr>
                <w:sz w:val="16"/>
                <w:szCs w:val="16"/>
                <w:color w:val="auto"/>
              </w:rPr>
            </w:pPr>
          </w:p>
        </w:tc>
        <w:tc>
          <w:tcPr>
            <w:tcW w:w="10440" w:type="dxa"/>
            <w:vAlign w:val="bottom"/>
            <w:gridSpan w:val="32"/>
          </w:tcPr>
          <w:p>
            <w:pPr>
              <w:spacing w:after="0" w:line="190" w:lineRule="exact"/>
              <w:rPr>
                <w:rFonts w:ascii="Arial" w:cs="Arial" w:eastAsia="Arial" w:hAnsi="Arial"/>
                <w:sz w:val="18"/>
                <w:szCs w:val="18"/>
                <w:color w:val="0000FF"/>
                <w:w w:val="94"/>
              </w:rPr>
            </w:pPr>
            <w:hyperlink r:id="rId224">
              <w:r>
                <w:rPr>
                  <w:rFonts w:ascii="Arial" w:cs="Arial" w:eastAsia="Arial" w:hAnsi="Arial"/>
                  <w:sz w:val="18"/>
                  <w:szCs w:val="18"/>
                  <w:color w:val="0000FF"/>
                  <w:w w:val="94"/>
                </w:rPr>
                <w:t>Registration Rights Agreement, dated as of April 2, 2018, by and among Energy Transfer Partners, L.P., Energy Transfer Equity, L.P., USA</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00" w:type="dxa"/>
            <w:vAlign w:val="bottom"/>
            <w:tcBorders>
              <w:top w:val="single" w:sz="8" w:color="0000FF"/>
            </w:tcBorders>
            <w:gridSpan w:val="25"/>
          </w:tcPr>
          <w:p>
            <w:pPr>
              <w:spacing w:after="0" w:line="156" w:lineRule="exact"/>
              <w:rPr>
                <w:rFonts w:ascii="Arial" w:cs="Arial" w:eastAsia="Arial" w:hAnsi="Arial"/>
                <w:sz w:val="18"/>
                <w:szCs w:val="18"/>
                <w:color w:val="0000FF"/>
                <w:w w:val="97"/>
              </w:rPr>
            </w:pPr>
            <w:hyperlink r:id="rId224">
              <w:r>
                <w:rPr>
                  <w:rFonts w:ascii="Arial" w:cs="Arial" w:eastAsia="Arial" w:hAnsi="Arial"/>
                  <w:sz w:val="18"/>
                  <w:szCs w:val="18"/>
                  <w:color w:val="0000FF"/>
                  <w:w w:val="97"/>
                </w:rPr>
                <w:t>Compression Partners, LP and USA Compression Holdings, LLC. (incorporated by reference to Exhibit 10.1 to Form 8-K (File No. 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4"/>
              </w:rPr>
            </w:pPr>
            <w:hyperlink r:id="rId224">
              <w:r>
                <w:rPr>
                  <w:rFonts w:ascii="Arial" w:cs="Arial" w:eastAsia="Arial" w:hAnsi="Arial"/>
                  <w:sz w:val="18"/>
                  <w:szCs w:val="18"/>
                  <w:color w:val="0000FF"/>
                  <w:w w:val="94"/>
                </w:rPr>
                <w:t>32740) filed April 3, 2018)</w:t>
              </w:r>
            </w:hyperlink>
          </w:p>
        </w:tc>
        <w:tc>
          <w:tcPr>
            <w:tcW w:w="82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10.20+</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7"/>
              </w:rPr>
            </w:pPr>
            <w:hyperlink r:id="rId225">
              <w:r>
                <w:rPr>
                  <w:rFonts w:ascii="Arial" w:cs="Arial" w:eastAsia="Arial" w:hAnsi="Arial"/>
                  <w:sz w:val="18"/>
                  <w:szCs w:val="18"/>
                  <w:color w:val="0000FF"/>
                  <w:w w:val="97"/>
                </w:rPr>
                <w:t>Energy Transfer LP Annual Bonus Plan (incorporated by reference to Exhibit 10.23 to Form 10-K (File No. 1-32740) filed February 22,</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225">
              <w:r>
                <w:rPr>
                  <w:rFonts w:ascii="Arial" w:cs="Arial" w:eastAsia="Arial" w:hAnsi="Arial"/>
                  <w:sz w:val="18"/>
                  <w:szCs w:val="18"/>
                  <w:color w:val="0000FF"/>
                  <w:w w:val="86"/>
                </w:rPr>
                <w:t>2019)</w:t>
              </w:r>
            </w:hyperlink>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spacing w:after="0"/>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10.21</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5"/>
              </w:rPr>
            </w:pPr>
            <w:hyperlink r:id="rId226">
              <w:r>
                <w:rPr>
                  <w:rFonts w:ascii="Arial" w:cs="Arial" w:eastAsia="Arial" w:hAnsi="Arial"/>
                  <w:sz w:val="18"/>
                  <w:szCs w:val="18"/>
                  <w:color w:val="0000FF"/>
                  <w:w w:val="95"/>
                </w:rPr>
                <w:t>Support Agreement, dated September 15, 2019, between Energy Transfer LP, Nautilus Merger Sub LLC, WP SemGroup Holdco LLC and</w:t>
              </w:r>
            </w:hyperlink>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4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SemGroup Corporation (incorporated by reference to Exhibit 10.1 to Form 8-K (File No. 1-32740) filed September 15, 2019)</w:t>
              </w:r>
            </w:hyperlink>
          </w:p>
        </w:tc>
        <w:tc>
          <w:tcPr>
            <w:tcW w:w="40" w:type="dxa"/>
            <w:vAlign w:val="bottom"/>
            <w:gridSpan w:val="2"/>
          </w:tcPr>
          <w:p>
            <w:pPr>
              <w:spacing w:after="0"/>
              <w:rPr>
                <w:sz w:val="16"/>
                <w:szCs w:val="16"/>
                <w:color w:val="auto"/>
              </w:rPr>
            </w:pPr>
          </w:p>
        </w:tc>
        <w:tc>
          <w:tcPr>
            <w:tcW w:w="120" w:type="dxa"/>
            <w:vAlign w:val="bottom"/>
            <w:gridSpan w:val="6"/>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line="190" w:lineRule="exact"/>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10.22</w:t>
              </w:r>
            </w:hyperlink>
          </w:p>
        </w:tc>
        <w:tc>
          <w:tcPr>
            <w:tcW w:w="260" w:type="dxa"/>
            <w:vAlign w:val="bottom"/>
          </w:tcPr>
          <w:p>
            <w:pPr>
              <w:spacing w:after="0"/>
              <w:rPr>
                <w:sz w:val="16"/>
                <w:szCs w:val="16"/>
                <w:color w:val="auto"/>
              </w:rPr>
            </w:pPr>
          </w:p>
        </w:tc>
        <w:tc>
          <w:tcPr>
            <w:tcW w:w="10440" w:type="dxa"/>
            <w:vAlign w:val="bottom"/>
            <w:gridSpan w:val="32"/>
          </w:tcPr>
          <w:p>
            <w:pPr>
              <w:spacing w:after="0" w:line="190" w:lineRule="exact"/>
              <w:rPr>
                <w:rFonts w:ascii="Arial" w:cs="Arial" w:eastAsia="Arial" w:hAnsi="Arial"/>
                <w:sz w:val="18"/>
                <w:szCs w:val="18"/>
                <w:color w:val="0000FF"/>
                <w:w w:val="96"/>
              </w:rPr>
            </w:pPr>
            <w:hyperlink r:id="rId227">
              <w:r>
                <w:rPr>
                  <w:rFonts w:ascii="Arial" w:cs="Arial" w:eastAsia="Arial" w:hAnsi="Arial"/>
                  <w:sz w:val="18"/>
                  <w:szCs w:val="18"/>
                  <w:color w:val="0000FF"/>
                  <w:w w:val="96"/>
                </w:rPr>
                <w:t>Term Loan Credit Agreement dated as of October 17, 2019 among Energy Transfer Operating, L.P., Toronto Dominion (Texas) LLC, as</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8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227">
              <w:r>
                <w:rPr>
                  <w:rFonts w:ascii="Arial" w:cs="Arial" w:eastAsia="Arial" w:hAnsi="Arial"/>
                  <w:sz w:val="18"/>
                  <w:szCs w:val="18"/>
                  <w:color w:val="0000FF"/>
                  <w:w w:val="96"/>
                </w:rPr>
                <w:t>Administrative Agent, the other lenders party thereto and the other parties named therein (incorporated by reference to Exhibit 10.1 to</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Form 8-K (File No. 1-32740) filed October 18, 2019)</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10.23</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9"/>
              </w:rPr>
            </w:pPr>
            <w:hyperlink r:id="rId228">
              <w:r>
                <w:rPr>
                  <w:rFonts w:ascii="Arial" w:cs="Arial" w:eastAsia="Arial" w:hAnsi="Arial"/>
                  <w:sz w:val="18"/>
                  <w:szCs w:val="18"/>
                  <w:color w:val="0000FF"/>
                  <w:w w:val="99"/>
                </w:rPr>
                <w:t>Guaranty dated as of October 17, 2019 between Sunoco Logistics Partners Operations L.P. and Toronto Dominion (Texas) LLC, as</w:t>
              </w:r>
            </w:hyperlink>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2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Administrative Agent (incorporated by reference to Exhibit 10.2 to Form 8-K (File No. 1-32740) filed October 18, 2019)</w:t>
              </w:r>
            </w:hyperlink>
          </w:p>
        </w:tc>
        <w:tc>
          <w:tcPr>
            <w:tcW w:w="180" w:type="dxa"/>
            <w:vAlign w:val="bottom"/>
            <w:gridSpan w:val="9"/>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line="190" w:lineRule="exact"/>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10.24</w:t>
              </w:r>
            </w:hyperlink>
          </w:p>
        </w:tc>
        <w:tc>
          <w:tcPr>
            <w:tcW w:w="260" w:type="dxa"/>
            <w:vAlign w:val="bottom"/>
          </w:tcPr>
          <w:p>
            <w:pPr>
              <w:spacing w:after="0"/>
              <w:rPr>
                <w:sz w:val="16"/>
                <w:szCs w:val="16"/>
                <w:color w:val="auto"/>
              </w:rPr>
            </w:pPr>
          </w:p>
        </w:tc>
        <w:tc>
          <w:tcPr>
            <w:tcW w:w="10440" w:type="dxa"/>
            <w:vAlign w:val="bottom"/>
            <w:gridSpan w:val="32"/>
          </w:tcPr>
          <w:p>
            <w:pPr>
              <w:spacing w:after="0" w:line="190" w:lineRule="exact"/>
              <w:rPr>
                <w:rFonts w:ascii="Arial" w:cs="Arial" w:eastAsia="Arial" w:hAnsi="Arial"/>
                <w:sz w:val="18"/>
                <w:szCs w:val="18"/>
                <w:color w:val="0000FF"/>
                <w:w w:val="97"/>
              </w:rPr>
            </w:pPr>
            <w:hyperlink r:id="rId229">
              <w:r>
                <w:rPr>
                  <w:rFonts w:ascii="Arial" w:cs="Arial" w:eastAsia="Arial" w:hAnsi="Arial"/>
                  <w:sz w:val="18"/>
                  <w:szCs w:val="18"/>
                  <w:color w:val="0000FF"/>
                  <w:w w:val="97"/>
                </w:rPr>
                <w:t>Support Agreement, dated as of February 16, 2021, by and among Energy Transfer LP, Elk Merger Sub LLC, Elk GP Merger Sub LLC,</w:t>
              </w:r>
            </w:hyperlink>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Enable Midstream Partners, LP, Enable GP, LLC and CenterPoint Energy, Inc. (incorporated by reference to Exhibit 10.1 to Form 8-K (File</w:t>
              </w:r>
            </w:hyperlink>
          </w:p>
        </w:tc>
        <w:tc>
          <w:tcPr>
            <w:tcW w:w="20" w:type="dxa"/>
            <w:vAlign w:val="bottom"/>
            <w:tcBorders>
              <w:bottom w:val="single" w:sz="8" w:color="0000FF"/>
            </w:tcBorders>
          </w:tcPr>
          <w:p>
            <w:pPr>
              <w:spacing w:after="0"/>
              <w:rPr>
                <w:sz w:val="14"/>
                <w:szCs w:val="14"/>
                <w:color w:val="auto"/>
              </w:rPr>
            </w:pPr>
          </w:p>
        </w:tc>
        <w:tc>
          <w:tcPr>
            <w:tcW w:w="2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Borders>
              <w:bottom w:val="single" w:sz="8" w:color="0000FF"/>
            </w:tcBorders>
            <w:gridSpan w:val="8"/>
          </w:tcPr>
          <w:p>
            <w:pPr>
              <w:spacing w:after="0" w:line="169"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No. 1-32740) filed February 17, 2021)</w:t>
              </w:r>
            </w:hyperlink>
          </w:p>
        </w:tc>
        <w:tc>
          <w:tcPr>
            <w:tcW w:w="7380" w:type="dxa"/>
            <w:vAlign w:val="bottom"/>
            <w:gridSpan w:val="10"/>
          </w:tcPr>
          <w:p>
            <w:pPr>
              <w:spacing w:after="0"/>
              <w:rPr>
                <w:sz w:val="14"/>
                <w:szCs w:val="14"/>
                <w:color w:val="auto"/>
              </w:rPr>
            </w:pPr>
          </w:p>
        </w:tc>
        <w:tc>
          <w:tcPr>
            <w:tcW w:w="2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spacing w:after="0"/>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10.25</w:t>
              </w:r>
            </w:hyperlink>
          </w:p>
        </w:tc>
        <w:tc>
          <w:tcPr>
            <w:tcW w:w="260" w:type="dxa"/>
            <w:vAlign w:val="bottom"/>
          </w:tcPr>
          <w:p>
            <w:pPr>
              <w:spacing w:after="0"/>
              <w:rPr>
                <w:sz w:val="19"/>
                <w:szCs w:val="19"/>
                <w:color w:val="auto"/>
              </w:rPr>
            </w:pPr>
          </w:p>
        </w:tc>
        <w:tc>
          <w:tcPr>
            <w:tcW w:w="10440" w:type="dxa"/>
            <w:vAlign w:val="bottom"/>
            <w:gridSpan w:val="32"/>
          </w:tcPr>
          <w:p>
            <w:pPr>
              <w:spacing w:after="0"/>
              <w:rPr>
                <w:rFonts w:ascii="Arial" w:cs="Arial" w:eastAsia="Arial" w:hAnsi="Arial"/>
                <w:sz w:val="18"/>
                <w:szCs w:val="18"/>
                <w:color w:val="0000FF"/>
                <w:w w:val="97"/>
              </w:rPr>
            </w:pPr>
            <w:hyperlink r:id="rId230">
              <w:r>
                <w:rPr>
                  <w:rFonts w:ascii="Arial" w:cs="Arial" w:eastAsia="Arial" w:hAnsi="Arial"/>
                  <w:sz w:val="18"/>
                  <w:szCs w:val="18"/>
                  <w:color w:val="0000FF"/>
                  <w:w w:val="97"/>
                </w:rPr>
                <w:t>Support Agreement, dated as of February 16, 2021, by and among Energy Transfer LP, Elk Merger Sub LLC, Elk GP Merger Sub LLC,</w:t>
              </w:r>
            </w:hyperlink>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20" w:type="dxa"/>
            <w:vAlign w:val="bottom"/>
            <w:tcBorders>
              <w:top w:val="single" w:sz="8" w:color="0000FF"/>
            </w:tcBorders>
            <w:gridSpan w:val="16"/>
          </w:tcPr>
          <w:p>
            <w:pPr>
              <w:spacing w:after="0" w:line="169" w:lineRule="exact"/>
              <w:rPr>
                <w:rFonts w:ascii="Arial" w:cs="Arial" w:eastAsia="Arial" w:hAnsi="Arial"/>
                <w:sz w:val="18"/>
                <w:szCs w:val="18"/>
                <w:color w:val="0000FF"/>
                <w:w w:val="92"/>
              </w:rPr>
            </w:pPr>
            <w:hyperlink r:id="rId230">
              <w:r>
                <w:rPr>
                  <w:rFonts w:ascii="Arial" w:cs="Arial" w:eastAsia="Arial" w:hAnsi="Arial"/>
                  <w:sz w:val="18"/>
                  <w:szCs w:val="18"/>
                  <w:color w:val="0000FF"/>
                  <w:w w:val="92"/>
                </w:rPr>
                <w:t>Enable Midstream Partners, LP, Enable GP, LLC and OGE Energy Corp. (incorporated by reference to Exhibit 10.2 to Form 8-K (File No.</w:t>
              </w:r>
            </w:hyperlink>
          </w:p>
        </w:tc>
        <w:tc>
          <w:tcPr>
            <w:tcW w:w="280" w:type="dxa"/>
            <w:vAlign w:val="bottom"/>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230">
              <w:r>
                <w:rPr>
                  <w:rFonts w:ascii="Arial" w:cs="Arial" w:eastAsia="Arial" w:hAnsi="Arial"/>
                  <w:sz w:val="18"/>
                  <w:szCs w:val="18"/>
                  <w:color w:val="0000FF"/>
                </w:rPr>
                <w:t>1-32740) filed February 17, 2021)</w:t>
              </w:r>
            </w:hyperlink>
          </w:p>
        </w:tc>
        <w:tc>
          <w:tcPr>
            <w:tcW w:w="300" w:type="dxa"/>
            <w:vAlign w:val="bottom"/>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gridSpan w:val="2"/>
          </w:tcPr>
          <w:p>
            <w:pPr>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21.1*</w:t>
              </w:r>
            </w:hyperlink>
          </w:p>
        </w:tc>
        <w:tc>
          <w:tcPr>
            <w:tcW w:w="260" w:type="dxa"/>
            <w:vAlign w:val="bottom"/>
          </w:tcPr>
          <w:p>
            <w:pPr>
              <w:spacing w:after="0"/>
              <w:rPr>
                <w:sz w:val="22"/>
                <w:szCs w:val="22"/>
                <w:color w:val="auto"/>
              </w:rPr>
            </w:pPr>
          </w:p>
        </w:tc>
        <w:tc>
          <w:tcPr>
            <w:tcW w:w="246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List of Subsidiaries</w:t>
              </w:r>
            </w:hyperlink>
          </w:p>
        </w:tc>
        <w:tc>
          <w:tcPr>
            <w:tcW w:w="798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rFonts w:ascii="Arial" w:cs="Arial" w:eastAsia="Arial" w:hAnsi="Arial"/>
                <w:sz w:val="18"/>
                <w:szCs w:val="18"/>
                <w:u w:val="single" w:color="auto"/>
                <w:color w:val="0000FF"/>
              </w:rPr>
            </w:pPr>
            <w:hyperlink w:anchor="page259">
              <w:r>
                <w:rPr>
                  <w:rFonts w:ascii="Arial" w:cs="Arial" w:eastAsia="Arial" w:hAnsi="Arial"/>
                  <w:sz w:val="18"/>
                  <w:szCs w:val="18"/>
                  <w:u w:val="single" w:color="auto"/>
                  <w:color w:val="0000FF"/>
                </w:rPr>
                <w:t>23.1*</w:t>
              </w:r>
            </w:hyperlink>
          </w:p>
        </w:tc>
        <w:tc>
          <w:tcPr>
            <w:tcW w:w="260" w:type="dxa"/>
            <w:vAlign w:val="bottom"/>
          </w:tcPr>
          <w:p>
            <w:pPr>
              <w:spacing w:after="0"/>
              <w:rPr>
                <w:sz w:val="19"/>
                <w:szCs w:val="19"/>
                <w:color w:val="auto"/>
              </w:rPr>
            </w:pPr>
          </w:p>
        </w:tc>
        <w:tc>
          <w:tcPr>
            <w:tcW w:w="10440" w:type="dxa"/>
            <w:vAlign w:val="bottom"/>
            <w:gridSpan w:val="32"/>
          </w:tcPr>
          <w:p>
            <w:pPr>
              <w:spacing w:after="0"/>
              <w:rPr>
                <w:rFonts w:ascii="Arial" w:cs="Arial" w:eastAsia="Arial" w:hAnsi="Arial"/>
                <w:sz w:val="18"/>
                <w:szCs w:val="18"/>
                <w:u w:val="single" w:color="auto"/>
                <w:color w:val="0000FF"/>
              </w:rPr>
            </w:pPr>
            <w:hyperlink w:anchor="page259">
              <w:r>
                <w:rPr>
                  <w:rFonts w:ascii="Arial" w:cs="Arial" w:eastAsia="Arial" w:hAnsi="Arial"/>
                  <w:sz w:val="18"/>
                  <w:szCs w:val="18"/>
                  <w:u w:val="single" w:color="auto"/>
                  <w:color w:val="0000FF"/>
                </w:rPr>
                <w:t>Consent of Grant Thornton LLP related to Energy Transfer LP</w:t>
              </w:r>
            </w:hyperlink>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31.1*</w:t>
              </w:r>
            </w:hyperlink>
          </w:p>
        </w:tc>
        <w:tc>
          <w:tcPr>
            <w:tcW w:w="260" w:type="dxa"/>
            <w:vAlign w:val="bottom"/>
          </w:tcPr>
          <w:p>
            <w:pPr>
              <w:spacing w:after="0"/>
              <w:rPr>
                <w:sz w:val="19"/>
                <w:szCs w:val="19"/>
                <w:color w:val="auto"/>
              </w:rPr>
            </w:pPr>
          </w:p>
        </w:tc>
        <w:tc>
          <w:tcPr>
            <w:tcW w:w="10440" w:type="dxa"/>
            <w:vAlign w:val="bottom"/>
            <w:gridSpan w:val="32"/>
          </w:tcPr>
          <w:p>
            <w:pPr>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Certification of Co-Chief Executive Officer pursuant to Section 302 of the Sarbanes-Oxley Act of 2002</w:t>
              </w:r>
            </w:hyperlink>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rFonts w:ascii="Arial" w:cs="Arial" w:eastAsia="Arial" w:hAnsi="Arial"/>
                <w:sz w:val="18"/>
                <w:szCs w:val="18"/>
                <w:u w:val="single" w:color="auto"/>
                <w:color w:val="0000FF"/>
              </w:rPr>
            </w:pPr>
            <w:hyperlink w:anchor="page261">
              <w:r>
                <w:rPr>
                  <w:rFonts w:ascii="Arial" w:cs="Arial" w:eastAsia="Arial" w:hAnsi="Arial"/>
                  <w:sz w:val="18"/>
                  <w:szCs w:val="18"/>
                  <w:u w:val="single" w:color="auto"/>
                  <w:color w:val="0000FF"/>
                </w:rPr>
                <w:t>31.2*</w:t>
              </w:r>
            </w:hyperlink>
          </w:p>
        </w:tc>
        <w:tc>
          <w:tcPr>
            <w:tcW w:w="260" w:type="dxa"/>
            <w:vAlign w:val="bottom"/>
          </w:tcPr>
          <w:p>
            <w:pPr>
              <w:spacing w:after="0"/>
              <w:rPr>
                <w:sz w:val="19"/>
                <w:szCs w:val="19"/>
                <w:color w:val="auto"/>
              </w:rPr>
            </w:pPr>
          </w:p>
        </w:tc>
        <w:tc>
          <w:tcPr>
            <w:tcW w:w="10440" w:type="dxa"/>
            <w:vAlign w:val="bottom"/>
            <w:gridSpan w:val="32"/>
          </w:tcPr>
          <w:p>
            <w:pPr>
              <w:spacing w:after="0"/>
              <w:rPr>
                <w:rFonts w:ascii="Arial" w:cs="Arial" w:eastAsia="Arial" w:hAnsi="Arial"/>
                <w:sz w:val="18"/>
                <w:szCs w:val="18"/>
                <w:u w:val="single" w:color="auto"/>
                <w:color w:val="0000FF"/>
              </w:rPr>
            </w:pPr>
            <w:hyperlink w:anchor="page261">
              <w:r>
                <w:rPr>
                  <w:rFonts w:ascii="Arial" w:cs="Arial" w:eastAsia="Arial" w:hAnsi="Arial"/>
                  <w:sz w:val="18"/>
                  <w:szCs w:val="18"/>
                  <w:u w:val="single" w:color="auto"/>
                  <w:color w:val="0000FF"/>
                </w:rPr>
                <w:t>Certification of Co-Chief Executive Officer pursuant to Section 302 of the Sarbanes-Oxley Act of 2002</w:t>
              </w:r>
            </w:hyperlink>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rFonts w:ascii="Arial" w:cs="Arial" w:eastAsia="Arial" w:hAnsi="Arial"/>
                <w:sz w:val="18"/>
                <w:szCs w:val="18"/>
                <w:u w:val="single" w:color="auto"/>
                <w:color w:val="0000FF"/>
              </w:rPr>
            </w:pPr>
            <w:hyperlink w:anchor="page262">
              <w:r>
                <w:rPr>
                  <w:rFonts w:ascii="Arial" w:cs="Arial" w:eastAsia="Arial" w:hAnsi="Arial"/>
                  <w:sz w:val="18"/>
                  <w:szCs w:val="18"/>
                  <w:u w:val="single" w:color="auto"/>
                  <w:color w:val="0000FF"/>
                </w:rPr>
                <w:t>31.3*</w:t>
              </w:r>
            </w:hyperlink>
          </w:p>
        </w:tc>
        <w:tc>
          <w:tcPr>
            <w:tcW w:w="260" w:type="dxa"/>
            <w:vAlign w:val="bottom"/>
          </w:tcPr>
          <w:p>
            <w:pPr>
              <w:spacing w:after="0"/>
              <w:rPr>
                <w:sz w:val="19"/>
                <w:szCs w:val="19"/>
                <w:color w:val="auto"/>
              </w:rPr>
            </w:pPr>
          </w:p>
        </w:tc>
        <w:tc>
          <w:tcPr>
            <w:tcW w:w="10440" w:type="dxa"/>
            <w:vAlign w:val="bottom"/>
            <w:gridSpan w:val="32"/>
          </w:tcPr>
          <w:p>
            <w:pPr>
              <w:spacing w:after="0"/>
              <w:rPr>
                <w:rFonts w:ascii="Arial" w:cs="Arial" w:eastAsia="Arial" w:hAnsi="Arial"/>
                <w:sz w:val="18"/>
                <w:szCs w:val="18"/>
                <w:u w:val="single" w:color="auto"/>
                <w:color w:val="0000FF"/>
              </w:rPr>
            </w:pPr>
            <w:hyperlink w:anchor="page262">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line="190" w:lineRule="exact"/>
              <w:rPr>
                <w:rFonts w:ascii="Arial" w:cs="Arial" w:eastAsia="Arial" w:hAnsi="Arial"/>
                <w:sz w:val="18"/>
                <w:szCs w:val="18"/>
                <w:u w:val="single" w:color="auto"/>
                <w:color w:val="0000FF"/>
              </w:rPr>
            </w:pPr>
            <w:hyperlink w:anchor="page263">
              <w:r>
                <w:rPr>
                  <w:rFonts w:ascii="Arial" w:cs="Arial" w:eastAsia="Arial" w:hAnsi="Arial"/>
                  <w:sz w:val="18"/>
                  <w:szCs w:val="18"/>
                  <w:u w:val="single" w:color="auto"/>
                  <w:color w:val="0000FF"/>
                </w:rPr>
                <w:t>32.1**</w:t>
              </w:r>
            </w:hyperlink>
          </w:p>
        </w:tc>
        <w:tc>
          <w:tcPr>
            <w:tcW w:w="260" w:type="dxa"/>
            <w:vAlign w:val="bottom"/>
          </w:tcPr>
          <w:p>
            <w:pPr>
              <w:spacing w:after="0"/>
              <w:rPr>
                <w:sz w:val="16"/>
                <w:szCs w:val="16"/>
                <w:color w:val="auto"/>
              </w:rPr>
            </w:pPr>
          </w:p>
        </w:tc>
        <w:tc>
          <w:tcPr>
            <w:tcW w:w="10440" w:type="dxa"/>
            <w:vAlign w:val="bottom"/>
            <w:gridSpan w:val="32"/>
          </w:tcPr>
          <w:p>
            <w:pPr>
              <w:spacing w:after="0" w:line="190" w:lineRule="exact"/>
              <w:rPr>
                <w:rFonts w:ascii="Arial" w:cs="Arial" w:eastAsia="Arial" w:hAnsi="Arial"/>
                <w:sz w:val="18"/>
                <w:szCs w:val="18"/>
                <w:color w:val="0000FF"/>
                <w:w w:val="94"/>
              </w:rPr>
            </w:pPr>
            <w:hyperlink w:anchor="page263">
              <w:r>
                <w:rPr>
                  <w:rFonts w:ascii="Arial" w:cs="Arial" w:eastAsia="Arial" w:hAnsi="Arial"/>
                  <w:sz w:val="18"/>
                  <w:szCs w:val="18"/>
                  <w:color w:val="0000FF"/>
                  <w:w w:val="94"/>
                </w:rPr>
                <w:t>Certification of Co-Chief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263">
              <w:r>
                <w:rPr>
                  <w:rFonts w:ascii="Arial" w:cs="Arial" w:eastAsia="Arial" w:hAnsi="Arial"/>
                  <w:sz w:val="18"/>
                  <w:szCs w:val="18"/>
                  <w:color w:val="0000FF"/>
                  <w:w w:val="92"/>
                </w:rPr>
                <w:t>Act of 2002</w:t>
              </w:r>
            </w:hyperlink>
          </w:p>
        </w:tc>
        <w:tc>
          <w:tcPr>
            <w:tcW w:w="9200" w:type="dxa"/>
            <w:vAlign w:val="bottom"/>
            <w:tcBorders>
              <w:top w:val="single" w:sz="8" w:color="0000FF"/>
            </w:tcBorders>
            <w:gridSpan w:val="11"/>
          </w:tcPr>
          <w:p>
            <w:pPr>
              <w:spacing w:after="0"/>
              <w:rPr>
                <w:sz w:val="13"/>
                <w:szCs w:val="13"/>
                <w:color w:val="auto"/>
              </w:rPr>
            </w:pPr>
          </w:p>
        </w:tc>
        <w:tc>
          <w:tcPr>
            <w:tcW w:w="32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w:anchor="page264">
              <w:r>
                <w:rPr>
                  <w:rFonts w:ascii="Arial" w:cs="Arial" w:eastAsia="Arial" w:hAnsi="Arial"/>
                  <w:sz w:val="18"/>
                  <w:szCs w:val="18"/>
                  <w:u w:val="single" w:color="auto"/>
                  <w:color w:val="0000FF"/>
                </w:rPr>
                <w:t>32.2**</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4"/>
              </w:rPr>
            </w:pPr>
            <w:hyperlink w:anchor="page264">
              <w:r>
                <w:rPr>
                  <w:rFonts w:ascii="Arial" w:cs="Arial" w:eastAsia="Arial" w:hAnsi="Arial"/>
                  <w:sz w:val="18"/>
                  <w:szCs w:val="18"/>
                  <w:color w:val="0000FF"/>
                  <w:w w:val="94"/>
                </w:rPr>
                <w:t>Certification of Co-Chief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264">
              <w:r>
                <w:rPr>
                  <w:rFonts w:ascii="Arial" w:cs="Arial" w:eastAsia="Arial" w:hAnsi="Arial"/>
                  <w:sz w:val="18"/>
                  <w:szCs w:val="18"/>
                  <w:color w:val="0000FF"/>
                  <w:w w:val="92"/>
                </w:rPr>
                <w:t>Act of 2002</w:t>
              </w:r>
            </w:hyperlink>
          </w:p>
        </w:tc>
        <w:tc>
          <w:tcPr>
            <w:tcW w:w="9200" w:type="dxa"/>
            <w:vAlign w:val="bottom"/>
            <w:tcBorders>
              <w:top w:val="single" w:sz="8" w:color="0000FF"/>
            </w:tcBorders>
            <w:gridSpan w:val="11"/>
          </w:tcPr>
          <w:p>
            <w:pPr>
              <w:spacing w:after="0"/>
              <w:rPr>
                <w:sz w:val="13"/>
                <w:szCs w:val="13"/>
                <w:color w:val="auto"/>
              </w:rPr>
            </w:pPr>
          </w:p>
        </w:tc>
        <w:tc>
          <w:tcPr>
            <w:tcW w:w="32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spacing w:after="0"/>
              <w:rPr>
                <w:rFonts w:ascii="Arial" w:cs="Arial" w:eastAsia="Arial" w:hAnsi="Arial"/>
                <w:sz w:val="18"/>
                <w:szCs w:val="18"/>
                <w:u w:val="single" w:color="auto"/>
                <w:color w:val="0000FF"/>
              </w:rPr>
            </w:pPr>
            <w:hyperlink w:anchor="page265">
              <w:r>
                <w:rPr>
                  <w:rFonts w:ascii="Arial" w:cs="Arial" w:eastAsia="Arial" w:hAnsi="Arial"/>
                  <w:sz w:val="18"/>
                  <w:szCs w:val="18"/>
                  <w:u w:val="single" w:color="auto"/>
                  <w:color w:val="0000FF"/>
                </w:rPr>
                <w:t>32.3**</w:t>
              </w:r>
            </w:hyperlink>
          </w:p>
        </w:tc>
        <w:tc>
          <w:tcPr>
            <w:tcW w:w="260" w:type="dxa"/>
            <w:vAlign w:val="bottom"/>
          </w:tcPr>
          <w:p>
            <w:pPr>
              <w:spacing w:after="0"/>
              <w:rPr>
                <w:sz w:val="18"/>
                <w:szCs w:val="18"/>
                <w:color w:val="auto"/>
              </w:rPr>
            </w:pPr>
          </w:p>
        </w:tc>
        <w:tc>
          <w:tcPr>
            <w:tcW w:w="10440" w:type="dxa"/>
            <w:vAlign w:val="bottom"/>
            <w:gridSpan w:val="32"/>
          </w:tcPr>
          <w:p>
            <w:pPr>
              <w:spacing w:after="0"/>
              <w:rPr>
                <w:rFonts w:ascii="Arial" w:cs="Arial" w:eastAsia="Arial" w:hAnsi="Arial"/>
                <w:sz w:val="18"/>
                <w:szCs w:val="18"/>
                <w:color w:val="0000FF"/>
                <w:w w:val="95"/>
              </w:rPr>
            </w:pPr>
            <w:hyperlink w:anchor="page265">
              <w:r>
                <w:rPr>
                  <w:rFonts w:ascii="Arial" w:cs="Arial" w:eastAsia="Arial" w:hAnsi="Arial"/>
                  <w:sz w:val="18"/>
                  <w:szCs w:val="18"/>
                  <w:color w:val="0000FF"/>
                  <w:w w:val="95"/>
                </w:rPr>
                <w:t>Certification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265">
              <w:r>
                <w:rPr>
                  <w:rFonts w:ascii="Arial" w:cs="Arial" w:eastAsia="Arial" w:hAnsi="Arial"/>
                  <w:sz w:val="18"/>
                  <w:szCs w:val="18"/>
                  <w:color w:val="0000FF"/>
                  <w:w w:val="84"/>
                </w:rPr>
                <w:t>2002</w:t>
              </w:r>
            </w:hyperlink>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7"/>
                <w:szCs w:val="17"/>
                <w:color w:val="auto"/>
              </w:rPr>
            </w:pPr>
          </w:p>
        </w:tc>
        <w:tc>
          <w:tcPr>
            <w:tcW w:w="10440" w:type="dxa"/>
            <w:vAlign w:val="bottom"/>
            <w:gridSpan w:val="32"/>
          </w:tcPr>
          <w:p>
            <w:pPr>
              <w:spacing w:after="0" w:line="196" w:lineRule="exact"/>
              <w:rPr>
                <w:sz w:val="20"/>
                <w:szCs w:val="20"/>
                <w:color w:val="auto"/>
              </w:rPr>
            </w:pPr>
            <w:r>
              <w:rPr>
                <w:rFonts w:ascii="Arial" w:cs="Arial" w:eastAsia="Arial" w:hAnsi="Arial"/>
                <w:sz w:val="18"/>
                <w:szCs w:val="18"/>
                <w:color w:val="auto"/>
                <w:w w:val="95"/>
              </w:rPr>
              <w:t>Interactive data files pursuant to Rule 405 of Regulation S-T: (i) our Consolidated Balance Sheets as of December 31, 2020 and 2019; (ii)</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40" w:type="dxa"/>
            <w:vAlign w:val="bottom"/>
            <w:gridSpan w:val="32"/>
          </w:tcPr>
          <w:p>
            <w:pPr>
              <w:spacing w:after="0" w:line="176" w:lineRule="exact"/>
              <w:rPr>
                <w:sz w:val="20"/>
                <w:szCs w:val="20"/>
                <w:color w:val="auto"/>
              </w:rPr>
            </w:pPr>
            <w:r>
              <w:rPr>
                <w:rFonts w:ascii="Arial" w:cs="Arial" w:eastAsia="Arial" w:hAnsi="Arial"/>
                <w:sz w:val="18"/>
                <w:szCs w:val="18"/>
                <w:color w:val="auto"/>
                <w:w w:val="95"/>
              </w:rPr>
              <w:t>our Consolidated Statements of Operations for the years ended December 31, 2020, 2019 and 2018; (iii) our Consolidated Statements of</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40" w:type="dxa"/>
            <w:vAlign w:val="bottom"/>
            <w:gridSpan w:val="32"/>
          </w:tcPr>
          <w:p>
            <w:pPr>
              <w:spacing w:after="0" w:line="176" w:lineRule="exact"/>
              <w:rPr>
                <w:sz w:val="20"/>
                <w:szCs w:val="20"/>
                <w:color w:val="auto"/>
              </w:rPr>
            </w:pPr>
            <w:r>
              <w:rPr>
                <w:rFonts w:ascii="Arial" w:cs="Arial" w:eastAsia="Arial" w:hAnsi="Arial"/>
                <w:sz w:val="18"/>
                <w:szCs w:val="18"/>
                <w:color w:val="auto"/>
                <w:w w:val="93"/>
              </w:rPr>
              <w:t>Comprehensive Income for years ended December 31, 2020, 2019 and 2018; (iv) our Consolidated Statement of Equity for the years ended</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40" w:type="dxa"/>
            <w:vAlign w:val="bottom"/>
            <w:gridSpan w:val="32"/>
          </w:tcPr>
          <w:p>
            <w:pPr>
              <w:spacing w:after="0" w:line="176" w:lineRule="exact"/>
              <w:rPr>
                <w:sz w:val="20"/>
                <w:szCs w:val="20"/>
                <w:color w:val="auto"/>
              </w:rPr>
            </w:pPr>
            <w:r>
              <w:rPr>
                <w:rFonts w:ascii="Arial" w:cs="Arial" w:eastAsia="Arial" w:hAnsi="Arial"/>
                <w:sz w:val="18"/>
                <w:szCs w:val="18"/>
                <w:color w:val="auto"/>
                <w:w w:val="93"/>
              </w:rPr>
              <w:t>December 31, 2020, 2019 and 2018; and (v) our Consolidated Statements of Cash Flows for the years ended December 31, 2020, 2019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hanging="101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40" w:hanging="980"/>
        <w:spacing w:after="0"/>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40" w:hanging="980"/>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1040" w:hanging="980"/>
        <w:spacing w:after="0"/>
        <w:tabs>
          <w:tab w:leader="none" w:pos="10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8020" w:type="dxa"/>
            <w:vAlign w:val="bottom"/>
            <w:gridSpan w:val="2"/>
          </w:tcPr>
          <w:p>
            <w:pPr>
              <w:ind w:left="1100"/>
              <w:spacing w:after="0"/>
              <w:rPr>
                <w:sz w:val="20"/>
                <w:szCs w:val="20"/>
                <w:color w:val="auto"/>
              </w:rPr>
            </w:pPr>
            <w:r>
              <w:rPr>
                <w:rFonts w:ascii="Arial" w:cs="Arial" w:eastAsia="Arial" w:hAnsi="Arial"/>
                <w:sz w:val="18"/>
                <w:szCs w:val="18"/>
                <w:color w:val="auto"/>
              </w:rPr>
              <w:t>ENERGY TRANSFER LP</w:t>
            </w:r>
          </w:p>
        </w:tc>
      </w:tr>
      <w:tr>
        <w:trPr>
          <w:trHeight w:val="499"/>
        </w:trPr>
        <w:tc>
          <w:tcPr>
            <w:tcW w:w="308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18"/>
                <w:szCs w:val="18"/>
                <w:color w:val="auto"/>
              </w:rPr>
              <w:t>By:</w:t>
            </w:r>
          </w:p>
        </w:tc>
        <w:tc>
          <w:tcPr>
            <w:tcW w:w="6380" w:type="dxa"/>
            <w:vAlign w:val="bottom"/>
          </w:tcPr>
          <w:p>
            <w:pPr>
              <w:ind w:left="20"/>
              <w:spacing w:after="0"/>
              <w:rPr>
                <w:sz w:val="20"/>
                <w:szCs w:val="20"/>
                <w:color w:val="auto"/>
              </w:rPr>
            </w:pPr>
            <w:r>
              <w:rPr>
                <w:rFonts w:ascii="Arial" w:cs="Arial" w:eastAsia="Arial" w:hAnsi="Arial"/>
                <w:sz w:val="18"/>
                <w:szCs w:val="18"/>
                <w:color w:val="auto"/>
              </w:rPr>
              <w:t>LE GP, LLC, its general partner</w:t>
            </w:r>
          </w:p>
        </w:tc>
      </w:tr>
      <w:tr>
        <w:trPr>
          <w:trHeight w:val="769"/>
        </w:trPr>
        <w:tc>
          <w:tcPr>
            <w:tcW w:w="3080" w:type="dxa"/>
            <w:vAlign w:val="bottom"/>
          </w:tcPr>
          <w:p>
            <w:pPr>
              <w:spacing w:after="0"/>
              <w:rPr>
                <w:sz w:val="20"/>
                <w:szCs w:val="20"/>
                <w:color w:val="auto"/>
              </w:rPr>
            </w:pPr>
            <w:r>
              <w:rPr>
                <w:rFonts w:ascii="Arial" w:cs="Arial" w:eastAsia="Arial" w:hAnsi="Arial"/>
                <w:sz w:val="18"/>
                <w:szCs w:val="18"/>
                <w:color w:val="auto"/>
              </w:rPr>
              <w:t>Date:   February 19, 2021</w:t>
            </w:r>
          </w:p>
        </w:tc>
        <w:tc>
          <w:tcPr>
            <w:tcW w:w="1640" w:type="dxa"/>
            <w:vAlign w:val="bottom"/>
          </w:tcPr>
          <w:p>
            <w:pPr>
              <w:ind w:left="110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Troy Sturrock</w:t>
            </w:r>
          </w:p>
        </w:tc>
      </w:tr>
      <w:tr>
        <w:trPr>
          <w:trHeight w:val="224"/>
        </w:trPr>
        <w:tc>
          <w:tcPr>
            <w:tcW w:w="3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A. Troy Sturrock</w:t>
            </w:r>
          </w:p>
        </w:tc>
      </w:tr>
    </w:tbl>
    <w:p>
      <w:pPr>
        <w:ind w:left="4760"/>
        <w:spacing w:after="0" w:line="220" w:lineRule="auto"/>
        <w:rPr>
          <w:sz w:val="20"/>
          <w:szCs w:val="20"/>
          <w:color w:val="auto"/>
        </w:rPr>
      </w:pPr>
      <w:r>
        <w:rPr>
          <w:rFonts w:ascii="Arial" w:cs="Arial" w:eastAsia="Arial" w:hAnsi="Arial"/>
          <w:sz w:val="18"/>
          <w:szCs w:val="18"/>
          <w:color w:val="auto"/>
        </w:rPr>
        <w:t>Senior Vice President, Controller and Principal Accounting</w:t>
      </w:r>
    </w:p>
    <w:p>
      <w:pPr>
        <w:ind w:left="4760"/>
        <w:spacing w:after="0"/>
        <w:rPr>
          <w:sz w:val="20"/>
          <w:szCs w:val="20"/>
          <w:color w:val="auto"/>
        </w:rPr>
      </w:pPr>
      <w:r>
        <w:rPr>
          <w:rFonts w:ascii="Arial" w:cs="Arial" w:eastAsia="Arial" w:hAnsi="Arial"/>
          <w:sz w:val="18"/>
          <w:szCs w:val="18"/>
          <w:color w:val="auto"/>
        </w:rPr>
        <w:t>Officer (duly authorized to sign on behalf of the registrant)</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ind w:left="1100"/>
              <w:spacing w:after="0"/>
              <w:rPr>
                <w:sz w:val="20"/>
                <w:szCs w:val="20"/>
                <w:color w:val="auto"/>
              </w:rPr>
            </w:pPr>
            <w:r>
              <w:rPr>
                <w:rFonts w:ascii="Arial" w:cs="Arial" w:eastAsia="Arial" w:hAnsi="Arial"/>
                <w:sz w:val="18"/>
                <w:szCs w:val="18"/>
                <w:color w:val="auto"/>
              </w:rPr>
              <w:t>Signature</w:t>
            </w:r>
          </w:p>
        </w:tc>
        <w:tc>
          <w:tcPr>
            <w:tcW w:w="5080" w:type="dxa"/>
            <w:vAlign w:val="bottom"/>
          </w:tcPr>
          <w:p>
            <w:pPr>
              <w:ind w:left="3080"/>
              <w:spacing w:after="0"/>
              <w:rPr>
                <w:sz w:val="20"/>
                <w:szCs w:val="20"/>
                <w:color w:val="auto"/>
              </w:rPr>
            </w:pPr>
            <w:r>
              <w:rPr>
                <w:rFonts w:ascii="Arial" w:cs="Arial" w:eastAsia="Arial" w:hAnsi="Arial"/>
                <w:sz w:val="18"/>
                <w:szCs w:val="18"/>
                <w:color w:val="auto"/>
              </w:rPr>
              <w:t>Title</w:t>
            </w:r>
          </w:p>
        </w:tc>
        <w:tc>
          <w:tcPr>
            <w:tcW w:w="3240" w:type="dxa"/>
            <w:vAlign w:val="bottom"/>
          </w:tcPr>
          <w:p>
            <w:pPr>
              <w:ind w:left="2160"/>
              <w:spacing w:after="0"/>
              <w:rPr>
                <w:sz w:val="20"/>
                <w:szCs w:val="20"/>
                <w:color w:val="auto"/>
              </w:rPr>
            </w:pPr>
            <w:r>
              <w:rPr>
                <w:rFonts w:ascii="Arial" w:cs="Arial" w:eastAsia="Arial" w:hAnsi="Arial"/>
                <w:sz w:val="18"/>
                <w:szCs w:val="18"/>
                <w:color w:val="auto"/>
              </w:rPr>
              <w:t>Date</w:t>
            </w:r>
          </w:p>
        </w:tc>
      </w:tr>
      <w:tr>
        <w:trPr>
          <w:trHeight w:val="49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Kelcy L. Warren</w:t>
            </w:r>
          </w:p>
        </w:tc>
        <w:tc>
          <w:tcPr>
            <w:tcW w:w="5080" w:type="dxa"/>
            <w:vAlign w:val="bottom"/>
          </w:tcPr>
          <w:p>
            <w:pPr>
              <w:ind w:left="120"/>
              <w:spacing w:after="0"/>
              <w:rPr>
                <w:sz w:val="20"/>
                <w:szCs w:val="20"/>
                <w:color w:val="auto"/>
              </w:rPr>
            </w:pPr>
            <w:r>
              <w:rPr>
                <w:rFonts w:ascii="Arial" w:cs="Arial" w:eastAsia="Arial" w:hAnsi="Arial"/>
                <w:sz w:val="18"/>
                <w:szCs w:val="18"/>
                <w:color w:val="auto"/>
              </w:rPr>
              <w:t>Executive Chairman</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Kelcy L. Warren</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9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Marshall S. McCrea, III</w:t>
            </w:r>
          </w:p>
        </w:tc>
        <w:tc>
          <w:tcPr>
            <w:tcW w:w="5080" w:type="dxa"/>
            <w:vAlign w:val="bottom"/>
          </w:tcPr>
          <w:p>
            <w:pPr>
              <w:ind w:left="120"/>
              <w:spacing w:after="0"/>
              <w:rPr>
                <w:sz w:val="20"/>
                <w:szCs w:val="20"/>
                <w:color w:val="auto"/>
              </w:rPr>
            </w:pPr>
            <w:r>
              <w:rPr>
                <w:rFonts w:ascii="Arial" w:cs="Arial" w:eastAsia="Arial" w:hAnsi="Arial"/>
                <w:sz w:val="18"/>
                <w:szCs w:val="18"/>
                <w:color w:val="auto"/>
              </w:rPr>
              <w:t>Co-Chief Executive Officer and 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Marshall S. McCrea, III</w:t>
            </w:r>
          </w:p>
        </w:tc>
        <w:tc>
          <w:tcPr>
            <w:tcW w:w="5080" w:type="dxa"/>
            <w:vAlign w:val="bottom"/>
          </w:tcPr>
          <w:p>
            <w:pPr>
              <w:ind w:left="120"/>
              <w:spacing w:after="0"/>
              <w:rPr>
                <w:sz w:val="20"/>
                <w:szCs w:val="20"/>
                <w:color w:val="auto"/>
              </w:rPr>
            </w:pPr>
            <w:r>
              <w:rPr>
                <w:rFonts w:ascii="Arial" w:cs="Arial" w:eastAsia="Arial" w:hAnsi="Arial"/>
                <w:sz w:val="18"/>
                <w:szCs w:val="18"/>
                <w:color w:val="auto"/>
              </w:rPr>
              <w:t>(Co-Principal Executive Officer)</w:t>
            </w:r>
          </w:p>
        </w:tc>
        <w:tc>
          <w:tcPr>
            <w:tcW w:w="3240" w:type="dxa"/>
            <w:vAlign w:val="bottom"/>
          </w:tcPr>
          <w:p>
            <w:pPr>
              <w:spacing w:after="0"/>
              <w:rPr>
                <w:sz w:val="19"/>
                <w:szCs w:val="19"/>
                <w:color w:val="auto"/>
              </w:rPr>
            </w:pPr>
          </w:p>
        </w:tc>
      </w:tr>
      <w:tr>
        <w:trPr>
          <w:trHeight w:val="3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E. Long</w:t>
            </w:r>
          </w:p>
        </w:tc>
        <w:tc>
          <w:tcPr>
            <w:tcW w:w="5080" w:type="dxa"/>
            <w:vAlign w:val="bottom"/>
          </w:tcPr>
          <w:p>
            <w:pPr>
              <w:ind w:left="120"/>
              <w:spacing w:after="0"/>
              <w:rPr>
                <w:sz w:val="20"/>
                <w:szCs w:val="20"/>
                <w:color w:val="auto"/>
              </w:rPr>
            </w:pPr>
            <w:r>
              <w:rPr>
                <w:rFonts w:ascii="Arial" w:cs="Arial" w:eastAsia="Arial" w:hAnsi="Arial"/>
                <w:sz w:val="18"/>
                <w:szCs w:val="18"/>
                <w:color w:val="auto"/>
              </w:rPr>
              <w:t>Co-Chief Executive Officer and 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Thomas E. Long</w:t>
            </w:r>
          </w:p>
        </w:tc>
        <w:tc>
          <w:tcPr>
            <w:tcW w:w="5080" w:type="dxa"/>
            <w:vAlign w:val="bottom"/>
          </w:tcPr>
          <w:p>
            <w:pPr>
              <w:ind w:left="120"/>
              <w:spacing w:after="0"/>
              <w:rPr>
                <w:sz w:val="20"/>
                <w:szCs w:val="20"/>
                <w:color w:val="auto"/>
              </w:rPr>
            </w:pPr>
            <w:r>
              <w:rPr>
                <w:rFonts w:ascii="Arial" w:cs="Arial" w:eastAsia="Arial" w:hAnsi="Arial"/>
                <w:sz w:val="18"/>
                <w:szCs w:val="18"/>
                <w:color w:val="auto"/>
              </w:rPr>
              <w:t>(Co-Principal Executive Officer)</w:t>
            </w:r>
          </w:p>
        </w:tc>
        <w:tc>
          <w:tcPr>
            <w:tcW w:w="3240" w:type="dxa"/>
            <w:vAlign w:val="bottom"/>
          </w:tcPr>
          <w:p>
            <w:pPr>
              <w:spacing w:after="0"/>
              <w:rPr>
                <w:sz w:val="19"/>
                <w:szCs w:val="19"/>
                <w:color w:val="auto"/>
              </w:rPr>
            </w:pPr>
          </w:p>
        </w:tc>
      </w:tr>
      <w:tr>
        <w:trPr>
          <w:trHeight w:val="29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Bradford D. Whitehurst</w:t>
            </w: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3240" w:type="dxa"/>
            <w:vAlign w:val="bottom"/>
          </w:tcPr>
          <w:p>
            <w:pPr>
              <w:ind w:left="1660"/>
              <w:spacing w:after="0"/>
              <w:rPr>
                <w:sz w:val="20"/>
                <w:szCs w:val="20"/>
                <w:color w:val="auto"/>
              </w:rPr>
            </w:pPr>
            <w:r>
              <w:rPr>
                <w:rFonts w:ascii="Arial" w:cs="Arial" w:eastAsia="Arial" w:hAnsi="Arial"/>
                <w:sz w:val="18"/>
                <w:szCs w:val="18"/>
                <w:color w:val="auto"/>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Bradford D. Whitehurst</w:t>
            </w: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c>
          <w:tcPr>
            <w:tcW w:w="3240" w:type="dxa"/>
            <w:vAlign w:val="bottom"/>
          </w:tcPr>
          <w:p>
            <w:pPr>
              <w:spacing w:after="0"/>
              <w:rPr>
                <w:sz w:val="19"/>
                <w:szCs w:val="19"/>
                <w:color w:val="auto"/>
              </w:rPr>
            </w:pPr>
          </w:p>
        </w:tc>
      </w:tr>
      <w:tr>
        <w:trPr>
          <w:trHeight w:val="2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Ramsey</w:t>
            </w:r>
          </w:p>
        </w:tc>
        <w:tc>
          <w:tcPr>
            <w:tcW w:w="5080" w:type="dxa"/>
            <w:vAlign w:val="bottom"/>
          </w:tcPr>
          <w:p>
            <w:pPr>
              <w:ind w:left="120"/>
              <w:spacing w:after="0"/>
              <w:rPr>
                <w:sz w:val="20"/>
                <w:szCs w:val="20"/>
                <w:color w:val="auto"/>
              </w:rPr>
            </w:pPr>
            <w:r>
              <w:rPr>
                <w:rFonts w:ascii="Arial" w:cs="Arial" w:eastAsia="Arial" w:hAnsi="Arial"/>
                <w:sz w:val="18"/>
                <w:szCs w:val="18"/>
                <w:color w:val="auto"/>
              </w:rPr>
              <w:t>Chief Operating Officer and 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Matthew S. Ramsey</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64"/>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Troy Sturrock</w:t>
            </w:r>
          </w:p>
        </w:tc>
        <w:tc>
          <w:tcPr>
            <w:tcW w:w="5080" w:type="dxa"/>
            <w:vAlign w:val="bottom"/>
          </w:tcPr>
          <w:p>
            <w:pPr>
              <w:ind w:left="120"/>
              <w:spacing w:after="0"/>
              <w:rPr>
                <w:sz w:val="20"/>
                <w:szCs w:val="20"/>
                <w:color w:val="auto"/>
              </w:rPr>
            </w:pPr>
            <w:r>
              <w:rPr>
                <w:rFonts w:ascii="Arial" w:cs="Arial" w:eastAsia="Arial" w:hAnsi="Arial"/>
                <w:sz w:val="18"/>
                <w:szCs w:val="18"/>
                <w:color w:val="auto"/>
              </w:rPr>
              <w:t>Senior Vice President and Controller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A. Troy Sturrock</w:t>
            </w: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3240" w:type="dxa"/>
            <w:vAlign w:val="bottom"/>
          </w:tcPr>
          <w:p>
            <w:pPr>
              <w:spacing w:after="0"/>
              <w:rPr>
                <w:sz w:val="19"/>
                <w:szCs w:val="19"/>
                <w:color w:val="auto"/>
              </w:rPr>
            </w:pPr>
          </w:p>
        </w:tc>
      </w:tr>
      <w:tr>
        <w:trPr>
          <w:trHeight w:val="2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Anderson</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Steven R. Anderson</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D. Brannon</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Richard D. Brannon</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 C. Davis</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Ray C. Davis</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K. Grimm</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Michael K. Grimm</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9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W. McReynolds</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John W. McReynolds</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9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 Perry</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James R. Perry</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 W. Washburne</w:t>
            </w: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1920"/>
              <w:spacing w:after="0"/>
              <w:rPr>
                <w:sz w:val="20"/>
                <w:szCs w:val="20"/>
                <w:color w:val="auto"/>
              </w:rPr>
            </w:pPr>
            <w:r>
              <w:rPr>
                <w:rFonts w:ascii="Arial" w:cs="Arial" w:eastAsia="Arial" w:hAnsi="Arial"/>
                <w:sz w:val="18"/>
                <w:szCs w:val="18"/>
                <w:color w:val="auto"/>
                <w:w w:val="88"/>
              </w:rPr>
              <w:t>February 19, 2021</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Ray W. Washburne</w:t>
            </w:r>
          </w:p>
        </w:tc>
        <w:tc>
          <w:tcPr>
            <w:tcW w:w="508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6" w:name="page167"/>
    <w:bookmarkEnd w:id="1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3"/>
          </w:tcPr>
          <w:p>
            <w:pPr>
              <w:jc w:val="center"/>
              <w:ind w:right="80"/>
              <w:spacing w:after="0"/>
              <w:rPr>
                <w:sz w:val="20"/>
                <w:szCs w:val="20"/>
                <w:color w:val="auto"/>
              </w:rPr>
            </w:pPr>
            <w:r>
              <w:rPr>
                <w:rFonts w:ascii="Arial" w:cs="Arial" w:eastAsia="Arial" w:hAnsi="Arial"/>
                <w:sz w:val="14"/>
                <w:szCs w:val="14"/>
                <w:color w:val="auto"/>
                <w:w w:val="85"/>
              </w:rPr>
              <w:t>Page</w:t>
            </w:r>
          </w:p>
        </w:tc>
      </w:tr>
      <w:tr>
        <w:trPr>
          <w:trHeight w:val="20"/>
        </w:trPr>
        <w:tc>
          <w:tcPr>
            <w:tcW w:w="10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540" w:type="dxa"/>
            <w:vAlign w:val="bottom"/>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Report of Independent Registered Public Accounting Firm</w:t>
              </w:r>
            </w:hyperlink>
          </w:p>
        </w:tc>
        <w:tc>
          <w:tcPr>
            <w:tcW w:w="60" w:type="dxa"/>
            <w:vAlign w:val="bottom"/>
          </w:tcPr>
          <w:p>
            <w:pPr>
              <w:spacing w:after="0"/>
              <w:rPr>
                <w:sz w:val="18"/>
                <w:szCs w:val="18"/>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67">
              <w:r>
                <w:rPr>
                  <w:rFonts w:ascii="Arial" w:cs="Arial" w:eastAsia="Arial" w:hAnsi="Arial"/>
                  <w:sz w:val="18"/>
                  <w:szCs w:val="18"/>
                  <w:color w:val="0000FF"/>
                  <w:w w:val="91"/>
                </w:rPr>
                <w:t>2</w:t>
              </w:r>
            </w:hyperlink>
          </w:p>
        </w:tc>
        <w:tc>
          <w:tcPr>
            <w:tcW w:w="40" w:type="dxa"/>
            <w:vAlign w:val="bottom"/>
          </w:tcPr>
          <w:p>
            <w:pPr>
              <w:spacing w:after="0"/>
              <w:rPr>
                <w:sz w:val="18"/>
                <w:szCs w:val="18"/>
                <w:color w:val="auto"/>
              </w:rPr>
            </w:pPr>
          </w:p>
        </w:tc>
      </w:tr>
      <w:tr>
        <w:trPr>
          <w:trHeight w:val="480"/>
        </w:trPr>
        <w:tc>
          <w:tcPr>
            <w:tcW w:w="10540" w:type="dxa"/>
            <w:vAlign w:val="bottom"/>
          </w:tcPr>
          <w:p>
            <w:pPr>
              <w:spacing w:after="0"/>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Consolidated Balance Sheets</w:t>
              </w:r>
            </w:hyperlink>
          </w:p>
        </w:tc>
        <w:tc>
          <w:tcPr>
            <w:tcW w:w="60" w:type="dxa"/>
            <w:vAlign w:val="bottom"/>
          </w:tcPr>
          <w:p>
            <w:pPr>
              <w:spacing w:after="0"/>
              <w:rPr>
                <w:sz w:val="24"/>
                <w:szCs w:val="24"/>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69">
              <w:r>
                <w:rPr>
                  <w:rFonts w:ascii="Arial" w:cs="Arial" w:eastAsia="Arial" w:hAnsi="Arial"/>
                  <w:sz w:val="18"/>
                  <w:szCs w:val="18"/>
                  <w:color w:val="0000FF"/>
                  <w:w w:val="91"/>
                </w:rPr>
                <w:t>4</w:t>
              </w:r>
            </w:hyperlink>
          </w:p>
        </w:tc>
        <w:tc>
          <w:tcPr>
            <w:tcW w:w="40" w:type="dxa"/>
            <w:vAlign w:val="bottom"/>
          </w:tcPr>
          <w:p>
            <w:pPr>
              <w:spacing w:after="0"/>
              <w:rPr>
                <w:sz w:val="24"/>
                <w:szCs w:val="24"/>
                <w:color w:val="auto"/>
              </w:rPr>
            </w:pPr>
          </w:p>
        </w:tc>
      </w:tr>
      <w:tr>
        <w:trPr>
          <w:trHeight w:val="479"/>
        </w:trPr>
        <w:tc>
          <w:tcPr>
            <w:tcW w:w="10540" w:type="dxa"/>
            <w:vAlign w:val="bottom"/>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Consolidated Statements of Operations</w:t>
              </w:r>
            </w:hyperlink>
          </w:p>
        </w:tc>
        <w:tc>
          <w:tcPr>
            <w:tcW w:w="60" w:type="dxa"/>
            <w:vAlign w:val="bottom"/>
          </w:tcPr>
          <w:p>
            <w:pPr>
              <w:spacing w:after="0"/>
              <w:rPr>
                <w:sz w:val="24"/>
                <w:szCs w:val="24"/>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71">
              <w:r>
                <w:rPr>
                  <w:rFonts w:ascii="Arial" w:cs="Arial" w:eastAsia="Arial" w:hAnsi="Arial"/>
                  <w:sz w:val="18"/>
                  <w:szCs w:val="18"/>
                  <w:color w:val="0000FF"/>
                  <w:w w:val="91"/>
                </w:rPr>
                <w:t>6</w:t>
              </w:r>
            </w:hyperlink>
          </w:p>
        </w:tc>
        <w:tc>
          <w:tcPr>
            <w:tcW w:w="40" w:type="dxa"/>
            <w:vAlign w:val="bottom"/>
          </w:tcPr>
          <w:p>
            <w:pPr>
              <w:spacing w:after="0"/>
              <w:rPr>
                <w:sz w:val="24"/>
                <w:szCs w:val="24"/>
                <w:color w:val="auto"/>
              </w:rPr>
            </w:pPr>
          </w:p>
        </w:tc>
      </w:tr>
      <w:tr>
        <w:trPr>
          <w:trHeight w:val="479"/>
        </w:trPr>
        <w:tc>
          <w:tcPr>
            <w:tcW w:w="10540" w:type="dxa"/>
            <w:vAlign w:val="bottom"/>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Consolidated Statements of Comprehensive Income (Loss)</w:t>
              </w:r>
            </w:hyperlink>
          </w:p>
        </w:tc>
        <w:tc>
          <w:tcPr>
            <w:tcW w:w="60" w:type="dxa"/>
            <w:vAlign w:val="bottom"/>
          </w:tcPr>
          <w:p>
            <w:pPr>
              <w:spacing w:after="0"/>
              <w:rPr>
                <w:sz w:val="24"/>
                <w:szCs w:val="24"/>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72">
              <w:r>
                <w:rPr>
                  <w:rFonts w:ascii="Arial" w:cs="Arial" w:eastAsia="Arial" w:hAnsi="Arial"/>
                  <w:sz w:val="18"/>
                  <w:szCs w:val="18"/>
                  <w:color w:val="0000FF"/>
                  <w:w w:val="91"/>
                </w:rPr>
                <w:t>7</w:t>
              </w:r>
            </w:hyperlink>
          </w:p>
        </w:tc>
        <w:tc>
          <w:tcPr>
            <w:tcW w:w="40" w:type="dxa"/>
            <w:vAlign w:val="bottom"/>
          </w:tcPr>
          <w:p>
            <w:pPr>
              <w:spacing w:after="0"/>
              <w:rPr>
                <w:sz w:val="24"/>
                <w:szCs w:val="24"/>
                <w:color w:val="auto"/>
              </w:rPr>
            </w:pPr>
          </w:p>
        </w:tc>
      </w:tr>
      <w:tr>
        <w:trPr>
          <w:trHeight w:val="480"/>
        </w:trPr>
        <w:tc>
          <w:tcPr>
            <w:tcW w:w="10540" w:type="dxa"/>
            <w:vAlign w:val="bottom"/>
          </w:tcPr>
          <w:p>
            <w:pPr>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Consolidated Statements of Equity</w:t>
              </w:r>
            </w:hyperlink>
          </w:p>
        </w:tc>
        <w:tc>
          <w:tcPr>
            <w:tcW w:w="60" w:type="dxa"/>
            <w:vAlign w:val="bottom"/>
          </w:tcPr>
          <w:p>
            <w:pPr>
              <w:spacing w:after="0"/>
              <w:rPr>
                <w:sz w:val="24"/>
                <w:szCs w:val="24"/>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73">
              <w:r>
                <w:rPr>
                  <w:rFonts w:ascii="Arial" w:cs="Arial" w:eastAsia="Arial" w:hAnsi="Arial"/>
                  <w:sz w:val="18"/>
                  <w:szCs w:val="18"/>
                  <w:color w:val="0000FF"/>
                  <w:w w:val="91"/>
                </w:rPr>
                <w:t>8</w:t>
              </w:r>
            </w:hyperlink>
          </w:p>
        </w:tc>
        <w:tc>
          <w:tcPr>
            <w:tcW w:w="40" w:type="dxa"/>
            <w:vAlign w:val="bottom"/>
          </w:tcPr>
          <w:p>
            <w:pPr>
              <w:spacing w:after="0"/>
              <w:rPr>
                <w:sz w:val="24"/>
                <w:szCs w:val="24"/>
                <w:color w:val="auto"/>
              </w:rPr>
            </w:pPr>
          </w:p>
        </w:tc>
      </w:tr>
      <w:tr>
        <w:trPr>
          <w:trHeight w:val="479"/>
        </w:trPr>
        <w:tc>
          <w:tcPr>
            <w:tcW w:w="10540" w:type="dxa"/>
            <w:vAlign w:val="bottom"/>
          </w:tcPr>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Consolidated Statements of Cash Flows</w:t>
              </w:r>
            </w:hyperlink>
          </w:p>
        </w:tc>
        <w:tc>
          <w:tcPr>
            <w:tcW w:w="60" w:type="dxa"/>
            <w:vAlign w:val="bottom"/>
          </w:tcPr>
          <w:p>
            <w:pPr>
              <w:spacing w:after="0"/>
              <w:rPr>
                <w:sz w:val="24"/>
                <w:szCs w:val="24"/>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74">
              <w:r>
                <w:rPr>
                  <w:rFonts w:ascii="Arial" w:cs="Arial" w:eastAsia="Arial" w:hAnsi="Arial"/>
                  <w:sz w:val="18"/>
                  <w:szCs w:val="18"/>
                  <w:color w:val="0000FF"/>
                  <w:w w:val="91"/>
                </w:rPr>
                <w:t>9</w:t>
              </w:r>
            </w:hyperlink>
          </w:p>
        </w:tc>
        <w:tc>
          <w:tcPr>
            <w:tcW w:w="40" w:type="dxa"/>
            <w:vAlign w:val="bottom"/>
          </w:tcPr>
          <w:p>
            <w:pPr>
              <w:spacing w:after="0"/>
              <w:rPr>
                <w:sz w:val="24"/>
                <w:szCs w:val="24"/>
                <w:color w:val="auto"/>
              </w:rPr>
            </w:pPr>
          </w:p>
        </w:tc>
      </w:tr>
      <w:tr>
        <w:trPr>
          <w:trHeight w:val="479"/>
        </w:trPr>
        <w:tc>
          <w:tcPr>
            <w:tcW w:w="10540" w:type="dxa"/>
            <w:vAlign w:val="bottom"/>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Notes to Consolidated Financial Statements</w:t>
              </w:r>
            </w:hyperlink>
          </w:p>
        </w:tc>
        <w:tc>
          <w:tcPr>
            <w:tcW w:w="440" w:type="dxa"/>
            <w:vAlign w:val="bottom"/>
            <w:tcBorders>
              <w:bottom w:val="single" w:sz="8" w:color="0000FF"/>
            </w:tcBorders>
            <w:gridSpan w:val="5"/>
          </w:tcPr>
          <w:p>
            <w:pPr>
              <w:jc w:val="center"/>
              <w:spacing w:after="0"/>
              <w:rPr>
                <w:rFonts w:ascii="Arial" w:cs="Arial" w:eastAsia="Arial" w:hAnsi="Arial"/>
                <w:sz w:val="18"/>
                <w:szCs w:val="18"/>
                <w:color w:val="0000FF"/>
              </w:rPr>
            </w:pPr>
            <w:r>
              <w:rPr>
                <w:rFonts w:ascii="Arial" w:cs="Arial" w:eastAsia="Arial" w:hAnsi="Arial"/>
                <w:sz w:val="18"/>
                <w:szCs w:val="18"/>
                <w:color w:val="0000FF"/>
              </w:rPr>
              <w:t>F-</w:t>
            </w:r>
            <w:hyperlink w:anchor="page176">
              <w:r>
                <w:rPr>
                  <w:rFonts w:ascii="Arial" w:cs="Arial" w:eastAsia="Arial" w:hAnsi="Arial"/>
                  <w:sz w:val="18"/>
                  <w:szCs w:val="18"/>
                  <w:color w:val="0000FF"/>
                </w:rPr>
                <w:t>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of LE GP, LLC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Unitholders of Energy Transfer LP</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have audited the accompanying consolidated balance sheets of Energy Transfer LP (a Delaware limited partnership) and subsidiaries (the “Partnership”) as of December 31, 2020 and 2019, the related consolidated statements of operations, comprehensive income (loss), equity, and cash flows for each of the three years in the period ended December 31, 2020, and the related notes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Partnership’s internal control over financial reporting as of December 31, 2020, based on criteria established in the 2013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and our report dated February 19, 2021 expressed an unqualified opinion thereon.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Partnership has changed its method of accounting for certain inventories.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3"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Impairment Assessment</w:t>
      </w:r>
    </w:p>
    <w:p>
      <w:pPr>
        <w:spacing w:after="0" w:line="1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described in Note 2 to the consolidated financial statements, the Partnership recognized $2.8 billion of goodwill impairment during 2020 and the remaining consolidated goodwill balance was $2.4 billion at December 31, 2020. Annually, or whenever events or changes in circumstances indicate potential asset impairment has occurred, the Partnership evaluates the recoverability of the carrying value of goodwill. The COVID-19 pandemic and the corresponding decrease in demand for crude oil, natural gas liquids and natural gas negatively impacted the Partnership’s current and projected operating results, cash flow and market capitalization. Therefore, the Partnership determined that a triggering event had occurred and completed an interim goodwill impairment assessment of its reporting units during the first and third quarters of 2020 along with the Partnership’s annual impairment assessment during the fourth quarter of 2020. The results of the quantitative impairment tests indicated that certain reporting units had a carrying value that exceeded their fair values. As a result, the Partnership recorded $2.8 billion of impairment charges to goodwill for these reporting units during the year ended December 31, 2020. In addition, as of December 31, 2020, there was $368 million of goodwill that was recorded within a reporting unit for which the estimated fair value exceeded the carrying value by less than 20% in the most recent quantitative test. We identified the Partnership’s determination of the fair value of the reporting units where carrying value exceeded their fair values and the 1 reporting unit where the estimated fair value exceeded the carrying value by less than 20% as a critical audit matter.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determination of the fair value of the reporting units was a critical audit matter due to the significant judgment required by management when determining the fair value of a reporting unit. In particular, the fair value estimates were sensitive to significant assumptions such as management’s cash flow projections, discount rates, and the inherent uncertainty around the timing of increases or decreases in future projected results utilized to estimate the fair value of reporting units.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audit procedures related to the estimation of the fair value of the reporting units included the following procedures, among others. We tested the effectiveness of controls relating to management’s review of the assumptions used to develop the future cash flows, the discount rates used, and valuation methodologies applied. In addition to testing the effectiveness of controls, we also performed the following: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Evaluated the reasonableness of management’s forecasted financial results by:</w:t>
      </w:r>
    </w:p>
    <w:p>
      <w:pPr>
        <w:spacing w:after="0" w:line="19" w:lineRule="exact"/>
        <w:rPr>
          <w:rFonts w:ascii="Arial" w:cs="Arial" w:eastAsia="Arial" w:hAnsi="Arial"/>
          <w:sz w:val="16"/>
          <w:szCs w:val="16"/>
          <w:color w:val="auto"/>
        </w:rPr>
      </w:pPr>
    </w:p>
    <w:p>
      <w:pPr>
        <w:ind w:left="1300" w:right="20" w:hanging="405"/>
        <w:spacing w:after="0" w:line="246"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Assessing the reasonableness of management’s forecast of future projected results and the underlying timing of recovery in comparison to relevant industry data and other supporting evidence obtained,</w:t>
      </w:r>
    </w:p>
    <w:p>
      <w:pPr>
        <w:ind w:left="1300" w:hanging="450"/>
        <w:spacing w:after="0" w:line="246"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Testing forecasted revenues and gross margins by comparing forecasted amounts to actual historical results to identify material changes, corroborating the basis for increases or decreases in forecasted revenues and gross margins, as applicable, and</w:t>
      </w:r>
    </w:p>
    <w:p>
      <w:pPr>
        <w:ind w:left="1300" w:hanging="496"/>
        <w:spacing w:after="0" w:line="246"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Testing significant operating expenses and cash expenditures by comparing to historical trends and evaluating significant deviations from recent actual amounts.</w:t>
      </w:r>
    </w:p>
    <w:p>
      <w:pPr>
        <w:ind w:left="660" w:hanging="328"/>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Utilized an internal valuation specialist to evaluate:</w:t>
      </w:r>
    </w:p>
    <w:p>
      <w:pPr>
        <w:spacing w:after="0" w:line="5" w:lineRule="exact"/>
        <w:rPr>
          <w:rFonts w:ascii="Arial" w:cs="Arial" w:eastAsia="Arial" w:hAnsi="Arial"/>
          <w:sz w:val="16"/>
          <w:szCs w:val="16"/>
          <w:color w:val="auto"/>
        </w:rPr>
      </w:pPr>
    </w:p>
    <w:p>
      <w:pPr>
        <w:ind w:left="1300" w:hanging="405"/>
        <w:spacing w:after="0" w:line="246"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methodologies used and whether they were acceptable for the underlying assets or operations and whether such methodologies were being applied correctly, and</w:t>
      </w:r>
    </w:p>
    <w:p>
      <w:pPr>
        <w:ind w:left="1300" w:hanging="450"/>
        <w:spacing w:after="0" w:line="257"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appropriateness of the discount rates by recalculating the weighted average costs of capital or developing independent ranges of acceptable discount rates and comparing those ranges to the amounts selected and applied by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Remediation</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discussed in Note 10 to the consolidated financial statements, the Partnership’s operations are subject to extensive federal, tribal, state and local environmental and safety laws and regulations that require expenditures for remediation at current and former facilities. At December 31, 2020, the Partnership’s consolidated environmental obligations totaled $306 million. We identified the identification, assessment and estimation of the environmental exposure associated with certain sites of ETC Sunoco Holdings LLC as a critical audit matter.</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determination that the identification, assessment and estimation of the environmental exposure was a critical audit matter was due to high estimation uncertainty primarily driven by the complexity of the actuarial methods utilized, the discount rate applied and the potential for changes in the timing and extent of remediation. This required an increased extent of effort when performing audit procedures, related to identification, assessment and estimation of the environmental exposure, including the need to involve an actuarial specialist.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 procedures related to the identification, assessment and estimation of the Partnership’s environmental exposure included the following procedures, among others. We tested the effectiveness of controls relating to the identification and review of the historical claims, payments and reserve data provided to the third-party actuarial specialist and the reconciliation of that data used in the actuary report, and the review of the discount rate and actuarial methods applied. In addition to testing the effectiveness of controls, we performed the following procedures:</w:t>
      </w:r>
    </w:p>
    <w:p>
      <w:pPr>
        <w:spacing w:after="0" w:line="214" w:lineRule="exact"/>
        <w:rPr>
          <w:sz w:val="20"/>
          <w:szCs w:val="20"/>
          <w:color w:val="auto"/>
        </w:rPr>
      </w:pPr>
    </w:p>
    <w:p>
      <w:pPr>
        <w:ind w:left="640" w:hanging="308"/>
        <w:spacing w:after="0"/>
        <w:tabs>
          <w:tab w:leader="none" w:pos="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Utilized an auditor-engaged actuarial specialist to evaluate:</w:t>
      </w:r>
    </w:p>
    <w:p>
      <w:pPr>
        <w:spacing w:after="0" w:line="19" w:lineRule="exact"/>
        <w:rPr>
          <w:rFonts w:ascii="Arial" w:cs="Arial" w:eastAsia="Arial" w:hAnsi="Arial"/>
          <w:sz w:val="16"/>
          <w:szCs w:val="16"/>
          <w:color w:val="auto"/>
        </w:rPr>
      </w:pPr>
    </w:p>
    <w:p>
      <w:pPr>
        <w:ind w:left="1300" w:hanging="405"/>
        <w:spacing w:after="0"/>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methodologies used and whether they were acceptable for the underlying operations, and</w:t>
      </w:r>
    </w:p>
    <w:p>
      <w:pPr>
        <w:spacing w:after="0" w:line="5" w:lineRule="exact"/>
        <w:rPr>
          <w:rFonts w:ascii="Arial" w:cs="Arial" w:eastAsia="Arial" w:hAnsi="Arial"/>
          <w:sz w:val="16"/>
          <w:szCs w:val="16"/>
          <w:color w:val="auto"/>
        </w:rPr>
      </w:pPr>
    </w:p>
    <w:p>
      <w:pPr>
        <w:ind w:left="1300" w:hanging="450"/>
        <w:spacing w:after="0"/>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qualifications of the actuarial specialist engaged by the Partnership based on their credentials and experience.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Evaluated the discount rate used by comparing it to the historical rate of return related to the investment portfolio used to fund the underlying liabilities, and</w:t>
      </w:r>
    </w:p>
    <w:p>
      <w:pPr>
        <w:spacing w:after="0" w:line="16" w:lineRule="exact"/>
        <w:rPr>
          <w:rFonts w:ascii="Arial" w:cs="Arial" w:eastAsia="Arial" w:hAnsi="Arial"/>
          <w:sz w:val="15"/>
          <w:szCs w:val="15"/>
          <w:color w:val="auto"/>
        </w:rPr>
      </w:pPr>
    </w:p>
    <w:p>
      <w:pPr>
        <w:ind w:left="640" w:hanging="308"/>
        <w:spacing w:after="0"/>
        <w:tabs>
          <w:tab w:leader="none" w:pos="6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Evaluated the life-to-date payments, reserves, and payment patterns by agreeing the historical claims and payment amounts to underlying claims or general ledger.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Partnership’s auditor since 2004.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FF"/>
        </w:rPr>
      </w:pPr>
      <w:hyperlink w:anchor="page1">
        <w:r>
          <w:rPr>
            <w:rFonts w:ascii="Arial" w:cs="Arial" w:eastAsia="Arial" w:hAnsi="Arial"/>
            <w:sz w:val="12"/>
            <w:szCs w:val="12"/>
            <w:b w:val="1"/>
            <w:bCs w:val="1"/>
            <w:u w:val="single" w:color="auto"/>
            <w:color w:val="0000FF"/>
          </w:rPr>
          <w:t>Table of Contents</w:t>
        </w:r>
      </w:hyperlink>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1320"/>
        <w:spacing w:after="0" w:line="319" w:lineRule="auto"/>
        <w:rPr>
          <w:sz w:val="20"/>
          <w:szCs w:val="20"/>
          <w:color w:val="auto"/>
        </w:rPr>
      </w:pPr>
      <w:r>
        <w:rPr>
          <w:rFonts w:ascii="Arial" w:cs="Arial" w:eastAsia="Arial" w:hAnsi="Arial"/>
          <w:sz w:val="15"/>
          <w:szCs w:val="15"/>
          <w:color w:val="auto"/>
        </w:rPr>
        <w:t>Cash and cash equivalents Accounts receivable, net</w:t>
      </w:r>
    </w:p>
    <w:p>
      <w:pPr>
        <w:ind w:left="180"/>
        <w:spacing w:after="0" w:line="266" w:lineRule="auto"/>
        <w:rPr>
          <w:sz w:val="20"/>
          <w:szCs w:val="20"/>
          <w:color w:val="auto"/>
        </w:rPr>
      </w:pPr>
      <w:r>
        <w:rPr>
          <w:rFonts w:ascii="Arial" w:cs="Arial" w:eastAsia="Arial" w:hAnsi="Arial"/>
          <w:sz w:val="18"/>
          <w:szCs w:val="18"/>
          <w:color w:val="auto"/>
        </w:rPr>
        <w:t>Accounts receivable from related companies Inventories</w:t>
      </w:r>
    </w:p>
    <w:p>
      <w:pPr>
        <w:ind w:left="180"/>
        <w:spacing w:after="0"/>
        <w:rPr>
          <w:sz w:val="20"/>
          <w:szCs w:val="20"/>
          <w:color w:val="auto"/>
        </w:rPr>
      </w:pPr>
      <w:r>
        <w:rPr>
          <w:rFonts w:ascii="Arial" w:cs="Arial" w:eastAsia="Arial" w:hAnsi="Arial"/>
          <w:sz w:val="18"/>
          <w:szCs w:val="18"/>
          <w:color w:val="auto"/>
        </w:rPr>
        <w:t>Income taxes receivable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p>
    <w:p>
      <w:pPr>
        <w:spacing w:after="0" w:line="293" w:lineRule="exact"/>
        <w:rPr>
          <w:sz w:val="20"/>
          <w:szCs w:val="20"/>
          <w:color w:val="auto"/>
        </w:rPr>
      </w:pPr>
    </w:p>
    <w:p>
      <w:pPr>
        <w:ind w:left="20" w:right="460"/>
        <w:spacing w:after="0" w:line="359" w:lineRule="auto"/>
        <w:rPr>
          <w:sz w:val="20"/>
          <w:szCs w:val="20"/>
          <w:color w:val="auto"/>
        </w:rPr>
      </w:pPr>
      <w:r>
        <w:rPr>
          <w:rFonts w:ascii="Arial" w:cs="Arial" w:eastAsia="Arial" w:hAnsi="Arial"/>
          <w:sz w:val="16"/>
          <w:szCs w:val="16"/>
          <w:color w:val="auto"/>
        </w:rPr>
        <w:t>Property, plant and equipment Accumulated depreciation and depletion</w:t>
      </w:r>
    </w:p>
    <w:p>
      <w:pPr>
        <w:spacing w:after="0" w:line="200" w:lineRule="exact"/>
        <w:rPr>
          <w:sz w:val="20"/>
          <w:szCs w:val="20"/>
          <w:color w:val="auto"/>
        </w:rPr>
      </w:pPr>
    </w:p>
    <w:p>
      <w:pPr>
        <w:spacing w:after="0" w:line="222" w:lineRule="exact"/>
        <w:rPr>
          <w:sz w:val="20"/>
          <w:szCs w:val="20"/>
          <w:color w:val="auto"/>
        </w:rPr>
      </w:pPr>
    </w:p>
    <w:p>
      <w:pPr>
        <w:ind w:left="20" w:right="520"/>
        <w:spacing w:after="0" w:line="299" w:lineRule="auto"/>
        <w:rPr>
          <w:sz w:val="20"/>
          <w:szCs w:val="20"/>
          <w:color w:val="auto"/>
        </w:rPr>
      </w:pPr>
      <w:r>
        <w:rPr>
          <w:rFonts w:ascii="Arial" w:cs="Arial" w:eastAsia="Arial" w:hAnsi="Arial"/>
          <w:sz w:val="16"/>
          <w:szCs w:val="16"/>
          <w:color w:val="auto"/>
        </w:rPr>
        <w:t>Investments in unconsolidated affiliates Lease right-of-use assets, net</w:t>
      </w:r>
    </w:p>
    <w:p>
      <w:pPr>
        <w:spacing w:after="0" w:line="1" w:lineRule="exact"/>
        <w:rPr>
          <w:sz w:val="20"/>
          <w:szCs w:val="20"/>
          <w:color w:val="auto"/>
        </w:rPr>
      </w:pPr>
    </w:p>
    <w:p>
      <w:pPr>
        <w:ind w:left="20" w:right="1300"/>
        <w:spacing w:after="0" w:line="279" w:lineRule="auto"/>
        <w:rPr>
          <w:sz w:val="20"/>
          <w:szCs w:val="20"/>
          <w:color w:val="auto"/>
        </w:rPr>
      </w:pPr>
      <w:r>
        <w:rPr>
          <w:rFonts w:ascii="Arial" w:cs="Arial" w:eastAsia="Arial" w:hAnsi="Arial"/>
          <w:sz w:val="18"/>
          <w:szCs w:val="18"/>
          <w:color w:val="auto"/>
        </w:rPr>
        <w:t>Other non-current assets, net Intangible assets, net Goodwill</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700"/>
        <w:spacing w:after="0"/>
        <w:rPr>
          <w:sz w:val="20"/>
          <w:szCs w:val="20"/>
          <w:color w:val="auto"/>
        </w:rPr>
      </w:pPr>
      <w:r>
        <w:rPr>
          <w:rFonts w:ascii="Arial" w:cs="Arial" w:eastAsia="Arial" w:hAnsi="Arial"/>
          <w:sz w:val="17"/>
          <w:szCs w:val="17"/>
          <w:b w:val="1"/>
          <w:bCs w:val="1"/>
          <w:u w:val="single" w:color="auto"/>
          <w:color w:val="auto"/>
        </w:rPr>
        <w:t>ENERGY TRANSFER LP AND SUBSIDIARIES</w:t>
      </w:r>
    </w:p>
    <w:p>
      <w:pPr>
        <w:spacing w:after="0" w:line="39"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3700"/>
        <w:spacing w:after="0"/>
        <w:rPr>
          <w:sz w:val="20"/>
          <w:szCs w:val="20"/>
          <w:color w:val="auto"/>
        </w:rPr>
      </w:pPr>
      <w:r>
        <w:rPr>
          <w:rFonts w:ascii="Arial" w:cs="Arial" w:eastAsia="Arial" w:hAnsi="Arial"/>
          <w:sz w:val="18"/>
          <w:szCs w:val="18"/>
          <w:color w:val="auto"/>
        </w:rPr>
        <w:t>(Dollars in millions)</w:t>
      </w:r>
    </w:p>
    <w:p>
      <w:pPr>
        <w:spacing w:after="0" w:line="2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4"/>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498"/>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89,790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24"/>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74,193</w:t>
            </w:r>
          </w:p>
        </w:tc>
        <w:tc>
          <w:tcPr>
            <w:tcW w:w="0" w:type="dxa"/>
            <w:vAlign w:val="bottom"/>
          </w:tcPr>
          <w:p>
            <w:pPr>
              <w:spacing w:after="0"/>
              <w:rPr>
                <w:sz w:val="1"/>
                <w:szCs w:val="1"/>
                <w:color w:val="auto"/>
              </w:rPr>
            </w:pPr>
          </w:p>
        </w:tc>
      </w:tr>
      <w:tr>
        <w:trPr>
          <w:trHeight w:val="498"/>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-2879725</wp:posOffset>
            </wp:positionV>
            <wp:extent cx="711517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-2588260</wp:posOffset>
            </wp:positionV>
            <wp:extent cx="711517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-2296795</wp:posOffset>
            </wp:positionV>
            <wp:extent cx="711517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-2005330</wp:posOffset>
            </wp:positionV>
            <wp:extent cx="7115175"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-1705610</wp:posOffset>
            </wp:positionV>
            <wp:extent cx="711517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-1388110</wp:posOffset>
            </wp:positionV>
            <wp:extent cx="711517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-1087755</wp:posOffset>
            </wp:positionV>
            <wp:extent cx="711517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-770890</wp:posOffset>
            </wp:positionV>
            <wp:extent cx="7115175"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-479425</wp:posOffset>
            </wp:positionV>
            <wp:extent cx="7115175"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-187960</wp:posOffset>
            </wp:positionV>
            <wp:extent cx="711517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320"/>
            <w:col w:w="7500"/>
          </w:cols>
          <w:pgMar w:left="320" w:top="118" w:right="35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70" w:name="page171"/>
    <w:bookmarkEnd w:id="1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vMerge w:val="restart"/>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Accounts payable to related companies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Operating lease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Non-current derivative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Partners: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5"/>
              </w:rPr>
              <w:t>Common Unitholders (2,702,372,154 and 2,689,580,631 units authorized, issued and outstanding as of</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18,531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21,935</w:t>
            </w:r>
          </w:p>
        </w:tc>
        <w:tc>
          <w:tcPr>
            <w:tcW w:w="0" w:type="dxa"/>
            <w:vAlign w:val="bottom"/>
          </w:tcPr>
          <w:p>
            <w:pPr>
              <w:spacing w:after="0"/>
              <w:rPr>
                <w:sz w:val="1"/>
                <w:szCs w:val="1"/>
                <w:color w:val="auto"/>
              </w:rPr>
            </w:pPr>
          </w:p>
        </w:tc>
      </w:tr>
      <w:tr>
        <w:trPr>
          <w:trHeight w:val="230"/>
        </w:trPr>
        <w:tc>
          <w:tcPr>
            <w:tcW w:w="8240" w:type="dxa"/>
            <w:vAlign w:val="bottom"/>
          </w:tcPr>
          <w:p>
            <w:pPr>
              <w:ind w:left="520"/>
              <w:spacing w:after="0"/>
              <w:rPr>
                <w:sz w:val="20"/>
                <w:szCs w:val="20"/>
                <w:color w:val="auto"/>
              </w:rPr>
            </w:pPr>
            <w:r>
              <w:rPr>
                <w:rFonts w:ascii="Arial" w:cs="Arial" w:eastAsia="Arial" w:hAnsi="Arial"/>
                <w:sz w:val="18"/>
                <w:szCs w:val="18"/>
                <w:color w:val="auto"/>
              </w:rPr>
              <w:t>December 31, 2020 and 2019,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partners’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0" w:type="dxa"/>
            <w:vAlign w:val="bottom"/>
          </w:tcPr>
          <w:p>
            <w:pPr>
              <w:spacing w:after="0"/>
              <w:rPr>
                <w:sz w:val="1"/>
                <w:szCs w:val="1"/>
                <w:color w:val="auto"/>
              </w:rPr>
            </w:pP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unit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Refined product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Crude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NGL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Gathering, transportation and other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from continuing operations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 ATTRIBUTABLE TO PARTNERS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 Series A Convertible Preferred Unitholders’ interest in net income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Partner’s interest in net income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Limited Partners’ interest in 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INCOME (LOSS) FROM CONTINUING OPERATIONS PER LIMITED PARTNER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UNIT: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LIMITED PARTNER UNIT: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ENERGY TRANSFER LP AND SUBSIDIARIES CONSOLIDATED STATEMENTS OF COMPREHENSIVE INCOME (LOSS) </w:t>
      </w:r>
      <w:r>
        <w:rPr>
          <w:rFonts w:ascii="Arial" w:cs="Arial" w:eastAsia="Arial" w:hAnsi="Arial"/>
          <w:sz w:val="18"/>
          <w:szCs w:val="18"/>
          <w:color w:val="auto"/>
        </w:rPr>
        <w:t>(Dollars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29"/>
        </w:trPr>
        <w:tc>
          <w:tcPr>
            <w:tcW w:w="710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value of available-for-sale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Actuarial gain (loss) relating to pension and other postretirement benefits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other comprehensive income from unconsolidated affiliates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9"/>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partners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73" w:name="page174"/>
    <w:bookmarkEnd w:id="1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2"/>
              </w:rPr>
              <w:t>Series A</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2"/>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6"/>
                <w:szCs w:val="16"/>
                <w:color w:val="auto"/>
              </w:rPr>
              <w:t>Common</w:t>
            </w:r>
          </w:p>
        </w:tc>
        <w:tc>
          <w:tcPr>
            <w:tcW w:w="20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auto"/>
              </w:rPr>
              <w:t>General</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4"/>
              </w:rPr>
              <w:t>Other</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3"/>
              </w:rPr>
              <w:t>Convertible</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1"/>
              </w:rPr>
              <w:t>Comprehensive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8"/>
              </w:rPr>
              <w:t>controlling</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Preferred 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6"/>
              </w:rPr>
              <w:t>Unitholders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Partner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Income (Loss)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Interest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jc w:val="center"/>
              <w:ind w:right="1679"/>
              <w:spacing w:after="0"/>
              <w:rPr>
                <w:sz w:val="20"/>
                <w:szCs w:val="20"/>
                <w:color w:val="auto"/>
              </w:rPr>
            </w:pPr>
            <w:r>
              <w:rPr>
                <w:rFonts w:ascii="Arial" w:cs="Arial" w:eastAsia="Arial" w:hAnsi="Arial"/>
                <w:sz w:val="16"/>
                <w:szCs w:val="16"/>
                <w:b w:val="1"/>
                <w:bCs w:val="1"/>
                <w:color w:val="auto"/>
                <w:w w:val="90"/>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30,092</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Distributions reinvested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Subsidiary units repurchased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Subsidiary units issued</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Energy Transfer Merger</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Capital contributions from noncontrolling interests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Cumulative effect adjustment due to change in</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jc w:val="center"/>
              <w:ind w:right="1619"/>
              <w:spacing w:after="0"/>
              <w:rPr>
                <w:sz w:val="20"/>
                <w:szCs w:val="20"/>
                <w:color w:val="auto"/>
              </w:rPr>
            </w:pPr>
            <w:r>
              <w:rPr>
                <w:rFonts w:ascii="Arial" w:cs="Arial" w:eastAsia="Arial" w:hAnsi="Arial"/>
                <w:sz w:val="16"/>
                <w:szCs w:val="16"/>
                <w:color w:val="auto"/>
                <w:w w:val="93"/>
              </w:rPr>
              <w:t>accounting principle</w:t>
            </w: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Acquisition of USAC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ET Series A Convertible Preferred Units conversion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6"/>
        </w:trPr>
        <w:tc>
          <w:tcPr>
            <w:tcW w:w="3740" w:type="dxa"/>
            <w:vAlign w:val="bottom"/>
          </w:tcPr>
          <w:p>
            <w:pPr>
              <w:ind w:left="180"/>
              <w:spacing w:after="0" w:line="166"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jc w:val="center"/>
              <w:ind w:right="1679"/>
              <w:spacing w:after="0"/>
              <w:rPr>
                <w:sz w:val="20"/>
                <w:szCs w:val="20"/>
                <w:color w:val="auto"/>
              </w:rPr>
            </w:pPr>
            <w:r>
              <w:rPr>
                <w:rFonts w:ascii="Arial" w:cs="Arial" w:eastAsia="Arial" w:hAnsi="Arial"/>
                <w:sz w:val="16"/>
                <w:szCs w:val="16"/>
                <w:b w:val="1"/>
                <w:bCs w:val="1"/>
                <w:color w:val="auto"/>
                <w:w w:val="90"/>
              </w:rPr>
              <w:t>Balance, December 31, 2018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31,017</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Common units repurchased</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Subsidiary units issued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Capital contributions from noncontrolling interests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 of noncontrolling interest in subsidiary</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SemGroup Acquisition</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jc w:val="center"/>
              <w:ind w:right="1679"/>
              <w:spacing w:after="0"/>
              <w:rPr>
                <w:sz w:val="20"/>
                <w:szCs w:val="20"/>
                <w:color w:val="auto"/>
              </w:rPr>
            </w:pPr>
            <w:r>
              <w:rPr>
                <w:rFonts w:ascii="Arial" w:cs="Arial" w:eastAsia="Arial" w:hAnsi="Arial"/>
                <w:sz w:val="16"/>
                <w:szCs w:val="16"/>
                <w:b w:val="1"/>
                <w:bCs w:val="1"/>
                <w:color w:val="auto"/>
                <w:w w:val="90"/>
              </w:rPr>
              <w:t>Balance, December 31, 2019</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33,938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Subsidiary units issued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Capital contributions from noncontrolling interests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Net income (loss), excluding amounts attributable to</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jc w:val="center"/>
              <w:ind w:right="1679"/>
              <w:spacing w:after="0"/>
              <w:rPr>
                <w:sz w:val="20"/>
                <w:szCs w:val="20"/>
                <w:color w:val="auto"/>
              </w:rPr>
            </w:pPr>
            <w:r>
              <w:rPr>
                <w:rFonts w:ascii="Arial" w:cs="Arial" w:eastAsia="Arial" w:hAnsi="Arial"/>
                <w:sz w:val="16"/>
                <w:szCs w:val="16"/>
                <w:b w:val="1"/>
                <w:bCs w:val="1"/>
                <w:color w:val="auto"/>
                <w:w w:val="90"/>
              </w:rPr>
              <w:t>Balance,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18,531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31,388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Losses on extinguishment of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on unvested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Other non-cash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operating assets and liabilities, net of effects of acquisitions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Cash proceeds from sale of noncontrolling interest in subsidiary</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in USAC acquisition, net of cash paid</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Cash paid for SemGroup Acquisition, net of cash received</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all other acquisitions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w w:val="96"/>
              </w:rPr>
              <w:t>Capital expenditures, excluding allowance for equity funds used during construction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in aid of construction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Contributions to unconsolidated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 in excess of cumulative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Proceeds from the sale of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(28,948)</w:t>
            </w: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units issued for cash</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Capital contributions from noncontrolling interests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(3,117)</w:t>
            </w: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redeemable noncontrolling interests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Common units repurchased under buyback program</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units repurchased</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Changes in cash included in current assets held for sale</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 of discontinued operations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1"/>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396"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AND BASIS OF PRESENTATION</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presented herein contain the results of Energy Transfer LP and its subsidiaries (the “Partnership,” “we,” “us,” “our” or “ET”). References to the “Parent Company” mean Energy Transfer LP on a stand-alone basis.</w:t>
      </w:r>
    </w:p>
    <w:p>
      <w:pPr>
        <w:spacing w:after="0" w:line="116"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2018, we completed the merger of ETO with a wholly-owned subsidiary of ET in a unit-for-unit exchange (the “Energy Transfer Merger”). In connection with the transaction, the former common unitholders (other than ET and its subsidiaries) received 1.28 common units of ET for each common unit of ETO they owned. Following the closing of the Energy Transfer Merger, Energy Transfer Partners, L.P. was renamed Energy Transfer Operating, L.P. In addition, Energy Transfer Equity, L.P. was renamed Energy Transfer LP, and its common units began trading on the NYSE under the “ET” ticker symbol on Friday, October 19, 2018.</w:t>
      </w:r>
    </w:p>
    <w:p>
      <w:pPr>
        <w:spacing w:after="0" w:line="1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Immediately prior to the closing of the Energy Transfer Merger, the following also occurred:</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IDRs in Energy Transfer Partners, L.P. were converted into 1,168,205,710 common units;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general partner interest in ETO was converted to a non-economic general partner interest and ETO issued 18,448,341 ETO common units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ETP GP;</w:t>
      </w:r>
    </w:p>
    <w:p>
      <w:pPr>
        <w:spacing w:after="0" w:line="156" w:lineRule="exact"/>
        <w:rPr>
          <w:rFonts w:ascii="Arial" w:cs="Arial" w:eastAsia="Arial" w:hAnsi="Arial"/>
          <w:sz w:val="16"/>
          <w:szCs w:val="16"/>
          <w:color w:val="auto"/>
        </w:rPr>
      </w:pPr>
    </w:p>
    <w:p>
      <w:pPr>
        <w:ind w:left="660" w:right="200" w:hanging="328"/>
        <w:spacing w:after="0" w:line="263" w:lineRule="auto"/>
        <w:tabs>
          <w:tab w:leader="none" w:pos="65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ET contributed its 2,263,158 Sunoco LP common units to ETO in exchange for 2,874,275 ETO common units and 100 percent of the limited liability company interests in Sunoco GP LLC, the sole general partner of Sunoco LP, and all of the IDRs in Sunoco LP, to ETO in exchange for 42,812,389 ETO common units;</w:t>
      </w:r>
    </w:p>
    <w:p>
      <w:pPr>
        <w:spacing w:after="0" w:line="75" w:lineRule="exact"/>
        <w:rPr>
          <w:rFonts w:ascii="Arial" w:cs="Arial" w:eastAsia="Arial" w:hAnsi="Arial"/>
          <w:sz w:val="18"/>
          <w:szCs w:val="18"/>
          <w:color w:val="auto"/>
        </w:rPr>
      </w:pPr>
    </w:p>
    <w:p>
      <w:pPr>
        <w:ind w:left="660" w:hanging="328"/>
        <w:spacing w:after="0" w:line="308" w:lineRule="auto"/>
        <w:tabs>
          <w:tab w:leader="none" w:pos="655" w:val="left"/>
        </w:tabs>
        <w:numPr>
          <w:ilvl w:val="1"/>
          <w:numId w:val="133"/>
        </w:numPr>
        <w:rPr>
          <w:rFonts w:ascii="Arial" w:cs="Arial" w:eastAsia="Arial" w:hAnsi="Arial"/>
          <w:sz w:val="17"/>
          <w:szCs w:val="17"/>
          <w:color w:val="auto"/>
        </w:rPr>
      </w:pPr>
      <w:r>
        <w:rPr>
          <w:rFonts w:ascii="Arial" w:cs="Arial" w:eastAsia="Arial" w:hAnsi="Arial"/>
          <w:sz w:val="17"/>
          <w:szCs w:val="17"/>
          <w:color w:val="auto"/>
        </w:rPr>
        <w:t>ET contributed its 12,466,912 common units representing limited partner interests in USAC and 100 percent of the limited liability company interests in USA Compression GP, LLC, the general partner of USAC, to ETO in exchange for 16,134,903 ETO common units; and</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ET contributed its 100 percent limited liability company interest in Lake Charles LNG and a 60 percent limited liability company interest in each of Energy Transfer LNG Export, LLC, ET Crude Oil Terminals, LLC and ETC Illinois LLC (collectively, “Lake Charles LNG and Other”) to ETO in exchange for 37,557,815 ETO common units.</w:t>
      </w:r>
    </w:p>
    <w:p>
      <w:pPr>
        <w:spacing w:after="0" w:line="1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Subsequent to the Energy Transfer Merger, substantially all of the Partnership’s cash flows are derived from distributions related to its investment in ETO, whose cash flows are derived from its subsidiaries, including ETO’s investments in Sunoco LP and USAC. The Parent Company’s primary cash requirements are for general and administrative expenses, debt service requirements and distributions to its partners. Parent Company-only assets are not available to satisfy the debts and other obligations of ET’s subsidiaries.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reflect the following reportable segments:</w:t>
      </w:r>
    </w:p>
    <w:p>
      <w:pPr>
        <w:spacing w:after="0" w:line="117"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corporate and other, including the following: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activities of the Parent Company;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certain operations and investments that are not separately reflected as reportable segments.</w:t>
      </w:r>
    </w:p>
    <w:p>
      <w:pPr>
        <w:spacing w:after="0" w:line="171"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Partnership owns and operates intrastate natural gas pipeline systems and storage facilities that are engaged in the business of purchasing, gathering, transporting, processing, and marketing natural gas and NGLs in the states of Texas, Louisiana, New Mexico and West Virginia.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owns and operates interstate pipelines, either directly or through equity method investments, that transport natural gas to various markets in the United States.</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 is engaged in the gathering and processing, compression, treating and transportation of natural gas, focusing on providing midstream services in some of the most prolific natural gas producing regions in the United States, including the Eagle Ford, Haynesville, Barnett, Fayetteville, Marcellus, Utica, Bone Spring and Avalon shales.</w:t>
      </w:r>
    </w:p>
    <w:p>
      <w:pPr>
        <w:spacing w:after="0" w:line="13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Partnership owns and operates a logistics business, consisting of a geographically diverse portfolio of complementary pipeline, terminalling, and acquisition and marketing assets, which are used to facilitate the purchase and sale of crude oil, NGLs and refined products.</w:t>
      </w:r>
    </w:p>
    <w:p>
      <w:pPr>
        <w:spacing w:after="0" w:line="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Partnership owns a controlling interest in Sunoco LP which is engaged in the wholesale distribution of motor fuels to convenience stores, independent dealers, commercial customers, and distributors, as well as the retail sale of motor fuels and merchandise through Sunoco LP operated convenience stores and retail fuel sites. As of December 31, 2020, our interest in Sunoco LP consisted of 100% of the general partner and IDRs, as well as 28.5 million common units.</w:t>
      </w:r>
    </w:p>
    <w:p>
      <w:pPr>
        <w:spacing w:after="0" w:line="133"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The Partnership owns a controlling interest in USAC which provides compression services to producers, processors, gatherers and transporters of natural gas and crude oil. As of December 31, 2020, our interest in USAC consisted of 100% of the general partner and 46.1 million common units.</w:t>
      </w:r>
    </w:p>
    <w:p>
      <w:pPr>
        <w:spacing w:after="0" w:line="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Energy Transfer LP presented herein for the years ended December 31, 2020,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have been prepared in accordance with GAAP and pursuant to the rules and regulations of the SEC. We consolidate all majority-owned subsidiaries and limited partnerships, which we control as the general partner or owner of the general partner. All significant intercompany transactions and accounts are eliminated in consolidation.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financial statements of ET presented herein include the results of operations of:</w:t>
      </w:r>
    </w:p>
    <w:p>
      <w:pPr>
        <w:spacing w:after="0" w:line="117"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Parent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controlled subsidiary, Energy Transfer Operating, L.P.;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Energy Transfer Partners GP, L.P. (“ETP GP”), the general partner of ETO, and Energy Transfer Partners, L.L.C. (“ETP LLC”), the general partner of ETP GP.</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For prior periods herein, certain balances have been reclassified to assets and liabilities held for sale and certain revenues and expenses to discontinued operations. These reclassifications had no impact on net income or total equity.</w:t>
      </w:r>
    </w:p>
    <w:p>
      <w:pPr>
        <w:spacing w:after="0" w:line="112" w:lineRule="exact"/>
        <w:rPr>
          <w:sz w:val="20"/>
          <w:szCs w:val="20"/>
          <w:color w:val="auto"/>
        </w:rPr>
      </w:pPr>
    </w:p>
    <w:p>
      <w:pPr>
        <w:ind w:left="340" w:right="3600" w:hanging="332"/>
        <w:spacing w:after="0" w:line="440" w:lineRule="auto"/>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ESTIMATES, SIGNIFICANT ACCOUNTING POLICIES AND BALANCE SHEET DETAIL</w:t>
      </w:r>
      <w:r>
        <w:rPr>
          <w:rFonts w:ascii="Arial" w:cs="Arial" w:eastAsia="Arial" w:hAnsi="Arial"/>
          <w:sz w:val="18"/>
          <w:szCs w:val="18"/>
          <w:b w:val="1"/>
          <w:bCs w:val="1"/>
          <w:color w:val="auto"/>
        </w:rPr>
        <w:t>: Change in Accounting Policy</w:t>
      </w:r>
    </w:p>
    <w:p>
      <w:pPr>
        <w:spacing w:after="0" w:line="1"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Effective January 1, 2020, the Partnership elected to change its accounting policy related to certain barrels of crude oil that were previously accounted for as inventory. Under the revised accounting policy, certain amounts of crude oil that are not available for sale have been reclassified from inventory to non-current assets. These crude oil barrels, which are owned by the Partnership’s crude oil acquisition and marketing business, include pipeline linefill and tank bottoms and are not considered to be available for sale because the volumes must be maintained in order to continue normal operation of the related pipelines or tanks and because there is no expectation of liquidation or sale of these volumes in the near term.</w:t>
      </w:r>
    </w:p>
    <w:p>
      <w:pPr>
        <w:spacing w:after="0" w:line="107"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Under the previous accounting policy, all crude oil barrels were recorded as inventory under the weighted average cost method. Under the revised accounting policy, barrels related to pipeline linefill and tank bottoms are accounted for as long-lived assets and reflected as non-current assets on the consolidated balance sheet. These crude oil barrels will be tested for impairment consistent with the Partnership’s existing accounting policy for impairments of long-lived assets. The Partnership’s management believes that the change in accounting policy is preferable as it more closely aligns the accounting policies across the consolidated entity, given that similar assets in the Partnership’s natural gas, NGLs and refined products businesses are accounted for as non-current assets. In addition, management believes that reflecting these crude oil barrels as non-current assets better represents the economic results of the Partnership’s crude oil acquisition and marketing business by reducing volatility resulting from market price adjustments to crude oil barrels that are not expected to be sold or liquidated in the near term.</w:t>
      </w:r>
    </w:p>
    <w:p>
      <w:pPr>
        <w:spacing w:after="0" w:line="124"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 result of this change in accounting policy, the Partnership’s consolidated balance sheet for the prior period has been retrospectively adjusted as follows: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color w:val="auto"/>
                <w:w w:val="91"/>
              </w:rPr>
              <w:t>December 31, 2019</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40" w:type="dxa"/>
            <w:vAlign w:val="bottom"/>
          </w:tcPr>
          <w:p>
            <w:pPr>
              <w:spacing w:after="0"/>
              <w:rPr>
                <w:sz w:val="14"/>
                <w:szCs w:val="14"/>
                <w:color w:val="auto"/>
              </w:rPr>
            </w:pPr>
          </w:p>
        </w:tc>
        <w:tc>
          <w:tcPr>
            <w:tcW w:w="9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As Originally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5"/>
              </w:rPr>
              <w:t>Effect of</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4"/>
              </w:rPr>
              <w:t>Reported</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5"/>
              </w:rPr>
              <w:t>Change</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7,464</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98,880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98,973</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partners’ capital</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the Partnership’s consolidated statements of operations, comprehensive income and cash flows for prior periods have been retrospectively adjusted as follows:</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color w:val="auto"/>
                <w:w w:val="97"/>
              </w:rPr>
              <w:t>Year Ended December 31,</w:t>
            </w:r>
          </w:p>
        </w:tc>
      </w:tr>
      <w:tr>
        <w:trPr>
          <w:trHeight w:val="206"/>
        </w:trPr>
        <w:tc>
          <w:tcPr>
            <w:tcW w:w="7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r>
      <w:tr>
        <w:trPr>
          <w:trHeight w:val="196"/>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As originally reported: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Operations and Comprehensive Income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products sold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41,658</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5,348</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limited partner unit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3,322</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partners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change: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Operations and Comprehensive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products sold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limited partner unit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partners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adjusted: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Operations and Comprehensive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products sold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5,403</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3,420</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limited partner unit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3,377</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partners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3,420</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accrual for and disclosure of contingent assets and liabilities at the date of the financial statements and the reported amounts of revenues and expenses during the reporting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natural gas industry conducts its business by processing actual transactions at the end of the month following the month of delivery. Consequently, the most current month’s financial results for the midstream, NGL and intrastate transportation and storage operations are estimated using volume estimates and market prices. Any differences between estimated results and actual results are recognized in the following month’s financial statements. Management believes that the estimated operating results represent the actual results in all material respects.</w:t>
      </w:r>
    </w:p>
    <w:p>
      <w:pPr>
        <w:spacing w:after="0" w:line="10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Accounting – Regulatory Assets and Liabilities</w:t>
      </w:r>
    </w:p>
    <w:p>
      <w:pPr>
        <w:spacing w:after="0" w:line="175"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interstate transportation and storage segment is subject to regulation by certain state and federal authorities, and certain subsidiaries in that segment have accounting policies that conform to the accounting requirements and ratemaking practices of the regulatory authorities. The application of these accounting policies allows certain of our regulated 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for these entities, the regulatory assets and liabilities related to those portions ceasing to meet such criteria would be eliminated from the consolidated balance sheet for the period in which the discontinuance of regulatory accounting treatment occurs.</w:t>
      </w:r>
    </w:p>
    <w:p>
      <w:pPr>
        <w:spacing w:after="0" w:line="1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Although Panhandle’s natural gas transmission systems and storage operations are subject to the jurisdiction of the FERC in accordance with the Natural Gas Act of 1938 and Natural Gas Policy Act of 1978, it does not currently apply regulatory accounting policies in accounting for its operations. Panhandle does not apply regulatory accounting policies primarily due to the level of discounting from tariff rates and its inability to recover specific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Cash Equivalents and Supplemental Cash Flow Information</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net change in operating assets and liabilities (net of effects of acquisitions) included in cash flows from operating activities is comprised as follows: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to related companies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 assets and liabilities, net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Net change in operating assets and liabilities, net of effects of acquisitions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investing and financing activities and supplemental cash flow information are as follows:</w:t>
      </w:r>
    </w:p>
    <w:p>
      <w:pPr>
        <w:spacing w:after="0" w:line="32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NON-CASH INVESTING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Lease assets obtained in exchange for new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losses from subsidiary common unit transactions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 net of interest capitalized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operations deal with a variety of counterparties across the energy sector, some of which are investment grade, and most of which are not. Internal credit ratings and credit limits are assigned to all counterparties and limits are monitored against credit exposure. Letters of credit or prepayments may be required from those counterparties that are not investment grade depending on the internal credit rating and level of commercial activity with the counterparty.</w:t>
      </w:r>
    </w:p>
    <w:p>
      <w:pPr>
        <w:spacing w:after="0" w:line="13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We have a diverse portfolio of customers; however, because of the midstream and transportation services we provide, many of our customers are engaged in the exploration and production segment. We manage trade credit risk to mitigate credit losses and exposure to uncollectible trade receivables. Prospective and existing customers are reviewed regularly for creditworthiness to manage credit risk within approved tolerances. Customers that do not meet minimum credit standards are required to provide additional credit support in the form of a letter of credit, prepayment, or other forms of security. We establish an allowance for credit losses on trade receivables based on the expected ultimate recovery of these receivables and consider many factors including historical customer collection experience, general and specific economic trends, and known specific issues related to individual customers, sectors, and transactions that might impact collectability. Changes in the allowance are recorded as a component of operating expenses; reductions in the allowance are recorded when receivables are subsequently collected or written-off. Past due receivable balances are written-off when our efforts have been unsuccessful in collecting the amount due.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Sunoco LP’s fuel inventories are stated at the lower of cost or market using the last-in-first-out (“LIFO”) method. As of December 31, 2020 and 2019, the carrying value of Sunoco LP’s fuel inventory included lower of cost or market reserves of $311 million and $229 million, respectively, and the inventory carrying value equaled or exceeded its replacement cost. For the years ended December 31, 2020, 2019 and 2018, the Partnership’s consolidated statements of operations did not include any material amounts of income from the liquidation of Sunoco LP’s LIFO fuel inventory.</w:t>
      </w:r>
    </w:p>
    <w:p>
      <w:pPr>
        <w:sectPr>
          <w:pgSz w:w="11900" w:h="16838" w:orient="portrait"/>
          <w:cols w:equalWidth="0" w:num="1">
            <w:col w:w="11240"/>
          </w:cols>
          <w:pgMar w:left="320" w:top="118" w:right="339" w:bottom="1440" w:gutter="0" w:footer="0" w:header="0"/>
        </w:sectPr>
      </w:pP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Natural gas, NGLs and refined products </w:t>
      </w:r>
      <w:r>
        <w:rPr>
          <w:rFonts w:ascii="Arial" w:cs="Arial" w:eastAsia="Arial" w:hAnsi="Arial"/>
          <w:sz w:val="20"/>
          <w:szCs w:val="20"/>
          <w:color w:val="auto"/>
          <w:vertAlign w:val="superscript"/>
        </w:rPr>
        <w:t>(1)</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Crude oil</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Spare parts and other</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2"/>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-633730</wp:posOffset>
            </wp:positionV>
            <wp:extent cx="666940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6669405" cy="15430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-333375</wp:posOffset>
            </wp:positionV>
            <wp:extent cx="6669405"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000" w:space="720"/>
            <w:col w:w="3520"/>
          </w:cols>
          <w:pgMar w:left="320" w:top="118" w:right="339" w:bottom="1440" w:gutter="0" w:footer="0" w:header="0"/>
          <w:type w:val="continuous"/>
        </w:sectPr>
      </w:pPr>
    </w:p>
    <w:p>
      <w:pPr>
        <w:ind w:left="660" w:hanging="328"/>
        <w:spacing w:after="0" w:line="227" w:lineRule="auto"/>
        <w:tabs>
          <w:tab w:leader="none" w:pos="648"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Due to changes in fuel prices, Sunoco LP recorded a write-down on the value of its fuel inventory of $82 million for the year ended December 31, 2020.</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7380" w:type="dxa"/>
            <w:vAlign w:val="bottom"/>
          </w:tcPr>
          <w:p>
            <w:pPr>
              <w:spacing w:after="0"/>
              <w:rPr>
                <w:sz w:val="20"/>
                <w:szCs w:val="20"/>
                <w:color w:val="auto"/>
              </w:rPr>
            </w:pPr>
            <w:r>
              <w:rPr>
                <w:rFonts w:ascii="Arial" w:cs="Arial" w:eastAsia="Arial" w:hAnsi="Arial"/>
                <w:sz w:val="18"/>
                <w:szCs w:val="18"/>
                <w:color w:val="auto"/>
              </w:rPr>
              <w:t>Other current assets consisted of the following:</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8"/>
        </w:trPr>
        <w:tc>
          <w:tcPr>
            <w:tcW w:w="73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2019</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paid to vendors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current assets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or FERC-mandated lives of the assets, if applicable. Expenditures for maintenance and repairs that do not add capacity or extend the useful life are expensed as incurred. 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are retired or sold, any gain or loss is included in our consolidated statements of operations.</w:t>
      </w:r>
    </w:p>
    <w:p>
      <w:pPr>
        <w:spacing w:after="0" w:line="12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Property, plant and equipment is reviewed for impairment whenever events or changes in circumstances indicate that the carrying amount of such assets may not be recoverable. If such a review should indicate that the carrying amount of long-lived assets is not recoverable, we reduce the carrying amount of such assets to fair value.</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2020, the Partnership recognized a $58 million fixed asset impairment primarily due to decreases in projected future cash flow as a result of the overall market demand decline. USAC recorded an $8 million impairment of compression equipment as a result of its evaluations of the future deployment of its idle fleet.</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2019, USAC recognized a $6 million fixed asset impairment related to certain idle compressor assets. Sunoco LP recognized a $47 million write-down on assets held for sale related to its ethanol plant in Fulton, New York.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USAC recognized a $9 million fixed asset impairment related to certain idle compressor assets.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Capitalized interest is included for pipeline construction projects, except for certain interstate projects for which an allowance for funds used during construction (“AFUDC”) is accrued. Interest is capitalized based on the current borrowing rate of our revolving credit facilities when the related costs are incurred. AFUDC is calculated under guidelines prescribed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3" w:name="page184"/>
    <w:bookmarkEnd w:id="1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by the FERC and capitalized as part of the cost of utility plant for interstate projects. It represents the cost of servicing the capital invested in construction work-in-process. AFUDC is segregated into two component parts – borrowed funds and equity funds.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and useful lives of property, plant and equipment were as follows: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Buildings and improvements (1 to 45 years)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Pipelines and equipment (5 to 83 years)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Product storage and related facilities (2 to 83 years)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way (20 to 83 years)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Other (1 to 48 years)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work-in-process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depletion</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80" w:type="dxa"/>
            <w:vAlign w:val="bottom"/>
            <w:vMerge w:val="restart"/>
          </w:tcPr>
          <w:p>
            <w:pPr>
              <w:spacing w:after="0"/>
              <w:rPr>
                <w:sz w:val="20"/>
                <w:szCs w:val="20"/>
                <w:color w:val="auto"/>
              </w:rPr>
            </w:pPr>
            <w:r>
              <w:rPr>
                <w:rFonts w:ascii="Arial" w:cs="Arial" w:eastAsia="Arial" w:hAnsi="Arial"/>
                <w:sz w:val="18"/>
                <w:szCs w:val="18"/>
                <w:color w:val="auto"/>
              </w:rPr>
              <w:t>We recognized the following amounts for the periods presented:</w:t>
            </w: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290"/>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 expense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in Unconsolidated Affiliates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We own interests in a number of related businesses that are accounted for by the equity method. In general, we use the equity method of accounting for an investment for which we exercise significant influence over, but do not control, the investee’s operating and financial policies. An impairment of an investment in an unconsolidated affiliate is recognized when circumstances indicate that a decline in the investment value is other than temporary. During the year ended December 31, 2020, the Partnership recorded an impairment of its investment in White Cliffs of $129 million during the year ended December 31, 2020 due to a decrease in projected future revenues and cash flows as a result of the overall market demand decline that occurred subsequent to the SemGroup acquisition and related purchase price allocation in December 2019.</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Non-Current Assets,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net are stated at cost less accumulated amortization. Other non-current assets, net consisted of the following:</w:t>
      </w:r>
    </w:p>
    <w:p>
      <w:pPr>
        <w:spacing w:after="0" w:line="30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2019</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pipeline linefill and tank bottoms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assets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Deferred charges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funds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48"/>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non-current assets, net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funds include an immaterial amount of restricted cash primarily held in our wholly-owned captive insurance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Intangible assets are stated at cost, net of amortization computed on the straight-line method. The Partnership removes the gross carrying amount and the related accumulated amortization for any fully amortized intangibles in the year they are fully amortized.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and useful lives of intangible assets were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color w:val="auto"/>
                <w:w w:val="89"/>
              </w:rPr>
              <w:t>December 31, 2020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2"/>
              </w:rPr>
              <w:t>Gross 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20"/>
              <w:spacing w:after="0" w:line="169" w:lineRule="exact"/>
              <w:rPr>
                <w:sz w:val="20"/>
                <w:szCs w:val="20"/>
                <w:color w:val="auto"/>
              </w:rPr>
            </w:pPr>
            <w:r>
              <w:rPr>
                <w:rFonts w:ascii="Arial" w:cs="Arial" w:eastAsia="Arial" w:hAnsi="Arial"/>
                <w:sz w:val="18"/>
                <w:szCs w:val="18"/>
                <w:color w:val="auto"/>
                <w:w w:val="94"/>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80"/>
              <w:spacing w:after="0" w:line="169" w:lineRule="exact"/>
              <w:rPr>
                <w:sz w:val="20"/>
                <w:szCs w:val="20"/>
                <w:color w:val="auto"/>
              </w:rPr>
            </w:pPr>
            <w:r>
              <w:rPr>
                <w:rFonts w:ascii="Arial" w:cs="Arial" w:eastAsia="Arial" w:hAnsi="Arial"/>
                <w:sz w:val="18"/>
                <w:szCs w:val="18"/>
                <w:color w:val="auto"/>
                <w:w w:val="94"/>
              </w:rPr>
              <w:t>Gross Carrying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6"/>
              </w:rPr>
              <w:t>Accumulated</w:t>
            </w:r>
          </w:p>
        </w:tc>
        <w:tc>
          <w:tcPr>
            <w:tcW w:w="0" w:type="dxa"/>
            <w:vAlign w:val="bottom"/>
          </w:tcPr>
          <w:p>
            <w:pPr>
              <w:spacing w:after="0"/>
              <w:rPr>
                <w:sz w:val="1"/>
                <w:szCs w:val="1"/>
                <w:color w:val="auto"/>
              </w:rPr>
            </w:pPr>
          </w:p>
        </w:tc>
      </w:tr>
      <w:tr>
        <w:trPr>
          <w:trHeight w:val="229"/>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Amortizable intangible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Amount</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Amortization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Amortization</w:t>
            </w:r>
          </w:p>
        </w:tc>
        <w:tc>
          <w:tcPr>
            <w:tcW w:w="0" w:type="dxa"/>
            <w:vAlign w:val="bottom"/>
          </w:tcPr>
          <w:p>
            <w:pPr>
              <w:spacing w:after="0"/>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Customer relationships, contracts and agreements (3 to 46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7,535</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years)</w:t>
            </w:r>
          </w:p>
        </w:tc>
        <w:tc>
          <w:tcPr>
            <w:tcW w:w="1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Patents (10 years)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 (20 years)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(5 to 20 years)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amortizable intangible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Non-amortizable intangible assets: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non-amortizable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7,975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820" w:type="dxa"/>
            <w:vAlign w:val="bottom"/>
            <w:gridSpan w:val="3"/>
          </w:tcPr>
          <w:p>
            <w:pPr>
              <w:spacing w:after="0"/>
              <w:rPr>
                <w:sz w:val="20"/>
                <w:szCs w:val="20"/>
                <w:color w:val="auto"/>
              </w:rPr>
            </w:pPr>
            <w:r>
              <w:rPr>
                <w:rFonts w:ascii="Arial" w:cs="Arial" w:eastAsia="Arial" w:hAnsi="Arial"/>
                <w:sz w:val="18"/>
                <w:szCs w:val="18"/>
                <w:color w:val="auto"/>
              </w:rPr>
              <w:t>Aggregate amortization expense of intangible assets was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right"/>
              <w:ind w:right="30"/>
              <w:spacing w:after="0"/>
              <w:rPr>
                <w:sz w:val="20"/>
                <w:szCs w:val="20"/>
                <w:color w:val="auto"/>
              </w:rPr>
            </w:pPr>
            <w:r>
              <w:rPr>
                <w:rFonts w:ascii="Arial" w:cs="Arial" w:eastAsia="Arial" w:hAnsi="Arial"/>
                <w:sz w:val="18"/>
                <w:szCs w:val="18"/>
                <w:color w:val="auto"/>
              </w:rPr>
              <w:t>Years Ended 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Reported in depreciation, depletion and amortization expense</w:t>
            </w:r>
          </w:p>
        </w:tc>
        <w:tc>
          <w:tcPr>
            <w:tcW w:w="13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aggregate amortization of intangible assets for the next five years is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Years Ending December 31:</w:t>
            </w:r>
          </w:p>
        </w:tc>
        <w:tc>
          <w:tcPr>
            <w:tcW w:w="4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340" w:type="dxa"/>
            <w:vAlign w:val="bottom"/>
            <w:shd w:val="clear" w:color="auto" w:fill="CCEEFF"/>
          </w:tcPr>
          <w:p>
            <w:pPr>
              <w:spacing w:after="0"/>
              <w:rPr>
                <w:sz w:val="19"/>
                <w:szCs w:val="19"/>
                <w:color w:val="auto"/>
              </w:rPr>
            </w:pPr>
          </w:p>
        </w:tc>
        <w:tc>
          <w:tcPr>
            <w:tcW w:w="4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2022</w:t>
            </w:r>
          </w:p>
        </w:tc>
        <w:tc>
          <w:tcPr>
            <w:tcW w:w="3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34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2024</w:t>
            </w:r>
          </w:p>
        </w:tc>
        <w:tc>
          <w:tcPr>
            <w:tcW w:w="3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34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bl>
    <w:p>
      <w:pPr>
        <w:spacing w:after="0" w:line="14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review amortizable intangible assets for impairment whenever events or changes in circumstances indicate that the carrying amount of such assets may not be recoverable. If such a review should indicate that the carrying amount of amortizable intangible assets is not recoverable, we reduce the carrying amount of such assets to fair value. We review non-amortizable intangible assets for impairment annually, or more frequently if circumstances dictate.</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Sunoco LP performed impairment tests on its indefinite-lived intangible assets during the fourth quarter of 2018 and recognized a $30 million impairment charge on its contractual rights primarily due to decreases in projected future revenues and cash flows from the date the intangible assets were originally recorded.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Goodwill is tested for impairment annually or more frequently if circumstances indicate that goodwill might be impaired. The annual impairment test is performed during the fourth quarter.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88"/>
              </w:rPr>
              <w:t>Intrastate</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84"/>
              </w:rPr>
              <w:t>Interstate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color w:val="auto"/>
                <w:w w:val="89"/>
              </w:rPr>
              <w:t>NGL and Refined</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0"/>
              </w:rPr>
              <w:t>Crude Oil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5"/>
              </w:rPr>
              <w:t>Products</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87"/>
              </w:rPr>
              <w:t>Investment in</w:t>
            </w: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87"/>
              </w:rPr>
              <w:t>Investment in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5"/>
              </w:rPr>
              <w:t>Transportation</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Transportation</w:t>
            </w:r>
          </w:p>
        </w:tc>
        <w:tc>
          <w:tcPr>
            <w:tcW w:w="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Midstream</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8"/>
              </w:rPr>
              <w:t>Transportation</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Transportation</w:t>
            </w: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auto"/>
              </w:rPr>
              <w:t>All Other</w:t>
            </w:r>
          </w:p>
        </w:tc>
        <w:tc>
          <w:tcPr>
            <w:tcW w:w="160" w:type="dxa"/>
            <w:vAlign w:val="bottom"/>
          </w:tcPr>
          <w:p>
            <w:pPr>
              <w:spacing w:after="0"/>
              <w:rPr>
                <w:sz w:val="10"/>
                <w:szCs w:val="10"/>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and Storage</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and Storage</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5"/>
              </w:rPr>
              <w:t>and Services</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5"/>
              </w:rPr>
              <w:t>and Services</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Sunoco LP</w:t>
            </w:r>
          </w:p>
        </w:tc>
        <w:tc>
          <w:tcPr>
            <w:tcW w:w="1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USAC</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w w:val="96"/>
              </w:rPr>
              <w:t>Balance,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6"/>
              </w:rPr>
              <w:t>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4,885</w:t>
            </w:r>
          </w:p>
        </w:tc>
        <w:tc>
          <w:tcPr>
            <w:tcW w:w="0" w:type="dxa"/>
            <w:vAlign w:val="bottom"/>
          </w:tcPr>
          <w:p>
            <w:pPr>
              <w:spacing w:after="0"/>
              <w:rPr>
                <w:sz w:val="1"/>
                <w:szCs w:val="1"/>
                <w:color w:val="auto"/>
              </w:rPr>
            </w:pPr>
          </w:p>
        </w:tc>
      </w:tr>
      <w:tr>
        <w:trPr>
          <w:trHeight w:val="168"/>
        </w:trPr>
        <w:tc>
          <w:tcPr>
            <w:tcW w:w="1660" w:type="dxa"/>
            <w:vAlign w:val="bottom"/>
          </w:tcPr>
          <w:p>
            <w:pPr>
              <w:ind w:left="140"/>
              <w:spacing w:after="0"/>
              <w:rPr>
                <w:sz w:val="20"/>
                <w:szCs w:val="20"/>
                <w:color w:val="auto"/>
              </w:rPr>
            </w:pPr>
            <w:r>
              <w:rPr>
                <w:rFonts w:ascii="Arial" w:cs="Arial" w:eastAsia="Arial" w:hAnsi="Arial"/>
                <w:sz w:val="13"/>
                <w:szCs w:val="13"/>
                <w:color w:val="auto"/>
              </w:rPr>
              <w:t>Acquired</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Impaired</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9"/>
        </w:trPr>
        <w:tc>
          <w:tcPr>
            <w:tcW w:w="166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5"/>
        </w:trPr>
        <w:tc>
          <w:tcPr>
            <w:tcW w:w="16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w w:val="96"/>
              </w:rPr>
              <w:t>Balance, December 31, 2019</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6"/>
              </w:rPr>
              <w:t>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5,167</w:t>
            </w:r>
          </w:p>
        </w:tc>
        <w:tc>
          <w:tcPr>
            <w:tcW w:w="0" w:type="dxa"/>
            <w:vAlign w:val="bottom"/>
          </w:tcPr>
          <w:p>
            <w:pPr>
              <w:spacing w:after="0"/>
              <w:rPr>
                <w:sz w:val="1"/>
                <w:szCs w:val="1"/>
                <w:color w:val="auto"/>
              </w:rPr>
            </w:pPr>
          </w:p>
        </w:tc>
      </w:tr>
      <w:tr>
        <w:trPr>
          <w:trHeight w:val="168"/>
        </w:trPr>
        <w:tc>
          <w:tcPr>
            <w:tcW w:w="1660" w:type="dxa"/>
            <w:vAlign w:val="bottom"/>
          </w:tcPr>
          <w:p>
            <w:pPr>
              <w:ind w:left="140"/>
              <w:spacing w:after="0"/>
              <w:rPr>
                <w:sz w:val="20"/>
                <w:szCs w:val="20"/>
                <w:color w:val="auto"/>
              </w:rPr>
            </w:pPr>
            <w:r>
              <w:rPr>
                <w:rFonts w:ascii="Arial" w:cs="Arial" w:eastAsia="Arial" w:hAnsi="Arial"/>
                <w:sz w:val="13"/>
                <w:szCs w:val="13"/>
                <w:color w:val="auto"/>
              </w:rPr>
              <w:t>Acquired</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Impaired</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557"/>
              <w:spacing w:after="0"/>
              <w:rPr>
                <w:sz w:val="20"/>
                <w:szCs w:val="20"/>
                <w:color w:val="auto"/>
              </w:rPr>
            </w:pPr>
            <w:r>
              <w:rPr>
                <w:rFonts w:ascii="Arial" w:cs="Arial" w:eastAsia="Arial" w:hAnsi="Arial"/>
                <w:sz w:val="13"/>
                <w:szCs w:val="13"/>
                <w:color w:val="auto"/>
                <w:w w:val="86"/>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(2,815)</w:t>
            </w:r>
          </w:p>
        </w:tc>
        <w:tc>
          <w:tcPr>
            <w:tcW w:w="0" w:type="dxa"/>
            <w:vAlign w:val="bottom"/>
          </w:tcPr>
          <w:p>
            <w:pPr>
              <w:spacing w:after="0"/>
              <w:rPr>
                <w:sz w:val="1"/>
                <w:szCs w:val="1"/>
                <w:color w:val="auto"/>
              </w:rPr>
            </w:pPr>
          </w:p>
        </w:tc>
      </w:tr>
      <w:tr>
        <w:trPr>
          <w:trHeight w:val="169"/>
        </w:trPr>
        <w:tc>
          <w:tcPr>
            <w:tcW w:w="166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94"/>
        </w:trPr>
        <w:tc>
          <w:tcPr>
            <w:tcW w:w="166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w w:val="96"/>
              </w:rPr>
              <w:t>Balance,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During the first quarter of 2020, due to the impacts of the COVID-19 pandemic, the decline in commodity prices and the decreases in the Partnership’s market capitalization, we determined that interim impairment testing should be performed on certain reporting units. The Partnership performed the interim impairment tests consistent with our approach for annual impairment testing, including using similar models, inputs and assumptions. As a result of the interim impairment test, the Partnership recognized goodwill impairments of $483 million related to our Ark-La-Tex and South Texas operations within the midstream segment, $183 million related to our Lake Charles LNG regasification operations within the interstate transportation and storage segment due to contractually scheduled reductions in payments for the remainder of the contract term, and $40 million related to our all other operations primarily due to decreases in projected future revenues and cash flows as a result of the overall market demand decline. In addition, USAC recognized a goodwill impairment of $619 million during the three months ended March 31, 2020, which is included in the Partnership’s consolidated results of operations.</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third quarter of 2020, the Partnership performed interim impairment testing on certain reporting units within its midstream, interstate, crude, NGL and all other operations. As a result, the Partnership recognized goodwill impairments of $1.28 billion related to our crude operations, $132 million related to our Energy Transfer Canada operations within the all other segment and $43 million related to our interstate operations primarily due to decreases in projected future cash flow as a result of the overall market demand decline.</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fourth quarter of 2020, the Partnership performed annual impairment testing on certain reporting units within its midstream, interstate, crude, NGL and all other operations. As a result, the Partnership recognized goodwill impairments of $10 million related to our intrastate operations, $11 million related to our PEI operations and $15 million related to our Natural Resources operations within the all other segment primarily due to decreases in projected future cash flow as a result of the overall market demand decline. No other impairments of the Partnership’s goodwill were identified.</w:t>
      </w:r>
    </w:p>
    <w:p>
      <w:pPr>
        <w:spacing w:after="0" w:line="16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Goodwill is recorded at the acquisition date based on a preliminary purchase price allocation and generally may be adjusted when the purchase price allocation is finalized. During the fourth quarter of 2019, $265 million goodwill was recorded in conjunction with the acquisition of SemGroup.</w:t>
      </w:r>
    </w:p>
    <w:p>
      <w:pPr>
        <w:spacing w:after="0" w:line="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third quarter of 2019, the Partnership recognized a goodwill impairment of $12 million related to the Southwest Gas operations within the interstate segment primarily due to decreases in projected future revenues and cash flows. During the fourth quarter of 2019, the Partnership recognized a goodwill impairment of $9 million related to our North Central operations within the midstream segment primarily due to changes in assumptions related to projected future revenues and cash flows.</w:t>
      </w:r>
    </w:p>
    <w:p>
      <w:pPr>
        <w:spacing w:after="0" w:line="13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During the fourth quarter of 2018, the Partnership recognized goodwill impairments of $378 million related to our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w:t>
      </w:r>
    </w:p>
    <w:p>
      <w:pPr>
        <w:spacing w:after="0" w:line="1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Partnership determines the fair value of our reporting units using the discounted cash flow method, the guideline company method, or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estimates a reasonable control premium representing the incremental value that accrues to the majority owner from the opportunity to dictate the strategic and operational actions of the business.</w:t>
      </w:r>
    </w:p>
    <w:p>
      <w:pPr>
        <w:spacing w:after="0" w:line="12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Management does not believe that any of the goodwill balances in its reporting units is currently at significant risk of impairment; however, of the $2.39 billion of goodwill on the Partnership’s consolidated balance sheet as of December 31, 2020, approximately $368 million is recorded in reporting units for which the estimated fair value exceeded the carrying value by less than 20% in the most recent quantitative test.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 Retirement Obligations</w:t>
      </w:r>
    </w:p>
    <w:p>
      <w:pPr>
        <w:spacing w:after="0" w:line="17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We have determined that we are obligated by contractual or regulatory requirements to remove facilities or perform other 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2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An ARO is required to be recorded when a legal obligation to retire an asset exists and such obligation can be reasonably estimated. We will record an ARO in the periods in which management can reasonably estimate the settlement dates.</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December 31, 2020 and 2019, other non-current liabilities in the Partnership’s consolidated balance sheets included AROs of $270 million and $247 million, respectively. For the years ended December 31, 2020, 2019 and 2018 aggregate accretion expense related to AROs was $16 million, $5 million and $13 million, respectively.</w:t>
      </w:r>
    </w:p>
    <w:p>
      <w:pPr>
        <w:spacing w:after="0" w:line="130"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Except for the AROs discussed above, management was not able to reasonably measure the fair value of AROs as of December 31, 2020 and 2019, in most cases because the settlement dates were indeterminable. Although a number of onshore assets in our systems are subject to agreements or regulations that give rise to an ARO upon discontinued use of these assets, AROs were not recorded because these assets have an indeterminate removal or abandonment date given the expected continued use of the assets with proper maintenance or replacement. Our subsidiaries also have legal obligations for several other assets at previously owned refineries, pipelines and terminals, for which it is not possible to estimate when the obligations will be settled. Consequently, the retirement obligations for these assets cannot be measured at this time. At the end of the useful life of these underlying assets, our subsidiaries are legally or contractually required to abandon in place or remove the asset. We believe we may have additional AROs related to pipeline assets and storage tanks, for which it is not possible to estimate whether or when the AROs will be settled. Consequently, these AROs cannot be measured at this time. Sunoco LP also has AROs related to the estimated future cost to remove underground storage tanks.</w:t>
      </w:r>
    </w:p>
    <w:p>
      <w:pPr>
        <w:spacing w:after="0" w:line="112"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2020 and 2019, other non-current assets on the Partnership’s consolidated balance sheets included $34 million and $31 million, respectively, of funds that were legally restricted for the purpose of settling AROs.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780" w:type="dxa"/>
            <w:vAlign w:val="bottom"/>
          </w:tcPr>
          <w:p>
            <w:pPr>
              <w:spacing w:after="0"/>
              <w:rPr>
                <w:sz w:val="20"/>
                <w:szCs w:val="20"/>
                <w:color w:val="auto"/>
              </w:rPr>
            </w:pPr>
            <w:r>
              <w:rPr>
                <w:rFonts w:ascii="Arial" w:cs="Arial" w:eastAsia="Arial" w:hAnsi="Arial"/>
                <w:sz w:val="18"/>
                <w:szCs w:val="18"/>
                <w:color w:val="auto"/>
              </w:rPr>
              <w:t>Accrued and other current liabilities consisted of the following:</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7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2019</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Customer advances and deposits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wages and benefits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other than income taxes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Exchanges payable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Total accrued and other current liabilities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2,775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Deposits or advances are received from our customers as prepayments for natural gas deliveries in the following month. Prepayments and security deposits may be required when customers exceed their credit limits or do not qualify for open credit.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7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Our redeemable noncontrolling interests relate to certain preferred unitholders of one of our consolidated subsidiaries that have the option to convert their preferred units to such subsidiary’s common units at the election of the holders and the noncontrolling interest holders in one of our consolidated subsidiaries that have the option to sell their interests to us. In accordance with applicable accounting guidance, the noncontrolling interest is excluded from total equity and reflected as redeemable noncontrolling interests on our consolidated balance sheets. See Note 7 for further information.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Remediation</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accrue environmental remediation costs for work at identified sites where an assessment has indicated that cleanup costs are probable and reasonably estimable. Such accruals are undiscounted and are based on currently available information, estimated timing of remedial actions and related inflation assumptions, existing technology and presently enacted laws and regulations. If a range of probable environmental cleanup costs exists for an identified site, the minimum of the range is accrued unless some other point in the range is more likely in which case the most likely amount in the range is accrued.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cash equivalents, accounts receivable and accounts payable approximate their fair value.</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Based on the estimated borrowing rates currently available to us and our subsidiaries for loans with similar terms and average maturities, the aggregate fair value and carrying amount of our debt obligations as of December 31, 2020 was $56.21 billion and $51.44 billion, respectively. As of December 31, 2019, the aggregate fair value and carrying amount of our debt obligations was $54.79 billion and $51.05 billion, respectively. The fair value of our consolidated debt obligations is a Level 2 valuation based on the observable inputs used for similar liabilities.</w:t>
      </w:r>
    </w:p>
    <w:p>
      <w:pPr>
        <w:spacing w:after="0" w:line="11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We have commodity derivatives, interest rate derivatives and embedded derivatives in our preferred units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curve, is based on quotes from an active exchange of Eurodollar futures for the same period as the future interest swap settlements. Level 3 inputs are unobservable. During the year ended December 31, 2020, no transfers were made between any levels within the fair value hierarchy.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fair value of our financial assets and liabilities measured and recorded at fair value on a recurring basis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2020 and 2019 based on inputs used to derive their fair values: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Assets:</w:t>
            </w: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Commodity derivatives: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Natural Gas:</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Basis Swaps IFERC/NYMEX</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Swing Swaps IFERC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Fixed Swaps/Futures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Forward Physical Contracts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Forwards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Futures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Options – Calls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NGLs – Forwards/Swaps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Refined Products – Futures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Crude – Forwards/Swaps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Total commodity derivatives</w:t>
            </w:r>
          </w:p>
        </w:tc>
        <w:tc>
          <w:tcPr>
            <w:tcW w:w="2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2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7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7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Liabilities:</w:t>
            </w: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Interest rate derivatives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Commodity derivatives: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Natural Gas: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Basis Swaps IFERC/NYMEX</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Swing Swaps IFERC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Fixed Swaps/Futures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Forward Physical Contracts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8"/>
                <w:szCs w:val="18"/>
                <w:color w:val="auto"/>
              </w:rPr>
              <w:t>Futures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NGLs – Forwards/Swaps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Refined Products – Futures</w:t>
            </w:r>
          </w:p>
        </w:tc>
        <w:tc>
          <w:tcPr>
            <w:tcW w:w="2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commodity derivatives</w:t>
            </w:r>
          </w:p>
        </w:tc>
        <w:tc>
          <w:tcPr>
            <w:tcW w:w="2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7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40" w:type="dxa"/>
            <w:vAlign w:val="bottom"/>
            <w:gridSpan w:val="2"/>
          </w:tcPr>
          <w:p>
            <w:pPr>
              <w:jc w:val="right"/>
              <w:ind w:right="810"/>
              <w:spacing w:after="0"/>
              <w:rPr>
                <w:sz w:val="20"/>
                <w:szCs w:val="20"/>
                <w:color w:val="auto"/>
              </w:rPr>
            </w:pPr>
            <w:r>
              <w:rPr>
                <w:rFonts w:ascii="Arial" w:cs="Arial" w:eastAsia="Arial" w:hAnsi="Arial"/>
                <w:sz w:val="18"/>
                <w:szCs w:val="18"/>
                <w:color w:val="auto"/>
              </w:rPr>
              <w:t>F-23</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4"/>
          </w:tcPr>
          <w:p>
            <w:pPr>
              <w:ind w:left="18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50"/>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Fair Value Total</w:t>
            </w:r>
          </w:p>
        </w:tc>
        <w:tc>
          <w:tcPr>
            <w:tcW w:w="28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Power – Forwards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Crude - Forwards/Swaps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commodity derivatives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 in Aid of Construction Costs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certain of our capital projects, third parties are obligated to reimburse us for all or a portion of project expenditures. The majority of such arrangements are associated with pipeline construction and production well tie-ins. Contributions in aid of construction costs (“CIAC”) are netted against our project costs as they are received, and any CIAC which exceeds our total project costs, is recognized as other income in the period in which it is realized.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Shipping and Handling Costs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Shipping and handling costs are included in cost of products sold, except for shipping and handling costs related to fuel consumed for compression and treating which are included in operating expenses.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Costs and Expenses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of products sold include actual cost of fuel sold, adjusted for the effects of our hedging and other commodity derivative activities, and the cost of appliances, parts and fittings. Operating expenses include all costs incurred to provide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products to customers, including compensation for operations personnel, insurance costs, vehicle maintenance, advertising costs, purchasing costs and plant operations. Selling, general and administrative expenses include all partnership related expenses and compensation for executive, partnership, and administrative personnel.</w:t>
      </w:r>
    </w:p>
    <w:p>
      <w:pPr>
        <w:spacing w:after="0" w:line="1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record the collection of taxes to be remitted to government authorities on a net basis, except for consumer excise taxes collected by Sunoco LP on sales of refined products and merchandise which are included in both revenues and costs and expenses in the consolidated statements of operations, with no effect on net income. For the years ended December 31, 2020, 2019 and 2018, excise taxes collected by Sunoco LP were $301 million, $386 million and $370 million,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Issuances of Subsidiary Units</w:t>
      </w:r>
    </w:p>
    <w:p>
      <w:pPr>
        <w:spacing w:after="0" w:line="17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We record changes in our ownership interest of our subsidiaries as equity transactions, with no gain or loss recognized in consolidated net income or comprehensive income. For example, upon our subsidiary’s issuance of common units in a public offering, we record any difference between the amount of consideration received or paid and the amount by which the noncontrolling interests are adjusted as a change in partners’ capital.</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ET is a publicly traded limited partnership and is not taxable for federal and most state income tax purposes. As a result, our earnings or losses, to the extent not included in a taxable subsidiary, for federal and most state purposes are included in the tax returns of the individual partners. Net earnings for financial statement purposes may differ significantly from taxable income reportable to Unitholders as a result of differences between the tax basis and financial reporting basis of assets and liabilities, in addition to the allocation requirements related to taxable income under our Third Amended and Restated Agreement of Limited Partnership (the “Partnership Agreement”).</w:t>
      </w:r>
    </w:p>
    <w:p>
      <w:pPr>
        <w:spacing w:after="0" w:line="122"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As a publicly traded limited partnership, we are subject to a statutory requirement that our “qualifying income” (as defined by the Internal Revenue Code, related Treasury Regulations, and Internal Revenue Service (“IRS”) pronouncements) exceed 90% of our total gross income, determined on a calendar year basis. If our qualifying income does not meet this statutory requirement, ET would be taxed as a corporation for federal and state income tax purposes. For the years ended December 31, 2020, 2019 and 2018, our qualifying income met the statutory requirement.</w:t>
      </w:r>
    </w:p>
    <w:p>
      <w:pPr>
        <w:spacing w:after="0" w:line="10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 conducts certain activities through corporate subsidiaries which are subject to federal, state and local income taxes. These corporate subsidiaries include ETP Holdco, Inland Corporation, Sunoco Property Company LLC and Aloha. The Partnership and its corporate subsidiaries account for income taxes under the asset and liability method.</w:t>
      </w:r>
    </w:p>
    <w:p>
      <w:pPr>
        <w:spacing w:after="0" w:line="130"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Under this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 recognized in earnings in the period that includes the enactment date. Valuation allowances are established when necessary to reduce deferred tax assets to the amounts more likely than not to be realized.</w:t>
      </w:r>
    </w:p>
    <w:p>
      <w:pPr>
        <w:spacing w:after="0" w:line="12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Derivative Instruments and Hedging Activities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qualifying hedges, we formally document, designate and assess the effectiveness of transactions that receive hedge accounting treatment and the gains and losses offset related results on the hedged item in the statement of operations. The market prices used to value our financial derivatives and related transactions have been determined using independent third-party prices, readily available market information, broker quotes and appropriate valuation techniques.</w:t>
      </w:r>
    </w:p>
    <w:p>
      <w:pPr>
        <w:spacing w:after="0" w:line="133"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At inception of a hedge, we formally document the relationship between the hedging instrument and the hedged item, the risk management objectives, and the methods used for assessing and testing effectiveness and how any ineffectiveness will be measured and recorded. We also assess, both at the inception of the hedge and on a quarterly basis, whether the derivatives that are used in our hedging transactions are highly effective in offsetting changes in cash flows. If we determine that a derivative is no longer highly effective as a hedge, we discontinue hedge accounting prospectively by including changes in the fair value of the derivative in net income for the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If we designate a commodity hedging relationship as a fair value hedge, we record the changes in fair value of the hedged asset or liability in cost of products sold in our consolidated statements of operations. This amount is offset by the changes in fair value of the related hedging instrument. Any ineffective portion or amount excluded from the assessment of hedge ineffectiveness is also included in the cost of products sold in the consolidated statements of operations.</w:t>
      </w:r>
    </w:p>
    <w:p>
      <w:pPr>
        <w:spacing w:after="0" w:line="1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flows from derivatives accounted for as cash flow hedges are reported as cash flows from operating activities, in the same category as the cash flows from the items being hedged.</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manage a portion of our interest rate exposures by utilizing interest rate swaps and similar instruments. Certain of our interest rate derivatives are accounted for as either cash flow hedges or fair value hedges. For interest rate derivatives accounted for as either cash flow or fair value hedges, we report realized gains and losses and ineffectiveness portions of those hedges in interest expense. For interest rate derivatives not designated as hedges for accounting purposes, we report realized and unrealized gains and losses on those derivatives in “Gains (losses) on interest rate derivatives” in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Compensation</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awards of restricted units, we recognize compensation expense over the vesting period based on the grant-date fair value, which is determined based on the market price of the underlying common units on the grant date. For awards of cash restricted units, we remeasure the fair value of the award at the end of each reporting period based on the market price of the underlying common units as of the reporting date, and the fair value is recorded in other non-current liabilities on our consolidated balance sheets.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Pensions and Other Postretirement Benefit Plans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 recognizes the overfunded or underfunded status of defined benefit pension and other postretirement plans, measured as the difference between the fair value of the plan assets and the benefit obligation (the projected benefit obligation for pension plans and the accumulated postretirement benefit obligation for other postretirement plans). Each overfunded plan is recognized as an asset and each underfunded plan is recognized as a liability. Changes in the funded status of the plan are recorded in the year in which the change occurs within AOCI in equity or, for entities applying regulatory accounting, as a regulatory asset or regulatory liability.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Allocation of Income</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purposes of maintaining partner capital accounts, the Partnership Agreement specifies that items of income and loss shall generally be allocated among the partners in accordance with their percentage interests.</w:t>
      </w:r>
    </w:p>
    <w:p>
      <w:pPr>
        <w:spacing w:after="0" w:line="112" w:lineRule="exact"/>
        <w:rPr>
          <w:sz w:val="20"/>
          <w:szCs w:val="20"/>
          <w:color w:val="auto"/>
        </w:rPr>
      </w:pPr>
    </w:p>
    <w:p>
      <w:pPr>
        <w:ind w:left="340" w:right="5280" w:hanging="332"/>
        <w:spacing w:after="0" w:line="440" w:lineRule="auto"/>
        <w:tabs>
          <w:tab w:leader="none" w:pos="3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DIVESTITURES AND RELATED TRANSACTIONS</w:t>
      </w:r>
      <w:r>
        <w:rPr>
          <w:rFonts w:ascii="Arial" w:cs="Arial" w:eastAsia="Arial" w:hAnsi="Arial"/>
          <w:sz w:val="18"/>
          <w:szCs w:val="18"/>
          <w:b w:val="1"/>
          <w:bCs w:val="1"/>
          <w:color w:val="auto"/>
        </w:rPr>
        <w:t>: Pending Enable Acquisition</w:t>
      </w:r>
    </w:p>
    <w:p>
      <w:pPr>
        <w:spacing w:after="0" w:line="1" w:lineRule="exact"/>
        <w:rPr>
          <w:rFonts w:ascii="Arial" w:cs="Arial" w:eastAsia="Arial" w:hAnsi="Arial"/>
          <w:sz w:val="18"/>
          <w:szCs w:val="18"/>
          <w:b w:val="1"/>
          <w:bCs w:val="1"/>
          <w:color w:val="auto"/>
        </w:rPr>
      </w:pPr>
    </w:p>
    <w:p>
      <w:pPr>
        <w:jc w:val="both"/>
        <w:ind w:left="3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On February 17, 2021, the Partnership announced its entry into a definitive merger agreement to acquire Enable. Under the terms of the merger agreement, Enable’s common unitholders will receive 0.8595 of an ET common unit in exchange for each Enable common unit. In addition, each outstanding Enable Series A preferred unit will be exchanged for 0.0265 of an ET Series G preferred unit, and ET will make a $10 million cash payment for Enable’s general partner. The transaction is subject to the approval of Enable’s unitholders and other customary regulatory approvals.</w:t>
      </w:r>
    </w:p>
    <w:p>
      <w:pPr>
        <w:spacing w:after="0" w:line="9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SemGroup Acquisition and ET Contribution of SemGroup Assets to ETO</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5, 2019, ET completed the acquisition of SemGroup pursuant to the terms of the Agreement and Plan of Merger, dated as of September 15, 2019 (the “Merger Agreement”). Under the terms of the Merger Agreement, a wholly owned subsidiary of ET merged with and into SemGroup (the “SemGroup Transaction”), with SemGroup surviving the merger. At the effective time of the SemGroup Transaction on December 5, 2019, each share of class A common stock, par value $0.01 per share, of SemGroup issued and outstanding immediately prior to the effective time was converted into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right to receive (i) $6.80 in cash, without interest, and (ii) 0.7275 ET Common Units representing limited partner interests in ET. Each share of Series A Cumulative Perpetual Convertible Preferred Stock, par value $0.01 per share, of SemGroup that was issued and outstanding as of immediately prior to the effective time was redeemed by SemGroup for cash at a price per share equal to 101% of the liquidation preference.</w:t>
      </w:r>
    </w:p>
    <w:p>
      <w:pPr>
        <w:spacing w:after="0" w:line="1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During the first and second quarters of 2020, ET contributed former SemGroup assets to ETO through sale and contribution transactions. The following table represents the fair value, as of December 5, 2019, of the SemGroup assets and liabilities transferred from ET to ETO:</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9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At December 5, 2019</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89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8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debt, less current maturities </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Canada Preferred shares</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89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70"/>
        </w:trPr>
        <w:tc>
          <w:tcPr>
            <w:tcW w:w="8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70"/>
        </w:trPr>
        <w:tc>
          <w:tcPr>
            <w:tcW w:w="8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Partners’ capital</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48"/>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8"/>
        <w:spacing w:after="0" w:line="238" w:lineRule="auto"/>
        <w:tabs>
          <w:tab w:leader="none" w:pos="556" w:val="left"/>
        </w:tabs>
        <w:numPr>
          <w:ilvl w:val="0"/>
          <w:numId w:val="139"/>
        </w:numPr>
        <w:rPr>
          <w:rFonts w:ascii="Arial" w:cs="Arial" w:eastAsia="Arial" w:hAnsi="Arial"/>
          <w:sz w:val="22"/>
          <w:szCs w:val="22"/>
          <w:color w:val="auto"/>
          <w:vertAlign w:val="superscript"/>
        </w:rPr>
      </w:pPr>
      <w:r>
        <w:rPr>
          <w:rFonts w:ascii="Arial" w:cs="Arial" w:eastAsia="Arial" w:hAnsi="Arial"/>
          <w:sz w:val="17"/>
          <w:szCs w:val="17"/>
          <w:color w:val="auto"/>
        </w:rPr>
        <w:t>Long-term debt at December 5, 2019 includes SemGroup senior notes with an aggregate principal amount of $1.375 billion and SemGroup subsidiary debt of $593 million, all of which was redeemed in December 2019, subsequent to the close of the SemGroup Transaction.</w:t>
      </w:r>
    </w:p>
    <w:p>
      <w:pPr>
        <w:spacing w:after="0" w:line="14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During 2020, the Partnership has recorded impairments on certain of the contributed SemGroup assets. Those impairments include a $244 million impairment of goodwill and a $129 million impairment of other non-current assets.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 Contribution of Assets to ETO</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prior to the closing of the Energy Transfer Merger discussed in Note 1, ET contributed the following to ETO:</w:t>
      </w:r>
    </w:p>
    <w:p>
      <w:pPr>
        <w:spacing w:after="0" w:line="117"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2,263,158 common units representing limited partner interests in Sunoco LP to ETO in exchange for 2,874,275 ETO common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100 percent of the limited liability company interests in Sunoco GP LLC, the sole general partner of Sunoco LP, and all of the IDRs in Sunoco LP, to ETO in exchange for 42,812,389 ETO common units;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12,466,912 common units representing limited partner interests in USAC and 100 percent of the limited liability company interests in USA Compression GP, LLC, the general partner of USAC, to ETO in exchange for 16,134,903 ETO common units;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100 percent limited liability company interest in Lake Charles LNG and a 60 percent limited liability company interest in each of Energy Transfer LNG Export, LLC, ET Crude Oil Terminals, LLC and ETC Illinois LLC to ETO in exchange for 37,557,815 ETO common units.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Acquisition</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April 2, 2018, ET acquired a controlling interest in USAC, a publicly traded partnership that provides compression services in the United States. Specifically, the Partnership acquired (i) all of the outstanding limited liability company interests in USA Compression GP, LLC (“USAC GP”), the general partner of USAC, and (ii) 12,466,912 USAC common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units representing limited partner interests in USAC for cash consideration equal to $250 million (the “USAC Transaction”). Concurrently, USAC cancelled its IDRs and converted its economic general partner interest into a non-economic general partner interest in exchange for the issuance of 8,000,000 USAC common units to USAC GP.</w:t>
      </w:r>
    </w:p>
    <w:p>
      <w:pPr>
        <w:spacing w:after="0" w:line="130"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Concurrent with these transactions, ETO contributed to USAC all of the issued and outstanding membership interests of CDM for aggregate consideration of approximately $1.7 billion, consisting of (i) 19,191,351 USAC common units, (ii) 6,397,965 units of a newly authorized and established class of units representing limited partner interests in USAC (“USAC Class B Units”) and (iii) $1.23 billion in cash, including customary closing adjustments (the “CDM Contribution”). The USAC Class B Units are a new class of partnership interests of USAC that have substantially all of the rights and obligations of a USAC common unit, except the USAC Class B Units will not participate in distributions for the first four quarters following the closing date of April 2, 2018. Each USAC Class B Unit will automatically convert into one USAC common unit on the first business day following the record date attributable to the quarter ending June 30, 2019.</w:t>
      </w:r>
    </w:p>
    <w:p>
      <w:pPr>
        <w:spacing w:after="0" w:line="123" w:lineRule="exact"/>
        <w:rPr>
          <w:sz w:val="20"/>
          <w:szCs w:val="20"/>
          <w:color w:val="auto"/>
        </w:rPr>
      </w:pPr>
    </w:p>
    <w:p>
      <w:pPr>
        <w:ind w:left="340" w:right="2140"/>
        <w:spacing w:after="0" w:line="277" w:lineRule="auto"/>
        <w:rPr>
          <w:sz w:val="20"/>
          <w:szCs w:val="20"/>
          <w:color w:val="auto"/>
        </w:rPr>
      </w:pPr>
      <w:r>
        <w:rPr>
          <w:rFonts w:ascii="Arial" w:cs="Arial" w:eastAsia="Arial" w:hAnsi="Arial"/>
          <w:sz w:val="18"/>
          <w:szCs w:val="18"/>
          <w:color w:val="auto"/>
        </w:rPr>
        <w:t>Prior to the USAC acquisition, the CDM entities were indirect wholly-owned subsidiaries of ETO. Beginning April 2018, ETE’s consolidated financial statements reflected USAC as a consolidated subsidiary.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Assets Acquired and Liabilities Assumed</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USAC Transaction was recorded using the acquisition method of accounting, which requires, among other things, that assets acquired and liabilities assumed be recognized on the balance sheet at their fair values as of the acquisition date.</w:t>
      </w:r>
    </w:p>
    <w:p>
      <w:pPr>
        <w:sectPr>
          <w:pgSz w:w="11900" w:h="16838" w:orient="portrait"/>
          <w:cols w:equalWidth="0" w:num="1">
            <w:col w:w="11240"/>
          </w:cols>
          <w:pgMar w:left="320" w:top="118"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purchase price was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354965</wp:posOffset>
            </wp:positionV>
            <wp:extent cx="666940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r>
        <w:rPr>
          <w:rFonts w:ascii="Arial" w:cs="Arial" w:eastAsia="Arial" w:hAnsi="Arial"/>
          <w:sz w:val="23"/>
          <w:szCs w:val="23"/>
          <w:color w:val="auto"/>
          <w:vertAlign w:val="superscript"/>
        </w:rPr>
        <w:t>(2)</w:t>
      </w:r>
    </w:p>
    <w:p>
      <w:pPr>
        <w:ind w:left="36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6940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non-current assets</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669405"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Intangible assets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less current maturities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669405"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669405"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 and partners’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At April 2, 2018</w:t>
      </w:r>
    </w:p>
    <w:p>
      <w:pPr>
        <w:spacing w:after="0" w:line="48" w:lineRule="exact"/>
        <w:rPr>
          <w:sz w:val="20"/>
          <w:szCs w:val="20"/>
          <w:color w:val="auto"/>
        </w:rPr>
      </w:pPr>
    </w:p>
    <w:p>
      <w:pPr>
        <w:ind w:left="1060" w:hanging="1051"/>
        <w:spacing w:after="0"/>
        <w:tabs>
          <w:tab w:leader="none" w:pos="10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786</w:t>
      </w:r>
    </w:p>
    <w:p>
      <w:pPr>
        <w:spacing w:after="0" w:line="57"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5"/>
          <w:szCs w:val="15"/>
          <w:color w:val="auto"/>
        </w:rPr>
        <w:t>1,332</w:t>
      </w:r>
    </w:p>
    <w:p>
      <w:pPr>
        <w:spacing w:after="0" w:line="57"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6"/>
          <w:szCs w:val="16"/>
          <w:color w:val="auto"/>
        </w:rPr>
        <w:t>15</w:t>
      </w:r>
    </w:p>
    <w:p>
      <w:pPr>
        <w:spacing w:after="0" w:line="45"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366</w:t>
      </w:r>
    </w:p>
    <w:p>
      <w:pPr>
        <w:spacing w:after="0" w:line="57"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8915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0" w:lineRule="exact"/>
        <w:rPr>
          <w:sz w:val="20"/>
          <w:szCs w:val="20"/>
          <w:color w:val="auto"/>
        </w:rPr>
      </w:pPr>
    </w:p>
    <w:p>
      <w:pPr>
        <w:ind w:left="920" w:hanging="911"/>
        <w:spacing w:after="0"/>
        <w:tabs>
          <w:tab w:leader="none" w:pos="9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2,721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915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334" w:lineRule="exact"/>
        <w:rPr>
          <w:sz w:val="20"/>
          <w:szCs w:val="20"/>
          <w:color w:val="auto"/>
        </w:rPr>
      </w:pPr>
    </w:p>
    <w:p>
      <w:pPr>
        <w:ind w:left="1060" w:hanging="1051"/>
        <w:spacing w:after="0"/>
        <w:tabs>
          <w:tab w:leader="none" w:pos="10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110</w:t>
      </w:r>
    </w:p>
    <w:p>
      <w:pPr>
        <w:spacing w:after="0" w:line="57"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5"/>
          <w:szCs w:val="15"/>
          <w:color w:val="auto"/>
        </w:rPr>
        <w:t>1,527</w:t>
      </w:r>
    </w:p>
    <w:p>
      <w:pPr>
        <w:spacing w:after="0" w:line="57"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3"/>
          <w:szCs w:val="13"/>
          <w:color w:val="auto"/>
        </w:rPr>
        <w:t>2</w:t>
      </w:r>
    </w:p>
    <w:p>
      <w:pPr>
        <w:spacing w:after="0" w:line="92"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5"/>
          <w:szCs w:val="15"/>
          <w:color w:val="auto"/>
        </w:rPr>
        <w:t>1,639</w:t>
      </w:r>
    </w:p>
    <w:p>
      <w:pPr>
        <w:spacing w:after="0" w:line="32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832</w:t>
      </w:r>
    </w:p>
    <w:p>
      <w:pPr>
        <w:spacing w:after="0" w:line="29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915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6" w:lineRule="exact"/>
        <w:rPr>
          <w:sz w:val="20"/>
          <w:szCs w:val="20"/>
          <w:color w:val="auto"/>
        </w:rPr>
      </w:pPr>
    </w:p>
    <w:p>
      <w:pPr>
        <w:ind w:left="920" w:hanging="911"/>
        <w:spacing w:after="0"/>
        <w:tabs>
          <w:tab w:leader="none" w:pos="9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2,721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915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8915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8720" w:space="720"/>
            <w:col w:w="1800"/>
          </w:cols>
          <w:pgMar w:left="320" w:top="118" w:right="339" w:bottom="1440" w:gutter="0" w:footer="0" w:header="0"/>
          <w:type w:val="continuous"/>
        </w:sectPr>
      </w:pPr>
    </w:p>
    <w:p>
      <w:pPr>
        <w:ind w:left="660" w:hanging="328"/>
        <w:spacing w:after="0" w:line="227" w:lineRule="auto"/>
        <w:tabs>
          <w:tab w:leader="none" w:pos="648"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None of the goodwill is expected to be deductible for tax purposes. Goodwill recognized from the business combination primarily relates to the value attributed to additional growth opportunities, synergies and operating leverage within USAC’s operations.</w:t>
      </w:r>
    </w:p>
    <w:p>
      <w:pPr>
        <w:spacing w:after="0" w:line="59"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Includes cash and cash equivalents of $711 million held by USAC as of the acquisition date.</w:t>
      </w:r>
    </w:p>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values of the assets acquired and liabilities assumed were determined using various valuation techniques, including the income and market approaches.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Retail Store Divestment</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January 23, 2018, Sunoco LP completed the disposition of assets pursuant to the purchase agreement with 7-Eleven, Inc. (the “7-Eleven Transaction”). As a result of the 7-Eleven Transaction, previously eliminated wholesale motor fuel sales to Sunoco LP’s retail locations are reported as wholesale motor fuel sales to third parties.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4" w:name="page195"/>
    <w:bookmarkEnd w:id="1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In connection with the 7-Eleven Transaction, Sunoco LP entered into a 15-year take-or-pay fuel supply arrangement with 7-Eleven and SEI Fuel. For the period from January 1, 2018 through January 22, 2018, Sunoco LP recorded sales to the sites that were subsequently sold to 7-Eleven of $199 million, which sales were eliminated in consolidation.</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has concluded that it meets the accounting requirements for reporting the financial position, results of operations and cash flows of the 7-Eleven Transaction and the operations of the related assets as discontinued operations.</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There were no results of operations associated with discontinued operations for the year ended December 31, 2019. The results of operations associated with discontinued operations for the years ended December 31, 2018 and 2017 are presented in the following table:</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w w:val="88"/>
              </w:rPr>
              <w:t>Year Ended December</w:t>
            </w:r>
          </w:p>
        </w:tc>
      </w:tr>
      <w:tr>
        <w:trPr>
          <w:trHeight w:val="229"/>
        </w:trPr>
        <w:tc>
          <w:tcPr>
            <w:tcW w:w="8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31, 2018</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70"/>
        </w:trPr>
        <w:tc>
          <w:tcPr>
            <w:tcW w:w="8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8980" w:type="dxa"/>
            <w:vAlign w:val="bottom"/>
          </w:tcPr>
          <w:p>
            <w:pPr>
              <w:ind w:left="340"/>
              <w:spacing w:after="0"/>
              <w:rPr>
                <w:sz w:val="20"/>
                <w:szCs w:val="20"/>
                <w:color w:val="auto"/>
              </w:rPr>
            </w:pPr>
            <w:r>
              <w:rPr>
                <w:rFonts w:ascii="Arial" w:cs="Arial" w:eastAsia="Arial" w:hAnsi="Arial"/>
                <w:sz w:val="18"/>
                <w:szCs w:val="18"/>
                <w:color w:val="auto"/>
              </w:rPr>
              <w:t>Cost of products sold</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89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 EXPENSE</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 ATTRIBUTABLE TO 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6440" w:hanging="332"/>
        <w:spacing w:after="0" w:line="440" w:lineRule="auto"/>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UNCONSOLIDATED AFFILIATES</w:t>
      </w:r>
      <w:r>
        <w:rPr>
          <w:rFonts w:ascii="Arial" w:cs="Arial" w:eastAsia="Arial" w:hAnsi="Arial"/>
          <w:sz w:val="18"/>
          <w:szCs w:val="18"/>
          <w:b w:val="1"/>
          <w:bCs w:val="1"/>
          <w:color w:val="auto"/>
        </w:rPr>
        <w:t>: Citrus</w:t>
      </w:r>
    </w:p>
    <w:p>
      <w:pPr>
        <w:spacing w:after="0" w:line="1"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ETO owns CrossCountry Energy, LLC, a wholly-owned subsidiary of ETO, which in turn owns a 50% interest in Citrus. The other 50% interest in Citrus is owned by a subsidiary of KMI. Citrus owns 100% of FGT, an approximately 5,362-mile natural gas pipeline system that originates in Texas and delivers natural gas to the Florida peninsula. Our investment in Citrus is reflected in our interstate transportation and storage segment.</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FEP</w:t>
      </w:r>
    </w:p>
    <w:p>
      <w:pPr>
        <w:spacing w:after="0" w:line="17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ETO has a 50% interest in FEP which owns the Fayetteville Express Pipeline, an approximately 185-mile natural gas pipeline that originates in Conway County, Arkansas, continues eastward through White County, Arkansas and terminates at an interconnect with Trunkline in Panola County, Mississippi. ETO’s investment in FEP is reflected in the interstate transportation and storage segment.</w:t>
      </w:r>
    </w:p>
    <w:p>
      <w:pPr>
        <w:spacing w:after="0" w:line="1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MEP</w:t>
      </w:r>
    </w:p>
    <w:p>
      <w:pPr>
        <w:spacing w:after="0" w:line="175" w:lineRule="exact"/>
        <w:rPr>
          <w:rFonts w:ascii="Arial" w:cs="Arial" w:eastAsia="Arial" w:hAnsi="Arial"/>
          <w:sz w:val="18"/>
          <w:szCs w:val="18"/>
          <w:b w:val="1"/>
          <w:bCs w:val="1"/>
          <w:color w:val="auto"/>
        </w:rPr>
      </w:pPr>
    </w:p>
    <w:p>
      <w:pPr>
        <w:jc w:val="both"/>
        <w:ind w:left="34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ETO owns a 50% interest in MEP, which owns the Midcontinent Express Pipeline, an approximately 500-miles natural gas pipeline that extends from Southeast Oklahoma, across Northeast Texas, Northern Louisiana and Central Mississippi to an interconnect with the Transcontinental natural gas pipeline system in Butler, Alabama. ETO’s investment in MEP is reflected in the interstate transportation and storage segment.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White Cliffs</w:t>
      </w:r>
    </w:p>
    <w:p>
      <w:pPr>
        <w:spacing w:after="0" w:line="17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We own a 51% interest in White Cliffs, which was acquired by ET in the SemGroup acquisition and contributed to ETO in January 2020. White Cliffs consists of two parallel, 12-inch common carrier pipelines: one crude oil pipeline and one NGL pipeline. These pipelines transport crude and NGLs from Platteville, Colorado to Cushing, Oklahoma. The Partnership recorded an impairment of its investment in White Cliffs of $129 million during the year ended December 31, 2020 due to a decrease in projected future revenues and cash flows as a result of the overall market demand decline that occurred subsequent to the SemGroup acquisition and related purchase price allocation in December 2019.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the Partnership’s investments in unconsolidated affiliates as of December 31, 2020 and 2019 were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FEP</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White Cliffs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3,460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spacing w:after="0"/>
              <w:rPr>
                <w:sz w:val="20"/>
                <w:szCs w:val="20"/>
                <w:color w:val="auto"/>
              </w:rPr>
            </w:pPr>
            <w:r>
              <w:rPr>
                <w:rFonts w:ascii="Arial" w:cs="Arial" w:eastAsia="Arial" w:hAnsi="Arial"/>
                <w:sz w:val="18"/>
                <w:szCs w:val="18"/>
                <w:color w:val="auto"/>
                <w:w w:val="98"/>
              </w:rPr>
              <w:t>The following table presents equity in earnings (losses) of unconsolidated affiliates:</w:t>
            </w: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230"/>
              <w:spacing w:after="0"/>
              <w:rPr>
                <w:sz w:val="20"/>
                <w:szCs w:val="20"/>
                <w:color w:val="auto"/>
              </w:rPr>
            </w:pPr>
            <w:r>
              <w:rPr>
                <w:rFonts w:ascii="Arial" w:cs="Arial" w:eastAsia="Arial" w:hAnsi="Arial"/>
                <w:sz w:val="18"/>
                <w:szCs w:val="18"/>
                <w:color w:val="auto"/>
                <w:w w:val="93"/>
              </w:rPr>
              <w:t>Years Ended December 31,</w:t>
            </w: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FEP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White Cliffs</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Total equity in earnings of unconsolidated affiliates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80" w:right="20" w:hanging="248"/>
        <w:spacing w:after="0" w:line="227" w:lineRule="auto"/>
        <w:tabs>
          <w:tab w:leader="none" w:pos="545" w:val="left"/>
        </w:tabs>
        <w:numPr>
          <w:ilvl w:val="0"/>
          <w:numId w:val="147"/>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equity in earnings (losses) of unconsolidated affiliates includes the impact of non-cash impairments recorded by FEP, which reduced the Partnership’s equity in earnings by $208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Summarized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aggregated selected balance sheet and income statement data for our unconsolidated affiliates, Citrus, FEP, MEP,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White Cliffs (on a 100% basis) for all periods presented, except as noted below:</w:t>
      </w:r>
    </w:p>
    <w:p>
      <w:pPr>
        <w:spacing w:after="0" w:line="29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7,680</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w:t>
            </w:r>
          </w:p>
        </w:tc>
        <w:tc>
          <w:tcPr>
            <w:tcW w:w="9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48"/>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60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color w:val="auto"/>
              </w:rPr>
              <w:t>Years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 addition to the equity method investments described above we have other equity method investments which are not significant to our consolidated financial statements.</w:t>
      </w:r>
    </w:p>
    <w:p>
      <w:pPr>
        <w:spacing w:after="0" w:line="112"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LIMITED PARTNER UNIT</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Basic net income per limited partner unit is computed by dividing net income, after considering the General Partner’s interest, by the weighted average number of limited partner interests outstanding. Diluted net income per limited partner unit is computed by dividing net income (as adjusted as discussed herein), after considering the General Partner’s interest, by the weighted average number of limited partner interests outstanding and the assumed conversion of the ET Series A Convertible Preferred Units, as discussed in Note 8. For the diluted earnings per share computation, income allocable to the limited partners is reduced, where applicable, for the decrease in earnings from ET’s limited partner unit ownership in ETO or Sunoco LP that would have resulted assuming the incremental units related to our or Sunoco LP’s equity incentive plans, as applicable, had been issued during the respective periods. Such units have been determined based on the treasury stock method.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net income and weighted average units used in computing basic and diluted net income per unit is as follows:</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59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Less: Income from continuing operations attributable to noncontrolling</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(loss) from continuing operations, net of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Less: General Partner’s interest in income (loss) from continuing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5980" w:type="dxa"/>
            <w:vAlign w:val="bottom"/>
          </w:tcPr>
          <w:p>
            <w:pPr>
              <w:ind w:left="220"/>
              <w:spacing w:after="0" w:line="176" w:lineRule="exact"/>
              <w:rPr>
                <w:sz w:val="20"/>
                <w:szCs w:val="20"/>
                <w:color w:val="auto"/>
              </w:rPr>
            </w:pPr>
            <w:r>
              <w:rPr>
                <w:rFonts w:ascii="Arial" w:cs="Arial" w:eastAsia="Arial" w:hAnsi="Arial"/>
                <w:sz w:val="18"/>
                <w:szCs w:val="18"/>
                <w:color w:val="auto"/>
                <w:w w:val="96"/>
              </w:rPr>
              <w:t>Less: ET Series A Convertible Preferred Unitholders’ interest in net income</w:t>
            </w:r>
          </w:p>
        </w:tc>
        <w:tc>
          <w:tcPr>
            <w:tcW w:w="3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from continuing operations</w:t>
            </w: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available to Limited Partners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3"/>
              </w:rPr>
              <w:t>Basic Income (Loss) from Continuing Operations per Limited Partner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limited partner units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Basic income (loss) from continuing operations per Limited Partner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from discontinued operations per Limited Partner unit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8"/>
              </w:rPr>
              <w:t>Diluted Income (Loss) from Continuing Operations per Limited Partner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Unit: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available to Limited Partners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176"/>
        </w:trPr>
        <w:tc>
          <w:tcPr>
            <w:tcW w:w="5980" w:type="dxa"/>
            <w:vAlign w:val="bottom"/>
          </w:tcPr>
          <w:p>
            <w:pPr>
              <w:ind w:left="180"/>
              <w:spacing w:after="0" w:line="176" w:lineRule="exact"/>
              <w:rPr>
                <w:sz w:val="20"/>
                <w:szCs w:val="20"/>
                <w:color w:val="auto"/>
              </w:rPr>
            </w:pPr>
            <w:r>
              <w:rPr>
                <w:rFonts w:ascii="Arial" w:cs="Arial" w:eastAsia="Arial" w:hAnsi="Arial"/>
                <w:sz w:val="18"/>
                <w:szCs w:val="18"/>
                <w:color w:val="auto"/>
                <w:w w:val="91"/>
              </w:rPr>
              <w:t>Dilutive effect of equity-based compensation of subsidiaries and distributions to</w:t>
            </w:r>
          </w:p>
        </w:tc>
        <w:tc>
          <w:tcPr>
            <w:tcW w:w="3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980" w:type="dxa"/>
            <w:vAlign w:val="bottom"/>
          </w:tcPr>
          <w:p>
            <w:pPr>
              <w:ind w:left="340"/>
              <w:spacing w:after="0"/>
              <w:rPr>
                <w:sz w:val="20"/>
                <w:szCs w:val="20"/>
                <w:color w:val="auto"/>
              </w:rPr>
            </w:pPr>
            <w:r>
              <w:rPr>
                <w:rFonts w:ascii="Arial" w:cs="Arial" w:eastAsia="Arial" w:hAnsi="Arial"/>
                <w:sz w:val="18"/>
                <w:szCs w:val="18"/>
                <w:color w:val="auto"/>
              </w:rPr>
              <w:t>convertible units</w:t>
            </w: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Diluted income (loss) from continuing operations available to Limited Partners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limited partner units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2,695.6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2,628.0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Dilutive effect of unconverted unit awards and ET Series A Convertible</w:t>
            </w: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Units</w:t>
            </w: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Dilutive effect of unvested unit awards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55"/>
        </w:trPr>
        <w:tc>
          <w:tcPr>
            <w:tcW w:w="598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5"/>
              </w:rPr>
              <w:t>Weighted average limited partner units, assuming dilutive effect of unvested</w:t>
            </w: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2,695.6</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2,637.6</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unit awards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 income (loss) from continuing operations per Limited Partner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from discontinued operations per Limited Partner unit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8" w:right="75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debt obligations consist of the following:</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8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color w:val="auto"/>
                <w:w w:val="95"/>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80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r>
      <w:tr>
        <w:trPr>
          <w:trHeight w:val="199"/>
        </w:trPr>
        <w:tc>
          <w:tcPr>
            <w:tcW w:w="7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 Indebtedness: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580" w:type="dxa"/>
            <w:vAlign w:val="bottom"/>
            <w:gridSpan w:val="2"/>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7.50% Senior Notes due October 15, 2020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7580" w:type="dxa"/>
            <w:vAlign w:val="bottom"/>
            <w:gridSpan w:val="2"/>
          </w:tcPr>
          <w:p>
            <w:pPr>
              <w:ind w:left="140"/>
              <w:spacing w:after="0"/>
              <w:rPr>
                <w:sz w:val="20"/>
                <w:szCs w:val="20"/>
                <w:color w:val="auto"/>
              </w:rPr>
            </w:pPr>
            <w:r>
              <w:rPr>
                <w:rFonts w:ascii="Arial" w:cs="Arial" w:eastAsia="Arial" w:hAnsi="Arial"/>
                <w:sz w:val="16"/>
                <w:szCs w:val="16"/>
                <w:color w:val="auto"/>
              </w:rPr>
              <w:t>4.25% Senior Notes due March 15, 2023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5.875% Senior Notes due January 15, 2024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5.50% Senior Notes due June 1, 2027</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8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199"/>
        </w:trPr>
        <w:tc>
          <w:tcPr>
            <w:tcW w:w="80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Subsidiary Indebtedness: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00" w:type="dxa"/>
            <w:vAlign w:val="bottom"/>
          </w:tcPr>
          <w:p>
            <w:pPr>
              <w:ind w:left="120"/>
              <w:spacing w:after="0"/>
              <w:rPr>
                <w:sz w:val="20"/>
                <w:szCs w:val="20"/>
                <w:color w:val="auto"/>
              </w:rPr>
            </w:pPr>
            <w:r>
              <w:rPr>
                <w:rFonts w:ascii="Arial" w:cs="Arial" w:eastAsia="Arial" w:hAnsi="Arial"/>
                <w:sz w:val="16"/>
                <w:szCs w:val="16"/>
                <w:b w:val="1"/>
                <w:bCs w:val="1"/>
                <w:i w:val="1"/>
                <w:iCs w:val="1"/>
                <w:color w:val="auto"/>
                <w:w w:val="90"/>
              </w:rPr>
              <w:t>ETO Debt</w:t>
            </w:r>
          </w:p>
        </w:tc>
        <w:tc>
          <w:tcPr>
            <w:tcW w:w="6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5.50%</w:t>
            </w:r>
          </w:p>
        </w:tc>
        <w:tc>
          <w:tcPr>
            <w:tcW w:w="678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Senior Notes due February 15, 2020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800" w:type="dxa"/>
            <w:vAlign w:val="bottom"/>
          </w:tcPr>
          <w:p>
            <w:pPr>
              <w:ind w:left="340"/>
              <w:spacing w:after="0"/>
              <w:rPr>
                <w:sz w:val="20"/>
                <w:szCs w:val="20"/>
                <w:color w:val="auto"/>
              </w:rPr>
            </w:pPr>
            <w:r>
              <w:rPr>
                <w:rFonts w:ascii="Arial" w:cs="Arial" w:eastAsia="Arial" w:hAnsi="Arial"/>
                <w:sz w:val="16"/>
                <w:szCs w:val="16"/>
                <w:color w:val="auto"/>
                <w:w w:val="96"/>
              </w:rPr>
              <w:t>5.75%</w:t>
            </w:r>
          </w:p>
        </w:tc>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Senior Notes due September 1, 2020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6"/>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4.15%</w:t>
            </w:r>
          </w:p>
        </w:tc>
        <w:tc>
          <w:tcPr>
            <w:tcW w:w="6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Senior Notes due October 1, 2020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6"/>
        </w:trPr>
        <w:tc>
          <w:tcPr>
            <w:tcW w:w="800" w:type="dxa"/>
            <w:vAlign w:val="bottom"/>
          </w:tcPr>
          <w:p>
            <w:pPr>
              <w:ind w:left="340"/>
              <w:spacing w:after="0"/>
              <w:rPr>
                <w:sz w:val="20"/>
                <w:szCs w:val="20"/>
                <w:color w:val="auto"/>
              </w:rPr>
            </w:pPr>
            <w:r>
              <w:rPr>
                <w:rFonts w:ascii="Arial" w:cs="Arial" w:eastAsia="Arial" w:hAnsi="Arial"/>
                <w:sz w:val="16"/>
                <w:szCs w:val="16"/>
                <w:color w:val="auto"/>
                <w:w w:val="96"/>
              </w:rPr>
              <w:t>7.50%</w:t>
            </w:r>
          </w:p>
        </w:tc>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Senior Notes due October 15, 2020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6"/>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4.40%</w:t>
            </w:r>
          </w:p>
        </w:tc>
        <w:tc>
          <w:tcPr>
            <w:tcW w:w="6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Senior Notes due April 1, 2021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800" w:type="dxa"/>
            <w:vAlign w:val="bottom"/>
          </w:tcPr>
          <w:p>
            <w:pPr>
              <w:ind w:left="340"/>
              <w:spacing w:after="0"/>
              <w:rPr>
                <w:sz w:val="20"/>
                <w:szCs w:val="20"/>
                <w:color w:val="auto"/>
              </w:rPr>
            </w:pPr>
            <w:r>
              <w:rPr>
                <w:rFonts w:ascii="Arial" w:cs="Arial" w:eastAsia="Arial" w:hAnsi="Arial"/>
                <w:sz w:val="16"/>
                <w:szCs w:val="16"/>
                <w:color w:val="auto"/>
                <w:w w:val="96"/>
              </w:rPr>
              <w:t>4.65%</w:t>
            </w:r>
          </w:p>
        </w:tc>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Senior Notes due June 1, 2021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6"/>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5.20%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February 1, 2022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4.65%</w:t>
            </w:r>
          </w:p>
        </w:tc>
        <w:tc>
          <w:tcPr>
            <w:tcW w:w="6780" w:type="dxa"/>
            <w:vAlign w:val="bottom"/>
          </w:tcPr>
          <w:p>
            <w:pPr>
              <w:spacing w:after="0"/>
              <w:rPr>
                <w:sz w:val="20"/>
                <w:szCs w:val="20"/>
                <w:color w:val="auto"/>
              </w:rPr>
            </w:pPr>
            <w:r>
              <w:rPr>
                <w:rFonts w:ascii="Arial" w:cs="Arial" w:eastAsia="Arial" w:hAnsi="Arial"/>
                <w:sz w:val="16"/>
                <w:szCs w:val="16"/>
                <w:color w:val="auto"/>
              </w:rPr>
              <w:t>Senior Notes due February 15, 2022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5.875% Senior Notes due March 1, 2022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5.00%</w:t>
            </w:r>
          </w:p>
        </w:tc>
        <w:tc>
          <w:tcPr>
            <w:tcW w:w="6780" w:type="dxa"/>
            <w:vAlign w:val="bottom"/>
          </w:tcPr>
          <w:p>
            <w:pPr>
              <w:spacing w:after="0"/>
              <w:rPr>
                <w:sz w:val="20"/>
                <w:szCs w:val="20"/>
                <w:color w:val="auto"/>
              </w:rPr>
            </w:pPr>
            <w:r>
              <w:rPr>
                <w:rFonts w:ascii="Arial" w:cs="Arial" w:eastAsia="Arial" w:hAnsi="Arial"/>
                <w:sz w:val="16"/>
                <w:szCs w:val="16"/>
                <w:color w:val="auto"/>
              </w:rPr>
              <w:t>Senior Notes due October 1, 2022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3.45%</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January 15, 2023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3.60%</w:t>
            </w:r>
          </w:p>
        </w:tc>
        <w:tc>
          <w:tcPr>
            <w:tcW w:w="6780" w:type="dxa"/>
            <w:vAlign w:val="bottom"/>
          </w:tcPr>
          <w:p>
            <w:pPr>
              <w:spacing w:after="0"/>
              <w:rPr>
                <w:sz w:val="20"/>
                <w:szCs w:val="20"/>
                <w:color w:val="auto"/>
              </w:rPr>
            </w:pPr>
            <w:r>
              <w:rPr>
                <w:rFonts w:ascii="Arial" w:cs="Arial" w:eastAsia="Arial" w:hAnsi="Arial"/>
                <w:sz w:val="16"/>
                <w:szCs w:val="16"/>
                <w:color w:val="auto"/>
              </w:rPr>
              <w:t>Senior Notes due February 1, 2023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4.25%</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March 15, 2023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4.20%</w:t>
            </w:r>
          </w:p>
        </w:tc>
        <w:tc>
          <w:tcPr>
            <w:tcW w:w="6780" w:type="dxa"/>
            <w:vAlign w:val="bottom"/>
          </w:tcPr>
          <w:p>
            <w:pPr>
              <w:spacing w:after="0"/>
              <w:rPr>
                <w:sz w:val="20"/>
                <w:szCs w:val="20"/>
                <w:color w:val="auto"/>
              </w:rPr>
            </w:pPr>
            <w:r>
              <w:rPr>
                <w:rFonts w:ascii="Arial" w:cs="Arial" w:eastAsia="Arial" w:hAnsi="Arial"/>
                <w:sz w:val="16"/>
                <w:szCs w:val="16"/>
                <w:color w:val="auto"/>
              </w:rPr>
              <w:t>Senior Notes due September 15, 2023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4.50%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November 1, 2023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7580" w:type="dxa"/>
            <w:vAlign w:val="bottom"/>
            <w:gridSpan w:val="2"/>
          </w:tcPr>
          <w:p>
            <w:pPr>
              <w:ind w:left="340"/>
              <w:spacing w:after="0"/>
              <w:rPr>
                <w:sz w:val="20"/>
                <w:szCs w:val="20"/>
                <w:color w:val="auto"/>
              </w:rPr>
            </w:pPr>
            <w:r>
              <w:rPr>
                <w:rFonts w:ascii="Arial" w:cs="Arial" w:eastAsia="Arial" w:hAnsi="Arial"/>
                <w:sz w:val="16"/>
                <w:szCs w:val="16"/>
                <w:color w:val="auto"/>
              </w:rPr>
              <w:t>5.875% Senior Notes due January 15, 2024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4.90%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February 1, 2024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7.60%</w:t>
            </w:r>
          </w:p>
        </w:tc>
        <w:tc>
          <w:tcPr>
            <w:tcW w:w="6780" w:type="dxa"/>
            <w:vAlign w:val="bottom"/>
          </w:tcPr>
          <w:p>
            <w:pPr>
              <w:spacing w:after="0"/>
              <w:rPr>
                <w:sz w:val="20"/>
                <w:szCs w:val="20"/>
                <w:color w:val="auto"/>
              </w:rPr>
            </w:pPr>
            <w:r>
              <w:rPr>
                <w:rFonts w:ascii="Arial" w:cs="Arial" w:eastAsia="Arial" w:hAnsi="Arial"/>
                <w:sz w:val="16"/>
                <w:szCs w:val="16"/>
                <w:color w:val="auto"/>
              </w:rPr>
              <w:t>Senior Notes due February 1, 2024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4.25%</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April 1, 2024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4.50%</w:t>
            </w:r>
          </w:p>
        </w:tc>
        <w:tc>
          <w:tcPr>
            <w:tcW w:w="6780" w:type="dxa"/>
            <w:vAlign w:val="bottom"/>
          </w:tcPr>
          <w:p>
            <w:pPr>
              <w:spacing w:after="0"/>
              <w:rPr>
                <w:sz w:val="20"/>
                <w:szCs w:val="20"/>
                <w:color w:val="auto"/>
              </w:rPr>
            </w:pPr>
            <w:r>
              <w:rPr>
                <w:rFonts w:ascii="Arial" w:cs="Arial" w:eastAsia="Arial" w:hAnsi="Arial"/>
                <w:sz w:val="16"/>
                <w:szCs w:val="16"/>
                <w:color w:val="auto"/>
              </w:rPr>
              <w:t>Senior Notes due April 15, 2024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9.00%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Debentures due November 1, 2024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4.05%</w:t>
            </w:r>
          </w:p>
        </w:tc>
        <w:tc>
          <w:tcPr>
            <w:tcW w:w="6780" w:type="dxa"/>
            <w:vAlign w:val="bottom"/>
          </w:tcPr>
          <w:p>
            <w:pPr>
              <w:spacing w:after="0"/>
              <w:rPr>
                <w:sz w:val="20"/>
                <w:szCs w:val="20"/>
                <w:color w:val="auto"/>
              </w:rPr>
            </w:pPr>
            <w:r>
              <w:rPr>
                <w:rFonts w:ascii="Arial" w:cs="Arial" w:eastAsia="Arial" w:hAnsi="Arial"/>
                <w:sz w:val="16"/>
                <w:szCs w:val="16"/>
                <w:color w:val="auto"/>
              </w:rPr>
              <w:t>Senior Notes due March 15,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2.90%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May 15, 2025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5.95%</w:t>
            </w:r>
          </w:p>
        </w:tc>
        <w:tc>
          <w:tcPr>
            <w:tcW w:w="6780" w:type="dxa"/>
            <w:vAlign w:val="bottom"/>
          </w:tcPr>
          <w:p>
            <w:pPr>
              <w:spacing w:after="0"/>
              <w:rPr>
                <w:sz w:val="20"/>
                <w:szCs w:val="20"/>
                <w:color w:val="auto"/>
              </w:rPr>
            </w:pPr>
            <w:r>
              <w:rPr>
                <w:rFonts w:ascii="Arial" w:cs="Arial" w:eastAsia="Arial" w:hAnsi="Arial"/>
                <w:sz w:val="16"/>
                <w:szCs w:val="16"/>
                <w:color w:val="auto"/>
              </w:rPr>
              <w:t>Senior Notes due December 1,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4.75%</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January 15, 2026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3.90%</w:t>
            </w:r>
          </w:p>
        </w:tc>
        <w:tc>
          <w:tcPr>
            <w:tcW w:w="6780" w:type="dxa"/>
            <w:vAlign w:val="bottom"/>
          </w:tcPr>
          <w:p>
            <w:pPr>
              <w:spacing w:after="0"/>
              <w:rPr>
                <w:sz w:val="20"/>
                <w:szCs w:val="20"/>
                <w:color w:val="auto"/>
              </w:rPr>
            </w:pPr>
            <w:r>
              <w:rPr>
                <w:rFonts w:ascii="Arial" w:cs="Arial" w:eastAsia="Arial" w:hAnsi="Arial"/>
                <w:sz w:val="16"/>
                <w:szCs w:val="16"/>
                <w:color w:val="auto"/>
              </w:rPr>
              <w:t>Senior Notes due July 15, 2026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4.20%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April 15, 2027</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5.50%</w:t>
            </w:r>
          </w:p>
        </w:tc>
        <w:tc>
          <w:tcPr>
            <w:tcW w:w="6780" w:type="dxa"/>
            <w:vAlign w:val="bottom"/>
          </w:tcPr>
          <w:p>
            <w:pPr>
              <w:spacing w:after="0"/>
              <w:rPr>
                <w:sz w:val="20"/>
                <w:szCs w:val="20"/>
                <w:color w:val="auto"/>
              </w:rPr>
            </w:pPr>
            <w:r>
              <w:rPr>
                <w:rFonts w:ascii="Arial" w:cs="Arial" w:eastAsia="Arial" w:hAnsi="Arial"/>
                <w:sz w:val="16"/>
                <w:szCs w:val="16"/>
                <w:color w:val="auto"/>
              </w:rPr>
              <w:t>Senior Notes due June 1,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4.00%</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October 1, 2027</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4.95%</w:t>
            </w:r>
          </w:p>
        </w:tc>
        <w:tc>
          <w:tcPr>
            <w:tcW w:w="6780" w:type="dxa"/>
            <w:vAlign w:val="bottom"/>
          </w:tcPr>
          <w:p>
            <w:pPr>
              <w:spacing w:after="0"/>
              <w:rPr>
                <w:sz w:val="20"/>
                <w:szCs w:val="20"/>
                <w:color w:val="auto"/>
              </w:rPr>
            </w:pPr>
            <w:r>
              <w:rPr>
                <w:rFonts w:ascii="Arial" w:cs="Arial" w:eastAsia="Arial" w:hAnsi="Arial"/>
                <w:sz w:val="16"/>
                <w:szCs w:val="16"/>
                <w:color w:val="auto"/>
              </w:rPr>
              <w:t>Senior Notes due June 15, 2028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5.25%</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Notes due April 15, 2029</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8.25%</w:t>
            </w:r>
          </w:p>
        </w:tc>
        <w:tc>
          <w:tcPr>
            <w:tcW w:w="6780" w:type="dxa"/>
            <w:vAlign w:val="bottom"/>
          </w:tcPr>
          <w:p>
            <w:pPr>
              <w:spacing w:after="0"/>
              <w:rPr>
                <w:sz w:val="20"/>
                <w:szCs w:val="20"/>
                <w:color w:val="auto"/>
              </w:rPr>
            </w:pPr>
            <w:r>
              <w:rPr>
                <w:rFonts w:ascii="Arial" w:cs="Arial" w:eastAsia="Arial" w:hAnsi="Arial"/>
                <w:sz w:val="16"/>
                <w:szCs w:val="16"/>
                <w:color w:val="auto"/>
              </w:rPr>
              <w:t>Senior Notes due November 15, 2029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9"/>
        </w:trPr>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3.75%</w:t>
            </w: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Senior Note due May 15, 2030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 w:type="dxa"/>
            <w:vAlign w:val="bottom"/>
          </w:tcPr>
          <w:p>
            <w:pPr>
              <w:ind w:left="340"/>
              <w:spacing w:after="0"/>
              <w:rPr>
                <w:sz w:val="20"/>
                <w:szCs w:val="20"/>
                <w:color w:val="auto"/>
              </w:rPr>
            </w:pPr>
            <w:r>
              <w:rPr>
                <w:rFonts w:ascii="Arial" w:cs="Arial" w:eastAsia="Arial" w:hAnsi="Arial"/>
                <w:sz w:val="16"/>
                <w:szCs w:val="16"/>
                <w:color w:val="auto"/>
                <w:w w:val="96"/>
              </w:rPr>
              <w:t>4.90%</w:t>
            </w:r>
          </w:p>
        </w:tc>
        <w:tc>
          <w:tcPr>
            <w:tcW w:w="6780" w:type="dxa"/>
            <w:vAlign w:val="bottom"/>
          </w:tcPr>
          <w:p>
            <w:pPr>
              <w:spacing w:after="0"/>
              <w:rPr>
                <w:sz w:val="20"/>
                <w:szCs w:val="20"/>
                <w:color w:val="auto"/>
              </w:rPr>
            </w:pPr>
            <w:r>
              <w:rPr>
                <w:rFonts w:ascii="Arial" w:cs="Arial" w:eastAsia="Arial" w:hAnsi="Arial"/>
                <w:sz w:val="16"/>
                <w:szCs w:val="16"/>
                <w:color w:val="auto"/>
              </w:rPr>
              <w:t>Senior Notes due March 15, 2035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6.625% Senior Notes due October 15, 2036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0"/>
        </w:trPr>
        <w:tc>
          <w:tcPr>
            <w:tcW w:w="800" w:type="dxa"/>
            <w:vAlign w:val="bottom"/>
          </w:tcPr>
          <w:p>
            <w:pPr>
              <w:ind w:left="340"/>
              <w:spacing w:after="0"/>
              <w:rPr>
                <w:sz w:val="20"/>
                <w:szCs w:val="20"/>
                <w:color w:val="auto"/>
              </w:rPr>
            </w:pPr>
            <w:r>
              <w:rPr>
                <w:rFonts w:ascii="Arial" w:cs="Arial" w:eastAsia="Arial" w:hAnsi="Arial"/>
                <w:sz w:val="16"/>
                <w:szCs w:val="16"/>
                <w:color w:val="auto"/>
                <w:w w:val="96"/>
              </w:rPr>
              <w:t>5.80%</w:t>
            </w:r>
          </w:p>
        </w:tc>
        <w:tc>
          <w:tcPr>
            <w:tcW w:w="6780" w:type="dxa"/>
            <w:vAlign w:val="bottom"/>
          </w:tcPr>
          <w:p>
            <w:pPr>
              <w:spacing w:after="0"/>
              <w:rPr>
                <w:sz w:val="20"/>
                <w:szCs w:val="20"/>
                <w:color w:val="auto"/>
              </w:rPr>
            </w:pPr>
            <w:r>
              <w:rPr>
                <w:rFonts w:ascii="Arial" w:cs="Arial" w:eastAsia="Arial" w:hAnsi="Arial"/>
                <w:sz w:val="16"/>
                <w:szCs w:val="16"/>
                <w:color w:val="auto"/>
              </w:rPr>
              <w:t>Senior Notes due June 15, 2038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7.50%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July 1, 2038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6.85%</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February 15, 2040</w:t>
            </w:r>
          </w:p>
        </w:tc>
        <w:tc>
          <w:tcPr>
            <w:tcW w:w="14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6.05%</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June 1, 2041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6.50%</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February 1, 2042</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6.10%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15, 2042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4.95%</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January 15, 2043</w:t>
            </w:r>
          </w:p>
        </w:tc>
        <w:tc>
          <w:tcPr>
            <w:tcW w:w="140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5.15%</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 2043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5.95%</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October 1, 2043</w:t>
            </w:r>
          </w:p>
        </w:tc>
        <w:tc>
          <w:tcPr>
            <w:tcW w:w="14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5.30%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 2044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5.15%</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March 15, 2045</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5.35%</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May 15, 2045</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7600" w:type="dxa"/>
            <w:vAlign w:val="bottom"/>
            <w:gridSpan w:val="2"/>
          </w:tcPr>
          <w:p>
            <w:pPr>
              <w:ind w:left="340"/>
              <w:spacing w:after="0"/>
              <w:rPr>
                <w:sz w:val="20"/>
                <w:szCs w:val="20"/>
                <w:color w:val="auto"/>
              </w:rPr>
            </w:pPr>
            <w:r>
              <w:rPr>
                <w:rFonts w:ascii="Arial" w:cs="Arial" w:eastAsia="Arial" w:hAnsi="Arial"/>
                <w:sz w:val="16"/>
                <w:szCs w:val="16"/>
                <w:color w:val="auto"/>
              </w:rPr>
              <w:t>6.125% Senior Notes due December 15, 2045</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5.30%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15, 2047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5.40%</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October 1, 2047</w:t>
            </w:r>
          </w:p>
        </w:tc>
        <w:tc>
          <w:tcPr>
            <w:tcW w:w="14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6.00%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June 15, 2048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6.25%</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April 15, 2049</w:t>
            </w:r>
          </w:p>
        </w:tc>
        <w:tc>
          <w:tcPr>
            <w:tcW w:w="140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5.00%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May 15, 2050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gridSpan w:val="2"/>
          </w:tcPr>
          <w:p>
            <w:pPr>
              <w:ind w:left="34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9"/>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ETO $2.00 billion Term Loan facility due October 2022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3"/>
        </w:trPr>
        <w:tc>
          <w:tcPr>
            <w:tcW w:w="7600" w:type="dxa"/>
            <w:vAlign w:val="bottom"/>
            <w:gridSpan w:val="2"/>
          </w:tcPr>
          <w:p>
            <w:pPr>
              <w:ind w:left="340"/>
              <w:spacing w:after="0"/>
              <w:rPr>
                <w:sz w:val="20"/>
                <w:szCs w:val="20"/>
                <w:color w:val="auto"/>
              </w:rPr>
            </w:pPr>
            <w:r>
              <w:rPr>
                <w:rFonts w:ascii="Arial" w:cs="Arial" w:eastAsia="Arial" w:hAnsi="Arial"/>
                <w:sz w:val="16"/>
                <w:szCs w:val="16"/>
                <w:color w:val="auto"/>
              </w:rPr>
              <w:t>ETO $5.00 billion Revolving Credit Facility due December 2023</w:t>
            </w:r>
          </w:p>
        </w:tc>
        <w:tc>
          <w:tcPr>
            <w:tcW w:w="1400" w:type="dxa"/>
            <w:vAlign w:val="bottom"/>
          </w:tcPr>
          <w:p>
            <w:pPr>
              <w:jc w:val="right"/>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4,214</w:t>
            </w:r>
          </w:p>
        </w:tc>
      </w:tr>
      <w:tr>
        <w:trPr>
          <w:trHeight w:val="219"/>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7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09"/>
        </w:trPr>
        <w:tc>
          <w:tcPr>
            <w:tcW w:w="7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42,654</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42,120</w:t>
            </w:r>
          </w:p>
        </w:tc>
      </w:tr>
      <w:tr>
        <w:trPr>
          <w:trHeight w:val="199"/>
        </w:trPr>
        <w:tc>
          <w:tcPr>
            <w:tcW w:w="7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Transwestern Debt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340"/>
              <w:spacing w:after="0" w:line="216" w:lineRule="exact"/>
              <w:rPr>
                <w:sz w:val="20"/>
                <w:szCs w:val="20"/>
                <w:color w:val="auto"/>
              </w:rPr>
            </w:pPr>
            <w:r>
              <w:rPr>
                <w:rFonts w:ascii="Arial" w:cs="Arial" w:eastAsia="Arial" w:hAnsi="Arial"/>
                <w:sz w:val="16"/>
                <w:szCs w:val="16"/>
                <w:color w:val="auto"/>
              </w:rPr>
              <w:t xml:space="preserve">5.36% Senior Notes due December 9, 2020 </w:t>
            </w:r>
            <w:r>
              <w:rPr>
                <w:rFonts w:ascii="Arial" w:cs="Arial" w:eastAsia="Arial" w:hAnsi="Arial"/>
                <w:sz w:val="21"/>
                <w:szCs w:val="21"/>
                <w:color w:val="auto"/>
                <w:vertAlign w:val="superscript"/>
              </w:rPr>
              <w:t>(1)</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5.89% Senior Notes due May 24, 2022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7600" w:type="dxa"/>
            <w:vAlign w:val="bottom"/>
            <w:gridSpan w:val="2"/>
          </w:tcPr>
          <w:p>
            <w:pPr>
              <w:ind w:left="340"/>
              <w:spacing w:after="0"/>
              <w:rPr>
                <w:sz w:val="20"/>
                <w:szCs w:val="20"/>
                <w:color w:val="auto"/>
              </w:rPr>
            </w:pPr>
            <w:r>
              <w:rPr>
                <w:rFonts w:ascii="Arial" w:cs="Arial" w:eastAsia="Arial" w:hAnsi="Arial"/>
                <w:sz w:val="16"/>
                <w:szCs w:val="16"/>
                <w:color w:val="auto"/>
              </w:rPr>
              <w:t>5.66% Senior Notes due December 9, 2024</w:t>
            </w:r>
          </w:p>
        </w:tc>
        <w:tc>
          <w:tcPr>
            <w:tcW w:w="14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6.16% Senior Notes due May 24, 2037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7600" w:type="dxa"/>
            <w:vAlign w:val="bottom"/>
            <w:gridSpan w:val="2"/>
          </w:tcPr>
          <w:p>
            <w:pPr>
              <w:ind w:left="340"/>
              <w:spacing w:after="0"/>
              <w:rPr>
                <w:sz w:val="20"/>
                <w:szCs w:val="20"/>
                <w:color w:val="auto"/>
              </w:rPr>
            </w:pPr>
            <w:r>
              <w:rPr>
                <w:rFonts w:ascii="Arial" w:cs="Arial" w:eastAsia="Arial" w:hAnsi="Arial"/>
                <w:sz w:val="16"/>
                <w:szCs w:val="16"/>
                <w:color w:val="auto"/>
              </w:rPr>
              <w:t>Deferred debt issuance costs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780" w:type="dxa"/>
            <w:vAlign w:val="bottom"/>
            <w:tcBorders>
              <w:top w:val="single" w:sz="8" w:color="CCEEFF"/>
            </w:tcBorders>
            <w:shd w:val="clear" w:color="auto" w:fill="CCEEFF"/>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199"/>
        </w:trPr>
        <w:tc>
          <w:tcPr>
            <w:tcW w:w="7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Panhandle Debt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7.60%</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February 1, 2024</w:t>
            </w:r>
          </w:p>
        </w:tc>
        <w:tc>
          <w:tcPr>
            <w:tcW w:w="14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7.00%</w:t>
            </w:r>
          </w:p>
        </w:tc>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July 15, 2029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780" w:type="dxa"/>
            <w:vAlign w:val="bottom"/>
          </w:tcPr>
          <w:p>
            <w:pPr>
              <w:ind w:left="340"/>
              <w:spacing w:after="0"/>
              <w:rPr>
                <w:sz w:val="20"/>
                <w:szCs w:val="20"/>
                <w:color w:val="auto"/>
              </w:rPr>
            </w:pPr>
            <w:r>
              <w:rPr>
                <w:rFonts w:ascii="Arial" w:cs="Arial" w:eastAsia="Arial" w:hAnsi="Arial"/>
                <w:sz w:val="16"/>
                <w:szCs w:val="16"/>
                <w:color w:val="auto"/>
                <w:w w:val="92"/>
              </w:rPr>
              <w:t>8.25%</w:t>
            </w:r>
          </w:p>
        </w:tc>
        <w:tc>
          <w:tcPr>
            <w:tcW w:w="6820" w:type="dxa"/>
            <w:vAlign w:val="bottom"/>
          </w:tcPr>
          <w:p>
            <w:pPr>
              <w:ind w:left="20"/>
              <w:spacing w:after="0"/>
              <w:rPr>
                <w:sz w:val="20"/>
                <w:szCs w:val="20"/>
                <w:color w:val="auto"/>
              </w:rPr>
            </w:pPr>
            <w:r>
              <w:rPr>
                <w:rFonts w:ascii="Arial" w:cs="Arial" w:eastAsia="Arial" w:hAnsi="Arial"/>
                <w:sz w:val="16"/>
                <w:szCs w:val="16"/>
                <w:color w:val="auto"/>
              </w:rPr>
              <w:t>Senior Notes due November 15, 2029</w:t>
            </w: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Unamortized premiums, discounts and fair value adjustments, net</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7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Bakken Project Debt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3.625% Senior Notes due April 1, 2022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3.90% Senior Notes due April 1, 2024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4.625% Senior Notes due April 1, 2029</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Unamortized premiums, discounts and fair value adjustments, net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debt issuance costs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r>
      <w:tr>
        <w:trPr>
          <w:trHeight w:val="199"/>
        </w:trPr>
        <w:tc>
          <w:tcPr>
            <w:tcW w:w="7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Sunoco LP Debt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4.875% Senior Notes Due January 15, 2023</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5.50% Senior Notes Due February 15, 2026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6.00% Senior Notes Due April 15, 2027</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5.875% Senior Notes Due March 15, 2028</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4.50% Senior Notes due May 15, 2029</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Sunoco LP $1.50 billion Revolving Credit Facility due July 2023</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Lease-related obligations</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debt issuance costs</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75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w:t>
            </w:r>
          </w:p>
        </w:tc>
      </w:tr>
      <w:tr>
        <w:trPr>
          <w:trHeight w:val="199"/>
        </w:trPr>
        <w:tc>
          <w:tcPr>
            <w:tcW w:w="7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58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USAC Debt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6.875% Senior Notes due April 1, 2026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6.875% Senior Notes due September 1, 2027</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USAC $1.60 billion Revolving Credit Facility due April 2023</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debt issuance costs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7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r>
      <w:tr>
        <w:trPr>
          <w:trHeight w:val="199"/>
        </w:trPr>
        <w:tc>
          <w:tcPr>
            <w:tcW w:w="7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SemGroup Debt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HFOTCO Tax Exempt Notes due 2050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Energy Transfer Canada Revolver due February 25, 2024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Energy Transfer Canada Term Loan A due February 25, 2024</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Unamortized premiums, discounts and fair value adjustments, net</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debt issuance costs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199"/>
        </w:trPr>
        <w:tc>
          <w:tcPr>
            <w:tcW w:w="7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758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51,438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51,054</w:t>
            </w:r>
          </w:p>
        </w:tc>
      </w:tr>
      <w:tr>
        <w:trPr>
          <w:trHeight w:val="219"/>
        </w:trPr>
        <w:tc>
          <w:tcPr>
            <w:tcW w:w="7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Less: Current maturities of long-term debt</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758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51,417</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51,028</w:t>
            </w:r>
          </w:p>
        </w:tc>
      </w:tr>
      <w:tr>
        <w:trPr>
          <w:trHeight w:val="23"/>
        </w:trPr>
        <w:tc>
          <w:tcPr>
            <w:tcW w:w="7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left="660" w:hanging="328"/>
        <w:spacing w:after="0" w:line="227" w:lineRule="auto"/>
        <w:tabs>
          <w:tab w:leader="none" w:pos="648" w:val="left"/>
        </w:tabs>
        <w:numPr>
          <w:ilvl w:val="0"/>
          <w:numId w:val="150"/>
        </w:numPr>
        <w:rPr>
          <w:rFonts w:ascii="Arial" w:cs="Arial" w:eastAsia="Arial" w:hAnsi="Arial"/>
          <w:sz w:val="23"/>
          <w:szCs w:val="23"/>
          <w:color w:val="auto"/>
          <w:vertAlign w:val="superscript"/>
        </w:rPr>
      </w:pPr>
      <w:r>
        <w:rPr>
          <w:rFonts w:ascii="Arial" w:cs="Arial" w:eastAsia="Arial" w:hAnsi="Arial"/>
          <w:sz w:val="18"/>
          <w:szCs w:val="18"/>
          <w:color w:val="auto"/>
        </w:rPr>
        <w:t>As of December 31, 2019, these notes were classified as long-term as management had the intent and ability to refinance the borrowings on a long-term basis. The notes were redeemed in January 2020.</w:t>
      </w:r>
    </w:p>
    <w:p>
      <w:pPr>
        <w:spacing w:after="0" w:line="134"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150"/>
        </w:numPr>
        <w:rPr>
          <w:rFonts w:ascii="Arial" w:cs="Arial" w:eastAsia="Arial" w:hAnsi="Arial"/>
          <w:sz w:val="23"/>
          <w:szCs w:val="23"/>
          <w:color w:val="auto"/>
          <w:vertAlign w:val="superscript"/>
        </w:rPr>
      </w:pPr>
      <w:r>
        <w:rPr>
          <w:rFonts w:ascii="Arial" w:cs="Arial" w:eastAsia="Arial" w:hAnsi="Arial"/>
          <w:sz w:val="18"/>
          <w:szCs w:val="18"/>
          <w:color w:val="auto"/>
        </w:rPr>
        <w:t>As of December 31, 2020, these notes were classified as long-term as management had the intent and ability to refinance the borrowings on a long-term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reflects future maturities of long-term debt for each of the next five years and thereafter. These amounts exclude $289 million in unamortized premiums, fair value adjustments and deferred debt issuance costs, net:</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4,621</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30,255</w:t>
            </w:r>
          </w:p>
        </w:tc>
      </w:tr>
      <w:tr>
        <w:trPr>
          <w:trHeight w:val="248"/>
        </w:trPr>
        <w:tc>
          <w:tcPr>
            <w:tcW w:w="8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Long-term debt reflected on our consolidated balance sheets includes fair value adjustments related to interest rate swaps, which represent fair value adjustments that had been recorded in connection with fair value hedge accounting prior to the termination of the interest rate swap.</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and Debentures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Senior Notes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ET Senior Notes are the Parent Company’s senior obligations, ranking equally in right of payment with our other existing and future unsubordinated debt and senior to any of its future subordinated debt. The Parent Company’s obligations under the ET Senior Notes previously were secured on a first-priority basis with its obligations under the Revolver Credit Agreement and the ET Term Loan Facility, by a lien on substantially all of the Parent Company’s and certain of its subsidiaries’ tangible and intangible assets, subject to certain exceptions and permitted liens. Subsequent to the termination of the Revolver Credit Agreement and the ET Term Loan Facility, the collateral securing the ET Senior Notes was released. The ET Senior Notes are not guaranteed by any of the Parent Company’s subsidiaries.</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covenants related to the ET Senior Notes include a limitation on liens, a limitation on transactions with affiliates, a restriction on sale-leaseback transactions and limitations on mergers and sales of all or substantially all of the Parent Company’s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Senior Notes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ETO senior notes were registered under the Securities Act of 1933 (as amended). The Partnership may redeem some or all of the ETO senior notes at any time, or from time to time, pursuant to the terms of the indenture and related indenture supplements related to the ETO senior notes. The balance is payable upon maturity. Interest on the ETO senior notes is paid semi-annually.</w:t>
      </w:r>
    </w:p>
    <w:p>
      <w:pPr>
        <w:spacing w:after="0" w:line="13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ETO senior notes are unsecured obligations of the Partnership and as a result, the ETO senior notes effectively rank junior to any future indebtedness of ours or our subsidiaries that is both secured and unsubordinated to the extent of the value of the assets securing such indebtedness, and the ETO senior notes effectively rank junior to all indebtedness and other liabilities of our existing and future subsidiaries.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On January 22, 2020, ETO completed a registered offering (the “January 2020 Senior Notes Offering”) of $1 billion aggregate principal amount of ETO’s 2.900% Senior Notes due 2025, $1.5 billion aggregate principal amount of ETO’s 3.750% Senior Notes due 2030, and $2 billion aggregate principal amount of ETO’s 5.000% Senior Notes due 2050, (collectively, the “Notes”). The Notes are fully and unconditionally guaranteed by the Partnership’s wholly-owned subsidiary, Sunoco Logistics Partners Operations L.P., on a senior unsecured basis.</w:t>
      </w:r>
    </w:p>
    <w:p>
      <w:pPr>
        <w:spacing w:after="0" w:line="1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Transwestern Senior Notes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Transwestern senior notes are redeemable at any time in whole or pro rata, subject to a premium or upon a change of control event or an event of default, as defined. The balance is payable upon maturity. Interest is paid semi-annually.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November 2020 Senior Notes Offering and Repurchase</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November 9, 2020, Sunoco LP completed a private offering of $800 million in aggregate principal amount of 4.500% senior notes due 2029. Sunoco LP used the proceeds to fund the tender offer on its 4.875% $1 billion senior notes due 2023. Approximately 56% of the 2023 senior notes were tendered. On January 15, 2021, Sunoco LP repurchased the remaining outstanding portion of its 2023 senior notes.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Term Loans, Credit Facilities and Commercial Paper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Term Loan</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October 17, 2019, ETO entered into a term loan credit agreement (the “ETO Term Loan”) providing for a $2.00 billion three-year term loan credit facility. Borrowings under the term loan agreement mature on October 17, 2022 and are available for working capital purposes and for general partnership purposes. The term loan agreement is unsecured and is guaranteed by our subsidiary, Sunoco Logistics Operations.</w:t>
      </w:r>
    </w:p>
    <w:p>
      <w:pPr>
        <w:spacing w:after="0" w:line="5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2020, the ETO Term Loan had $2.00 billion outstanding and was fully drawn. The weighted average interest rate on the total amount outstanding as of December 31, 2020 was 1.15%.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Five-Year Credit Facility</w:t>
      </w:r>
    </w:p>
    <w:p>
      <w:pPr>
        <w:spacing w:after="0" w:line="171"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ETO’s revolving credit facility (the “ETO Five-Year Credit Facility”) allows for unsecured borrowings up to $5.00 billion and matures on December 1, 2023. The ETO Five-Year Credit Facility contains an accordion feature, under which the total aggregate commitment may be increased up to $6.00 billion under certain conditions.</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December 31, 2020, the ETO Five-Year Credit Facility had $3.10 billion outstanding, of which $1.66 billion was commercial paper. The amount available for future borrowings was $1.79 billion after accounting for outstanding letters of credit in the amount of $109 million. The weighted average interest rate on the total amount outstanding as of December 31, 2020 was 1.12%.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364-Day Facility</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ETO’s 364-day revolving credit facility (the “ETO 364-Day Facility”) allows for unsecured borrowings up to $1.00 billion and matures on November 26, 2021. As of December 31, 2020, the ETO 364-Day Facility had no outstanding borrowings.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Sunoco LP maintains a $1.50 billion revolving credit facility (the “Sunoco LP Credit Facility”). As of December 31, 2020, the Sunoco LP Credit Facility had no outstanding borrowings and $8 million in standby letters of credit. The amount available for future borrowings was $1.5 billion at December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USAC maintains a $1.60 billion revolving credit facility (the “USAC Credit Facility”), which matures on April 2, 2023 and permits up to $400 million of future increases in borrowing capacity. As of December 31, 2020, USAC had $474 million of outstanding borrowings and no outstanding letters of credit under the credit agreement. As of December 31, 2020, USAC had $1.1 billion of availability under its credit facility. The weighted average interest rate on the total amount outstanding as of December 31, 2020 was 3.27%.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Canada Credit Facilities</w:t>
      </w:r>
    </w:p>
    <w:p>
      <w:pPr>
        <w:spacing w:after="0" w:line="17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212529"/>
        </w:rPr>
        <w:t xml:space="preserve">Energy Transfer Canada is party to a credit agreement providing for a C$350 million (US$275 million at the </w:t>
      </w:r>
      <w:r>
        <w:rPr>
          <w:rFonts w:ascii="Arial" w:cs="Arial" w:eastAsia="Arial" w:hAnsi="Arial"/>
          <w:sz w:val="16"/>
          <w:szCs w:val="16"/>
          <w:color w:val="000000"/>
        </w:rPr>
        <w:t>December 31, 2020</w:t>
      </w:r>
      <w:r>
        <w:rPr>
          <w:rFonts w:ascii="Arial" w:cs="Arial" w:eastAsia="Arial" w:hAnsi="Arial"/>
          <w:sz w:val="16"/>
          <w:szCs w:val="16"/>
          <w:color w:val="212529"/>
        </w:rPr>
        <w:t xml:space="preserve"> exchange rate) senior secured term loan facility, a C$525 million (US$412 million at the December 31, 2020 exchange rate) senior secured revolving credit facility, and a C$300 million (US$236 million at the December 31, 2020 exchange rate) senior secured construction loan facility (the “KAPS Facility”). The term loan facility and the revolving credit facility mature on February 25, 2024. The KAPS Facility matures on June 13, 2024. Energy Transfer Canada may incur additional term loans and revolving commitments in an aggregate amount not to exceed C$250 million (US$196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212529"/>
        </w:rPr>
        <w:t>million at the December 31, 2020 exchange rate), subject to receiving commitments for such additional term loans or revolving commitments from either new lenders or increased commitments from existing lenders.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the Parent Company</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Term Loan Facility and ET Revolving Credit Facility previously contained customary representations, warranties, covenants, and events of default, including a change of control event of default and limitations on incurrence of liens, new lines of business, merger, transactions with affiliates and restrictive agreements. Both facilities have been paid off and terminated.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ETO Credit Facilities (defined as the ETO Term Loan, ETO Five-Year Credit Facility and ETO 364-Day Credit Facility) contain covenants that limit (subject to certain exceptions) the Partnership’s and certain of the Partnership’s subsidiaries’ ability to, among other things:</w:t>
      </w:r>
    </w:p>
    <w:p>
      <w:pPr>
        <w:spacing w:after="0" w:line="38"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Credit Facility ranges from 1.125% to 2.000% and the applicable margin for base rate loans ranges from 0.125% to 1.000%. The applicable rate for commitment fees under the ETO Five-Year Credit Facility ranges from 0.125% to 0.300%. The applicable margin for eurodollar rate loans under the ETO 364-Day Facility ranges from 1.500% to 2.000% and the applicable margin for base rate loans ranges from 0.500% to 1.000%. The applicable rate for commitment fees under the ETO 364-Day Facility ranges from 0.125% to 0.225%.</w:t>
      </w:r>
    </w:p>
    <w:p>
      <w:pPr>
        <w:spacing w:after="0" w:line="12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4.31 to 1 at December 31, 2020, as calculated in accordance with the credit agreements.</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7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5.75 to 1 through the end of the fiscal quarter ending December 31, 2020 and (ii) 5.5 to 1 for the fiscal quarters ending March 31, 2021 and June 30, 2021, (iii) 5.25 to 1 for the fiscal quarters ending September 30, 2021 and December 31, 2021 and (iv) 5.0 to 1 thereafter, subject to a provision for increases to such thresholds, in the case of any fiscal quarter ending September 30, 2021 or thereafter, by 0.50 in connection with certain future acquisitions for the six consecutive month period following the period in which any such acquisition occurs, provided that, in any event, such ratio shall not exceed 5.5 to 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12529"/>
        </w:rPr>
        <w:t>Covenants Related to the HFOTCO Tax Exempt Notes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212529"/>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and note agreements could require us or our subsidiaries to pay debt balances prior to scheduled maturity and could negatively impact the subsidiaries ability to incur additional debt and/or our ability to pay distributions.</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December 31, 2020.</w:t>
      </w:r>
    </w:p>
    <w:p>
      <w:pPr>
        <w:spacing w:after="0" w:line="112"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REDEEMABLE NONCONTROLLING INTERESTS:</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redeemable noncontrolling interests in the Partnership’s subsidiaries are reflected as mezzanine equity on the consolidated balance sheet. Redeemable noncontrolling interests as of December 31, 2020 included a balance of $477 million related to the USAC Preferred Units described below and a balance of $15 million related to noncontrolling interest holders in one of the Partnership’s consolidated subsidiaries that have the option to sell their interests to the Partnership. In addition, redeemable noncontrolling interests includes a balance of $270 million in Energy Transfer Canada preferred shares acquired as part of the 2019 merger with SemGroup.</w:t>
      </w:r>
    </w:p>
    <w:p>
      <w:pPr>
        <w:spacing w:after="0" w:line="1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USAC Series A Preferred Units</w:t>
      </w:r>
    </w:p>
    <w:p>
      <w:pPr>
        <w:spacing w:after="0" w:line="17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2018, USAC issued 500,000 USAC Preferred Units in a private placement at a price of $1,000 per USAC Preferred Unit, for total gross proceeds of $500 million in a private placement.</w:t>
      </w:r>
    </w:p>
    <w:p>
      <w:pPr>
        <w:spacing w:after="0" w:line="116"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USAC Preferred Units are entitled to receive cumulative quarterly distributions equal to $24.375 per USAC Preferred Unit, subject to increase in certain limited circumstances. The USAC Preferred Units will have a perpetual term, unless converted or redeemed. Certain portions of the USAC Preferred Units will be convertible into USAC common units at the election of the holders beginning in 2021. To the extent the holders of the USAC Preferred Units have not elected to convert their preferred units by the fifth anniversary of the issue date, USAC will have the option to redeem all or any portion of the USAC Preferred Units for cash. In addition, at any time on or after the tenth anniversary of the issue date, the holders of the USAC Preferred Units will have the right to require USAC to redeem all or any portion of the USAC Preferred Units, and the Partnership may elect to pay up to 50% of such redemption amount in USAC common units.</w:t>
      </w:r>
    </w:p>
    <w:p>
      <w:pPr>
        <w:spacing w:after="0" w:line="1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Energy Transfer Canada Redeemable Preferred Stock</w:t>
      </w:r>
    </w:p>
    <w:p>
      <w:pPr>
        <w:spacing w:after="0" w:line="171"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Energy Transfer Canada has 300,000 shares of cumulative preferred stock issued and outstanding. The preferred stock is redeemable at Energy Transfer Canada’s option subsequent to January 3, 2021 at a redemption price of C$1,100 (US$864 at the December 31, 2020 exchange rate) per share. The preferred stock is redeemable by the holder contingent upon a change of control or liquidation of Energy Transfer Canada. The preferred stock is convertible to Energy Transfer Canada common shares in the event of an initial public offering by Energy Transfer Canada.</w:t>
      </w:r>
    </w:p>
    <w:p>
      <w:pPr>
        <w:spacing w:after="0" w:line="117"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preferred stock was recorded at fair value in connection with the SemGroup purchase accounting. Dividends on the preferred stock are payable in-kind through the quarter ending June 30, 2020. The dividends paid-in-kind increased the liquidation preference such that as of December 31, 2020, the preferred stock was convertible into 344,419 shares.</w:t>
      </w:r>
    </w:p>
    <w:p>
      <w:pPr>
        <w:spacing w:after="0" w:line="125" w:lineRule="exact"/>
        <w:rPr>
          <w:rFonts w:ascii="Arial" w:cs="Arial" w:eastAsia="Arial" w:hAnsi="Arial"/>
          <w:sz w:val="18"/>
          <w:szCs w:val="18"/>
          <w:b w:val="1"/>
          <w:bCs w:val="1"/>
          <w:color w:val="auto"/>
        </w:rPr>
      </w:pPr>
    </w:p>
    <w:p>
      <w:pPr>
        <w:ind w:left="340" w:hanging="332"/>
        <w:spacing w:after="0"/>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Limited Partner Units</w:t>
      </w:r>
    </w:p>
    <w:p>
      <w:pPr>
        <w:spacing w:after="0" w:line="175"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Limited partner interests in the Partnership are represented by Common Units that entitle the holders thereof to the rights and privileges specified in the Partnership Agreement. The Partnership’s Common Units are registered under the Securities Exchange Act of 1934 (as amended) and are listed for trading on the NYSE. Each holder of a Common Unit is entitled to one vote per unit on all matters presented to the Limited Partners for a vote. In addition, if at any time any person or group (other than the Partnership’s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the Partnership Agreement. The Common Units are entitled to distributions of Available Cash as described below under “Parent Company Quarterly Distributions of Available Cash.”</w:t>
      </w:r>
    </w:p>
    <w:p>
      <w:pPr>
        <w:spacing w:after="0" w:line="124"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there were issued and outstanding 2.70 billion Common Units representing an aggregate 99.9% limited partner interest in the Partnership.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Our Partnership Agreement contains specific provisions for the allocation of net earnings and losses to the partners for purposes of maintaining the partner capital accounts. For any fiscal year that the Partnership has net profits, such net profits are first allocated to the General Partner until the aggregate amount of net profits for the current and all prior fiscal years equals the aggregate amount of net losses allocated to the General Partner for the current and all prior fiscal years. Second, such net profits shall be allocated to the Limited Partners pro rata in accordance with their respective sharing ratios. For any fiscal year in which the Partnership has net losses, such net losses shall be first allocated to the Limited Partners in proportion to their respective adjusted capital account balances, as defined by the Partnership Agreement, (before taking into account such net losses) until their adjusted capital account balances have been reduced to zero. Second, all remaining net losses shall be allocated to the General Partner. The General Partner may distribute to the Limited Partners funds of the Partnership that the General Partner reasonably determines are not needed for the payment of existing or foreseeable Partnership obligations and expenditures.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ET Common Units during the years ended December 31, 2020, 2019 and 2018 was as follows: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3520" w:type="dxa"/>
            <w:vAlign w:val="bottom"/>
            <w:tcBorders>
              <w:bottom w:val="single" w:sz="8" w:color="auto"/>
            </w:tcBorders>
            <w:gridSpan w:val="5"/>
          </w:tcPr>
          <w:p>
            <w:pPr>
              <w:ind w:left="1360"/>
              <w:spacing w:after="0"/>
              <w:rPr>
                <w:sz w:val="20"/>
                <w:szCs w:val="20"/>
                <w:color w:val="auto"/>
              </w:rPr>
            </w:pPr>
            <w:r>
              <w:rPr>
                <w:rFonts w:ascii="Arial" w:cs="Arial" w:eastAsia="Arial" w:hAnsi="Arial"/>
                <w:sz w:val="18"/>
                <w:szCs w:val="18"/>
                <w:color w:val="auto"/>
                <w:w w:val="96"/>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Units, beginning of period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r>
      <w:tr>
        <w:trPr>
          <w:trHeight w:val="229"/>
        </w:trPr>
        <w:tc>
          <w:tcPr>
            <w:tcW w:w="5800" w:type="dxa"/>
            <w:vAlign w:val="bottom"/>
          </w:tcPr>
          <w:p>
            <w:pPr>
              <w:ind w:left="180"/>
              <w:spacing w:after="0"/>
              <w:rPr>
                <w:sz w:val="20"/>
                <w:szCs w:val="20"/>
                <w:color w:val="auto"/>
              </w:rPr>
            </w:pPr>
            <w:r>
              <w:rPr>
                <w:rFonts w:ascii="Arial" w:cs="Arial" w:eastAsia="Arial" w:hAnsi="Arial"/>
                <w:sz w:val="18"/>
                <w:szCs w:val="18"/>
                <w:color w:val="auto"/>
                <w:w w:val="98"/>
              </w:rPr>
              <w:t>Conversion of ET Series A Convertible Preferred Units to common units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issued in mergers and acquisitions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Common Units repurchased</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Number of Common Units, end of period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2,619.4</w:t>
            </w:r>
          </w:p>
        </w:tc>
      </w:tr>
      <w:tr>
        <w:trPr>
          <w:trHeight w:val="20"/>
        </w:trPr>
        <w:tc>
          <w:tcPr>
            <w:tcW w:w="5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3080"/>
        <w:spacing w:after="0" w:line="438" w:lineRule="auto"/>
        <w:rPr>
          <w:sz w:val="20"/>
          <w:szCs w:val="20"/>
          <w:color w:val="auto"/>
        </w:rPr>
      </w:pPr>
      <w:r>
        <w:rPr>
          <w:rFonts w:ascii="Arial" w:cs="Arial" w:eastAsia="Arial" w:hAnsi="Arial"/>
          <w:sz w:val="18"/>
          <w:szCs w:val="18"/>
          <w:color w:val="auto"/>
        </w:rPr>
        <w:t xml:space="preserve">In October 2018, ET issued 1.46 billion ET Common Units in connection with the Energy Transfer Merger. In December 2019, ET issued 57.6 million ET Common Units in connection with the SemGroup acquisition. </w:t>
      </w:r>
      <w:r>
        <w:rPr>
          <w:rFonts w:ascii="Arial" w:cs="Arial" w:eastAsia="Arial" w:hAnsi="Arial"/>
          <w:sz w:val="18"/>
          <w:szCs w:val="18"/>
          <w:b w:val="1"/>
          <w:bCs w:val="1"/>
          <w:i w:val="1"/>
          <w:iCs w:val="1"/>
          <w:color w:val="auto"/>
        </w:rPr>
        <w:t>ET Series A Convertible Preferred Units</w:t>
      </w:r>
    </w:p>
    <w:p>
      <w:pPr>
        <w:spacing w:after="0" w:line="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May 2018, the Partnership converted its 329.3 million Series A Convertible Preferred Units into approximately 79.1 million ET common units in accordance with the terms of ET’s partnership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Class A Units</w:t>
      </w:r>
    </w:p>
    <w:p>
      <w:pPr>
        <w:spacing w:after="0" w:line="171"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In connection with the Energy Transfer Merger, the Partnership issued 647,745,099 Class A units (“ET Class A Units”) representing limited partner interests in the Partnership to LE GP, LLC (“LE GP”), the general partner of ET. The number of ET Class A Units issued allows LE GP and its affiliates to retain a voting interest in the Partnership that is identical to their voting interest in the Partnership prior to the completion of the Merger. The ET Class A Units are entitled to vote together with the Partnership’s common units, as a single class, except as required by law. Additionally, ET’s partnership agreement provides that, under certain circumstances, upon the issuance by the Partnership of additional common units or any securities that have voting rights that are pari passu with the Partnership common units, the Partnership will issue to any holder of ET Class A Units additional ET Class A Units such that the holder maintains a voting interest in the Partnership that is identical to its voting interest in the Partnership prior to such issuance. The ET Class A Units are not entitled to distributions and otherwise have no economic attributes.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Repurchase Program</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 February 2015, the Partnership announced a common unit repurchase program, whereby the Partnership may repurchase up to an additional $2 billion of ET Common Units in the open market at the Partnership’s discretion, subject to market conditions and other factors, and in accordance with applicable regulatory requirements. The Partnership repurchased no ET Common Units under this program in 2020 and 1.9 million ET Common Units in 2019. As of December 31, 2020, $911 million remained available to repurchase under the current program.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Distribution Reinvestment Program</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year ended December 31, 2020, distributions of $78 million were reinvested under the distribution reinvestment program. As of December 31, 2020, a total of 21 million common units remain available to be issued under the existing registration statement in connection with the distribution reinvestment program.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Common Units by Subsidiaries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Parent Company accounts for the difference between the carrying amount of its investment in subsidiaries and the underlying book value arising from issuance of units by subsidiaries (excluding unit issuances to the Parent Company) as a capital transaction. If a subsidiary issues units at a price less than the Parent Company’s carrying value per unit, the Parent Company assesses whether the investment has been impaired, in which case a provision would be reflected in our statement of operations. The Parent Company did not recognize any impairment related to the issuances of subsidiary common units during the periods presented.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K Units</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2020, a total of 101.5 million Class K Units were held by wholly-owned subsidiaries of ETO. Each Class K Unit is entitled to a quarterly cash distribution of $0.67275 per Class K Unit prior to ETO making distributions of available cash to any class of units, excluding any cash available distributions or dividends or capital stock sales proceeds received by ETO from ETP Holdco. If the Partnership is unable to pay the Class K Unit quarterly distribution with respect to any quarter, the accrued and unpaid distributions will accumulate until paid and any accumulated balance will accrue 1.5% per annum until paid.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L Units</w:t>
      </w:r>
    </w:p>
    <w:p>
      <w:pPr>
        <w:spacing w:after="0" w:line="171"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On December 31, 2018, ETO issued a new class of limited partner interests titled Class L Units to two wholly-owned subsidiaries of the Partnership when the Partnership’s previously outstanding Class E units and Class G units held by such subsidiaries were converted into Class L Units. As a result of the conversion, the Class E units and Class G units were cancelled.</w:t>
      </w:r>
    </w:p>
    <w:p>
      <w:pPr>
        <w:spacing w:after="0" w:line="1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Class L Units generally do not have any voting rights. The Class L Units are entitled to aggregate cash distributions equal to 7.65% per annum of the total amount of cash generated by us and our subsidiaries, other than ETP Holdco, and available for distribution. Distributions shall be paid quarterly, in arrears, within 45 days after the end of each quarter. As the Class L Units are owned by a wholly-owned subsidiary, the cash distributions on those units are eliminated in our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M Units</w:t>
      </w:r>
    </w:p>
    <w:p>
      <w:pPr>
        <w:spacing w:after="0" w:line="17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July 1, 2019, ETO issued a new class of limited partner interests titled Class M Units to ETP Holdco, a wholly-owned subsidiary of the Partnership, in exchange for the contribution of ETP Holdco’s equity ownership interest in Panhandle to the Partnership.</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Class M Units generally do not have any voting rights. The Class M Units are entitled to aggregate cash distributions equal to 8.00% per annum of the total amount of cash generated by us and our subsidiaries, other than ETP Holdco, and available for distribution. Distributions shall be paid quarterly, in arrears, within 45 days after the end of each quarter. As the Class M Units are owned by a wholly-owned subsidiary, the cash distributions on those units are eliminated in our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N Units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April and May, 2020, ETO issued a new class of limited partner interests titles Class N Units in connection with a series of internal transactions to simplify its capital structure. All of the Class N Units are held by ETP Holdco.</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Class N Units generally do not have any voting rights. each Class N Unit is entitled to a quarterly cash distribution of $0.2375 per Class N Unit prior to ETO making distributions of available cash to any class of units, excluding any cash available distributions or dividends or capital stock sales proceeds received by ETO from ETP Holdco. Distributions shall be paid quarterly, in arrears, within 45 days after the end of each quarter. If the Partnership is unable to pay the Class N Unit quarterly distribution with respect to any quarter, the accrued and unpaid distributions will accumulate until paid and any accumulated balance will accrue 1.5% per annum until paid. As the Class N Units are owned by a wholly-owned subsidiary, the cash distributions on those units are eliminated in our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Preferred Units</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of December 31, 2020 and 2019, ETO’s outstanding preferred units included 950,000 Series A Preferred Units, 550,000 Series B Preferred Units, 18,000,000 Series C Preferred Units, 17,800,000 Series D Preferred Units and 32,000,000 Series E Preferred Units. As of December 31, 2020, ETO’s outstanding preferred units also included 500,000 Series F Preferred Units and 1,100,000 Series G Preferred Units.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A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ETO Series A Preferred Units will accrue and be cumulative from and including the date of original issue to, but excluding, February 15, 2023, at a rate of 6.250% per annum of the stated liquidation preference of $1,000. On and after February 15, 2023, distributions on the ETO Series A Preferred Units will accumulate at a percentage of the $1,000 liquidation preference equal to an annual floating rate of the three-month LIBOR, determined quarterly, plus a spread of 4.028% per annum. The ETO Series A Preferred Units are redeemable at ETO’s option on or after February 15, 2023 at a redemption price of $1,000 per ETO Series A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B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ETO Series B Preferred Units will accrue and be cumulative from and including the date of original issue to, but excluding, February 15, 2028, at a rate of 6.625% per annum of the stated liquidation preference of $1,000. On and after February 15, 2028, distributions on the ETO Series B Preferred Units will accumulate at a percentage of the $1,000 liquidation preference equal to an annual floating rate of the three-month LIBOR, determined quarterly, plus a spread of 4.155% per annum. The ETO Series B Preferred Units are redeemable at ETO’s option on or after February 15, 2028 at a redemption price of $1,000 per ETO Series B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C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ETO Series C Preferred Units will accrue and be cumulative from and including the date of original issue to, but excluding, May 15, 2023, at a rate of 7.375% per annum of the stated liquidation preference of $25. On and after May 15, 2023, distributions on the ETO Series C Preferred Units will accumulate at a percentage of the $25 liquidation preference equal to an annual floating rate of the three-month LIBOR, determined quarterly, plus a spread of 4.530% per annum. The ETO Series C Preferred Units are redeemable at ETO’s option on or after May 15, 2023 at a redemption price of $25 per ETO Series C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D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ETO Series D Preferred Units will accrue and be cumulative from and including the date of original issue to, but excluding, August 15, 2023, at a rate of 7.625% per annum of the stated liquidation preference of $25. On and after August 15, 2023, distributions on the ETO Series D Preferred Units will accumulate at a percentage of the $25 liquidation preference equal to an annual floating rate of the three-month LIBOR, determined quarterly, plus a spread of 4.738% per annum. The ETO Series D Preferred Units are redeemable at ETO’s option on or after August 15, 2023 at a redemption price of $25 per ETO Series D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E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ETO Series E Preferred Units will accrue and be cumulative from and including the date of original issue to, but excluding, May 15, 2024, at a rate of 7.600% per annum of the stated liquidation preference of $25. On and after May 15, 2024, distributions on the ETO Series E Preferred Units will accumulate at a percentage of the $25 liquidation preference equal to an annual floating rate of the three-month LIBOR, determined quarterly, plus a spread of 5.161% per annum. The ETO Series E Preferred Units are redeemable at ETO’s option on or after May 15, 2024 at a redemption price of $25 per ETO Series E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F Preferred Units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January 22, 2020, ETO issued 500,000 of its 6.750% Series F Fixed-Rate Reset Cumulative Redeemable Perpetual Preferred Units representing limited partner interest in ETO, at a price to the public of $1,000 per unit. Distributions on the Series F Preferred Units are cumulative from and including the original issue date and will be payable semi-annually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arrears on the 15th day of May and November of each year, commencing on May 15, 2020 to, but excluding, May 15, 2025, at a rate equal to 6.750% per annum of the $1,000 liquidation preference. On and after May 15, 2025, the distribution rate on the ETO Series F Preferred Units will equal a percentage of the $1,000 liquidation preference equal to the five-year U.S. treasury rate plus a spread of 5.134% per annum. The ETO Series F Preferred Units are redeemable at ETO’s option on or after May 15, 2025 at a redemption price of $1,000 per ETO Series F Preferred Unit, plus an amount equal to all accumulated and unpaid distributions thereon to, but excluding, the date of redemption.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G Preferred Units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January 22, 2020, ETO issued 1,100,000 of its 7.125% Series G Fixed-Rate Reset Cumulative Redeemable Perpetual Preferred Units representing limited partner interest in ETO, at a price to the public of $1,000 per unit. Distributions on the ETO Series G Preferred Units are cumulative from and including the original issue date and will be payable semi-annually in arrears on the 15th day of May and November of each year, commencing on May 15, 2020 to, but excluding, May 15, 2030, at a rate equal to 7.125% per annum of the $1,000 liquidation preference. On and after May 15, 2030, the distribution rate on the ETO Series G Preferred Units will equal a percentage of the $1,000 liquidation preference equal to the five-year U.S. treasury rate plus a spread of 5.306% per annum. The ETO Series G Preferred Units are redeemable at ETO’s option on or after May 15, 2030 at a redemption price of $1,000 per ETO Series G Preferred Unit, plus an amount equal to all accumulated and unpaid distributions thereon to, but excluding, the date of redemption.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Equity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Equity Distribution Program</w:t>
      </w:r>
    </w:p>
    <w:p>
      <w:pPr>
        <w:spacing w:after="0" w:line="171"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Sunoco LP is party to an equity distribution agreement for an at-the-market (“ATM”) offering pursuant to which Sunoco LP may sell its common units from time to time. For the years ended December 31, 2020, 2019 and 2018, Sunoco LP issued no units under its ATM program. As of December 31, 2020, $295 million of Sunoco LP common units remained available to be issued under the currently effective equity distribution agreement.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Distribution Reinvestment Program</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During the year ended December 31, 2020 and 2019, distributions of $1.9 million and $1 million, respectively, were reinvested under the USAC distribution reinvestment program resulting in the issuance of approximately 188,695 and 60,584 USAC common units, respectively.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Warrant Private Placement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 2018, USAC issued two tranches of warrants to purchase USAC common units (the “USAC Warrants”), which included USAC Warrants to purchase 5,000,000 common units with a strike price of $17.03 per unit and USAC Warrants to purchase 10,000,000 common units with a strike price of $19.59 per unit. The USAC Warrants may be exercised by the holders thereof at any time beginning on the one year anniversary of the closing date and before the tenth anniversary of the closing date. Upon exercise of the USAC Warrants, USAC may, at its option, elect to settle the USAC Warrants in common units on a net basis.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Class B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USAC Class B Units, all of which are owned by ETO, are a new class of partnership interests of USAC that have substantially all of the rights and obligations of a USAC common unit, except the USAC Class B Units will not participate in distributions for the first four quarters following the closing date of the USAC Transaction on April 2, 2018. Each USAC Class B Unit automatically converted into one USAC common unit on the first business day following the record date attributable to the quarter ending June 30, 2019.</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July 30, 2019, the 6,397,965 USAC Class B units held by the Partnership converted into 6,397,965 common units representing limited partner interests in USAC. These common units participate in distributions declared by USAC.</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Parent Company Quarterly Distributions of Available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distribution policy is consistent with the terms of our Partnership Agreement, which requires that we distribute all of our available cash quarterly.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Parent Company’s only cash-generating assets currently consist of distributions from its interest in ETO.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distributions declared and paid with respect to our common units were as follows: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660" w:type="dxa"/>
            <w:vAlign w:val="bottom"/>
            <w:gridSpan w:val="2"/>
          </w:tcPr>
          <w:p>
            <w:pPr>
              <w:ind w:left="1240"/>
              <w:spacing w:after="0"/>
              <w:rPr>
                <w:sz w:val="20"/>
                <w:szCs w:val="20"/>
                <w:color w:val="auto"/>
              </w:rPr>
            </w:pPr>
            <w:r>
              <w:rPr>
                <w:rFonts w:ascii="Arial" w:cs="Arial" w:eastAsia="Arial" w:hAnsi="Arial"/>
                <w:sz w:val="18"/>
                <w:szCs w:val="18"/>
                <w:color w:val="auto"/>
              </w:rPr>
              <w:t>Quarter Ended</w:t>
            </w: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Record Date</w:t>
            </w:r>
          </w:p>
        </w:tc>
        <w:tc>
          <w:tcPr>
            <w:tcW w:w="2300" w:type="dxa"/>
            <w:vAlign w:val="bottom"/>
            <w:gridSpan w:val="2"/>
          </w:tcPr>
          <w:p>
            <w:pPr>
              <w:ind w:left="580"/>
              <w:spacing w:after="0"/>
              <w:rPr>
                <w:sz w:val="20"/>
                <w:szCs w:val="20"/>
                <w:color w:val="auto"/>
              </w:rPr>
            </w:pPr>
            <w:r>
              <w:rPr>
                <w:rFonts w:ascii="Arial" w:cs="Arial" w:eastAsia="Arial" w:hAnsi="Arial"/>
                <w:sz w:val="18"/>
                <w:szCs w:val="18"/>
                <w:color w:val="auto"/>
              </w:rPr>
              <w:t>Payment Date</w:t>
            </w:r>
          </w:p>
        </w:tc>
        <w:tc>
          <w:tcPr>
            <w:tcW w:w="52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color w:val="auto"/>
              </w:rPr>
              <w:t>Rate</w:t>
            </w:r>
          </w:p>
        </w:tc>
      </w:tr>
      <w:tr>
        <w:trPr>
          <w:trHeight w:val="223"/>
        </w:trPr>
        <w:tc>
          <w:tcPr>
            <w:tcW w:w="35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December 31, 2017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 2018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March 31, 2018 </w:t>
            </w:r>
            <w:r>
              <w:rPr>
                <w:rFonts w:ascii="Arial" w:cs="Arial" w:eastAsia="Arial" w:hAnsi="Arial"/>
                <w:sz w:val="23"/>
                <w:szCs w:val="23"/>
                <w:color w:val="auto"/>
                <w:vertAlign w:val="superscript"/>
              </w:rPr>
              <w:t>(1)</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May 21, 2018</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2018</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 2018</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November 8, 2018</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November 19, 2018</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2019</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2019</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May 20, 2019</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2019</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May 7, 2020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May 19, 2020</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2020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2020</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November 6, 2020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November 19, 2020</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0.1525</w:t>
            </w: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0.1525</w:t>
            </w:r>
          </w:p>
        </w:tc>
      </w:tr>
    </w:tbl>
    <w:p>
      <w:pPr>
        <w:spacing w:after="0" w:line="94" w:lineRule="exact"/>
        <w:rPr>
          <w:sz w:val="20"/>
          <w:szCs w:val="20"/>
          <w:color w:val="auto"/>
        </w:rPr>
      </w:pPr>
    </w:p>
    <w:p>
      <w:pPr>
        <w:jc w:val="both"/>
        <w:ind w:left="660" w:hanging="328"/>
        <w:spacing w:after="0" w:line="257" w:lineRule="auto"/>
        <w:tabs>
          <w:tab w:leader="none" w:pos="648" w:val="left"/>
        </w:tabs>
        <w:numPr>
          <w:ilvl w:val="0"/>
          <w:numId w:val="155"/>
        </w:numPr>
        <w:rPr>
          <w:rFonts w:ascii="Arial" w:cs="Arial" w:eastAsia="Arial" w:hAnsi="Arial"/>
          <w:sz w:val="22"/>
          <w:szCs w:val="22"/>
          <w:color w:val="auto"/>
          <w:vertAlign w:val="superscript"/>
        </w:rPr>
      </w:pPr>
      <w:r>
        <w:rPr>
          <w:rFonts w:ascii="Arial" w:cs="Arial" w:eastAsia="Arial" w:hAnsi="Arial"/>
          <w:sz w:val="17"/>
          <w:szCs w:val="17"/>
          <w:color w:val="auto"/>
        </w:rPr>
        <w:t>Certain common unitholders elected to participate in a plan pursuant to which those unitholders elected to forego their cash distributions on all or a portion of their common units for a period of up to nine quarters commencing with the distribution for the quarter ended March 31, 2016 and, in lieu of receiving cash distributions on these common units for each such quarter, each said unitholder received ET Series A Convertible Preferred Units (on a one-for-one basis for each common unit as to which the participating unitholder elected be subject to this plan) that entitled them to receive a cash distribution of up to $0.11 per unit. See additional information below.</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distributions declared and paid with respect to ET Series A Convertible Preferred Unit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60" w:type="dxa"/>
            <w:vAlign w:val="bottom"/>
            <w:gridSpan w:val="2"/>
          </w:tcPr>
          <w:p>
            <w:pPr>
              <w:ind w:left="1240"/>
              <w:spacing w:after="0"/>
              <w:rPr>
                <w:sz w:val="20"/>
                <w:szCs w:val="20"/>
                <w:color w:val="auto"/>
              </w:rPr>
            </w:pPr>
            <w:r>
              <w:rPr>
                <w:rFonts w:ascii="Arial" w:cs="Arial" w:eastAsia="Arial" w:hAnsi="Arial"/>
                <w:sz w:val="18"/>
                <w:szCs w:val="18"/>
                <w:color w:val="auto"/>
              </w:rPr>
              <w:t>Quarter Ended</w:t>
            </w: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Record Date</w:t>
            </w:r>
          </w:p>
        </w:tc>
        <w:tc>
          <w:tcPr>
            <w:tcW w:w="2300" w:type="dxa"/>
            <w:vAlign w:val="bottom"/>
            <w:gridSpan w:val="2"/>
          </w:tcPr>
          <w:p>
            <w:pPr>
              <w:ind w:left="580"/>
              <w:spacing w:after="0"/>
              <w:rPr>
                <w:sz w:val="20"/>
                <w:szCs w:val="20"/>
                <w:color w:val="auto"/>
              </w:rPr>
            </w:pPr>
            <w:r>
              <w:rPr>
                <w:rFonts w:ascii="Arial" w:cs="Arial" w:eastAsia="Arial" w:hAnsi="Arial"/>
                <w:sz w:val="18"/>
                <w:szCs w:val="18"/>
                <w:color w:val="auto"/>
              </w:rPr>
              <w:t>Payment Date</w:t>
            </w:r>
          </w:p>
        </w:tc>
        <w:tc>
          <w:tcPr>
            <w:tcW w:w="520" w:type="dxa"/>
            <w:vAlign w:val="bottom"/>
          </w:tcPr>
          <w:p>
            <w:pPr>
              <w:spacing w:after="0"/>
              <w:rPr>
                <w:sz w:val="20"/>
                <w:szCs w:val="20"/>
                <w:color w:val="auto"/>
              </w:rPr>
            </w:pPr>
          </w:p>
        </w:tc>
        <w:tc>
          <w:tcPr>
            <w:tcW w:w="2100" w:type="dxa"/>
            <w:vAlign w:val="bottom"/>
            <w:gridSpan w:val="2"/>
          </w:tcPr>
          <w:p>
            <w:pPr>
              <w:ind w:left="420"/>
              <w:spacing w:after="0"/>
              <w:rPr>
                <w:sz w:val="20"/>
                <w:szCs w:val="20"/>
                <w:color w:val="auto"/>
              </w:rPr>
            </w:pPr>
            <w:r>
              <w:rPr>
                <w:rFonts w:ascii="Arial" w:cs="Arial" w:eastAsia="Arial" w:hAnsi="Arial"/>
                <w:sz w:val="18"/>
                <w:szCs w:val="18"/>
                <w:color w:val="auto"/>
              </w:rPr>
              <w:t>Rate</w:t>
            </w:r>
          </w:p>
        </w:tc>
      </w:tr>
      <w:tr>
        <w:trPr>
          <w:trHeight w:val="223"/>
        </w:trPr>
        <w:tc>
          <w:tcPr>
            <w:tcW w:w="340" w:type="dxa"/>
            <w:vAlign w:val="bottom"/>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7, 2017</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May 19, 2017</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21, 2017</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0.1100</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November 20, 2017</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 2018</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May 21, 2018</w:t>
            </w: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c>
          <w:tcPr>
            <w:tcW w:w="400" w:type="dxa"/>
            <w:vAlign w:val="bottom"/>
          </w:tcPr>
          <w:p>
            <w:pPr>
              <w:spacing w:after="0"/>
              <w:rPr>
                <w:sz w:val="20"/>
                <w:szCs w:val="20"/>
                <w:color w:val="auto"/>
              </w:rPr>
            </w:pPr>
          </w:p>
        </w:tc>
      </w:tr>
      <w:tr>
        <w:trPr>
          <w:trHeight w:val="863"/>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2"/>
          </w:tcPr>
          <w:p>
            <w:pPr>
              <w:ind w:left="1400"/>
              <w:spacing w:after="0"/>
              <w:rPr>
                <w:sz w:val="20"/>
                <w:szCs w:val="20"/>
                <w:color w:val="auto"/>
              </w:rPr>
            </w:pPr>
            <w:r>
              <w:rPr>
                <w:rFonts w:ascii="Arial" w:cs="Arial" w:eastAsia="Arial" w:hAnsi="Arial"/>
                <w:sz w:val="18"/>
                <w:szCs w:val="18"/>
                <w:color w:val="auto"/>
              </w:rPr>
              <w:t>F-45</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Distributions on the ETO’s Series A, Series B, Series C, Series D, Series E, Series F and Series G preferred units declared and/or paid by ETO were as follows: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Period Ended</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Record Date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Payment Date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6"/>
              </w:rPr>
              <w:t xml:space="preserve">Series A </w:t>
            </w:r>
            <w:r>
              <w:rPr>
                <w:rFonts w:ascii="Arial" w:cs="Arial" w:eastAsia="Arial" w:hAnsi="Arial"/>
                <w:sz w:val="18"/>
                <w:szCs w:val="18"/>
                <w:color w:val="auto"/>
                <w:w w:val="86"/>
                <w:vertAlign w:val="superscript"/>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9"/>
              </w:rPr>
              <w:t xml:space="preserve">Series B </w:t>
            </w:r>
            <w:r>
              <w:rPr>
                <w:rFonts w:ascii="Arial" w:cs="Arial" w:eastAsia="Arial" w:hAnsi="Arial"/>
                <w:sz w:val="18"/>
                <w:szCs w:val="18"/>
                <w:color w:val="auto"/>
                <w:w w:val="89"/>
                <w:vertAlign w:val="superscript"/>
              </w:rPr>
              <w:t>(1)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3"/>
              </w:rPr>
              <w:t>Series C</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Series D</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Series E</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w w:val="87"/>
              </w:rPr>
              <w:t xml:space="preserve">Series F </w:t>
            </w:r>
            <w:r>
              <w:rPr>
                <w:rFonts w:ascii="Arial" w:cs="Arial" w:eastAsia="Arial" w:hAnsi="Arial"/>
                <w:sz w:val="18"/>
                <w:szCs w:val="18"/>
                <w:color w:val="auto"/>
                <w:w w:val="87"/>
                <w:vertAlign w:val="superscript"/>
              </w:rPr>
              <w:t>(1)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w w:val="84"/>
              </w:rPr>
              <w:t xml:space="preserve">Series G </w:t>
            </w:r>
            <w:r>
              <w:rPr>
                <w:rFonts w:ascii="Arial" w:cs="Arial" w:eastAsia="Arial" w:hAnsi="Arial"/>
                <w:sz w:val="18"/>
                <w:szCs w:val="18"/>
                <w:color w:val="auto"/>
                <w:w w:val="84"/>
                <w:vertAlign w:val="superscript"/>
              </w:rPr>
              <w:t>(1)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2018</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15,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vertAlign w:val="superscript"/>
              </w:rPr>
              <w:t>*</w:t>
            </w:r>
            <w:r>
              <w:rPr>
                <w:rFonts w:ascii="Arial" w:cs="Arial" w:eastAsia="Arial" w:hAnsi="Arial"/>
                <w:sz w:val="14"/>
                <w:szCs w:val="14"/>
                <w:color w:val="auto"/>
              </w:rPr>
              <w:t xml:space="preserve">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1, 2018</w:t>
            </w:r>
          </w:p>
        </w:tc>
        <w:tc>
          <w:tcPr>
            <w:tcW w:w="12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0.5931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112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jc w:val="right"/>
              <w:ind w:right="21"/>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2019</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15, 2019</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4"/>
                <w:szCs w:val="14"/>
                <w:color w:val="auto"/>
              </w:rPr>
              <w:t>March 31, 2019</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May 1, 2019</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May 15, 2019</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2019</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2019</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15, 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0.5806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1, 2019</w:t>
            </w:r>
          </w:p>
        </w:tc>
        <w:tc>
          <w:tcPr>
            <w:tcW w:w="12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0.4750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112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3, 2020</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18, 2020</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0.4750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40" w:type="dxa"/>
            <w:vAlign w:val="bottom"/>
            <w:gridSpan w:val="2"/>
          </w:tcPr>
          <w:p>
            <w:pPr>
              <w:ind w:left="20"/>
              <w:spacing w:after="0"/>
              <w:rPr>
                <w:sz w:val="20"/>
                <w:szCs w:val="20"/>
                <w:color w:val="auto"/>
              </w:rPr>
            </w:pPr>
            <w:r>
              <w:rPr>
                <w:rFonts w:ascii="Arial" w:cs="Arial" w:eastAsia="Arial" w:hAnsi="Arial"/>
                <w:sz w:val="14"/>
                <w:szCs w:val="14"/>
                <w:color w:val="auto"/>
              </w:rPr>
              <w:t>March 31, 2020</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May 1, 2020</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May 15, 2020</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0.4750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6"/>
                <w:szCs w:val="16"/>
                <w:color w:val="auto"/>
              </w:rPr>
            </w:pPr>
          </w:p>
        </w:tc>
        <w:tc>
          <w:tcPr>
            <w:tcW w:w="920" w:type="dxa"/>
            <w:vAlign w:val="bottom"/>
            <w:gridSpan w:val="2"/>
          </w:tcPr>
          <w:p>
            <w:pPr>
              <w:jc w:val="center"/>
              <w:ind w:left="218"/>
              <w:spacing w:after="0"/>
              <w:rPr>
                <w:sz w:val="20"/>
                <w:szCs w:val="20"/>
                <w:color w:val="auto"/>
              </w:rPr>
            </w:pPr>
            <w:r>
              <w:rPr>
                <w:rFonts w:ascii="Arial" w:cs="Arial" w:eastAsia="Arial" w:hAnsi="Arial"/>
                <w:sz w:val="14"/>
                <w:szCs w:val="14"/>
                <w:color w:val="auto"/>
              </w:rPr>
              <w:t xml:space="preserve">22.36 </w:t>
            </w: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9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3, 2020</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17, 2020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0.4750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2, 2020</w:t>
            </w:r>
          </w:p>
        </w:tc>
        <w:tc>
          <w:tcPr>
            <w:tcW w:w="12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0.4750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33.75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35.625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2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December 31,</w:t>
            </w:r>
          </w:p>
        </w:tc>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2021</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16, 2021</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0.4750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00" w:hanging="168"/>
        <w:spacing w:after="0"/>
        <w:tabs>
          <w:tab w:leader="none" w:pos="500" w:val="left"/>
        </w:tabs>
        <w:numPr>
          <w:ilvl w:val="0"/>
          <w:numId w:val="156"/>
        </w:numPr>
        <w:rPr>
          <w:rFonts w:ascii="Arial" w:cs="Arial" w:eastAsia="Arial" w:hAnsi="Arial"/>
          <w:sz w:val="23"/>
          <w:szCs w:val="23"/>
          <w:color w:val="auto"/>
          <w:vertAlign w:val="superscript"/>
        </w:rPr>
      </w:pPr>
      <w:r>
        <w:rPr>
          <w:rFonts w:ascii="Arial" w:cs="Arial" w:eastAsia="Arial" w:hAnsi="Arial"/>
          <w:sz w:val="18"/>
          <w:szCs w:val="18"/>
          <w:color w:val="auto"/>
        </w:rPr>
        <w:t>Represent prorated initial distributions.</w:t>
      </w:r>
    </w:p>
    <w:p>
      <w:pPr>
        <w:spacing w:after="0" w:line="94" w:lineRule="exact"/>
        <w:rPr>
          <w:sz w:val="20"/>
          <w:szCs w:val="20"/>
          <w:color w:val="auto"/>
        </w:rPr>
      </w:pPr>
    </w:p>
    <w:p>
      <w:pPr>
        <w:ind w:left="340" w:hanging="8"/>
        <w:spacing w:after="0" w:line="227" w:lineRule="auto"/>
        <w:tabs>
          <w:tab w:leader="none" w:pos="593" w:val="left"/>
        </w:tabs>
        <w:numPr>
          <w:ilvl w:val="0"/>
          <w:numId w:val="157"/>
        </w:numPr>
        <w:rPr>
          <w:rFonts w:ascii="Arial" w:cs="Arial" w:eastAsia="Arial" w:hAnsi="Arial"/>
          <w:sz w:val="23"/>
          <w:szCs w:val="23"/>
          <w:color w:val="auto"/>
          <w:vertAlign w:val="superscript"/>
        </w:rPr>
      </w:pPr>
      <w:r>
        <w:rPr>
          <w:rFonts w:ascii="Arial" w:cs="Arial" w:eastAsia="Arial" w:hAnsi="Arial"/>
          <w:sz w:val="18"/>
          <w:szCs w:val="18"/>
          <w:color w:val="auto"/>
        </w:rPr>
        <w:t>ETO Series A Preferred Unit, ETO Series B Preferred Unit, ETO Series F Preferred Unit and ETO Series G Preferred Unit distributions are paid on a semi-annual basis.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Marginal Percentage Interest in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Distributions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Total Quarterly Distribution Target Amount</w:t>
            </w: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3"/>
              </w:rPr>
              <w:t>Common</w:t>
            </w: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Holder of IDRs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Unitholders</w:t>
            </w: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First Target Distribution</w:t>
            </w:r>
          </w:p>
        </w:tc>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$0.4375 to $0.503125</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3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$0.503125 to $0.546875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Third Target Distribution</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$0.546875 to $0.656250</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Above $0.656250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00" w:type="dxa"/>
            <w:vAlign w:val="bottom"/>
            <w:gridSpan w:val="2"/>
          </w:tcPr>
          <w:p>
            <w:pPr>
              <w:ind w:left="1160"/>
              <w:spacing w:after="0"/>
              <w:rPr>
                <w:sz w:val="20"/>
                <w:szCs w:val="20"/>
                <w:color w:val="auto"/>
              </w:rPr>
            </w:pPr>
            <w:r>
              <w:rPr>
                <w:rFonts w:ascii="Arial" w:cs="Arial" w:eastAsia="Arial" w:hAnsi="Arial"/>
                <w:sz w:val="18"/>
                <w:szCs w:val="18"/>
                <w:color w:val="auto"/>
              </w:rPr>
              <w:t>F-46</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0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0" w:type="dxa"/>
            <w:vAlign w:val="bottom"/>
            <w:gridSpan w:val="2"/>
          </w:tcPr>
          <w:p>
            <w:pPr>
              <w:ind w:left="920"/>
              <w:spacing w:after="0"/>
              <w:rPr>
                <w:sz w:val="20"/>
                <w:szCs w:val="20"/>
                <w:color w:val="auto"/>
              </w:rPr>
            </w:pPr>
            <w:r>
              <w:rPr>
                <w:rFonts w:ascii="Arial" w:cs="Arial" w:eastAsia="Arial" w:hAnsi="Arial"/>
                <w:sz w:val="18"/>
                <w:szCs w:val="18"/>
                <w:color w:val="auto"/>
              </w:rPr>
              <w:t>Quarter Ended</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Record Date</w:t>
            </w:r>
          </w:p>
        </w:tc>
        <w:tc>
          <w:tcPr>
            <w:tcW w:w="2520" w:type="dxa"/>
            <w:vAlign w:val="bottom"/>
            <w:gridSpan w:val="2"/>
          </w:tcPr>
          <w:p>
            <w:pPr>
              <w:ind w:left="700"/>
              <w:spacing w:after="0"/>
              <w:rPr>
                <w:sz w:val="20"/>
                <w:szCs w:val="20"/>
                <w:color w:val="auto"/>
              </w:rPr>
            </w:pPr>
            <w:r>
              <w:rPr>
                <w:rFonts w:ascii="Arial" w:cs="Arial" w:eastAsia="Arial" w:hAnsi="Arial"/>
                <w:sz w:val="18"/>
                <w:szCs w:val="18"/>
                <w:color w:val="auto"/>
              </w:rPr>
              <w:t>Payment Date</w:t>
            </w:r>
          </w:p>
        </w:tc>
        <w:tc>
          <w:tcPr>
            <w:tcW w:w="580" w:type="dxa"/>
            <w:vAlign w:val="bottom"/>
          </w:tcPr>
          <w:p>
            <w:pPr>
              <w:spacing w:after="0"/>
              <w:rPr>
                <w:sz w:val="20"/>
                <w:szCs w:val="20"/>
                <w:color w:val="auto"/>
              </w:rPr>
            </w:pPr>
          </w:p>
        </w:tc>
        <w:tc>
          <w:tcPr>
            <w:tcW w:w="1860" w:type="dxa"/>
            <w:vAlign w:val="bottom"/>
          </w:tcPr>
          <w:p>
            <w:pPr>
              <w:jc w:val="right"/>
              <w:ind w:right="970"/>
              <w:spacing w:after="0"/>
              <w:rPr>
                <w:sz w:val="20"/>
                <w:szCs w:val="20"/>
                <w:color w:val="auto"/>
              </w:rPr>
            </w:pPr>
            <w:r>
              <w:rPr>
                <w:rFonts w:ascii="Arial" w:cs="Arial" w:eastAsia="Arial" w:hAnsi="Arial"/>
                <w:sz w:val="18"/>
                <w:szCs w:val="18"/>
                <w:color w:val="auto"/>
              </w:rPr>
              <w:t>Rate</w:t>
            </w:r>
          </w:p>
        </w:tc>
      </w:tr>
      <w:tr>
        <w:trPr>
          <w:trHeight w:val="223"/>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6, 2018</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520" w:type="dxa"/>
            <w:vAlign w:val="bottom"/>
            <w:gridSpan w:val="2"/>
          </w:tcPr>
          <w:p>
            <w:pPr>
              <w:spacing w:after="0"/>
              <w:rPr>
                <w:sz w:val="20"/>
                <w:szCs w:val="20"/>
                <w:color w:val="auto"/>
              </w:rPr>
            </w:pPr>
            <w:r>
              <w:rPr>
                <w:rFonts w:ascii="Arial" w:cs="Arial" w:eastAsia="Arial" w:hAnsi="Arial"/>
                <w:sz w:val="18"/>
                <w:szCs w:val="18"/>
                <w:color w:val="auto"/>
              </w:rPr>
              <w:t>May 7, 2018</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7, 2018</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52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6, 2019</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520" w:type="dxa"/>
            <w:vAlign w:val="bottom"/>
            <w:gridSpan w:val="2"/>
          </w:tcPr>
          <w:p>
            <w:pPr>
              <w:spacing w:after="0"/>
              <w:rPr>
                <w:sz w:val="20"/>
                <w:szCs w:val="20"/>
                <w:color w:val="auto"/>
              </w:rPr>
            </w:pPr>
            <w:r>
              <w:rPr>
                <w:rFonts w:ascii="Arial" w:cs="Arial" w:eastAsia="Arial" w:hAnsi="Arial"/>
                <w:sz w:val="18"/>
                <w:szCs w:val="18"/>
                <w:color w:val="auto"/>
              </w:rPr>
              <w:t>May 7, 2019</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15,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6, 2019</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14,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520" w:type="dxa"/>
            <w:vAlign w:val="bottom"/>
            <w:gridSpan w:val="2"/>
          </w:tcPr>
          <w:p>
            <w:pPr>
              <w:spacing w:after="0"/>
              <w:rPr>
                <w:sz w:val="20"/>
                <w:szCs w:val="20"/>
                <w:color w:val="auto"/>
              </w:rPr>
            </w:pPr>
            <w:r>
              <w:rPr>
                <w:rFonts w:ascii="Arial" w:cs="Arial" w:eastAsia="Arial" w:hAnsi="Arial"/>
                <w:sz w:val="18"/>
                <w:szCs w:val="18"/>
                <w:color w:val="auto"/>
              </w:rPr>
              <w:t>November 5, 2019</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7, 2020</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2520" w:type="dxa"/>
            <w:vAlign w:val="bottom"/>
            <w:gridSpan w:val="2"/>
          </w:tcPr>
          <w:p>
            <w:pPr>
              <w:spacing w:after="0"/>
              <w:rPr>
                <w:sz w:val="20"/>
                <w:szCs w:val="20"/>
                <w:color w:val="auto"/>
              </w:rPr>
            </w:pPr>
            <w:r>
              <w:rPr>
                <w:rFonts w:ascii="Arial" w:cs="Arial" w:eastAsia="Arial" w:hAnsi="Arial"/>
                <w:sz w:val="18"/>
                <w:szCs w:val="18"/>
                <w:color w:val="auto"/>
              </w:rPr>
              <w:t>May 7, 2020</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19,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7, 2020</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520" w:type="dxa"/>
            <w:vAlign w:val="bottom"/>
            <w:gridSpan w:val="2"/>
          </w:tcPr>
          <w:p>
            <w:pPr>
              <w:spacing w:after="0"/>
              <w:rPr>
                <w:sz w:val="20"/>
                <w:szCs w:val="20"/>
                <w:color w:val="auto"/>
              </w:rPr>
            </w:pPr>
            <w:r>
              <w:rPr>
                <w:rFonts w:ascii="Arial" w:cs="Arial" w:eastAsia="Arial" w:hAnsi="Arial"/>
                <w:sz w:val="18"/>
                <w:szCs w:val="18"/>
                <w:color w:val="auto"/>
              </w:rPr>
              <w:t>November 6, 2020</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19,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8, 2021</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Subsequent to the Energy Transfer Merger and USAC Transactions described in Note 1 and Note 3, respectively, ETO owned approximately 39.7 million USAC common units and 6.4 million USAC Class B units. Subsequent to the conversion of the USAC Class B Units to USAC common units on July 30, 2019, ETO owns approximately 46.1 million USAC common units. As of December 31, 2020, USAC had approximately 97.0 million common units outstanding. USAC currently has a non-economic general partner interest and no outstanding IDRs.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60" w:type="dxa"/>
            <w:vAlign w:val="bottom"/>
            <w:gridSpan w:val="2"/>
          </w:tcPr>
          <w:p>
            <w:pPr>
              <w:ind w:left="900"/>
              <w:spacing w:after="0"/>
              <w:rPr>
                <w:sz w:val="20"/>
                <w:szCs w:val="20"/>
                <w:color w:val="auto"/>
              </w:rPr>
            </w:pPr>
            <w:r>
              <w:rPr>
                <w:rFonts w:ascii="Arial" w:cs="Arial" w:eastAsia="Arial" w:hAnsi="Arial"/>
                <w:sz w:val="18"/>
                <w:szCs w:val="18"/>
                <w:color w:val="auto"/>
              </w:rPr>
              <w:t>Quarter Ended</w:t>
            </w:r>
          </w:p>
        </w:tc>
        <w:tc>
          <w:tcPr>
            <w:tcW w:w="1880" w:type="dxa"/>
            <w:vAlign w:val="bottom"/>
          </w:tcPr>
          <w:p>
            <w:pPr>
              <w:ind w:left="760"/>
              <w:spacing w:after="0"/>
              <w:rPr>
                <w:sz w:val="20"/>
                <w:szCs w:val="20"/>
                <w:color w:val="auto"/>
              </w:rPr>
            </w:pPr>
            <w:r>
              <w:rPr>
                <w:rFonts w:ascii="Arial" w:cs="Arial" w:eastAsia="Arial" w:hAnsi="Arial"/>
                <w:sz w:val="18"/>
                <w:szCs w:val="18"/>
                <w:color w:val="auto"/>
              </w:rPr>
              <w:t>Record Date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720"/>
              <w:spacing w:after="0"/>
              <w:rPr>
                <w:sz w:val="20"/>
                <w:szCs w:val="20"/>
                <w:color w:val="auto"/>
              </w:rPr>
            </w:pPr>
            <w:r>
              <w:rPr>
                <w:rFonts w:ascii="Arial" w:cs="Arial" w:eastAsia="Arial" w:hAnsi="Arial"/>
                <w:sz w:val="18"/>
                <w:szCs w:val="18"/>
                <w:color w:val="auto"/>
              </w:rPr>
              <w:t>Payment Date</w:t>
            </w:r>
          </w:p>
        </w:tc>
        <w:tc>
          <w:tcPr>
            <w:tcW w:w="580" w:type="dxa"/>
            <w:vAlign w:val="bottom"/>
          </w:tcPr>
          <w:p>
            <w:pPr>
              <w:spacing w:after="0"/>
              <w:rPr>
                <w:sz w:val="20"/>
                <w:szCs w:val="20"/>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Rate</w:t>
            </w:r>
          </w:p>
        </w:tc>
      </w:tr>
      <w:tr>
        <w:trPr>
          <w:trHeight w:val="223"/>
        </w:trPr>
        <w:tc>
          <w:tcPr>
            <w:tcW w:w="340" w:type="dxa"/>
            <w:vAlign w:val="bottom"/>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11, 2018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1880" w:type="dxa"/>
            <w:vAlign w:val="bottom"/>
          </w:tcPr>
          <w:p>
            <w:pPr>
              <w:ind w:left="20"/>
              <w:spacing w:after="0"/>
              <w:rPr>
                <w:sz w:val="20"/>
                <w:szCs w:val="20"/>
                <w:color w:val="auto"/>
              </w:rPr>
            </w:pPr>
            <w:r>
              <w:rPr>
                <w:rFonts w:ascii="Arial" w:cs="Arial" w:eastAsia="Arial" w:hAnsi="Arial"/>
                <w:sz w:val="18"/>
                <w:szCs w:val="18"/>
                <w:color w:val="auto"/>
              </w:rPr>
              <w:t>July 30, 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10, 2018</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9, 2018</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1880" w:type="dxa"/>
            <w:vAlign w:val="bottom"/>
          </w:tcPr>
          <w:p>
            <w:pPr>
              <w:ind w:left="20"/>
              <w:spacing w:after="0"/>
              <w:rPr>
                <w:sz w:val="20"/>
                <w:szCs w:val="20"/>
                <w:color w:val="auto"/>
              </w:rPr>
            </w:pPr>
            <w:r>
              <w:rPr>
                <w:rFonts w:ascii="Arial" w:cs="Arial" w:eastAsia="Arial" w:hAnsi="Arial"/>
                <w:sz w:val="18"/>
                <w:szCs w:val="18"/>
                <w:color w:val="auto"/>
              </w:rPr>
              <w:t>January 28, 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8,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29, 2019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10,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1880" w:type="dxa"/>
            <w:vAlign w:val="bottom"/>
          </w:tcPr>
          <w:p>
            <w:pPr>
              <w:ind w:left="20"/>
              <w:spacing w:after="0"/>
              <w:rPr>
                <w:sz w:val="20"/>
                <w:szCs w:val="20"/>
                <w:color w:val="auto"/>
              </w:rPr>
            </w:pPr>
            <w:r>
              <w:rPr>
                <w:rFonts w:ascii="Arial" w:cs="Arial" w:eastAsia="Arial" w:hAnsi="Arial"/>
                <w:sz w:val="18"/>
                <w:szCs w:val="18"/>
                <w:color w:val="auto"/>
              </w:rPr>
              <w:t>July 29, 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9,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28, 2019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8,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880" w:type="dxa"/>
            <w:vAlign w:val="bottom"/>
          </w:tcPr>
          <w:p>
            <w:pPr>
              <w:ind w:left="20"/>
              <w:spacing w:after="0"/>
              <w:rPr>
                <w:sz w:val="20"/>
                <w:szCs w:val="20"/>
                <w:color w:val="auto"/>
              </w:rPr>
            </w:pPr>
            <w:r>
              <w:rPr>
                <w:rFonts w:ascii="Arial" w:cs="Arial" w:eastAsia="Arial" w:hAnsi="Arial"/>
                <w:sz w:val="18"/>
                <w:szCs w:val="18"/>
                <w:color w:val="auto"/>
              </w:rPr>
              <w:t>January 27,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7,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27, 2020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8,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880" w:type="dxa"/>
            <w:vAlign w:val="bottom"/>
          </w:tcPr>
          <w:p>
            <w:pPr>
              <w:ind w:left="20"/>
              <w:spacing w:after="0"/>
              <w:rPr>
                <w:sz w:val="20"/>
                <w:szCs w:val="20"/>
                <w:color w:val="auto"/>
              </w:rPr>
            </w:pPr>
            <w:r>
              <w:rPr>
                <w:rFonts w:ascii="Arial" w:cs="Arial" w:eastAsia="Arial" w:hAnsi="Arial"/>
                <w:sz w:val="18"/>
                <w:szCs w:val="18"/>
                <w:color w:val="auto"/>
              </w:rPr>
              <w:t>July 31,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10,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26, 2020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6,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880" w:type="dxa"/>
            <w:vAlign w:val="bottom"/>
          </w:tcPr>
          <w:p>
            <w:pPr>
              <w:ind w:left="20"/>
              <w:spacing w:after="0"/>
              <w:rPr>
                <w:sz w:val="20"/>
                <w:szCs w:val="20"/>
                <w:color w:val="auto"/>
              </w:rPr>
            </w:pPr>
            <w:r>
              <w:rPr>
                <w:rFonts w:ascii="Arial" w:cs="Arial" w:eastAsia="Arial" w:hAnsi="Arial"/>
                <w:sz w:val="18"/>
                <w:szCs w:val="18"/>
                <w:color w:val="auto"/>
              </w:rPr>
              <w:t>January 25, 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5, 2021</w:t>
            </w:r>
          </w:p>
        </w:tc>
        <w:tc>
          <w:tcPr>
            <w:tcW w:w="5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20"/>
                <w:szCs w:val="20"/>
                <w:color w:val="auto"/>
              </w:rPr>
            </w:pPr>
          </w:p>
        </w:tc>
      </w:tr>
      <w:tr>
        <w:trPr>
          <w:trHeight w:val="863"/>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80" w:type="dxa"/>
            <w:vAlign w:val="bottom"/>
            <w:gridSpan w:val="4"/>
          </w:tcPr>
          <w:p>
            <w:pPr>
              <w:ind w:left="220"/>
              <w:spacing w:after="0"/>
              <w:rPr>
                <w:sz w:val="20"/>
                <w:szCs w:val="20"/>
                <w:color w:val="auto"/>
              </w:rPr>
            </w:pPr>
            <w:r>
              <w:rPr>
                <w:rFonts w:ascii="Arial" w:cs="Arial" w:eastAsia="Arial" w:hAnsi="Arial"/>
                <w:sz w:val="18"/>
                <w:szCs w:val="18"/>
                <w:color w:val="auto"/>
              </w:rPr>
              <w:t>F-47</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AOCI, net of tax:</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related to pensions and other postretirement benefits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unconsolidated affiliates,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AOCI, net of tax</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attributable to noncontrolling interests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AOCI included in partners’ capital, net of tax</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500" w:type="dxa"/>
            <w:vAlign w:val="bottom"/>
            <w:gridSpan w:val="2"/>
          </w:tcPr>
          <w:p>
            <w:pPr>
              <w:spacing w:after="0"/>
              <w:rPr>
                <w:sz w:val="20"/>
                <w:szCs w:val="20"/>
                <w:color w:val="auto"/>
              </w:rPr>
            </w:pPr>
            <w:r>
              <w:rPr>
                <w:rFonts w:ascii="Arial" w:cs="Arial" w:eastAsia="Arial" w:hAnsi="Arial"/>
                <w:sz w:val="18"/>
                <w:szCs w:val="18"/>
                <w:color w:val="auto"/>
                <w:w w:val="93"/>
              </w:rPr>
              <w:t>The table below sets forth the tax amounts included in the respective components of other comprehensive income: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00"/>
        </w:trPr>
        <w:tc>
          <w:tcPr>
            <w:tcW w:w="7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relating to pension and other postretirement benefits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
        </w:trPr>
        <w:tc>
          <w:tcPr>
            <w:tcW w:w="7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NON-CASH COMPENSATION PLANS: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Sunoco LP and USAC, have issued equity incentive plans for employees, officers and directors, which provide for various types of awards, including options to purchase Common Units, restricted units, phantom units, distribution equivalent rights (“DERs”), common unit appreciation rights, cash restricted units and other non-cash compensation awards. As of December 31, 2020, an aggregate total of 34.3 million ET Common Units remain available to be awarded under our equity incentive plans.</w:t>
      </w:r>
    </w:p>
    <w:p>
      <w:pPr>
        <w:spacing w:after="0" w:line="12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ET Long-Term Incentive Plan</w:t>
      </w:r>
    </w:p>
    <w:p>
      <w:pPr>
        <w:spacing w:after="0" w:line="17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granted restricted unit awards to employees that vest over a specified time period, typically a five-year service vesting requirement, with vesting based on continued employment as of each applicable vesting date. Upon vesting, ET Common Units are issued. These unit awards entitle the recipients of the unit awards to receive, with respect to each Common Unit subject to such award that has not either vested or been forfeited, a cash payment equal to each cash distribution per Common Unit made by us on our Common Units promptly following each such distribution by us to our Unitholders. We refer to these rights as “distribution equivalent rights.” Under our equity incentive plans, our non-employee directors each receive grants with a five-year service vesting requirement.</w:t>
      </w:r>
    </w:p>
    <w:p>
      <w:pPr>
        <w:spacing w:after="0" w:line="13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activity of the awards granted to employees and non-employee directors: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1700" w:type="dxa"/>
            <w:vAlign w:val="bottom"/>
            <w:vMerge w:val="restart"/>
          </w:tcPr>
          <w:p>
            <w:pPr>
              <w:ind w:left="460"/>
              <w:spacing w:after="0"/>
              <w:rPr>
                <w:sz w:val="20"/>
                <w:szCs w:val="20"/>
                <w:color w:val="auto"/>
              </w:rPr>
            </w:pPr>
            <w:r>
              <w:rPr>
                <w:rFonts w:ascii="Arial" w:cs="Arial" w:eastAsia="Arial" w:hAnsi="Arial"/>
                <w:sz w:val="18"/>
                <w:szCs w:val="18"/>
                <w:color w:val="auto"/>
                <w:w w:val="93"/>
              </w:rPr>
              <w:t>Number of Units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color w:val="auto"/>
                <w:w w:val="90"/>
              </w:rPr>
              <w:t>Weighted Average Grant-</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Date Fair Value Per Unit</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2019</w:t>
            </w: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9"/>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Awards forfeited</w:t>
            </w:r>
          </w:p>
        </w:tc>
        <w:tc>
          <w:tcPr>
            <w:tcW w:w="1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years ended December 31, 2020, 2019, and 2018, the weighted average grant-date fair value per unit award granted was $6.29, $12.51 and $13.00, respectively. The total fair value of awards vested was $51 million, $47 million, and $49 million, respectively, based on the market price of the respective Common Units as of the vesting date. As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December 31, 2020, a total of 29.4 million unit awards remain unvested, for which ET expects to recognize a total of $193 million in compensation expense over a weighted average period of 2.8 years.</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Cash Restricted Units. </w:t>
      </w:r>
      <w:r>
        <w:rPr>
          <w:rFonts w:ascii="Arial" w:cs="Arial" w:eastAsia="Arial" w:hAnsi="Arial"/>
          <w:sz w:val="18"/>
          <w:szCs w:val="18"/>
          <w:color w:val="auto"/>
        </w:rPr>
        <w:t>The Partnership has also granted cash restricted units, which vest through three year of service. A cash restricted unit entitles</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recipient to receive cash equal to the market value of one one ET Common Unit upon vesting. In December 2020, the Partnership granted a total of 7.7 million cash restricted units.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Long-Term Incentive Plans</w:t>
      </w:r>
    </w:p>
    <w:p>
      <w:pPr>
        <w:spacing w:after="0" w:line="17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Each of Sunoco LP and USAC has granted restricted or phantom unit awards (collectively, the “Subsidiary Unit Awards”) to employees and directors that entitle the grantees to receive common units of the respective subsidiary. In some cases, at the discretion of the respective subsidiary’s compensation committee, the grantee may instead receive an amount of cash equivalent to the value of common units upon vesting. Substantially all of the Subsidiary Unit Awards are time-vested grants, which generally vest over a three or five-year period, that entitles the grantees of the unit awards to receive an amount of cash equal to the per unit cash distributions made by the respective subsidiaries during the period the restricted unit is outstanding.</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the Subsidiary Unit Awards: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color w:val="auto"/>
              </w:rPr>
              <w:t>Sunoco LP</w:t>
            </w:r>
          </w:p>
        </w:tc>
        <w:tc>
          <w:tcPr>
            <w:tcW w:w="290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color w:val="auto"/>
              </w:rPr>
              <w:t>USAC</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89"/>
              </w:rPr>
              <w:t>Weighted</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6"/>
              </w:rPr>
              <w:t>Average</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1"/>
              </w:rPr>
              <w:t>Grant-Date Fair</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Grant-Date Fair</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1"/>
              </w:rPr>
              <w:t>Value</w:t>
            </w: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Units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Per Unit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Units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Per Unit</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2019</w:t>
            </w:r>
          </w:p>
        </w:tc>
        <w:tc>
          <w:tcPr>
            <w:tcW w:w="138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29.21</w:t>
            </w:r>
          </w:p>
        </w:tc>
        <w:tc>
          <w:tcPr>
            <w:tcW w:w="138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9"/>
        </w:trPr>
        <w:tc>
          <w:tcPr>
            <w:tcW w:w="4600" w:type="dxa"/>
            <w:vAlign w:val="bottom"/>
          </w:tcPr>
          <w:p>
            <w:pPr>
              <w:ind w:left="340"/>
              <w:spacing w:after="0"/>
              <w:rPr>
                <w:sz w:val="20"/>
                <w:szCs w:val="20"/>
                <w:color w:val="auto"/>
              </w:rPr>
            </w:pPr>
            <w:r>
              <w:rPr>
                <w:rFonts w:ascii="Arial" w:cs="Arial" w:eastAsia="Arial" w:hAnsi="Arial"/>
                <w:sz w:val="18"/>
                <w:szCs w:val="18"/>
                <w:color w:val="auto"/>
              </w:rPr>
              <w:t>Awards granted</w:t>
            </w:r>
          </w:p>
        </w:tc>
        <w:tc>
          <w:tcPr>
            <w:tcW w:w="1380" w:type="dxa"/>
            <w:vAlign w:val="bottom"/>
          </w:tcPr>
          <w:p>
            <w:pPr>
              <w:jc w:val="center"/>
              <w:ind w:left="930"/>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28.63</w:t>
            </w:r>
          </w:p>
        </w:tc>
        <w:tc>
          <w:tcPr>
            <w:tcW w:w="1380" w:type="dxa"/>
            <w:vAlign w:val="bottom"/>
          </w:tcPr>
          <w:p>
            <w:pPr>
              <w:jc w:val="center"/>
              <w:ind w:left="930"/>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 vested</w:t>
            </w: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30.47</w:t>
            </w: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Awards forfeited</w:t>
            </w: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29.11</w:t>
            </w: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2020</w:t>
            </w:r>
          </w:p>
        </w:tc>
        <w:tc>
          <w:tcPr>
            <w:tcW w:w="138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28.63</w:t>
            </w:r>
          </w:p>
        </w:tc>
        <w:tc>
          <w:tcPr>
            <w:tcW w:w="138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weighted average grant-date fair value per unit award granted:</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Sunoco LP</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USAC</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15.47</w:t>
            </w:r>
          </w:p>
        </w:tc>
      </w:tr>
    </w:tbl>
    <w:p>
      <w:pPr>
        <w:spacing w:after="0" w:line="14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total fair value of Subsidiary Unit Awards vested for the years ended December 31, 2020, 2019 and 2018 was $16 million, $17 million, and $22 million, respectively, based on the market price of Sunoco LP and USAC common units as of the vesting date for the years ended December 31, 2020. 2019 and 2018. As of December 31, 2020, estimated compensation cost related to Subsidiary Unit Awards not yet recognized was $39 million, and the weighted average period over which this cost is expected to be recognized in expense is 3.6 years.</w:t>
      </w:r>
    </w:p>
    <w:p>
      <w:pPr>
        <w:spacing w:after="0" w:line="113"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 partnership, we are not subject to United States federal income tax and most state income taxes. However, the Partnership conducts certain activities through corporate subsidiaries which are subject to federal and state income taxes.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federal and state income tax expense (benefit) of our taxable subsidiaries were summarized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w w:val="99"/>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Current expense (benefit):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income tax expense from continuing operations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Historically, our effective tax rate has differed from the statutory rate primarily due to partnership earnings that are not subject to United States federal and most state income taxes at the partnership level. A reconciliation of income tax expense at the United States statutory rate to the Partnership’s income tax benefit for the years ended December 31, 2020, 2019 and 2018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w w:val="99"/>
              </w:rPr>
              <w:t>Years Ended December 31,</w:t>
            </w: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r>
      <w:tr>
        <w:trPr>
          <w:trHeight w:val="371"/>
        </w:trPr>
        <w:tc>
          <w:tcPr>
            <w:tcW w:w="340" w:type="dxa"/>
            <w:vAlign w:val="bottom"/>
          </w:tcPr>
          <w:p>
            <w:pPr>
              <w:spacing w:after="0"/>
              <w:rPr>
                <w:sz w:val="24"/>
                <w:szCs w:val="24"/>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United States statutory rate</w:t>
            </w:r>
          </w:p>
        </w:tc>
        <w:tc>
          <w:tcPr>
            <w:tcW w:w="26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Partnership earnings not subject to tax</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tax, net of federal tax benefit</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Dividend received deduction</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taxes</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60" w:type="dxa"/>
            <w:vAlign w:val="bottom"/>
            <w:gridSpan w:val="2"/>
          </w:tcPr>
          <w:p>
            <w:pPr>
              <w:jc w:val="right"/>
              <w:ind w:right="1470"/>
              <w:spacing w:after="0"/>
              <w:rPr>
                <w:sz w:val="20"/>
                <w:szCs w:val="20"/>
                <w:color w:val="auto"/>
              </w:rPr>
            </w:pPr>
            <w:r>
              <w:rPr>
                <w:rFonts w:ascii="Arial" w:cs="Arial" w:eastAsia="Arial" w:hAnsi="Arial"/>
                <w:sz w:val="18"/>
                <w:szCs w:val="18"/>
                <w:color w:val="auto"/>
              </w:rPr>
              <w:t>F-50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taxes result from the temporary differences between financial reporting carrying amounts and the tax basis of existing assets and liabilities.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principal components of the deferred tax assets (liabilities) as follows: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 alternative minimum tax credit and other carryforwards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deferred income tax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0"/>
        </w:trPr>
        <w:tc>
          <w:tcPr>
            <w:tcW w:w="7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Investments in affiliates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income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23"/>
        </w:trPr>
        <w:tc>
          <w:tcPr>
            <w:tcW w:w="7580" w:type="dxa"/>
            <w:vAlign w:val="bottom"/>
          </w:tcPr>
          <w:p>
            <w:pPr>
              <w:ind w:left="50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As of December 31, 2020, ETP Holdco had a federal net operating loss carryforward of $3.73 billion, of which $1.3 billion will expire in 2031 through 2037 while the remaining can be carried forward indefinitely. A total of $787 million of the federal net operating loss carryforward is limited under IRC §382. Although we expect to fully utilize the IRC §382 limited federal net operating loss, the amount utilized in a particular year may be limited. As of December 31, 2020, Sunoco Property Company LLC, a corporate subsidiary of Sunoco LP, had a state net operating loss carrryforward of $121 million, which we expect to fully utilize. Sunoco Property Company LLC has no federal net operating loss carryforward.</w:t>
      </w:r>
    </w:p>
    <w:p>
      <w:pPr>
        <w:spacing w:after="0" w:line="12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Our corporate subsidiaries have state net operating loss carryforward benefits of $174 million, net of federal tax, some of which expire between 2021 and 2039, while others are carried forward indefinitely. Our corporate subsidiaries have Canadian net operating losses of $7 million that will begin to expire in 2033. Our corporate subsidiaries have cumulative excess business interest expense of $129 million available for carryforward indefinitely. A valuation allowance of $89 million is attributable to state net operating loss carryforward benefits primarily attributable to significant restrictions on their use in the Commonwealth of Pennsylvania. A separate valuation allowance of $45 million is attributable to foreign tax credits.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unrecognized tax benefits: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color w:val="auto"/>
                <w:w w:val="97"/>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Additions attributable to tax positions taken in the current year</w:t>
            </w:r>
          </w:p>
        </w:tc>
        <w:tc>
          <w:tcPr>
            <w:tcW w:w="108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attributable to tax positions taken in prior years</w:t>
            </w:r>
          </w:p>
        </w:tc>
        <w:tc>
          <w:tcPr>
            <w:tcW w:w="10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Reduction attributable to tax positions taken in prior years</w:t>
            </w:r>
          </w:p>
        </w:tc>
        <w:tc>
          <w:tcPr>
            <w:tcW w:w="108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Lapse of statute</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5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2020, we had $90 million ($48 million after federal income tax benefits) related to tax positions which, if recognized, would impact our effective tax rate.</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Our policy is to accrue interest expense and penalties on income tax underpayments (overpayments) as a component of income tax expense. During 2020, we recognized interest and penalties of less than $7 million. At December 31, 2020, we have interest and penalties accrued of $10 million, net of tax.</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We appealed the adverse Court of Federal Claims decision against ETC Sunoco regarding the IRS’ denial of ethanol blending credits claims under Section 6426 to the Federal Circuit. The Federal Circuit affirmed the CFC’s denial on November 1, 2018. ETC Sunoco filed a petition for certiorari with the Supreme Court on May 24, 2019 to review the Federal Circuit's affirmation of the CFC's ruling, and the Court denied Sunoco's petition on October 7, 2019. The petition for certiorari applied to ETC Sunoco’s 2004 through 2009 tax years, and 2010 through 2011 remained on extension with the IRS through September 28, 2020. We filed a petition for the 2010 and 2011 years in the Federal District Court for the Northern District of Texas on September 25, 2020. Due to the uncertainty surrounding the litigation, a reserve of $530 million was previously established for the full amount of the pending refund claims, and the receivable and reserve for this issue were netted in the consolidated balance sheet. Subsequent to the Supreme Court’s denial of the petition in October 2019, the receivable and reserve have been reversed, with no impact to the Partnership’s financial position and results of operations.</w:t>
      </w:r>
    </w:p>
    <w:p>
      <w:pPr>
        <w:spacing w:after="0" w:line="142"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In November 2015, the Pennsylvania Commonwealth Court determined in Nextel Communications v. Commonwealth (“Nextel”) that the Pennsylvania limitation on NOL carryforward deductions violated the uniformity clause of the Pennsylvania Constitution and struck the NOL limitation in its entirety. In October 2017, the Pennsylvania Supreme Court affirmed the decision with respect to the uniformity clause violation; however, the Court reversed with respect to the remedy and instead severed the flat-dollar limitation, leaving the percentage-based limitation intact. Nextel subsequently filed a petition for writ of certiorari with the United States Supreme Court, and this was denied on June 11, 2018. Now certain Pennsylvania taxpayers are proceeding with litigation in Pennsylvania state courts on issues not addressed by the Pennsylvania Supreme Court in Nextel, specifically, whether the Due Process and Equal Protection Clauses of the United States Constitution and the Remedies Clause of the Pennsylvania Constitution require a court to grant the taxpayer relief. ETC Sunoco has recognized approximately $67 million ($53 million after federal income tax benefits) in tax benefit based on previously filed tax returns and certain previously filed protective claims as relates to its cases currently held pending the Nextel matter. However, based upon the Pennsylvania Supreme Court’s October 2017 decision, and because of uncertainty in the breadth of the application of the decision, we have reserved $34 million ($27 million after federal income tax benefits) against the receivable.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general, ET and its subsidiaries are no longer subject to examination by the IRS, and most state jurisdictions, for the 2014 and prior tax years.</w:t>
      </w:r>
    </w:p>
    <w:p>
      <w:pPr>
        <w:spacing w:after="0" w:line="18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ET and its subsidiaries also have various state and local income tax returns in the process of examination or administrative appeal in various jurisdictions. We believe the appropriate accruals or unrecognized tax benefits have been recorded for any potential assessment with respect to these examinations.</w:t>
      </w:r>
    </w:p>
    <w:p>
      <w:pPr>
        <w:spacing w:after="0" w:line="126" w:lineRule="exact"/>
        <w:rPr>
          <w:sz w:val="20"/>
          <w:szCs w:val="20"/>
          <w:color w:val="auto"/>
        </w:rPr>
      </w:pPr>
    </w:p>
    <w:p>
      <w:pPr>
        <w:ind w:left="340" w:right="2260" w:hanging="332"/>
        <w:spacing w:after="0" w:line="440" w:lineRule="auto"/>
        <w:tabs>
          <w:tab w:leader="none" w:pos="32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FERC Proceedings</w:t>
      </w:r>
    </w:p>
    <w:p>
      <w:pPr>
        <w:spacing w:after="0" w:line="1"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By order issued January 16, 2019, the FERC initiated a review of Panhandle’s existing rates pursuant to Section 5 of the Natural Gas Act (“NGA”) to determine whether the rates currently charged by Panhandle are just and reasonable and set the matter for hearing. On August 30, 2019, Panhandle filed a general rate proceeding under Section 4 of the NGA. The Natural Gas Act Section 5 and Section 4 proceedings were consolidated by the order of the Chief Judge dated October 1, 2019. A hearing in the combined proceedings commenced on August 25, 2020 and adjourned on September 15, 2020. By an order dated January 19, 2021, the Chief Judge has extended the deadline for the initial decision to March 2021.</w:t>
      </w:r>
    </w:p>
    <w:p>
      <w:pPr>
        <w:spacing w:after="0" w:line="10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ETO purchases, processes and sells natural gas pursuant to long-term contracts and enters into long-term transportation and storage agreements. Such contracts contain terms that are customary in the industry. ETO believes that the terms of these agreements are commercially reasonable and will not have a material adverse effect on its financial position or results of operations.</w:t>
      </w:r>
    </w:p>
    <w:p>
      <w:pPr>
        <w:spacing w:after="0" w:line="111"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joint venture agreements require that we fund our proportionate share of capital contributions to its unconsolidated affiliates. Such contributions will depend upon our unconsolidated affiliates’ capital requirements, such as for funding capital projects or repayment of long-term obligations.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have certain non-cancelable rights-of-way (“ROW”) commitments, which require fixed payments and either expire upon our chosen abandonment or at various dates in the future. The table below reflects ROW expense included in operating expenses in the accompanying statements of operations: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 expense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PES Refinery Fire and Bankruptcy</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previously owned an approximately 7.4% indirect non-operating interest in PES, which owned a former refinery in Philadelphia. In addition, the Partnership previously provided logistics services to PES under commercial contracts and Sunoco LP previously purchased refined products from PES. In June 2019, an explosion and fire occurred at the refinery complex.</w:t>
      </w:r>
    </w:p>
    <w:p>
      <w:pPr>
        <w:spacing w:after="0" w:line="13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July 21, 2019, PES Holdings, LLC and seven of its subsidiaries (collectively, the "Debtors") filed voluntary petitions in the United States Bankruptcy Court for the District of Delaware seeking relief under the provisions of Chapter 11 of the United States Bankruptcy Code, as a result of the explosion and fire at the Philadelphia refinery complex. The Debtors have also defaulted on a $75 million note payable to a subsidiary of the Partnership. In June 2020, the Partnership received $12 million from PES on the note payable and recorded a reserve for the remaining $63 million note balance.</w:t>
      </w:r>
    </w:p>
    <w:p>
      <w:pPr>
        <w:spacing w:after="0" w:line="10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addition, the Partnership’s subsidiaries retained certain environmental remediation liabilities when the refinery was sold to PES. As of December 31, 2020, the Partnership has funded these environmental remediation liabilities through its wholly-owned captive insurance company, based upon actuarially determined estimates for such costs, and these liabilities are included in the total environmental liabilities discussed below under “Environmental Remediation.” It may be necessary for the Partnership to record additional environmental remediation liabilities in the future depending upon the use of such property by the buyer; however, management is not currently able to estimate such additional liabilities.</w:t>
      </w:r>
    </w:p>
    <w:p>
      <w:pPr>
        <w:spacing w:after="0" w:line="9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PES has rejected certain of the Partnership’s commercial contracts pursuant to Section 365 of the Bankruptcy Code; however, the impact of the bankruptcy on the Partnership’s commercial contracts and related revenue loss (temporary or permanent) is unknown at this time. In addition, Sunoco LP has been successful at acquiring alternative supplies to replace fuel volume lost from PES and does not anticipate any material impact to its business going forward.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and Contingencies</w:t>
      </w:r>
    </w:p>
    <w:p>
      <w:pPr>
        <w:spacing w:after="0" w:line="17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We may, from time to time, be involved in litigation and claims arising out of our operations in the normal course of business. Natural gas and crude oil are flammable and combustible. Serious personal injury and significant property damage can arise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12"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We or our subsidiaries are a party to various legal proceedings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spacing w:after="0" w:line="10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As of December 31, 2020 and 2019, accruals of approximately $77 million and $120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$80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Dakota Access Pipeline</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On July 27, 2016, the Standing Rock Sioux Tribe (“SRST”) filed a lawsuit in the United States District Court for the District of Columbia (“District Court”) that challenged permits issued by the United States Army Corps of Engineers (“USACE”) that allowed Dakota Access, LLC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District Court remanded the case back to the USACE for preparation of an Environment Impact Statement (“EIS”). On July 6, 2020, the District Court vacated the easement and ordered Dakota Access to be shut down and emptied of oil by August 5, 2020. Dakota Access and the USACE appealed to the United States Court of Appeals for the District of Columbia (“Court of Appeals”), which granted an administrative stay of the District Court’s July 6 order and ordered further briefing on whether to fully stay the July 6 order. On August 5, 2020, the Court of Appeals 1) granted a stay of the portion of the District Court order that required Dakota Access to shut the pipeline down and empty it of oil, 2) denied a motion to stay the March 25 order pending a decision on the merits by the Court of Appeals as to whether the USACE would be required to prepare an EIS, and 3) denied a motion to stay the District Court’s order to vacate the easement during this appeal process. The August 5 order also stated that the Court of Appeals expected the USACE to clarify its position with respect to whether the USACE intended to allow the continued operation of the pipeline notwithstanding the vacatur of the easement and that the District Court may consider additional relief, if necessary.</w:t>
      </w:r>
    </w:p>
    <w:p>
      <w:pPr>
        <w:spacing w:after="0" w:line="11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August 10, 2020, the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Following the filing of this status report, the District Court ordered briefing on whether to enjoin the operation of the pipeline. That motion was fully briefed as of January 8, 2021. The District Court has yet to rule on this matter.</w:t>
      </w:r>
    </w:p>
    <w:p>
      <w:pPr>
        <w:spacing w:after="0" w:line="1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January 26, 2021, the Court of Appeals affirmed the District Court’s March 25, 2020 order requiring an EIS and its July 6, 2020 order vacating the easement. In this same January 26 order, the Court of Appeals also overturned the District Court’s July 6, 2020 order that the pipeline shut down and be emptied of oil.</w:t>
      </w:r>
    </w:p>
    <w:p>
      <w:pPr>
        <w:spacing w:after="0" w:line="1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District Court scheduled a status conference for February 10, 2021 to discuss the effects of the Court of Appeals’ January 26, 2021 order on the pending motion for injunctive relief, as well as USACE’s expectations as to how it will proceed regarding its enforcement discretion regarding the easement. At the request of the USACE, on February 9, 2021 the District Court granted a two-month continuance for the status conference until April 9, 2021.</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pipeline continues to operate pending rulings from the District Court. ET cannot determine when or how these lawsuits will be resolved or the impact they may have on the Dakota Access pipelines; however, ET expects after the law and complete record are fully considered, the issues in this litigation will be resolved in a manner that will allow the pipeline to continue to operate.</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 Belvieu Incident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June 26, 2016, a hydrocarbon storage well located on another operator’s facility adjacent to Lone Star NGL LLC’s (“Lone Star”) facilities in Mont Belvieu, Texas experienced an over-pressurization resulting in a subsurface release. The subsurface release caused a fire at Lone Star’s South Terminal and damage to Lone Star’s storage well operations at its South and North Terminals. Normal operations have resumed at the facilities with the exception of one of Lone Star’s storage wells; however, Lone Star is still quantifying the extent of its incurred and ongoing damages and has obtained, and will continue to seek, reimbursement for these losses.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MTBE Litigation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ETC Sunoco Holdings LLC and Sunoco (R&amp;M), LLC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2020, Sunoco Defendants are defendants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Regency Merger Litigation</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June 10, 2015, Adrian Dieckman (“Dieckman”), a purported Regency unitholder, filed a class action complaint related to the Regency-ETO merger (the “Regency Merger”) in the Court of Chancery of the State of Delaware (the “Regency Merger Litigation”), on behalf of Regency’s common unitholders against Regency GP LP, Regency GP LLC, ET, ETO, ETP GP, and the members of Regency’s board of directors.</w:t>
      </w:r>
    </w:p>
    <w:p>
      <w:pPr>
        <w:spacing w:after="0" w:line="11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The Regency Merger Litigation alleges that the Regency Merger breached the Regency partnership agreement. On March 29, 2016, the Delaware Court of Chancery granted the defendants’ motion to dismiss the lawsuit in its entirety. Plaintiff appealed, and the Delaware Supreme Court reversed the judgment of the Court of Chancery. Plaintiff then filed an Amended Verified Class Action Complaint, which defendants moved to dismiss. The Court of Chancery granted in part and denied in part the motions to dismiss, dismissing the claims against all defendants other than Regency GP LP and Regency GP LLC (the “Regency Defendants”). The Court of Chancery later granted plaintiff’s unopposed motion for class certification. Trial was held on December 10-16, 2019, and a post-trial hearing was held on May 6, 2020. On February 15, 2021, the Court of Chancery ruled in favor of the Regency Defendants on both remaining counts at issue in this litigation.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Regency Defendants cannot predict whether the plaintiff will appeal this decision.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Filed By or Against Williams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In April and May 2016, the Williams Companies, Inc. (“Williams”) filed two lawsuits (the “Williams Litigation”) against ET, LE GP, and, in one of the lawsuits, Energy Transfer Corp LP, ETE Corp GP, LLC, and Energy Transfer Equity GP, LLC (collectively, “ET Defendants”), alleging that ET Defendants breached their obligations under the ET-Williams merger agreement (the “Merger Agreement”). In general, Williams alleges that ET Defendants breached the Merger Agreement by (a) failing to use commercially reasonable efforts to obtain from Latham &amp; Watkins LLP (“Latham”) the delivery of a tax opinion concerning Section 721 of the Internal Revenue Code (“721 Opinion”), (b) issuing the Partnership’s Series A Convertible Preferred Units (the “Issuance”), and (c) making allegedly untrue representations and warranties in the Merger Agreement.</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After a two-day trial on June 20 and 21, 2016, the Court ruled in favor of ET Defendants and issued a declaratory judgment that ET could terminate the merger after June 28, 2016 because of Latham’s inability to provide the required 721 Opinion. The Court did not reach a decision regarding Williams’ claims related to the Issuance nor the alleged untrue representations and warranties. On March 23, 2017, the Delaware Supreme Court affirmed the Court’s ruling on the June 2016 trial.</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September 2016, the parties filed amended pleadings. Williams filed an amended complaint seeking a $410 million termination fee based on the alleged breaches of the Merger Agreement listed above. ET Defendants filed amended counterclaims and affirmative defenses, asserting that Williams materially breached the Merger Agreement by, among other things, (a) failing to use its reasonable best efforts to consummate the merger, (b) failing to provide material information to ET for inclusion in the Form S-4 related to the merger, (c) failing to facilitate the financing of the merger, and (d) breaching the Merger Agreement’s forum-selection clause.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July 2020, the Court denied ET Defendant’s Motion for Summary Judgment and Williams’ Motion for Partial Summary Judgment. ET Defendants cannot predict the outcome of the Williams Litigation or any lawsuits that might be filed subsequent to the date of this filing; nor can ET Defendants predict the amount of time and expense that will be required to resolve these lawsuits. ET Defendants believe that Williams’ claims are without merit and intend to defend vigorously against them.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Rover</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seeking to recover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which the defendants opposed in briefs filed in February 2020. On April 22, 2020, the Ohio Supreme Court granted the Ohio EPA’s request for review. Briefing has concluded and oral argument was held on January 26,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Revolution</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PADEP in which, among other things, the Permit Hold was lifted, the Partnership agreed to pay a $28.6 million civil penalty and fund a $2 million community environmental project, and all related appeals were withdrawn. On November 11, 2020, the PADEP issued an order that required additional approvals and work prior to placing the Revolution Pipeline back in service. The Partnership filed an appeal of this order on December 8, 2020.</w:t>
      </w:r>
    </w:p>
    <w:p>
      <w:pPr>
        <w:spacing w:after="0" w:line="12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Chester County, Pennsylvania Investigation</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December 2018, the former Chester County District Attorney (the “Chester County DA”) sent a letter to the Partnership stating that his office was investigating the Partnership and related entities for “potential crimes” related to the Mariner East pipelines.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Subsequently, the matter was submitted to an Investigating Grand Jury in Chester County, Pennsylvania, which has issued subpoenas seeking documents and testimony. On September 24, 2019, the Chester County DA sent a Notice of Intent to the Partnership of its intent to pursue an abatement action if certain conditions were not remediated. The Partnership responded to the Notice of Intent within the proscribed time period.</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December 2019, the Chester County DA announced charges against a current employee related to the provision of security services. On June 25, 2020, a preliminary hearing was held on the charges against the employee, and the judge dismissed all charges.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County, Pennsylvania Investigation</w:t>
      </w:r>
    </w:p>
    <w:p>
      <w:pPr>
        <w:spacing w:after="0" w:line="17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On March 11, 2019, the Delaware County District Attorney’s Office (the “Delaware County DA”) announced that the Delaware County DA and the Pennsylvania Attorney General’s Office, at the request of the Delaware County DA, are conducting an investigation of alleged criminal misconduct involving the construction and related activities of the Mariner East pipelines in Delaware County. On March 16, 2020, the Pennsylvania Attorney General Office served a Statewide Investigating Grand Jury subpoena for documents relating to inadvertent returns and water supplies related to the Mariner East pipelines. While the Partnership will cooperate with the subpoena, it intends to vigorously defend itself.</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 Regarding Pennsylvania Pipeline Construction</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Four purported unitholders of ET filed derivative actions against various past and current members of ET’s Board of Directors, LE GP, and ET, as a nominal defendant that assert claims for breach of fiduciary duties, unjust enrichment, waste of corporate assets, breach of ET’s limited partnership agreement, tortious interference, abuse of control, and gross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 xml:space="preserve">mismanagement related primarily to matters involving the construction of pipelines in Pennsylvania. They also seek damages and changes to ET’s corporate governance structure. See </w:t>
      </w:r>
      <w:r>
        <w:rPr>
          <w:rFonts w:ascii="Arial" w:cs="Arial" w:eastAsia="Arial" w:hAnsi="Arial"/>
          <w:sz w:val="17"/>
          <w:szCs w:val="17"/>
          <w:i w:val="1"/>
          <w:iCs w:val="1"/>
          <w:color w:val="auto"/>
        </w:rPr>
        <w:t>Bettiol v. LE GP</w:t>
      </w:r>
      <w:r>
        <w:rPr>
          <w:rFonts w:ascii="Arial" w:cs="Arial" w:eastAsia="Arial" w:hAnsi="Arial"/>
          <w:sz w:val="17"/>
          <w:szCs w:val="17"/>
          <w:color w:val="auto"/>
        </w:rPr>
        <w:t xml:space="preserve">, Case No. 3:19-cv-02890-X (N.D. Tex.); </w:t>
      </w:r>
      <w:r>
        <w:rPr>
          <w:rFonts w:ascii="Arial" w:cs="Arial" w:eastAsia="Arial" w:hAnsi="Arial"/>
          <w:sz w:val="17"/>
          <w:szCs w:val="17"/>
          <w:i w:val="1"/>
          <w:iCs w:val="1"/>
          <w:color w:val="auto"/>
        </w:rPr>
        <w:t>Davidson v. Kelcy L. Warren,</w:t>
      </w:r>
      <w:r>
        <w:rPr>
          <w:rFonts w:ascii="Arial" w:cs="Arial" w:eastAsia="Arial" w:hAnsi="Arial"/>
          <w:sz w:val="17"/>
          <w:szCs w:val="17"/>
          <w:color w:val="auto"/>
        </w:rPr>
        <w:t xml:space="preserve"> Cause No. DC-20-02322 (44th Judicial District of Dallas County, Texas); </w:t>
      </w:r>
      <w:r>
        <w:rPr>
          <w:rFonts w:ascii="Arial" w:cs="Arial" w:eastAsia="Arial" w:hAnsi="Arial"/>
          <w:sz w:val="17"/>
          <w:szCs w:val="17"/>
          <w:i w:val="1"/>
          <w:iCs w:val="1"/>
          <w:color w:val="auto"/>
        </w:rPr>
        <w:t>Harris v. Kelcy L. Warren</w:t>
      </w:r>
      <w:r>
        <w:rPr>
          <w:rFonts w:ascii="Arial" w:cs="Arial" w:eastAsia="Arial" w:hAnsi="Arial"/>
          <w:sz w:val="17"/>
          <w:szCs w:val="17"/>
          <w:color w:val="auto"/>
        </w:rPr>
        <w:t xml:space="preserve">, Case No. 2:20-cv-00364-GAM (E.D. Pa.); and </w:t>
      </w:r>
      <w:r>
        <w:rPr>
          <w:rFonts w:ascii="Arial" w:cs="Arial" w:eastAsia="Arial" w:hAnsi="Arial"/>
          <w:sz w:val="17"/>
          <w:szCs w:val="17"/>
          <w:i w:val="1"/>
          <w:iCs w:val="1"/>
          <w:color w:val="auto"/>
        </w:rPr>
        <w:t>King v. LE GP</w:t>
      </w:r>
      <w:r>
        <w:rPr>
          <w:rFonts w:ascii="Arial" w:cs="Arial" w:eastAsia="Arial" w:hAnsi="Arial"/>
          <w:sz w:val="17"/>
          <w:szCs w:val="17"/>
          <w:color w:val="auto"/>
        </w:rPr>
        <w:t xml:space="preserve">, Case No. 3:20-cv-00719-X (N.D. Tex.). Another purported unitholder of ET, Allegheny County Employees’ Retirement System (“ACERS”), individually and on behalf of all others similarly situated, filed a suit under the federal securities laws purportedly on behalf of a class, against ET and three of ET’s directors, Kelcy L. Warren, John W. McReynolds, and Thomas E. Long. See </w:t>
      </w:r>
      <w:r>
        <w:rPr>
          <w:rFonts w:ascii="Arial" w:cs="Arial" w:eastAsia="Arial" w:hAnsi="Arial"/>
          <w:sz w:val="17"/>
          <w:szCs w:val="17"/>
          <w:i w:val="1"/>
          <w:iCs w:val="1"/>
          <w:color w:val="auto"/>
        </w:rPr>
        <w:t>Allegheny County Emps.’ Ret. Sys. v. Energy Transfer LP</w:t>
      </w:r>
      <w:r>
        <w:rPr>
          <w:rFonts w:ascii="Arial" w:cs="Arial" w:eastAsia="Arial" w:hAnsi="Arial"/>
          <w:sz w:val="17"/>
          <w:szCs w:val="17"/>
          <w:color w:val="auto"/>
        </w:rPr>
        <w:t>, Case No. 2:20-00200-GAM (E.D. Pa.). On June 15, 2020, ACERS filed an amended complaint and added as additional defendants ET directors Marshall McCrea and Matthew Ramsey, as well as Michael J. Hennigan and Joseph McGinn. The amended complaint asserts claims for violations of Sections 10(b) and 20(a) of the Exchange Act and Rule 10b-5 promulgated thereunder related primarily to matters involving the construction of pipelines in Pennsylvania. On August 14, 2020, the defendants filed a motion to dismiss ACERS’ amended complaint. The Court has not yet ruled on the motion to dismiss. 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Cline Class Action Lawsuit</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July 7, 2017, Perry Cline filed a class action complaint in the Eastern District of Oklahoma against Sunoco, Inc. (R&amp;M) and Sunoco Partners Marketing &amp; Terminals L.P. (collectively, “SPMT”) that alleged SPMT failed to make timely payments of oil and gas proceeds from Oklahoma wells and to pay statutory interest for those untimely payments. On October 3, 2019, the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After a bench trial, on August 17, 2020, Judge John Gibney (sitting from the Eastern District of Virginia) issued an opinion that awarded the Class actual damages of $74.8 million for late payment interest for identified and unidentified royalty owners and interest-on-interest. This amount was later amended to $80.7 million to account for interest accrued from trial (the “Order”). Judge Gibney also awarded punitive damages in the amount of $75 million. The Class is also seeking attorneys’ fees.</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August 27, 2020, SPMT filed its Notice of Appeal with the 10th Circuit and appealed the entirety of the Order. SPMT cannot predict the outcome of the case, nor can SPMT predict the amount of time and expense that will be required to resolve the appeal, but intends to vigorously appeal the entirety of the Order.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71"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1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the results of operations for any single period, we believe that such costs will not have a material adverse effect on our financial position.</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February 2017, we received letters from the DOJ on behalf of EPA and Louisiana Department of Environmental Quality (“LDEQ”) notifying SPLP and Mid-Valley Pipeline Company (“Mid-Valley”) that enforcement actions were being pursued for three separate crude oil releases: (a) an estimated 550 barrels released from the Colmesneil-to-Chester pipeline in Tyler County, Texas (“Colmesneil”) which allegedly occurred in February 2013; (b) an estimated 4,509 barrels released from the Longview-to-Mayersville pipeline in Caddo Parish, Louisiana (a/k/a Milepost 51.5) which allegedly occurred in October 2014; and (c) an estimated 40 barrels released from the Wakita 4-inch gathering line in Oklahoma which allegedly occurred in January 2015. In January 2019, a Consent Decree approved by all parties as well as an accompanying Complaint was filed in the United States District Court for the Western District of Louisiana seeking public comment and final court approval to resolve all penalties with the DOJ and LDEQ for the three releases. Subsequently, the court approved the Consent Decree and the penalty payment of $5.4 million was satisfied. The Consent Decree requires certain injunctive relief to be completed on the Longview-to-Mayersville pipeline within three years, but the injunctive relief is not expected to have any material impact on operations. In addition to resolution of the civil penalty and injunctive relief, we continue to discuss natural resource damages with the Louisiana trustees related to the Caddo Parish, Louisiana release.</w:t>
      </w:r>
    </w:p>
    <w:p>
      <w:pPr>
        <w:spacing w:after="0" w:line="12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October 2018, the Pipeline and Hazardous Materials Safety Administration (“PHMSA”) issued a notice of proposed safety order (the “Notice”) to SPMT, a wholly-owned subsidiary of ETO. The Notice alleged that conditions exist on certain pipeline facilities owned and operated by SPMT in Nederland, Texas that pose a pipeline integrity risk to public safety, property or the environment. The Notice also made preliminary findings of fact and proposed corrective measures. SPMT responded to the Notice by submitting a timely written response on November 2, 2018, attended an informal consultation held on January 30, 2019 and entered into a consent agreement with PHMSA resolving the issues in the Notice as of March 2019. The Remedial Work Plan was approved by PHMSA on August 28, 2020.</w:t>
      </w:r>
    </w:p>
    <w:p>
      <w:pPr>
        <w:spacing w:after="0" w:line="138"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June 4, 2019, the Oklahoma Corporation Commission’s (“OCC”) Transportation Division filed a complaint against SPLP seeking a penalty of up to $1 million related to a May 2018 rupture near Edmond, Oklahoma. The release occurred on the Noble to Douglas 8” pipeline in an area of external corrosion and caused the release of approximately fifteen barrels of crude oil. SPLP responded immediately to the release and remediated the surrounding environment and pipeline in cooperation with the OCC. The OCC filed the complaint alleging that SPLP failed to provide adequate cathodic protection to the pipeline causing the failure. SPLP is negotiating a settlement agreement with the OCC for a lesser penalty. The OCC has accepted our counter offer in conjunction with a proposed consent order. The Consent Order was presented to the OCC at a hearing on August 18, 2020, and is awaiting final signature by the OCC Commissioners.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subsidiaries are responsible for environmental remediation at certain sites, including the following:</w:t>
      </w:r>
    </w:p>
    <w:p>
      <w:pPr>
        <w:spacing w:after="0" w:line="185" w:lineRule="exact"/>
        <w:rPr>
          <w:sz w:val="20"/>
          <w:szCs w:val="20"/>
          <w:color w:val="auto"/>
        </w:rPr>
      </w:pPr>
    </w:p>
    <w:p>
      <w:pPr>
        <w:ind w:left="660" w:hanging="328"/>
        <w:spacing w:after="0" w:line="308"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certain of our interstate pipelines conduct soil and groundwater remediation related to contamination from past uses of PCBs. PCB assessments are ongoing and, in some cases, our subsidiaries could be contractually responsible for contamination caused by other parties.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certain gathering and processing systems are responsible for soil and groundwater remediation related to releases of hydrocarbons.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legacy sites related to Sunoco that are subject to environmental assessments, including formerly owned terminals and other logistics assets, retail sites that Sunoco no longer operates, closed and/or sold refineries and other formerly owned sites.</w:t>
      </w:r>
    </w:p>
    <w:p>
      <w:pPr>
        <w:spacing w:after="0" w:line="116"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Sunoco is potentially subject to joint and several liability for the costs of remediation at sites at which it has been identified as a potentially responsible party (“PRP”). As of December 31, 2020, Sunoco had been named as a PRP at approximately 35 identified or potentially identifiable “Superfund” sites under federal and/or comparable state law. Sunoco is usually one of a number of companies identified as a PRP at a site. Sunoco has reviewed the nature and extent of its involvement at each site and other relevant circumstances and, based upon Sunoco’s purported nexus to the sites, believes that its potential liability associated with such sites will not be significant.</w:t>
      </w:r>
    </w:p>
    <w:p>
      <w:pPr>
        <w:spacing w:after="0" w:line="14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0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table below reflects the amounts of accrued liabilities recorded in our consolidated balance sheets related to environmental matters that are considered to be probable and reasonably estimable. Currently, we are not able to estimate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possible losses or a range of possible losses in excess of amounts accrued. Except for matters discussed above, we do not have any material environmental matters assessed as reasonably possible that would require disclosure in our consolidated financial statements.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3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2019</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environmental liabilities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0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the years ended December 31, 2020 and 2019, the Partnership recorded $29 million and $39 million, respectively, of expenditures related to environmental cleanup programs.</w:t>
      </w:r>
    </w:p>
    <w:p>
      <w:pPr>
        <w:spacing w:after="0" w:line="11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potential exists that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1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but there is no assurance that such costs will not be material in the future.</w:t>
      </w:r>
    </w:p>
    <w:p>
      <w:pPr>
        <w:spacing w:after="0" w:line="134" w:lineRule="exact"/>
        <w:rPr>
          <w:sz w:val="20"/>
          <w:szCs w:val="20"/>
          <w:color w:val="auto"/>
        </w:rPr>
      </w:pPr>
    </w:p>
    <w:p>
      <w:pPr>
        <w:ind w:left="340" w:right="8900" w:hanging="332"/>
        <w:spacing w:after="0" w:line="528" w:lineRule="auto"/>
        <w:tabs>
          <w:tab w:leader="none" w:pos="335"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REVENUE: </w:t>
      </w:r>
      <w:r>
        <w:rPr>
          <w:rFonts w:ascii="Arial" w:cs="Arial" w:eastAsia="Arial" w:hAnsi="Arial"/>
          <w:sz w:val="15"/>
          <w:szCs w:val="15"/>
          <w:b w:val="1"/>
          <w:bCs w:val="1"/>
          <w:color w:val="auto"/>
        </w:rPr>
        <w:t>Disaggregation of revenue</w:t>
      </w:r>
    </w:p>
    <w:p>
      <w:pPr>
        <w:spacing w:after="0" w:line="1"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8"/>
          <w:szCs w:val="18"/>
          <w:color w:val="auto"/>
        </w:rPr>
        <w:t>The major types of revenue within our reportable segments, are as follows:</w:t>
      </w:r>
    </w:p>
    <w:p>
      <w:pPr>
        <w:spacing w:after="0" w:line="117" w:lineRule="exact"/>
        <w:rPr>
          <w:rFonts w:ascii="Arial" w:cs="Arial" w:eastAsia="Arial" w:hAnsi="Arial"/>
          <w:sz w:val="15"/>
          <w:szCs w:val="15"/>
          <w:b w:val="1"/>
          <w:bCs w:val="1"/>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fuel distribution and marketing;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investment in USAC;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contract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retail parts and services; and</w:t>
      </w:r>
    </w:p>
    <w:p>
      <w:pPr>
        <w:spacing w:after="0" w:line="117"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right="1760"/>
        <w:spacing w:after="0" w:line="438" w:lineRule="auto"/>
        <w:rPr>
          <w:sz w:val="20"/>
          <w:szCs w:val="20"/>
          <w:color w:val="auto"/>
        </w:rPr>
      </w:pPr>
      <w:r>
        <w:rPr>
          <w:rFonts w:ascii="Arial" w:cs="Arial" w:eastAsia="Arial" w:hAnsi="Arial"/>
          <w:sz w:val="18"/>
          <w:szCs w:val="18"/>
          <w:color w:val="auto"/>
        </w:rPr>
        <w:t xml:space="preserve">Note 17 depicts the disaggregation of revenue by segment, with revenue amounts reflected in accordance with ASC Topic 606. </w:t>
      </w:r>
      <w:r>
        <w:rPr>
          <w:rFonts w:ascii="Arial" w:cs="Arial" w:eastAsia="Arial" w:hAnsi="Arial"/>
          <w:sz w:val="18"/>
          <w:szCs w:val="18"/>
          <w:b w:val="1"/>
          <w:bCs w:val="1"/>
          <w:i w:val="1"/>
          <w:iCs w:val="1"/>
          <w:color w:val="auto"/>
        </w:rPr>
        <w:t>Intrastate transportation and storage revenue</w:t>
      </w:r>
    </w:p>
    <w:p>
      <w:pPr>
        <w:spacing w:after="0" w:line="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Our intrastate transportation and storage segment’s revenues are determined primarily by the volume of capacity our customers reserve as well as the actual volume of natural gas that flows through the transportation pipelines or that is injected or withdrawn into or out of our storage facilities. Firm transportation and storage contracts require customers to pay certain minimum fixed fees regardless of the volume of commodity they transport or store. These contracts typically include a variable incremental charge based on the actual volume of transportation commodity throughput or stored commodity injected/withdrawn. Under interruptible transportation and storage contracts, customers are not required to pay any fixed minimum amounts, but are instead billed based on actual volume of commodity they transport across our pipelines or inject/withdraw into or out of our storage facilities. Payment for services under these contracts are typically due the month after the services have been performed.</w:t>
      </w:r>
    </w:p>
    <w:p>
      <w:pPr>
        <w:spacing w:after="0" w:line="11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 we accept the customer’s request. Revenue is recognized for interruptible contracts at the time the services are performed.</w:t>
      </w:r>
    </w:p>
    <w:p>
      <w:pPr>
        <w:spacing w:after="0" w:line="13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Interstate transportation and storage revenue</w:t>
      </w:r>
    </w:p>
    <w:p>
      <w:pPr>
        <w:spacing w:after="0" w:line="171"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interstate transportation and storage segment’s revenues are determined primarily by the amount of capacity our customers reserve as well as the actual volume of natural gas that flows through the transportation pipelines or that is injected into or withdrawn out of our storage facilities. Our interstate transportation and storage segment’s contracts can be firm or interruptible. Firm transportation and storage contracts require customers to pay certain minimum fixed fees regardless of the volume of commodity transported or stored. In exchange for such fees, we must stand ready to perform a contractually agreed-upon minimum volume of services whenever the customer requests such services. These contracts typically include a variable incremental charge based on the actual volume of transportation commodity throughput or stored commodity injected or withdrawn. Under interruptible transportation and storage contracts, customers are not required to pay any fixed minimum amounts, but are instead billed based on actual volume of commodity they transport across our pipelines or inject into or withdraw out of our storage facilities. Consequently, we are not required to stand ready to provide any contractually agreed-upon volume of service, but instead provides the services based on existing capacity at the time the customer requests the services. Payment for services under these contracts are typically due the month after the services have been performed.</w:t>
      </w:r>
    </w:p>
    <w:p>
      <w:pPr>
        <w:spacing w:after="0" w:line="11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30"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Lake Charles LNG’s revenues are primarily derived from terminalling services for shippers by receiving LNG at the facility for storage and delivering such LNG to shippers, either in liquid state or gaseous state after regasification. Lake Charles LNG derives all of its revenue from a series of long-term contracts with a wholly-owned subsidiary of Shell. Terminalling revenue is generated from fees paid by Shell for storage and other associated services at the terminal. Payment for services under these contracts are typically due the month after the services have been performed.</w:t>
      </w:r>
    </w:p>
    <w:p>
      <w:pPr>
        <w:spacing w:after="0" w:line="10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terminalling agreements are considered to be firm agreements, because they include fixed fee components that are charged regardless of the volumes transported by Shell or services provided at the terminal.</w:t>
      </w:r>
    </w:p>
    <w:p>
      <w:pPr>
        <w:spacing w:after="0" w:line="116"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Midstream revenue</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midstream segment’s revenues are derived primarily from margins we earn for natural gas volumes that are gathered, processed, and/or transported. The various types of revenue contracts our midstream segment enters into include:</w:t>
      </w:r>
    </w:p>
    <w:p>
      <w:pPr>
        <w:spacing w:after="0" w:line="11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Fixed fee gathering and processing: </w:t>
      </w:r>
      <w:r>
        <w:rPr>
          <w:rFonts w:ascii="Arial" w:cs="Arial" w:eastAsia="Arial" w:hAnsi="Arial"/>
          <w:sz w:val="18"/>
          <w:szCs w:val="18"/>
          <w:color w:val="auto"/>
        </w:rPr>
        <w:t>Contracts under which we provide gathering and processing services in exchange for a fixed cash fee per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volume. Revenue for cash fees is recognized when the service is performed.</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Keepwhole: </w:t>
      </w:r>
      <w:r>
        <w:rPr>
          <w:rFonts w:ascii="Arial" w:cs="Arial" w:eastAsia="Arial" w:hAnsi="Arial"/>
          <w:sz w:val="18"/>
          <w:szCs w:val="18"/>
          <w:color w:val="auto"/>
        </w:rPr>
        <w:t>Contracts under which we gather raw natural gas from a third-party producer, process the gas to convert it to pipeline quality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and redeliver to the producer a thermal-equivalent volume of pipeline quality natural gas. In exchange for these services, we retain the NGLs extracted from the raw natural gas received from the producer as well as cash fees paid by the producer. The value of NGLs retained as well as cash fees is recognized as revenue when the services are performed.</w:t>
      </w:r>
    </w:p>
    <w:p>
      <w:pPr>
        <w:spacing w:after="0" w:line="133"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Percent of Proceeds (“POP”): </w:t>
      </w:r>
      <w:r>
        <w:rPr>
          <w:rFonts w:ascii="Arial" w:cs="Arial" w:eastAsia="Arial" w:hAnsi="Arial"/>
          <w:sz w:val="16"/>
          <w:szCs w:val="16"/>
          <w:color w:val="auto"/>
        </w:rPr>
        <w:t>Contracts under which we provide gathering and processing services in exchange for a specified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producer’s commodity (“POP percentage”) and also in some cases additional cash fees. The two types of POP revenue contracts are described below:</w:t>
      </w:r>
    </w:p>
    <w:p>
      <w:pPr>
        <w:spacing w:after="0" w:line="16" w:lineRule="exact"/>
        <w:rPr>
          <w:sz w:val="20"/>
          <w:szCs w:val="20"/>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i w:val="1"/>
          <w:iCs w:val="1"/>
          <w:u w:val="single" w:color="auto"/>
          <w:color w:val="auto"/>
        </w:rPr>
        <w:t>In-Kind POP:</w:t>
      </w:r>
      <w:r>
        <w:rPr>
          <w:rFonts w:ascii="Arial" w:cs="Arial" w:eastAsia="Arial" w:hAnsi="Arial"/>
          <w:sz w:val="18"/>
          <w:szCs w:val="18"/>
          <w:i w:val="1"/>
          <w:iCs w:val="1"/>
          <w:color w:val="auto"/>
        </w:rPr>
        <w:t xml:space="preserve"> </w:t>
      </w:r>
      <w:r>
        <w:rPr>
          <w:rFonts w:ascii="Arial" w:cs="Arial" w:eastAsia="Arial" w:hAnsi="Arial"/>
          <w:sz w:val="18"/>
          <w:szCs w:val="18"/>
          <w:color w:val="auto"/>
        </w:rPr>
        <w:t>We retain our POP percentage (non-cash consideration) and also any additional cash fees in exchange for providing the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revenue for the non-cash consideration and cash fees at the time the services are performed.</w:t>
      </w:r>
    </w:p>
    <w:p>
      <w:pPr>
        <w:spacing w:after="0" w:line="62"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64"/>
        </w:numPr>
        <w:rPr>
          <w:rFonts w:ascii="Arial" w:cs="Arial" w:eastAsia="Arial" w:hAnsi="Arial"/>
          <w:sz w:val="17"/>
          <w:szCs w:val="17"/>
          <w:color w:val="auto"/>
        </w:rPr>
      </w:pPr>
      <w:r>
        <w:rPr>
          <w:rFonts w:ascii="Arial" w:cs="Arial" w:eastAsia="Arial" w:hAnsi="Arial"/>
          <w:sz w:val="17"/>
          <w:szCs w:val="17"/>
          <w:i w:val="1"/>
          <w:iCs w:val="1"/>
          <w:u w:val="single" w:color="auto"/>
          <w:color w:val="auto"/>
        </w:rPr>
        <w:t>Mixed POP:</w:t>
      </w:r>
      <w:r>
        <w:rPr>
          <w:rFonts w:ascii="Arial" w:cs="Arial" w:eastAsia="Arial" w:hAnsi="Arial"/>
          <w:sz w:val="17"/>
          <w:szCs w:val="17"/>
          <w:i w:val="1"/>
          <w:iCs w:val="1"/>
          <w:color w:val="auto"/>
        </w:rPr>
        <w:t xml:space="preserve"> </w:t>
      </w:r>
      <w:r>
        <w:rPr>
          <w:rFonts w:ascii="Arial" w:cs="Arial" w:eastAsia="Arial" w:hAnsi="Arial"/>
          <w:sz w:val="17"/>
          <w:szCs w:val="17"/>
          <w:color w:val="auto"/>
        </w:rPr>
        <w:t>We purchase NGLs from the producer and retain a portion of the residue gas as non-cash consideration for services provided. We</w:t>
      </w:r>
      <w:r>
        <w:rPr>
          <w:rFonts w:ascii="Arial" w:cs="Arial" w:eastAsia="Arial" w:hAnsi="Arial"/>
          <w:sz w:val="17"/>
          <w:szCs w:val="17"/>
          <w:i w:val="1"/>
          <w:iCs w:val="1"/>
          <w:color w:val="auto"/>
        </w:rPr>
        <w:t xml:space="preserve"> </w:t>
      </w:r>
      <w:r>
        <w:rPr>
          <w:rFonts w:ascii="Arial" w:cs="Arial" w:eastAsia="Arial" w:hAnsi="Arial"/>
          <w:sz w:val="17"/>
          <w:szCs w:val="17"/>
          <w:color w:val="auto"/>
        </w:rPr>
        <w:t>may also receive cash fees for such services. Under Topic 606, these agreements were determined to be hybrid agreements which were partially supply agreements (for the NGLs we purchased) and customer agreements (for the services provided related to the product that was returned to the customer). Given that these are hybrid agreements, we split the cash and non-cash consideration between revenue and a reduction of costs based on the value of the service provided vs. the value of the supply received.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for services under these contracts are typically due the month after the services have been performed.</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performance obligations with respect to our midstream segment’s contracts are to provide gathering, transportation and processing services, each of which would be completed on or about the same time, and each of which would be recognized on the same line item on the income statement, therefore identification of separate performance obligations would not impact the timing or geography of revenue recognition.</w:t>
      </w:r>
    </w:p>
    <w:p>
      <w:pPr>
        <w:spacing w:after="0" w:line="1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Certain contracts of our midstream segment include throughput commitments under which customers commit to purchasing a certain minimum volume of service over a specified time period. If such volume of service is not purchased by the customer, deficiency fees are billed to the customer. In some cases, the customer is allowed to apply any deficiency fees paid to future purchases of services. In such cases, we defer revenue recognition until the customer uses the deficiency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fees for services provided or becomes unable to use the fees as payment for future services due to expiration of the contractual period the fees can be applied or physical inability of the customer to utilize the fees due to capacity constraints.</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midstream segment also generates revenues from the sale of residue gas and NGLs at the tailgate of our processing facilities primarily to affiliates and some third-party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NGL and refined products transportation and services revenue</w:t>
      </w:r>
    </w:p>
    <w:p>
      <w:pPr>
        <w:spacing w:after="0" w:line="17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Our NGL and refined products segment’s revenues are primarily derived from transportation, fractionation, blending, and storage of NGL and refined products as well as acquisition and marketing activities. Revenues are generated utilizing a complementary network of pipelines, storage and blending facilities, and strategic off-take locations that provide access to multiple NGL markets. Transportation, fractionation, and storage revenue is generated from fees charged to customers under a combination of firm and interruptible contracts. Firm contracts are in the form of take-or-pay arrangements where certain fees will be charged to customers regardless of the volume of service they request for any given period. Under interruptible contracts, customers are not required to pay any fixed minimum amounts, but are instead billed based on actual volume of service provided for any given period. Payment for services under these contracts are typically due the month after the services have been performed.</w:t>
      </w:r>
    </w:p>
    <w:p>
      <w:pPr>
        <w:spacing w:after="0" w:line="11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performance obligation with respect to firm contracts is a promise to provide a single type of service (transportation, fractionation, blending,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4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3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NGLs and other related hydrocarbons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Crude oil transportation and services revenue</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Our crude oil transportation and services segment revenues are primarily derived from providing transportation, terminalling and acquisition and marketing services to crude oil markets throughout the southwest, midwest and northeastern United States. Crude oil transportation revenue is generated from tariffs paid by shippers utilizing our transportation services and is generally recognized as the related transportation services are provided. Crude oil terminalling revenue is generated from fees paid by customers for storage and other associated services at the terminal. Crude oil acquisition and marketing revenue is generated from sale of crude oil acquired from a variety of suppliers to third parties.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Certain transportation and terminalling agreements are considered to be firm agreements, because they include fixed fee components that are charged regardless of the volume of crude oil transported by the customer or services provided at the terminal. For these agreements, any fixed fees billed in excess of services provided are not recognized as revenue until the earlier of (i) the time at which the customer applies the fees against cost of service provided in a later period, or (ii) the customer becomes unable to apply the fees against cost of future service due to capacity constraints or contractual terms.</w:t>
      </w:r>
    </w:p>
    <w:p>
      <w:pPr>
        <w:spacing w:after="0" w:line="13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and/or product and we accept the customer’s request. Revenue is recognized for interruptible contracts at the time the services are performed.</w:t>
      </w:r>
    </w:p>
    <w:p>
      <w:pPr>
        <w:spacing w:after="0" w:line="13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crude oil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fuel distribution and marketing revenue</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Sunoco LP’s fuel distribution and marketing operations earn revenue from the following channels: sales to dealers, sales to distributors, unbranded wholesale revenue, commission agent revenue, rental income and other income. Motor fuel revenue consists primarily of the sale of motor fuel under supply agreements with third party customers and affiliates. Fuel supply contracts with Sunoco LP’s customers generally provide that Sunoco LP distribute motor fuel at a formula price based on published rates, volume-based profit margin, and other terms specific to the agreement. The customer is invoiced the agreed-upon price with most payment terms ranging less than 30 days. If the consideration promised in a contract includes a variable amount, Sunoco LP estimates the variable consideration amount and factors in such an estimate to determine the transaction price under the expected value method.</w:t>
      </w:r>
    </w:p>
    <w:p>
      <w:pPr>
        <w:spacing w:after="0" w:line="14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 is recognized under the motor fuel contracts at the point in time the customer takes control of the fuel. At the time control is transferred to the customer the sale is considered final, because the agreements do not grant customers the right to return motor fuel. Under the new standard, to determine when control transfers to the customer, the shipping terms of the contract are assessed as shipping terms are considered a primary indicator of the transfer of control. For FOB shipping point terms, revenue is recognized at the time of shipment. The performance obligation with respect to the sale of goods is satisfied at the time of shipment since the customer gains control at this time under the terms. Shipping and/or handling costs that occur before the customer obtains control of the goods are deemed to be fulfillment activities and are accounted for as fulfillment costs. Once the goods are shipped, Sunoco LP is precluded from redirecting the shipment to another customer and revenue is recognized.</w:t>
      </w:r>
    </w:p>
    <w:p>
      <w:pPr>
        <w:spacing w:after="0" w:line="11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Commission agent revenue consists of sales from commission agent agreements between Sunoco LP and select operators. Sunoco LP supplies motor fuel to sites operated by commission agents and sells the fuel directly to the end customer. In commission agent arrangements, control of the product is transferred at the point in time when the goods are sold to the end customer. To reflect the transfer of control, Sunoco LP recognizes commission agent revenue at the point in time fuel is sold to the end customer.</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Sunoco LP receives rental income from leased or subleased properties. Revenue from leasing arrangements for which Sunoco LP is the lessor are recognized ratably over the term of the underlying lease.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all other revenue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Sunoco LP’s all other operations earn revenue from the following channels: motor fuel sales, rental income and other income. Motor fuel sales consist of fuel sales to consumers at company-operated retail stores. Other income includes merchandise revenue that comprises the in-store merchandise and food service sales at company-operated retail stores, and other revenue that represents a variety of other services within Sunoco LP’s all other operations including credit card processing, car washes, lottery, automated teller machines, money orders, prepaid phone cards and wireless services. Revenue from all other operations is recognized when (or as) the performance obligations are satisfied (i.e. when the customer obtains control of the good or the service is provided).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contract operations revenue</w:t>
      </w:r>
    </w:p>
    <w:p>
      <w:pPr>
        <w:spacing w:after="0" w:line="171"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the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exists in select contracts when billing rates vary based on actual equipment availability or volume of total installed horsepower.</w:t>
      </w:r>
    </w:p>
    <w:p>
      <w:pPr>
        <w:spacing w:after="0" w:line="19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USAC’s contracts with customers may include multiple performance obligations. For such arrangements, USAC allocates revenues to each performance obligation based on its relative standalone service fee. USAC generally determines standalone service fees based on the service fees charged to customers or using expected cost plus margin.</w:t>
      </w:r>
    </w:p>
    <w:p>
      <w:pPr>
        <w:spacing w:after="0" w:line="13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majority of USAC’s service performance obligations are satisfied over time as services are rendered at selected customer locations on a monthly basis and based upon specific performance criteria identified in the applicable contract. The monthly service for each location is substantially the same service month to month and is promised consecutively over the service contract term. USAC measures progress and performance of the service consistently using a straight-line, time-based method as each month passes, because its performance obligations are satisfied evenly over the contract term as the customer simultaneously receives and consumes the benefits provided by its service. If variable consideration exists, it is allocated to the distinct monthly service within the series to which such variable consideration relates. USAC has elected to apply the invoicing practical expedient to recognize revenue for such variable consideration, as the invoice corresponds directly to the value transferred to the customer based on its performance completed to date.</w:t>
      </w:r>
    </w:p>
    <w:p>
      <w:pPr>
        <w:spacing w:after="0" w:line="138" w:lineRule="exact"/>
        <w:rPr>
          <w:sz w:val="20"/>
          <w:szCs w:val="20"/>
          <w:color w:val="auto"/>
        </w:rPr>
      </w:pPr>
    </w:p>
    <w:p>
      <w:pPr>
        <w:ind w:left="340" w:right="200"/>
        <w:spacing w:after="0" w:line="438" w:lineRule="auto"/>
        <w:rPr>
          <w:sz w:val="20"/>
          <w:szCs w:val="20"/>
          <w:color w:val="auto"/>
        </w:rPr>
      </w:pPr>
      <w:r>
        <w:rPr>
          <w:rFonts w:ascii="Arial" w:cs="Arial" w:eastAsia="Arial" w:hAnsi="Arial"/>
          <w:sz w:val="18"/>
          <w:szCs w:val="18"/>
          <w:color w:val="auto"/>
        </w:rPr>
        <w:t xml:space="preserve">There are typically no material obligations for returns or refunds. USAC’s standard contracts do not usually include material non-cash consideration. </w:t>
      </w:r>
      <w:r>
        <w:rPr>
          <w:rFonts w:ascii="Arial" w:cs="Arial" w:eastAsia="Arial" w:hAnsi="Arial"/>
          <w:sz w:val="18"/>
          <w:szCs w:val="18"/>
          <w:b w:val="1"/>
          <w:bCs w:val="1"/>
          <w:i w:val="1"/>
          <w:iCs w:val="1"/>
          <w:color w:val="auto"/>
        </w:rPr>
        <w:t>USAC’s retail parts and services revenue</w:t>
      </w:r>
    </w:p>
    <w:p>
      <w:pPr>
        <w:spacing w:after="0" w:line="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USAC’s retail parts and service revenue is earned primarily on freight and crane charges that are directly reimbursable by USAC’s customers and maintenance work on units at its customers’ locations that are outside the scope of its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upon the invoice amount. There are typically no material obligations for returns, refunds, or warranties. USAC’s standard contracts do not usually include material variable or non-cash consideration.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 other revenue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all other segment primarily includes our compression equipment business which provides full-service compression design and manufacturing services for the oil and gas industry. It also includes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 There were no material changes to the manner in which revenues within this segment are recorded under the new standard.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 with Customers</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3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1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The Partnership recognizes a contract liability if the customer's payment of consideration precedes the Partnership’s fulfillment of the performance obligations. Certain contracts contain provisions requiring customers to pay a fixed minimum fee, but allows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The following table summarizes the consolidated activity of our contract liabilities: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75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Contract Liabilities</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394</w:t>
            </w:r>
          </w:p>
        </w:tc>
        <w:tc>
          <w:tcPr>
            <w:tcW w:w="60" w:type="dxa"/>
            <w:vAlign w:val="bottom"/>
            <w:shd w:val="clear" w:color="auto" w:fill="CCEEFF"/>
          </w:tcPr>
          <w:p>
            <w:pPr>
              <w:spacing w:after="0"/>
              <w:rPr>
                <w:sz w:val="19"/>
                <w:szCs w:val="19"/>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left="890"/>
              <w:spacing w:after="0"/>
              <w:rPr>
                <w:sz w:val="20"/>
                <w:szCs w:val="20"/>
                <w:color w:val="auto"/>
              </w:rPr>
            </w:pPr>
            <w:r>
              <w:rPr>
                <w:rFonts w:ascii="Arial" w:cs="Arial" w:eastAsia="Arial" w:hAnsi="Arial"/>
                <w:sz w:val="18"/>
                <w:szCs w:val="18"/>
                <w:color w:val="auto"/>
                <w:w w:val="93"/>
              </w:rPr>
              <w:t>651</w:t>
            </w:r>
          </w:p>
        </w:tc>
        <w:tc>
          <w:tcPr>
            <w:tcW w:w="60" w:type="dxa"/>
            <w:vAlign w:val="bottom"/>
          </w:tcPr>
          <w:p>
            <w:pPr>
              <w:spacing w:after="0"/>
              <w:rPr>
                <w:sz w:val="19"/>
                <w:szCs w:val="19"/>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5"/>
              </w:rPr>
              <w:t>(680)</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left="890"/>
              <w:spacing w:after="0"/>
              <w:rPr>
                <w:sz w:val="20"/>
                <w:szCs w:val="20"/>
                <w:color w:val="auto"/>
              </w:rPr>
            </w:pPr>
            <w:r>
              <w:rPr>
                <w:rFonts w:ascii="Arial" w:cs="Arial" w:eastAsia="Arial" w:hAnsi="Arial"/>
                <w:sz w:val="18"/>
                <w:szCs w:val="18"/>
                <w:color w:val="auto"/>
                <w:w w:val="93"/>
              </w:rPr>
              <w:t>365</w:t>
            </w:r>
          </w:p>
        </w:tc>
        <w:tc>
          <w:tcPr>
            <w:tcW w:w="60" w:type="dxa"/>
            <w:vAlign w:val="bottom"/>
          </w:tcPr>
          <w:p>
            <w:pPr>
              <w:spacing w:after="0"/>
              <w:rPr>
                <w:sz w:val="19"/>
                <w:szCs w:val="19"/>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771</w:t>
            </w:r>
          </w:p>
        </w:tc>
        <w:tc>
          <w:tcPr>
            <w:tcW w:w="60" w:type="dxa"/>
            <w:vAlign w:val="bottom"/>
            <w:shd w:val="clear" w:color="auto" w:fill="CCEEFF"/>
          </w:tcPr>
          <w:p>
            <w:pPr>
              <w:spacing w:after="0"/>
              <w:rPr>
                <w:sz w:val="19"/>
                <w:szCs w:val="19"/>
                <w:color w:val="auto"/>
              </w:rPr>
            </w:pPr>
          </w:p>
        </w:tc>
      </w:tr>
      <w:tr>
        <w:trPr>
          <w:trHeight w:val="229"/>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95"/>
              </w:rPr>
              <w:t>(846)</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3"/>
              </w:rPr>
              <w:t>290</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876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940" w:type="dxa"/>
            <w:vAlign w:val="bottom"/>
            <w:gridSpan w:val="4"/>
          </w:tcPr>
          <w:p>
            <w:pPr>
              <w:spacing w:after="0"/>
              <w:rPr>
                <w:sz w:val="20"/>
                <w:szCs w:val="20"/>
                <w:color w:val="auto"/>
              </w:rPr>
            </w:pPr>
            <w:r>
              <w:rPr>
                <w:rFonts w:ascii="Arial" w:cs="Arial" w:eastAsia="Arial" w:hAnsi="Arial"/>
                <w:sz w:val="18"/>
                <w:szCs w:val="18"/>
                <w:color w:val="auto"/>
                <w:w w:val="93"/>
              </w:rPr>
              <w:t>The balances of Sunoco LP’s contract assets and contract liabilities as of December 31, 2020 and 2019 were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r>
      <w:tr>
        <w:trPr>
          <w:trHeight w:val="229"/>
        </w:trPr>
        <w:tc>
          <w:tcPr>
            <w:tcW w:w="7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Accounts receivable from contracts with customers</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0"/>
                <w:szCs w:val="20"/>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to Obtain or Fulfill a Contract</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future and are expected to be recovered. These capitalized costs are recorded as a part of other current assets and other non-current assets and are amortized on a systematic basis consistent with the pattern of transfer of the goods or services to which such costs relate. The amount of amortization expense that Sunoco LP recognized for the years ended December 31, 2020, 2019 and 2018 was $18 million, $17 million and $14 million, respectively. Sunoco LP has also made a policy election of expensing the costs to obtain a contract, as and when they are incurred, in cases where the expected amortization period is one year or less.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table below.</w:t>
      </w:r>
    </w:p>
    <w:p>
      <w:pPr>
        <w:spacing w:after="0" w:line="1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LP distributes fuel under long-term contracts to branded distributors, branded and unbranded third-party dealers, and branded and unbranded retail fuel outlets. Sunoco LP branded supply contracts with distributors generally have both time and volume commitments that establish contract duration. These contracts have an initial term of approximately nine years, with an estimated, volume-weighted term remaining of approximately four years.</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As part of the asset purchase agreement with 7-Eleven, Sunoco LP and 7-Eleven and SEI Fuel (collectively, the “Distributor”) have entered into a 15-year take-or-pay fuel supply agreement in which the Distributor is required to purchase a volume of fuel that provides Sunoco LP a minimum amount of gross profit annually. Sunoco LP expects to recognize this revenue in accordance with the contract as Sunoco LP transfers control of the product to the customer. However, in case of annual shortfall Sunoco LP will recognize the amount payable by the Distributor at the sooner of the time at which the Distributor makes up the shortfall or becomes contractually or operationally unable to do so. The transaction price of the contract is variable in nature, fluctuating based on market conditions. The Partnership has elected to take the practical expedient not to estimate the amount of variable consideration allocated to wholly unsatisfied performance obligations.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some contractual arrangements, Sunoco LP grants dealers a franchise license to operate Sunoco LP’s retail stores over the life of a franchise agreement. In return for the grant of the retail store license, the dealer makes a one-time nonrefundable franchise fee payment to Sunoco LP plus sales based royalties payable to Sunoco LP at a contractual rate during the period of the franchise agreement. Under the requirements of ASC Topic 606, the franchise license is deemed to be a symbolic license for which recognition of revenue over time is the most appropriate measure of progress toward complete satisfaction of the performance obligation. Revenue from this symbolic license is recognized evenly over the life of the franchise agreement.</w:t>
      </w:r>
    </w:p>
    <w:p>
      <w:pPr>
        <w:spacing w:after="0" w:line="1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2020, the aggregate amount of transaction price allocated to unsatisfied (or partially satisfied) performance obligations was $40.35 billion, and the Partnership expects to recognize this amount as revenue within the time bands illustrated below:</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color w:val="auto"/>
                <w:w w:val="89"/>
              </w:rPr>
              <w:t>Years Ending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6"/>
        </w:trPr>
        <w:tc>
          <w:tcPr>
            <w:tcW w:w="34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Revenue expected to be recognized on</w:t>
            </w:r>
          </w:p>
        </w:tc>
        <w:tc>
          <w:tcPr>
            <w:tcW w:w="8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contracts with customers existing as of</w:t>
            </w:r>
          </w:p>
        </w:tc>
        <w:tc>
          <w:tcPr>
            <w:tcW w:w="840" w:type="dxa"/>
            <w:vAlign w:val="bottom"/>
            <w:vMerge w:val="restart"/>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5,120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40,347</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8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Practical Expedients Utilized by the Partnership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elected the following practical expedients in accordance with Topic 606:</w:t>
      </w:r>
    </w:p>
    <w:p>
      <w:pPr>
        <w:spacing w:after="0" w:line="117" w:lineRule="exact"/>
        <w:rPr>
          <w:sz w:val="20"/>
          <w:szCs w:val="20"/>
          <w:color w:val="auto"/>
        </w:rPr>
      </w:pPr>
    </w:p>
    <w:p>
      <w:pPr>
        <w:jc w:val="both"/>
        <w:ind w:left="660" w:hanging="328"/>
        <w:spacing w:after="0" w:line="259" w:lineRule="auto"/>
        <w:tabs>
          <w:tab w:leader="none" w:pos="655" w:val="left"/>
        </w:tabs>
        <w:numPr>
          <w:ilvl w:val="1"/>
          <w:numId w:val="16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Right to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utilize an output method to recognize revenue that is based on the amount to which the Partnership has</w:t>
      </w:r>
      <w:r>
        <w:rPr>
          <w:rFonts w:ascii="Arial" w:cs="Arial" w:eastAsia="Arial" w:hAnsi="Arial"/>
          <w:sz w:val="18"/>
          <w:szCs w:val="18"/>
          <w:i w:val="1"/>
          <w:iCs w:val="1"/>
          <w:color w:val="auto"/>
        </w:rPr>
        <w:t xml:space="preserve"> </w:t>
      </w:r>
      <w:r>
        <w:rPr>
          <w:rFonts w:ascii="Arial" w:cs="Arial" w:eastAsia="Arial" w:hAnsi="Arial"/>
          <w:sz w:val="18"/>
          <w:szCs w:val="18"/>
          <w:color w:val="auto"/>
        </w:rPr>
        <w:t>a right to invoice a customer for services performed to date, if that amount corresponds directly with the value provided to the customer for the related performance or its obligation completed to date. As such, the Partnership recognized revenue in the amount to which it had the right to invoice customers.</w:t>
      </w:r>
    </w:p>
    <w:p>
      <w:pPr>
        <w:spacing w:after="0" w:line="78"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1"/>
          <w:numId w:val="165"/>
        </w:numPr>
        <w:rPr>
          <w:rFonts w:ascii="Arial" w:cs="Arial" w:eastAsia="Arial" w:hAnsi="Arial"/>
          <w:sz w:val="18"/>
          <w:szCs w:val="18"/>
          <w:color w:val="auto"/>
        </w:rPr>
      </w:pPr>
      <w:r>
        <w:rPr>
          <w:rFonts w:ascii="Arial" w:cs="Arial" w:eastAsia="Arial" w:hAnsi="Arial"/>
          <w:sz w:val="18"/>
          <w:szCs w:val="18"/>
          <w:i w:val="1"/>
          <w:iCs w:val="1"/>
          <w:u w:val="single" w:color="auto"/>
          <w:color w:val="auto"/>
        </w:rPr>
        <w:t>Significant financing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not to adjust the promised amount of consideration for the effects of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if the Partnership expects, at contract inception, that the period between the transfer of a promised good or service to a customer and when the customer pays for that good or service will be one year or less.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1"/>
          <w:numId w:val="165"/>
        </w:numPr>
        <w:rPr>
          <w:rFonts w:ascii="Arial" w:cs="Arial" w:eastAsia="Arial" w:hAnsi="Arial"/>
          <w:sz w:val="18"/>
          <w:szCs w:val="18"/>
          <w:color w:val="auto"/>
        </w:rPr>
      </w:pPr>
      <w:r>
        <w:rPr>
          <w:rFonts w:ascii="Arial" w:cs="Arial" w:eastAsia="Arial" w:hAnsi="Arial"/>
          <w:sz w:val="18"/>
          <w:szCs w:val="18"/>
          <w:i w:val="1"/>
          <w:iCs w:val="1"/>
          <w:u w:val="single" w:color="auto"/>
          <w:color w:val="auto"/>
        </w:rPr>
        <w:t>Unearned variable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only disclose the unearned fixed consideration associated with unsatisfied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related to our various customer contracts which contain both fixed and variable components.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1"/>
          <w:numId w:val="165"/>
        </w:numPr>
        <w:rPr>
          <w:rFonts w:ascii="Arial" w:cs="Arial" w:eastAsia="Arial" w:hAnsi="Arial"/>
          <w:sz w:val="17"/>
          <w:szCs w:val="17"/>
          <w:color w:val="auto"/>
        </w:rPr>
      </w:pPr>
      <w:r>
        <w:rPr>
          <w:rFonts w:ascii="Arial" w:cs="Arial" w:eastAsia="Arial" w:hAnsi="Arial"/>
          <w:sz w:val="17"/>
          <w:szCs w:val="17"/>
          <w:i w:val="1"/>
          <w:iCs w:val="1"/>
          <w:u w:val="single" w:color="auto"/>
          <w:color w:val="auto"/>
        </w:rPr>
        <w:t>Incremental costs of obtaining a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generally expenses sales commissions when incurred because the amortization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would have been less than one year. We record these costs within general and administrative expenses. The Partnership elected to expense the incremental costs of obtaining a contract when the amortization period for such contracts would have been one year or less.</w:t>
      </w:r>
    </w:p>
    <w:p>
      <w:pPr>
        <w:spacing w:after="0" w:line="57" w:lineRule="exact"/>
        <w:rPr>
          <w:rFonts w:ascii="Arial" w:cs="Arial" w:eastAsia="Arial" w:hAnsi="Arial"/>
          <w:sz w:val="17"/>
          <w:szCs w:val="17"/>
          <w:color w:val="auto"/>
        </w:rPr>
      </w:pPr>
    </w:p>
    <w:p>
      <w:pPr>
        <w:ind w:left="660" w:hanging="328"/>
        <w:spacing w:after="0" w:line="277" w:lineRule="auto"/>
        <w:tabs>
          <w:tab w:leader="none" w:pos="655" w:val="left"/>
        </w:tabs>
        <w:numPr>
          <w:ilvl w:val="1"/>
          <w:numId w:val="165"/>
        </w:numPr>
        <w:rPr>
          <w:rFonts w:ascii="Arial" w:cs="Arial" w:eastAsia="Arial" w:hAnsi="Arial"/>
          <w:sz w:val="18"/>
          <w:szCs w:val="18"/>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account for shipping and handling activities that occur after the customer has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good as fulfillment activities (i.e., an expense) rather than as a promised service.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1"/>
          <w:numId w:val="165"/>
        </w:numPr>
        <w:rPr>
          <w:rFonts w:ascii="Arial" w:cs="Arial" w:eastAsia="Arial" w:hAnsi="Arial"/>
          <w:sz w:val="18"/>
          <w:szCs w:val="18"/>
          <w:color w:val="auto"/>
        </w:rPr>
      </w:pPr>
      <w:r>
        <w:rPr>
          <w:rFonts w:ascii="Arial" w:cs="Arial" w:eastAsia="Arial" w:hAnsi="Arial"/>
          <w:sz w:val="18"/>
          <w:szCs w:val="18"/>
          <w:i w:val="1"/>
          <w:iCs w:val="1"/>
          <w:u w:val="single" w:color="auto"/>
          <w:color w:val="auto"/>
        </w:rPr>
        <w:t>Measurement of transaction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Partnership from a customer (i.e., sales tax, value added tax, etc.).</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1"/>
          <w:numId w:val="165"/>
        </w:numPr>
        <w:rPr>
          <w:rFonts w:ascii="Arial" w:cs="Arial" w:eastAsia="Arial" w:hAnsi="Arial"/>
          <w:sz w:val="18"/>
          <w:szCs w:val="18"/>
          <w:color w:val="auto"/>
        </w:rPr>
      </w:pPr>
      <w:r>
        <w:rPr>
          <w:rFonts w:ascii="Arial" w:cs="Arial" w:eastAsia="Arial" w:hAnsi="Arial"/>
          <w:sz w:val="18"/>
          <w:szCs w:val="18"/>
          <w:i w:val="1"/>
          <w:iCs w:val="1"/>
          <w:u w:val="single" w:color="auto"/>
          <w:color w:val="auto"/>
        </w:rPr>
        <w:t>Variable consideration of wholly unsatisfied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the estimate of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to the allocation of wholly unsatisfied performance obligations.</w:t>
      </w:r>
    </w:p>
    <w:p>
      <w:pPr>
        <w:spacing w:after="0" w:line="112" w:lineRule="exact"/>
        <w:rPr>
          <w:rFonts w:ascii="Arial" w:cs="Arial" w:eastAsia="Arial" w:hAnsi="Arial"/>
          <w:sz w:val="18"/>
          <w:szCs w:val="18"/>
          <w:color w:val="auto"/>
        </w:rPr>
      </w:pPr>
    </w:p>
    <w:p>
      <w:pPr>
        <w:ind w:left="340" w:right="8960" w:hanging="332"/>
        <w:spacing w:after="0" w:line="440" w:lineRule="auto"/>
        <w:tabs>
          <w:tab w:leader="none" w:pos="335"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LEASE ACCOUNTING: </w:t>
      </w:r>
      <w:r>
        <w:rPr>
          <w:rFonts w:ascii="Arial" w:cs="Arial" w:eastAsia="Arial" w:hAnsi="Arial"/>
          <w:sz w:val="18"/>
          <w:szCs w:val="18"/>
          <w:b w:val="1"/>
          <w:bCs w:val="1"/>
          <w:color w:val="auto"/>
        </w:rPr>
        <w:t>Lessee Accounting</w:t>
      </w:r>
    </w:p>
    <w:p>
      <w:pPr>
        <w:spacing w:after="0" w:line="1"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Partnership leases terminal facilities, tank cars, office space, land and equipment under non-cancelable operating leases whose initial terms are typically five to 15 years, with some real estate leases having terms of 40 years or more, along with options that permit renewals for additional periods. At the inception of each, we determine if the arrangement is a lease or contains an embedded lease and review the facts and circumstances of the arrangement to classify lease assets as operating or finance leases under Topic 842. The Partnership has elected not to record any leases with terms of 12 months or less on the balance sheet.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At present, the majority of the Partnership’s active leases are classified as operating in accordance with Topic 842. Balances related to operating leases are included in operating lease ROU assets, accrued and other current liabilities, operating lease current liabilities and non-current operating lease liabilities in our consolidated balance sheets. Finance leases represent a small portion of the active lease agreements and are included in finance lease ROU assets, current maturities of long-term debt and long-term debt, less current maturities in our consolidated balance sheets. The ROU assets represent the Partnership’s right to use an underlying asset for the lease term and lease liabilities represent the obligation of the Partnership to make minimum lease payments arising from the lease for the duration of the lease term.</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Most leases include one or more options to renew, with renewal terms that can extend the lease term from one to 20 years or greater. The exercise of lease renewal options is typically at the sole discretion of the Partnership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Presently, the Partnership does not have leases that include options to purchase or automatic transfer of ownership of the leased property to the Partnership. The depreciable life of lease assets and leasehold improvements are limited by the expected lease term.</w:t>
      </w:r>
    </w:p>
    <w:p>
      <w:pPr>
        <w:spacing w:after="0" w:line="1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 determine the present value of future minimum lease payments, we use the implicit rate when readily determinable. Presently, because many of our leases do not provide an implicit rate, the Partnership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Partnership is typically responsible for include payment of real estate taxes, maintenance expenses and insurance.</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short-term leases (leases that have term of twelve months or less upon commencement), lease payments are recognized on a straight-line basis and no ROU assets are recorded.</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components of operating and finance lease amounts recognized in the accompanying consolidated balance sheet as of December 31, 2020 and 2019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leases:</w:t>
            </w:r>
          </w:p>
        </w:tc>
        <w:tc>
          <w:tcPr>
            <w:tcW w:w="35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right-of-use assets, net</w:t>
            </w:r>
          </w:p>
        </w:tc>
        <w:tc>
          <w:tcPr>
            <w:tcW w:w="44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Operating lease current liabilities</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44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Lease right-of-use assets, net</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Current maturities of long-term debt</w:t>
            </w: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less current maturities</w:t>
            </w:r>
          </w:p>
        </w:tc>
        <w:tc>
          <w:tcPr>
            <w:tcW w:w="3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60" w:type="dxa"/>
            <w:vAlign w:val="bottom"/>
            <w:gridSpan w:val="2"/>
          </w:tcPr>
          <w:p>
            <w:pPr>
              <w:jc w:val="right"/>
              <w:ind w:right="2890"/>
              <w:spacing w:after="0"/>
              <w:rPr>
                <w:sz w:val="20"/>
                <w:szCs w:val="20"/>
                <w:color w:val="auto"/>
              </w:rPr>
            </w:pPr>
            <w:r>
              <w:rPr>
                <w:rFonts w:ascii="Arial" w:cs="Arial" w:eastAsia="Arial" w:hAnsi="Arial"/>
                <w:sz w:val="18"/>
                <w:szCs w:val="18"/>
                <w:color w:val="auto"/>
              </w:rPr>
              <w:t>F-67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for the years ended December 31, 2020 and 2019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6"/>
              </w:rPr>
              <w:t>Year Ended December 31,</w:t>
            </w:r>
          </w:p>
        </w:tc>
        <w:tc>
          <w:tcPr>
            <w:tcW w:w="0" w:type="dxa"/>
            <w:vAlign w:val="bottom"/>
          </w:tcPr>
          <w:p>
            <w:pPr>
              <w:spacing w:after="0"/>
              <w:rPr>
                <w:sz w:val="1"/>
                <w:szCs w:val="1"/>
                <w:color w:val="auto"/>
              </w:rPr>
            </w:pPr>
          </w:p>
        </w:tc>
      </w:tr>
      <w:tr>
        <w:trPr>
          <w:trHeight w:val="223"/>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Operating lease costs:</w:t>
            </w:r>
          </w:p>
        </w:tc>
        <w:tc>
          <w:tcPr>
            <w:tcW w:w="4020" w:type="dxa"/>
            <w:vAlign w:val="bottom"/>
            <w:gridSpan w:val="2"/>
          </w:tcPr>
          <w:p>
            <w:pPr>
              <w:ind w:left="960"/>
              <w:spacing w:after="0"/>
              <w:rPr>
                <w:sz w:val="20"/>
                <w:szCs w:val="20"/>
                <w:color w:val="auto"/>
              </w:rPr>
            </w:pPr>
            <w:r>
              <w:rPr>
                <w:rFonts w:ascii="Arial" w:cs="Arial" w:eastAsia="Arial" w:hAnsi="Arial"/>
                <w:sz w:val="18"/>
                <w:szCs w:val="18"/>
                <w:color w:val="auto"/>
              </w:rPr>
              <w:t>Income Statement Location</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rPr>
              <w:t>Operating lease cost</w:t>
            </w: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740" w:type="dxa"/>
            <w:vAlign w:val="bottom"/>
          </w:tcPr>
          <w:p>
            <w:pPr>
              <w:jc w:val="right"/>
              <w:ind w:right="1850"/>
              <w:spacing w:after="0"/>
              <w:rPr>
                <w:sz w:val="20"/>
                <w:szCs w:val="20"/>
                <w:color w:val="auto"/>
              </w:rPr>
            </w:pPr>
            <w:r>
              <w:rPr>
                <w:rFonts w:ascii="Arial" w:cs="Arial" w:eastAsia="Arial" w:hAnsi="Arial"/>
                <w:sz w:val="18"/>
                <w:szCs w:val="18"/>
                <w:color w:val="auto"/>
              </w:rPr>
              <w:t>Operating lease cost</w:t>
            </w: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rPr>
              <w:t>Operating lease cost</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740" w:type="dxa"/>
            <w:vAlign w:val="bottom"/>
          </w:tcPr>
          <w:p>
            <w:pPr>
              <w:ind w:left="500"/>
              <w:spacing w:after="0"/>
              <w:rPr>
                <w:sz w:val="20"/>
                <w:szCs w:val="20"/>
                <w:color w:val="auto"/>
              </w:rPr>
            </w:pPr>
            <w:r>
              <w:rPr>
                <w:rFonts w:ascii="Arial" w:cs="Arial" w:eastAsia="Arial" w:hAnsi="Arial"/>
                <w:sz w:val="18"/>
                <w:szCs w:val="18"/>
                <w:color w:val="auto"/>
              </w:rPr>
              <w:t>Total operating lease costs</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Amortization of lease assets</w:t>
            </w: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capitalized interest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finance lease costs</w:t>
            </w:r>
          </w:p>
        </w:tc>
        <w:tc>
          <w:tcPr>
            <w:tcW w:w="3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costs, gross</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Less: Sublease income</w:t>
            </w:r>
          </w:p>
        </w:tc>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jc w:val="right"/>
              <w:ind w:right="1850"/>
              <w:spacing w:after="0"/>
              <w:rPr>
                <w:sz w:val="20"/>
                <w:szCs w:val="20"/>
                <w:color w:val="auto"/>
              </w:rPr>
            </w:pPr>
            <w:r>
              <w:rPr>
                <w:rFonts w:ascii="Arial" w:cs="Arial" w:eastAsia="Arial" w:hAnsi="Arial"/>
                <w:sz w:val="18"/>
                <w:szCs w:val="18"/>
                <w:color w:val="auto"/>
              </w:rPr>
              <w:t>Lease costs, net</w:t>
            </w:r>
          </w:p>
        </w:tc>
        <w:tc>
          <w:tcPr>
            <w:tcW w:w="3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lease terms and weighted average discount rates as of December 31, 2020 and 2019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color w:val="auto"/>
                <w:w w:val="93"/>
              </w:rPr>
              <w:t>December 31,</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vMerge w:val="restart"/>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9260" w:type="dxa"/>
            <w:vAlign w:val="bottom"/>
            <w:gridSpan w:val="6"/>
          </w:tcPr>
          <w:p>
            <w:pPr>
              <w:spacing w:after="0"/>
              <w:rPr>
                <w:sz w:val="20"/>
                <w:szCs w:val="20"/>
                <w:color w:val="auto"/>
              </w:rPr>
            </w:pPr>
            <w:r>
              <w:rPr>
                <w:rFonts w:ascii="Arial" w:cs="Arial" w:eastAsia="Arial" w:hAnsi="Arial"/>
                <w:sz w:val="18"/>
                <w:szCs w:val="18"/>
                <w:color w:val="auto"/>
                <w:w w:val="98"/>
              </w:rPr>
              <w:t>Cash flows and non-cash activity related to leases for the years ended December 31, 2020 and 2019 were as follows: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6"/>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86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5"/>
              </w:rPr>
              <w:t>(117)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w w:val="93"/>
              </w:rPr>
              <w:t>Lease assets obtained in exchange for new finance lease liabilities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Lease assets obtained in exchange for new operating lease liabilities</w:t>
            </w:r>
          </w:p>
        </w:tc>
        <w:tc>
          <w:tcPr>
            <w:tcW w:w="2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100" w:type="dxa"/>
            <w:vAlign w:val="bottom"/>
            <w:gridSpan w:val="3"/>
          </w:tcPr>
          <w:p>
            <w:pPr>
              <w:jc w:val="right"/>
              <w:ind w:right="2510"/>
              <w:spacing w:after="0"/>
              <w:rPr>
                <w:sz w:val="20"/>
                <w:szCs w:val="20"/>
                <w:color w:val="auto"/>
              </w:rPr>
            </w:pPr>
            <w:r>
              <w:rPr>
                <w:rFonts w:ascii="Arial" w:cs="Arial" w:eastAsia="Arial" w:hAnsi="Arial"/>
                <w:sz w:val="18"/>
                <w:szCs w:val="18"/>
                <w:color w:val="auto"/>
              </w:rPr>
              <w:t>F-68</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Maturities of lease liabilities as of December 31, 2020 are as follows:</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606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Total</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r>
      <w:tr>
        <w:trPr>
          <w:trHeight w:val="223"/>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29"/>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present value discount</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Lessor Accounting</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Partnership leases or subleases a portion of its real estate portfolio to third-party companies as a stable source of long-term revenue. Our lessor and sublease portfolio consists mainly of operating leases with convenience store operators. At this time, most lessor agreements contain five-year terms with renewal options to extend and early termination options based on established terms specific to the individual agreement.</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Rental income included in other revenue in our consolidated statement of operations for the years ended December 31, 2020 and 2019 was $144 million and $149 million, respectively.</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Future minimum operating lease payments receivable as of December 31, 2020 are as follows: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9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Lease Payments</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undiscounted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7440" w:hanging="332"/>
        <w:spacing w:after="0" w:line="440" w:lineRule="auto"/>
        <w:tabs>
          <w:tab w:leader="none" w:pos="33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ASSETS AND LIABILITIES: </w:t>
      </w:r>
      <w:r>
        <w:rPr>
          <w:rFonts w:ascii="Arial" w:cs="Arial" w:eastAsia="Arial" w:hAnsi="Arial"/>
          <w:sz w:val="18"/>
          <w:szCs w:val="18"/>
          <w:b w:val="1"/>
          <w:bCs w:val="1"/>
          <w:color w:val="auto"/>
        </w:rPr>
        <w:t>Commodity Price Risk</w:t>
      </w:r>
    </w:p>
    <w:p>
      <w:pPr>
        <w:spacing w:after="0" w:line="1"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3" w:lineRule="exact"/>
        <w:rPr>
          <w:rFonts w:ascii="Arial" w:cs="Arial" w:eastAsia="Arial" w:hAnsi="Arial"/>
          <w:sz w:val="18"/>
          <w:szCs w:val="18"/>
          <w:b w:val="1"/>
          <w:bCs w:val="1"/>
          <w:color w:val="auto"/>
        </w:rPr>
      </w:pPr>
    </w:p>
    <w:p>
      <w:pPr>
        <w:ind w:left="34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6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1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3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outstanding commodity-related derivatives: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20"/>
                <w:szCs w:val="20"/>
                <w:color w:val="auto"/>
              </w:rPr>
            </w:pPr>
          </w:p>
        </w:tc>
        <w:tc>
          <w:tcPr>
            <w:tcW w:w="29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December 31, 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6"/>
              </w:rPr>
              <w:t>Notional</w:t>
            </w:r>
          </w:p>
        </w:tc>
        <w:tc>
          <w:tcPr>
            <w:tcW w:w="1480" w:type="dxa"/>
            <w:vAlign w:val="bottom"/>
            <w:gridSpan w:val="2"/>
            <w:vMerge w:val="restart"/>
          </w:tcPr>
          <w:p>
            <w:pPr>
              <w:ind w:left="380"/>
              <w:spacing w:after="0"/>
              <w:rPr>
                <w:sz w:val="20"/>
                <w:szCs w:val="20"/>
                <w:color w:val="auto"/>
              </w:rPr>
            </w:pPr>
            <w:r>
              <w:rPr>
                <w:rFonts w:ascii="Arial" w:cs="Arial" w:eastAsia="Arial" w:hAnsi="Arial"/>
                <w:sz w:val="18"/>
                <w:szCs w:val="18"/>
                <w:color w:val="auto"/>
              </w:rPr>
              <w:t>Maturity</w:t>
            </w: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6"/>
              </w:rPr>
              <w:t>Notional</w:t>
            </w:r>
          </w:p>
        </w:tc>
        <w:tc>
          <w:tcPr>
            <w:tcW w:w="1800" w:type="dxa"/>
            <w:vAlign w:val="bottom"/>
            <w:gridSpan w:val="2"/>
            <w:vMerge w:val="restart"/>
          </w:tcPr>
          <w:p>
            <w:pPr>
              <w:ind w:left="380"/>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w:t>
            </w:r>
          </w:p>
        </w:tc>
        <w:tc>
          <w:tcPr>
            <w:tcW w:w="148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w:t>
            </w: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340"/>
              <w:spacing w:after="0" w:line="230" w:lineRule="exact"/>
              <w:rPr>
                <w:sz w:val="20"/>
                <w:szCs w:val="20"/>
                <w:color w:val="auto"/>
              </w:rPr>
            </w:pPr>
            <w:r>
              <w:rPr>
                <w:rFonts w:ascii="Arial" w:cs="Arial" w:eastAsia="Arial" w:hAnsi="Arial"/>
                <w:sz w:val="18"/>
                <w:szCs w:val="18"/>
                <w:color w:val="auto"/>
              </w:rPr>
              <w:t>Basis Swaps IFERC/NYMEX</w:t>
            </w:r>
            <w:r>
              <w:rPr>
                <w:rFonts w:ascii="Arial" w:cs="Arial" w:eastAsia="Arial" w:hAnsi="Arial"/>
                <w:sz w:val="23"/>
                <w:szCs w:val="23"/>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(35,208)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400" w:type="dxa"/>
            <w:vAlign w:val="bottom"/>
          </w:tcPr>
          <w:p>
            <w:pPr>
              <w:jc w:val="right"/>
              <w:spacing w:after="0"/>
              <w:rPr>
                <w:sz w:val="20"/>
                <w:szCs w:val="20"/>
                <w:color w:val="auto"/>
              </w:rPr>
            </w:pPr>
            <w:r>
              <w:rPr>
                <w:rFonts w:ascii="Arial" w:cs="Arial" w:eastAsia="Arial" w:hAnsi="Arial"/>
                <w:sz w:val="18"/>
                <w:szCs w:val="18"/>
                <w:color w:val="auto"/>
              </w:rPr>
              <w:t>1,392,400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3,213,450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400" w:type="dxa"/>
            <w:vAlign w:val="bottom"/>
          </w:tcPr>
          <w:p>
            <w:pPr>
              <w:jc w:val="right"/>
              <w:spacing w:after="0"/>
              <w:rPr>
                <w:sz w:val="20"/>
                <w:szCs w:val="20"/>
                <w:color w:val="auto"/>
              </w:rPr>
            </w:pPr>
            <w:r>
              <w:rPr>
                <w:rFonts w:ascii="Arial" w:cs="Arial" w:eastAsia="Arial" w:hAnsi="Arial"/>
                <w:sz w:val="18"/>
                <w:szCs w:val="18"/>
                <w:color w:val="auto"/>
              </w:rPr>
              <w:t>519,071</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51,615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2020-2021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(18,923)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2020-2021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NGL (MBbls) – Forwards/Swaps</w:t>
            </w:r>
          </w:p>
        </w:tc>
        <w:tc>
          <w:tcPr>
            <w:tcW w:w="140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(MBbls) – Forwards/Swaps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Refined Products (MBbls) – 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Corn (thousand bushels)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Hedged Item – Inventory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F-70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6" w:name="page237"/>
    <w:bookmarkEnd w:id="2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227" w:lineRule="auto"/>
        <w:tabs>
          <w:tab w:leader="none" w:pos="648" w:val="left"/>
        </w:tabs>
        <w:numPr>
          <w:ilvl w:val="0"/>
          <w:numId w:val="167"/>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Notional Amount Outstanding</w:t>
            </w:r>
          </w:p>
        </w:tc>
        <w:tc>
          <w:tcPr>
            <w:tcW w:w="0" w:type="dxa"/>
            <w:vAlign w:val="bottom"/>
          </w:tcPr>
          <w:p>
            <w:pPr>
              <w:spacing w:after="0"/>
              <w:rPr>
                <w:sz w:val="1"/>
                <w:szCs w:val="1"/>
                <w:color w:val="auto"/>
              </w:rPr>
            </w:pPr>
          </w:p>
        </w:tc>
      </w:tr>
      <w:tr>
        <w:trPr>
          <w:trHeight w:val="183"/>
        </w:trPr>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Term</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Type </w:t>
            </w:r>
            <w:r>
              <w:rPr>
                <w:rFonts w:ascii="Arial" w:cs="Arial" w:eastAsia="Arial" w:hAnsi="Arial"/>
                <w:sz w:val="23"/>
                <w:szCs w:val="23"/>
                <w:color w:val="auto"/>
                <w:vertAlign w:val="superscript"/>
              </w:rPr>
              <w:t>(1)</w:t>
            </w:r>
          </w:p>
        </w:tc>
        <w:tc>
          <w:tcPr>
            <w:tcW w:w="160" w:type="dxa"/>
            <w:vAlign w:val="bottom"/>
          </w:tcPr>
          <w:p>
            <w:pPr>
              <w:spacing w:after="0"/>
              <w:rPr>
                <w:sz w:val="15"/>
                <w:szCs w:val="15"/>
                <w:color w:val="auto"/>
              </w:rPr>
            </w:pPr>
          </w:p>
        </w:tc>
        <w:tc>
          <w:tcPr>
            <w:tcW w:w="1500" w:type="dxa"/>
            <w:vAlign w:val="bottom"/>
            <w:gridSpan w:val="3"/>
          </w:tcPr>
          <w:p>
            <w:pPr>
              <w:jc w:val="right"/>
              <w:ind w:right="370"/>
              <w:spacing w:after="0" w:line="182" w:lineRule="exact"/>
              <w:rPr>
                <w:sz w:val="20"/>
                <w:szCs w:val="20"/>
                <w:color w:val="auto"/>
              </w:rPr>
            </w:pPr>
            <w:r>
              <w:rPr>
                <w:rFonts w:ascii="Arial" w:cs="Arial" w:eastAsia="Arial" w:hAnsi="Arial"/>
                <w:sz w:val="18"/>
                <w:szCs w:val="18"/>
                <w:color w:val="auto"/>
                <w:w w:val="90"/>
              </w:rPr>
              <w:t>December 31,</w:t>
            </w:r>
          </w:p>
        </w:tc>
        <w:tc>
          <w:tcPr>
            <w:tcW w:w="126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July 2020</w:t>
            </w: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Forward-starting to pay a fixed rate of 3.52%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w w:val="90"/>
              </w:rPr>
              <w:t>July 2021</w:t>
            </w:r>
          </w:p>
        </w:tc>
        <w:tc>
          <w:tcPr>
            <w:tcW w:w="920" w:type="dxa"/>
            <w:vAlign w:val="bottom"/>
          </w:tcPr>
          <w:p>
            <w:pPr>
              <w:ind w:lef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July 2022</w:t>
            </w:r>
          </w:p>
        </w:tc>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68"/>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3-month LIBOR.</w:t>
      </w:r>
    </w:p>
    <w:p>
      <w:pPr>
        <w:spacing w:after="0" w:line="93"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168"/>
        </w:numPr>
        <w:rPr>
          <w:rFonts w:ascii="Arial" w:cs="Arial" w:eastAsia="Arial" w:hAnsi="Arial"/>
          <w:sz w:val="23"/>
          <w:szCs w:val="23"/>
          <w:color w:val="auto"/>
          <w:vertAlign w:val="superscript"/>
        </w:rPr>
      </w:pPr>
      <w:r>
        <w:rPr>
          <w:rFonts w:ascii="Arial" w:cs="Arial" w:eastAsia="Arial" w:hAnsi="Arial"/>
          <w:sz w:val="18"/>
          <w:szCs w:val="18"/>
          <w:color w:val="auto"/>
        </w:rPr>
        <w:t>Represents the effective date. These forward-starting swaps have terms of 30 years with a mandatory termination date the same as the effective date.</w:t>
      </w:r>
    </w:p>
    <w:p>
      <w:pPr>
        <w:spacing w:after="0" w:line="59"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68"/>
        </w:numPr>
        <w:rPr>
          <w:rFonts w:ascii="Arial" w:cs="Arial" w:eastAsia="Arial" w:hAnsi="Arial"/>
          <w:sz w:val="23"/>
          <w:szCs w:val="23"/>
          <w:color w:val="auto"/>
          <w:vertAlign w:val="superscript"/>
        </w:rPr>
      </w:pPr>
      <w:r>
        <w:rPr>
          <w:rFonts w:ascii="Arial" w:cs="Arial" w:eastAsia="Arial" w:hAnsi="Arial"/>
          <w:sz w:val="18"/>
          <w:szCs w:val="18"/>
          <w:color w:val="auto"/>
        </w:rPr>
        <w:t>The July 2020 interest rate swaps were terminated in January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Derivative Summary</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100" w:type="dxa"/>
            <w:vAlign w:val="bottom"/>
            <w:gridSpan w:val="4"/>
          </w:tcPr>
          <w:p>
            <w:pPr>
              <w:spacing w:after="0"/>
              <w:rPr>
                <w:sz w:val="20"/>
                <w:szCs w:val="20"/>
                <w:color w:val="auto"/>
              </w:rPr>
            </w:pPr>
            <w:r>
              <w:rPr>
                <w:rFonts w:ascii="Arial" w:cs="Arial" w:eastAsia="Arial" w:hAnsi="Arial"/>
                <w:sz w:val="18"/>
                <w:szCs w:val="18"/>
                <w:color w:val="auto"/>
                <w:w w:val="98"/>
              </w:rPr>
              <w:t>The following table provides a summary of our derivative assets and liabilities: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9"/>
              </w:rPr>
              <w:t>Fair Value of Derivative Instruments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19"/>
                <w:szCs w:val="19"/>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460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20"/>
                <w:szCs w:val="20"/>
                <w:color w:val="auto"/>
              </w:rPr>
            </w:pPr>
          </w:p>
        </w:tc>
        <w:tc>
          <w:tcPr>
            <w:tcW w:w="272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120" w:type="dxa"/>
            <w:vAlign w:val="bottom"/>
            <w:vMerge w:val="restart"/>
          </w:tcPr>
          <w:p>
            <w:pPr>
              <w:ind w:left="200"/>
              <w:spacing w:after="0"/>
              <w:rPr>
                <w:sz w:val="20"/>
                <w:szCs w:val="20"/>
                <w:color w:val="auto"/>
              </w:rPr>
            </w:pPr>
            <w:r>
              <w:rPr>
                <w:rFonts w:ascii="Arial" w:cs="Arial" w:eastAsia="Arial" w:hAnsi="Arial"/>
                <w:sz w:val="18"/>
                <w:szCs w:val="18"/>
                <w:color w:val="auto"/>
                <w:w w:val="99"/>
              </w:rPr>
              <w:t>Balance Sheet Location</w:t>
            </w:r>
          </w:p>
        </w:tc>
        <w:tc>
          <w:tcPr>
            <w:tcW w:w="12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Derivatives without offsetting</w:t>
            </w:r>
          </w:p>
        </w:tc>
        <w:tc>
          <w:tcPr>
            <w:tcW w:w="2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22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Derivatives in offsetting agreements: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OTC contracts</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Derivative assets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Broker cleared derivative</w:t>
            </w:r>
          </w:p>
        </w:tc>
        <w:tc>
          <w:tcPr>
            <w:tcW w:w="2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contracts</w:t>
            </w:r>
          </w:p>
        </w:tc>
        <w:tc>
          <w:tcPr>
            <w:tcW w:w="2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Offsetting agreements: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Counterparty netting</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Derivative assets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Counterparty netting</w:t>
            </w:r>
          </w:p>
        </w:tc>
        <w:tc>
          <w:tcPr>
            <w:tcW w:w="2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derivatives</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8" w:name="page239"/>
    <w:bookmarkEnd w:id="2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amounts recognized with respect to our derivative financial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Location of Gain (Loss)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20" w:type="dxa"/>
            <w:vAlign w:val="bottom"/>
            <w:gridSpan w:val="12"/>
          </w:tcPr>
          <w:p>
            <w:pPr>
              <w:jc w:val="center"/>
              <w:ind w:right="720"/>
              <w:spacing w:after="0"/>
              <w:rPr>
                <w:sz w:val="20"/>
                <w:szCs w:val="20"/>
                <w:color w:val="auto"/>
              </w:rPr>
            </w:pPr>
            <w:r>
              <w:rPr>
                <w:rFonts w:ascii="Arial" w:cs="Arial" w:eastAsia="Arial" w:hAnsi="Arial"/>
                <w:sz w:val="18"/>
                <w:szCs w:val="18"/>
                <w:color w:val="auto"/>
                <w:w w:val="92"/>
              </w:rPr>
              <w:t>Amount of Gain (Loss) Recognized in Income</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w w:val="90"/>
              </w:rPr>
              <w:t>Recognized in Income on</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20" w:type="dxa"/>
            <w:vAlign w:val="bottom"/>
            <w:gridSpan w:val="12"/>
          </w:tcPr>
          <w:p>
            <w:pPr>
              <w:jc w:val="center"/>
              <w:ind w:right="720"/>
              <w:spacing w:after="0" w:line="176" w:lineRule="exact"/>
              <w:rPr>
                <w:sz w:val="20"/>
                <w:szCs w:val="20"/>
                <w:color w:val="auto"/>
              </w:rPr>
            </w:pPr>
            <w:r>
              <w:rPr>
                <w:rFonts w:ascii="Arial" w:cs="Arial" w:eastAsia="Arial" w:hAnsi="Arial"/>
                <w:sz w:val="18"/>
                <w:szCs w:val="18"/>
                <w:color w:val="auto"/>
                <w:w w:val="89"/>
              </w:rPr>
              <w:t>Representing Hedge Ineffectiveness and Amount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Derivatives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20" w:type="dxa"/>
            <w:vAlign w:val="bottom"/>
            <w:gridSpan w:val="12"/>
          </w:tcPr>
          <w:p>
            <w:pPr>
              <w:jc w:val="center"/>
              <w:ind w:right="720"/>
              <w:spacing w:after="0"/>
              <w:rPr>
                <w:sz w:val="20"/>
                <w:szCs w:val="20"/>
                <w:color w:val="auto"/>
              </w:rPr>
            </w:pPr>
            <w:r>
              <w:rPr>
                <w:rFonts w:ascii="Arial" w:cs="Arial" w:eastAsia="Arial" w:hAnsi="Arial"/>
                <w:sz w:val="18"/>
                <w:szCs w:val="18"/>
                <w:color w:val="auto"/>
                <w:w w:val="90"/>
              </w:rPr>
              <w:t>Excluded from the Assessment of Effectiveness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10"/>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Derivatives in fair value hedging</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relationships (including hedged item):</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2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Location of Gain (Loss)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gridSpan w:val="12"/>
            <w:vMerge w:val="restart"/>
          </w:tcPr>
          <w:p>
            <w:pPr>
              <w:jc w:val="center"/>
              <w:ind w:right="660"/>
              <w:spacing w:after="0"/>
              <w:rPr>
                <w:sz w:val="20"/>
                <w:szCs w:val="20"/>
                <w:color w:val="auto"/>
              </w:rPr>
            </w:pPr>
            <w:r>
              <w:rPr>
                <w:rFonts w:ascii="Arial" w:cs="Arial" w:eastAsia="Arial" w:hAnsi="Arial"/>
                <w:sz w:val="18"/>
                <w:szCs w:val="18"/>
                <w:color w:val="auto"/>
                <w:w w:val="92"/>
              </w:rPr>
              <w:t>Amount of Gain (Loss) Recognized in Income on</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gridSpan w:val="3"/>
          </w:tcPr>
          <w:p>
            <w:pPr>
              <w:jc w:val="center"/>
              <w:ind w:right="40"/>
              <w:spacing w:after="0" w:line="176" w:lineRule="exact"/>
              <w:rPr>
                <w:sz w:val="20"/>
                <w:szCs w:val="20"/>
                <w:color w:val="auto"/>
              </w:rPr>
            </w:pPr>
            <w:r>
              <w:rPr>
                <w:rFonts w:ascii="Arial" w:cs="Arial" w:eastAsia="Arial" w:hAnsi="Arial"/>
                <w:sz w:val="18"/>
                <w:szCs w:val="18"/>
                <w:color w:val="auto"/>
                <w:w w:val="90"/>
              </w:rPr>
              <w:t>Recognized in Income on</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Derivatives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10"/>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hedging</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 Trading</w:t>
            </w:r>
          </w:p>
        </w:tc>
        <w:tc>
          <w:tcPr>
            <w:tcW w:w="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Commodity derivatives – Trading</w:t>
            </w:r>
          </w:p>
        </w:tc>
        <w:tc>
          <w:tcPr>
            <w:tcW w:w="60" w:type="dxa"/>
            <w:vAlign w:val="bottom"/>
          </w:tcPr>
          <w:p>
            <w:pPr>
              <w:spacing w:after="0"/>
              <w:rPr>
                <w:sz w:val="19"/>
                <w:szCs w:val="19"/>
                <w:color w:val="auto"/>
              </w:rPr>
            </w:pPr>
          </w:p>
        </w:tc>
        <w:tc>
          <w:tcPr>
            <w:tcW w:w="2680" w:type="dxa"/>
            <w:vAlign w:val="bottom"/>
            <w:gridSpan w:val="3"/>
          </w:tcPr>
          <w:p>
            <w:pPr>
              <w:ind w:left="20"/>
              <w:spacing w:after="0"/>
              <w:rPr>
                <w:sz w:val="20"/>
                <w:szCs w:val="20"/>
                <w:color w:val="auto"/>
              </w:rPr>
            </w:pPr>
            <w:r>
              <w:rPr>
                <w:rFonts w:ascii="Arial" w:cs="Arial" w:eastAsia="Arial" w:hAnsi="Arial"/>
                <w:sz w:val="18"/>
                <w:szCs w:val="18"/>
                <w:color w:val="auto"/>
              </w:rPr>
              <w:t>Cost of products sold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 Non-trading</w:t>
            </w:r>
          </w:p>
        </w:tc>
        <w:tc>
          <w:tcPr>
            <w:tcW w:w="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15"/>
                <w:szCs w:val="15"/>
                <w:color w:val="auto"/>
              </w:rPr>
            </w:pPr>
          </w:p>
        </w:tc>
        <w:tc>
          <w:tcPr>
            <w:tcW w:w="26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Gains (losses) on interest rate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derivatives</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gridSpan w:val="3"/>
            <w:vMerge w:val="restart"/>
          </w:tcPr>
          <w:p>
            <w:pPr>
              <w:ind w:left="1680"/>
              <w:spacing w:after="0"/>
              <w:rPr>
                <w:sz w:val="20"/>
                <w:szCs w:val="20"/>
                <w:color w:val="auto"/>
              </w:rPr>
            </w:pPr>
            <w:r>
              <w:rPr>
                <w:rFonts w:ascii="Arial" w:cs="Arial" w:eastAsia="Arial" w:hAnsi="Arial"/>
                <w:sz w:val="18"/>
                <w:szCs w:val="18"/>
                <w:color w:val="auto"/>
              </w:rPr>
              <w:t>F-73</w:t>
            </w: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right="8380" w:hanging="332"/>
        <w:spacing w:after="0" w:line="495" w:lineRule="auto"/>
        <w:tabs>
          <w:tab w:leader="none" w:pos="335"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RETIREMENT BENEFITS: </w:t>
      </w:r>
      <w:r>
        <w:rPr>
          <w:rFonts w:ascii="Arial" w:cs="Arial" w:eastAsia="Arial" w:hAnsi="Arial"/>
          <w:sz w:val="16"/>
          <w:szCs w:val="16"/>
          <w:b w:val="1"/>
          <w:bCs w:val="1"/>
          <w:color w:val="auto"/>
        </w:rPr>
        <w:t>Savings and Profit Sharing Plans</w:t>
      </w:r>
    </w:p>
    <w:p>
      <w:pPr>
        <w:spacing w:after="0" w:line="1"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We and our subsidiaries sponsor defined contribution savings and profit sharing plans, which collectively cover virtually all eligible employees, including those of ETO, Lake Charles LNG, Sunoco LP and USAC. Employer matching contributions are calculated using a formula based on employee contributions. We and our subsidiaries made matching contributions of $35 million, $66 million and $62 million to these 401(k) savings plans for the years ended December 31, 2020, 2019 and 2018, respectively.</w:t>
      </w:r>
    </w:p>
    <w:p>
      <w:pPr>
        <w:spacing w:after="0" w:line="132"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a result of the economic conditions in 2020, effective June 8, 2020, the Partnership ceased employer matching and profit sharing contributions through December 31, 2020. The Partnership resumed all such contributions in 2021.</w:t>
      </w:r>
    </w:p>
    <w:p>
      <w:pPr>
        <w:spacing w:after="0" w:line="112" w:lineRule="exact"/>
        <w:rPr>
          <w:rFonts w:ascii="Arial" w:cs="Arial" w:eastAsia="Arial" w:hAnsi="Arial"/>
          <w:sz w:val="16"/>
          <w:szCs w:val="16"/>
          <w:b w:val="1"/>
          <w:bCs w:val="1"/>
          <w:color w:val="auto"/>
        </w:rPr>
      </w:pPr>
    </w:p>
    <w:p>
      <w:pPr>
        <w:ind w:left="340" w:right="7220"/>
        <w:spacing w:after="0" w:line="440"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b w:val="1"/>
          <w:bCs w:val="1"/>
          <w:i w:val="1"/>
          <w:iCs w:val="1"/>
          <w:color w:val="auto"/>
        </w:rPr>
        <w:t>Panhandle</w:t>
      </w:r>
    </w:p>
    <w:p>
      <w:pPr>
        <w:spacing w:after="0" w:line="1" w:lineRule="exact"/>
        <w:rPr>
          <w:rFonts w:ascii="Arial" w:cs="Arial" w:eastAsia="Arial" w:hAnsi="Arial"/>
          <w:sz w:val="16"/>
          <w:szCs w:val="16"/>
          <w:b w:val="1"/>
          <w:bCs w:val="1"/>
          <w:color w:val="auto"/>
        </w:rPr>
      </w:pPr>
    </w:p>
    <w:p>
      <w:pPr>
        <w:jc w:val="both"/>
        <w:ind w:left="34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Postretirement benefits expense for the years ended December 31, 2020, 2019, and 2018 reflect the impact of changes Panhandle or its affiliates adopted as of September 30, 2013, to modify its retiree medical benefits program, effective January 1, 2014. The modification placed all eligible retirees on a common medical benefit platform, subject to limits on Panhandle’s annual contribution toward eligible retirees’ medical premiums. Prior to January 1, 2013, affiliates of Panhandle offered postretirement health care and life insurance benefit plans (other postretirement plans) that covered substantially all employees. Effective January 1, 2013, participation in the plan was frozen and medical benefits were no longer offered to non-union employees. Effective January 1, 2014, retiree medical benefits were no longer offered to union employees.</w:t>
      </w:r>
    </w:p>
    <w:p>
      <w:pPr>
        <w:spacing w:after="0" w:line="11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Effective January 1, 2018, the plan was amended to extend coverage to a closed group of former employees based on certain criteria.</w:t>
      </w:r>
    </w:p>
    <w:p>
      <w:pPr>
        <w:spacing w:after="0" w:line="17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ETC Sunoco</w:t>
      </w:r>
    </w:p>
    <w:p>
      <w:pPr>
        <w:spacing w:after="0" w:line="171" w:lineRule="exact"/>
        <w:rPr>
          <w:rFonts w:ascii="Arial" w:cs="Arial" w:eastAsia="Arial" w:hAnsi="Arial"/>
          <w:sz w:val="16"/>
          <w:szCs w:val="16"/>
          <w:b w:val="1"/>
          <w:bCs w:val="1"/>
          <w:color w:val="auto"/>
        </w:rPr>
      </w:pPr>
    </w:p>
    <w:p>
      <w:pPr>
        <w:jc w:val="both"/>
        <w:ind w:left="34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ETC Sunoco has a plan which provides health care benefits for substantially all of its current retirees. The cost to provide the postretirement benefit plan is shared by ETC Sunoco. and its retirees. Access to postretirement medical benefits was phased out or eliminated for all employees retiring after July 1, 2010. ETC Sunoco has established a trust for its postretirement benefit liabilities. The funding of the trust eliminated substantially all of ETC Sunoco’s future exposure to variances between actual results and assumptions used to estimate retiree medical plan obligations.</w:t>
      </w:r>
    </w:p>
    <w:p>
      <w:pPr>
        <w:spacing w:after="0" w:line="10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SemGroup</w:t>
      </w:r>
    </w:p>
    <w:p>
      <w:pPr>
        <w:spacing w:after="0" w:line="171" w:lineRule="exact"/>
        <w:rPr>
          <w:rFonts w:ascii="Arial" w:cs="Arial" w:eastAsia="Arial" w:hAnsi="Arial"/>
          <w:sz w:val="16"/>
          <w:szCs w:val="16"/>
          <w:b w:val="1"/>
          <w:bCs w:val="1"/>
          <w:color w:val="auto"/>
        </w:rPr>
      </w:pPr>
    </w:p>
    <w:p>
      <w:pPr>
        <w:ind w:lef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SemGroup sponsors two defined benefit pension plans and a supplemental defined benefit pension plan (collectively, the “Semgroup Plans”) for certain employees. The Semgroup Plans are closed to new participants and do not accrue any additional benefits.</w:t>
      </w:r>
    </w:p>
    <w:p>
      <w:pPr>
        <w:spacing w:after="0" w:line="11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Obligations and Funded Status</w:t>
      </w:r>
    </w:p>
    <w:p>
      <w:pPr>
        <w:spacing w:after="0" w:line="175" w:lineRule="exact"/>
        <w:rPr>
          <w:rFonts w:ascii="Arial" w:cs="Arial" w:eastAsia="Arial" w:hAnsi="Arial"/>
          <w:sz w:val="16"/>
          <w:szCs w:val="16"/>
          <w:b w:val="1"/>
          <w:bCs w:val="1"/>
          <w:color w:val="auto"/>
        </w:rPr>
      </w:pPr>
    </w:p>
    <w:p>
      <w:pPr>
        <w:jc w:val="both"/>
        <w:ind w:left="34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Pension and other postretirement benefit liabilities are accrued on an actuarial basis during the years an employee provides services. The following table contains information at the dates indicated about the obligations and funded status of pension and other postretirement plans on a combined basis: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2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color w:val="auto"/>
                <w:w w:val="98"/>
              </w:rPr>
              <w:t>December 31, 2020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w w:val="98"/>
              </w:rPr>
              <w:t>December 31, 2019</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color w:val="auto"/>
              </w:rPr>
              <w:t>Pension Benefits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color w:val="auto"/>
              </w:rPr>
              <w:t>Pension Benefits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5" w:lineRule="exact"/>
              <w:rPr>
                <w:sz w:val="20"/>
                <w:szCs w:val="20"/>
                <w:color w:val="auto"/>
              </w:rPr>
            </w:pPr>
            <w:r>
              <w:rPr>
                <w:rFonts w:ascii="Arial" w:cs="Arial" w:eastAsia="Arial" w:hAnsi="Arial"/>
                <w:sz w:val="16"/>
                <w:szCs w:val="16"/>
                <w:color w:val="auto"/>
                <w:w w:val="95"/>
              </w:rPr>
              <w:t>Unfunded</w:t>
            </w:r>
          </w:p>
        </w:tc>
        <w:tc>
          <w:tcPr>
            <w:tcW w:w="1480" w:type="dxa"/>
            <w:vAlign w:val="bottom"/>
            <w:gridSpan w:val="3"/>
          </w:tcPr>
          <w:p>
            <w:pPr>
              <w:spacing w:after="0" w:line="165" w:lineRule="exact"/>
              <w:rPr>
                <w:sz w:val="20"/>
                <w:szCs w:val="20"/>
                <w:color w:val="auto"/>
              </w:rPr>
            </w:pPr>
            <w:r>
              <w:rPr>
                <w:rFonts w:ascii="Arial" w:cs="Arial" w:eastAsia="Arial" w:hAnsi="Arial"/>
                <w:sz w:val="16"/>
                <w:szCs w:val="16"/>
                <w:color w:val="auto"/>
                <w:w w:val="98"/>
              </w:rPr>
              <w:t>Other Postretirement</w:t>
            </w:r>
          </w:p>
        </w:tc>
        <w:tc>
          <w:tcPr>
            <w:tcW w:w="1160" w:type="dxa"/>
            <w:vAlign w:val="bottom"/>
            <w:gridSpan w:val="3"/>
            <w:vMerge w:val="restart"/>
          </w:tcPr>
          <w:p>
            <w:pPr>
              <w:ind w:left="100"/>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line="165" w:lineRule="exact"/>
              <w:rPr>
                <w:sz w:val="20"/>
                <w:szCs w:val="20"/>
                <w:color w:val="auto"/>
              </w:rPr>
            </w:pPr>
            <w:r>
              <w:rPr>
                <w:rFonts w:ascii="Arial" w:cs="Arial" w:eastAsia="Arial" w:hAnsi="Arial"/>
                <w:sz w:val="16"/>
                <w:szCs w:val="16"/>
                <w:color w:val="auto"/>
                <w:w w:val="92"/>
              </w:rPr>
              <w:t>Unfunded</w:t>
            </w:r>
          </w:p>
        </w:tc>
        <w:tc>
          <w:tcPr>
            <w:tcW w:w="1400" w:type="dxa"/>
            <w:vAlign w:val="bottom"/>
            <w:gridSpan w:val="2"/>
          </w:tcPr>
          <w:p>
            <w:pPr>
              <w:ind w:left="20"/>
              <w:spacing w:after="0" w:line="165" w:lineRule="exact"/>
              <w:rPr>
                <w:sz w:val="20"/>
                <w:szCs w:val="20"/>
                <w:color w:val="auto"/>
              </w:rPr>
            </w:pPr>
            <w:r>
              <w:rPr>
                <w:rFonts w:ascii="Arial" w:cs="Arial" w:eastAsia="Arial" w:hAnsi="Arial"/>
                <w:sz w:val="16"/>
                <w:szCs w:val="16"/>
                <w:color w:val="auto"/>
                <w:w w:val="91"/>
              </w:rPr>
              <w:t>Other Postretirement</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Plans</w:t>
            </w:r>
          </w:p>
        </w:tc>
        <w:tc>
          <w:tcPr>
            <w:tcW w:w="28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color w:val="auto"/>
              </w:rPr>
              <w:t>Benefits</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Plans</w:t>
            </w:r>
          </w:p>
        </w:tc>
        <w:tc>
          <w:tcPr>
            <w:tcW w:w="300" w:type="dxa"/>
            <w:vAlign w:val="bottom"/>
          </w:tcPr>
          <w:p>
            <w:pPr>
              <w:spacing w:after="0"/>
              <w:rPr>
                <w:sz w:val="17"/>
                <w:szCs w:val="17"/>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Benefits</w:t>
            </w:r>
          </w:p>
        </w:tc>
        <w:tc>
          <w:tcPr>
            <w:tcW w:w="0" w:type="dxa"/>
            <w:vAlign w:val="bottom"/>
          </w:tcPr>
          <w:p>
            <w:pPr>
              <w:spacing w:after="0"/>
              <w:rPr>
                <w:sz w:val="1"/>
                <w:szCs w:val="1"/>
                <w:color w:val="auto"/>
              </w:rPr>
            </w:pPr>
          </w:p>
        </w:tc>
      </w:tr>
      <w:tr>
        <w:trPr>
          <w:trHeight w:val="199"/>
        </w:trPr>
        <w:tc>
          <w:tcPr>
            <w:tcW w:w="2940" w:type="dxa"/>
            <w:vAlign w:val="bottom"/>
          </w:tcPr>
          <w:p>
            <w:pPr>
              <w:ind w:left="20"/>
              <w:spacing w:after="0"/>
              <w:rPr>
                <w:sz w:val="20"/>
                <w:szCs w:val="20"/>
                <w:color w:val="auto"/>
              </w:rPr>
            </w:pPr>
            <w:r>
              <w:rPr>
                <w:rFonts w:ascii="Arial" w:cs="Arial" w:eastAsia="Arial" w:hAnsi="Arial"/>
                <w:sz w:val="16"/>
                <w:szCs w:val="16"/>
                <w:color w:val="auto"/>
              </w:rPr>
              <w:t>Change in benefit obligation: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Benefits paid, net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Actuarial (gain) loss and other</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SemGroup Acquisition</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940" w:type="dxa"/>
            <w:vAlign w:val="bottom"/>
          </w:tcPr>
          <w:p>
            <w:pPr>
              <w:ind w:left="340"/>
              <w:spacing w:after="0"/>
              <w:rPr>
                <w:sz w:val="20"/>
                <w:szCs w:val="20"/>
                <w:color w:val="auto"/>
              </w:rPr>
            </w:pPr>
            <w:r>
              <w:rPr>
                <w:rFonts w:ascii="Arial" w:cs="Arial" w:eastAsia="Arial" w:hAnsi="Arial"/>
                <w:sz w:val="16"/>
                <w:szCs w:val="16"/>
                <w:color w:val="auto"/>
              </w:rPr>
              <w:t>Benefit obligation at end of period</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60"/>
        </w:trPr>
        <w:tc>
          <w:tcPr>
            <w:tcW w:w="2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Fair value of plan assets at beginning of</w:t>
            </w: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Return on plan assets and other</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Employer contributions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Benefits paid, net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SemGroup Acquisition</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340"/>
              <w:spacing w:after="0" w:line="148" w:lineRule="exact"/>
              <w:rPr>
                <w:sz w:val="20"/>
                <w:szCs w:val="20"/>
                <w:color w:val="auto"/>
              </w:rPr>
            </w:pPr>
            <w:r>
              <w:rPr>
                <w:rFonts w:ascii="Arial" w:cs="Arial" w:eastAsia="Arial" w:hAnsi="Arial"/>
                <w:sz w:val="16"/>
                <w:szCs w:val="16"/>
                <w:color w:val="auto"/>
              </w:rPr>
              <w:t>Fair value of plan assets at end of</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period</w:t>
            </w: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3"/>
              </w:rPr>
              <w:t>Amount underfunded (overfunded) at end of</w:t>
            </w: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Amounts recognized in the consolidated</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sheets consist of:</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Non-current assets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liabilities</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Amounts recognized in accumulated other</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comprehensive income (loss) (pre-tax</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basis) consist of:</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Net actuarial gain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Prior service cost</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at the dates indicated for plans with an accumulated benefit obligation in excess of plan assets:</w:t>
      </w:r>
    </w:p>
    <w:p>
      <w:pPr>
        <w:sectPr>
          <w:pgSz w:w="11900" w:h="16838" w:orient="portrait"/>
          <w:cols w:equalWidth="0" w:num="1">
            <w:col w:w="11240"/>
          </w:cols>
          <w:pgMar w:left="320" w:top="118" w:right="339" w:bottom="1440" w:gutter="0" w:footer="0" w:header="0"/>
        </w:sectPr>
      </w:pPr>
    </w:p>
    <w:p>
      <w:pPr>
        <w:spacing w:after="0" w:line="235"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29210</wp:posOffset>
            </wp:positionV>
            <wp:extent cx="27514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29210</wp:posOffset>
            </wp:positionV>
            <wp:extent cx="27514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Benefits</w:t>
      </w:r>
    </w:p>
    <w:p>
      <w:pPr>
        <w:spacing w:after="0" w:line="23" w:lineRule="exact"/>
        <w:rPr>
          <w:sz w:val="20"/>
          <w:szCs w:val="20"/>
          <w:color w:val="auto"/>
        </w:rPr>
      </w:pPr>
    </w:p>
    <w:p>
      <w:pPr>
        <w:sectPr>
          <w:pgSz w:w="11900" w:h="16838" w:orient="portrait"/>
          <w:cols w:equalWidth="0" w:num="2">
            <w:col w:w="6600" w:space="720"/>
            <w:col w:w="3920"/>
          </w:cols>
          <w:pgMar w:left="320" w:top="118" w:right="339" w:bottom="1440" w:gutter="0" w:footer="0" w:header="0"/>
          <w:type w:val="continuous"/>
        </w:sectPr>
      </w:pPr>
    </w:p>
    <w:tbl>
      <w:tblPr>
        <w:tblLayout w:type="fixed"/>
        <w:tblInd w:w="34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w w:val="88"/>
              </w:rPr>
              <w:t>Funded Plans</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Unfunded Plans</w:t>
            </w:r>
          </w:p>
        </w:tc>
        <w:tc>
          <w:tcPr>
            <w:tcW w:w="120" w:type="dxa"/>
            <w:vAlign w:val="bottom"/>
            <w:vMerge w:val="restart"/>
          </w:tcPr>
          <w:p>
            <w:pPr>
              <w:spacing w:after="0"/>
              <w:rPr>
                <w:sz w:val="15"/>
                <w:szCs w:val="15"/>
                <w:color w:val="auto"/>
              </w:rPr>
            </w:pPr>
          </w:p>
        </w:tc>
        <w:tc>
          <w:tcPr>
            <w:tcW w:w="1640" w:type="dxa"/>
            <w:vAlign w:val="bottom"/>
            <w:gridSpan w:val="3"/>
          </w:tcPr>
          <w:p>
            <w:pPr>
              <w:jc w:val="center"/>
              <w:ind w:right="280"/>
              <w:spacing w:after="0" w:line="176" w:lineRule="exact"/>
              <w:rPr>
                <w:sz w:val="20"/>
                <w:szCs w:val="20"/>
                <w:color w:val="auto"/>
              </w:rPr>
            </w:pPr>
            <w:r>
              <w:rPr>
                <w:rFonts w:ascii="Arial" w:cs="Arial" w:eastAsia="Arial" w:hAnsi="Arial"/>
                <w:sz w:val="18"/>
                <w:szCs w:val="18"/>
                <w:color w:val="auto"/>
                <w:w w:val="88"/>
              </w:rPr>
              <w:t>Postretirement</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color w:val="auto"/>
                <w:w w:val="89"/>
              </w:rPr>
              <w:t>Funded Plans</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Unfunded Plans</w:t>
            </w:r>
          </w:p>
        </w:tc>
        <w:tc>
          <w:tcPr>
            <w:tcW w:w="120" w:type="dxa"/>
            <w:vAlign w:val="bottom"/>
            <w:vMerge w:val="restart"/>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Benefits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Projected benefit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3"/>
                <w:szCs w:val="13"/>
                <w:color w:val="auto"/>
              </w:rPr>
            </w:pPr>
          </w:p>
        </w:tc>
        <w:tc>
          <w:tcPr>
            <w:tcW w:w="1640" w:type="dxa"/>
            <w:vAlign w:val="bottom"/>
            <w:gridSpan w:val="3"/>
            <w:vMerge w:val="restart"/>
            <w:shd w:val="clear" w:color="auto" w:fill="CCEEFF"/>
          </w:tcPr>
          <w:p>
            <w:pPr>
              <w:ind w:left="1040"/>
              <w:spacing w:after="0"/>
              <w:rPr>
                <w:sz w:val="20"/>
                <w:szCs w:val="20"/>
                <w:color w:val="auto"/>
              </w:rPr>
            </w:pPr>
            <w:r>
              <w:rPr>
                <w:rFonts w:ascii="Arial" w:cs="Arial" w:eastAsia="Arial" w:hAnsi="Arial"/>
                <w:sz w:val="18"/>
                <w:szCs w:val="18"/>
                <w:color w:val="auto"/>
              </w:rPr>
              <w:t>N/A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Accumulated benefit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380" w:type="dxa"/>
            <w:vAlign w:val="bottom"/>
            <w:vMerge w:val="restart"/>
          </w:tcPr>
          <w:p>
            <w:pPr>
              <w:ind w:left="10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1380" w:type="dxa"/>
            <w:vAlign w:val="bottom"/>
            <w:vMerge w:val="restart"/>
          </w:tcPr>
          <w:p>
            <w:pPr>
              <w:ind w:left="10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172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Fair value of plan</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benefit cost: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Expected return on plan assets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Prior service cost amortization</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600" w:type="dxa"/>
            <w:vAlign w:val="bottom"/>
            <w:gridSpan w:val="5"/>
          </w:tcPr>
          <w:p>
            <w:pPr>
              <w:ind w:left="320"/>
              <w:spacing w:after="0"/>
              <w:rPr>
                <w:sz w:val="20"/>
                <w:szCs w:val="20"/>
                <w:color w:val="auto"/>
              </w:rPr>
            </w:pPr>
            <w:r>
              <w:rPr>
                <w:rFonts w:ascii="Arial" w:cs="Arial" w:eastAsia="Arial" w:hAnsi="Arial"/>
                <w:sz w:val="18"/>
                <w:szCs w:val="18"/>
                <w:color w:val="auto"/>
              </w:rPr>
              <w:t>December 31, 2020</w:t>
            </w:r>
          </w:p>
        </w:tc>
        <w:tc>
          <w:tcPr>
            <w:tcW w:w="42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5"/>
        </w:trPr>
        <w:tc>
          <w:tcPr>
            <w:tcW w:w="14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4"/>
              </w:rPr>
              <w:t>Pension Benefits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Postretirement</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Pension Benefits</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Benefits</w:t>
            </w:r>
          </w:p>
        </w:tc>
        <w:tc>
          <w:tcPr>
            <w:tcW w:w="120" w:type="dxa"/>
            <w:vAlign w:val="bottom"/>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43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-770890</wp:posOffset>
            </wp:positionV>
            <wp:extent cx="6669405"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6669405" cy="14541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-479425</wp:posOffset>
            </wp:positionV>
            <wp:extent cx="6669405"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6669405" cy="14541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-187960</wp:posOffset>
            </wp:positionV>
            <wp:extent cx="6669405"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200" w:space="720"/>
            <w:col w:w="6320"/>
          </w:cols>
          <w:pgMar w:left="320" w:top="118" w:right="3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i w:val="1"/>
          <w:iCs w:val="1"/>
          <w:color w:val="auto"/>
        </w:rPr>
        <w:t>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benefit obligations at the dates indicated are shown in the table below:</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180" w:type="dxa"/>
            <w:vAlign w:val="bottom"/>
            <w:gridSpan w:val="4"/>
          </w:tcPr>
          <w:p>
            <w:pPr>
              <w:ind w:left="820"/>
              <w:spacing w:after="0"/>
              <w:rPr>
                <w:sz w:val="20"/>
                <w:szCs w:val="20"/>
                <w:color w:val="auto"/>
              </w:rPr>
            </w:pPr>
            <w:r>
              <w:rPr>
                <w:rFonts w:ascii="Arial" w:cs="Arial" w:eastAsia="Arial" w:hAnsi="Arial"/>
                <w:sz w:val="18"/>
                <w:szCs w:val="18"/>
                <w:color w:val="auto"/>
              </w:rPr>
              <w:t>December 31, 2020</w:t>
            </w:r>
          </w:p>
        </w:tc>
        <w:tc>
          <w:tcPr>
            <w:tcW w:w="310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color w:val="auto"/>
              </w:rPr>
              <w:t>Pension Benefits</w:t>
            </w:r>
          </w:p>
        </w:tc>
        <w:tc>
          <w:tcPr>
            <w:tcW w:w="16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Postretirement</w:t>
            </w:r>
          </w:p>
        </w:tc>
        <w:tc>
          <w:tcPr>
            <w:tcW w:w="1580" w:type="dxa"/>
            <w:vAlign w:val="bottom"/>
            <w:gridSpan w:val="2"/>
            <w:vMerge w:val="restart"/>
          </w:tcPr>
          <w:p>
            <w:pPr>
              <w:ind w:left="140"/>
              <w:spacing w:after="0"/>
              <w:rPr>
                <w:sz w:val="20"/>
                <w:szCs w:val="20"/>
                <w:color w:val="auto"/>
              </w:rPr>
            </w:pPr>
            <w:r>
              <w:rPr>
                <w:rFonts w:ascii="Arial" w:cs="Arial" w:eastAsia="Arial" w:hAnsi="Arial"/>
                <w:sz w:val="18"/>
                <w:szCs w:val="18"/>
                <w:color w:val="auto"/>
              </w:rPr>
              <w:t>Pension Benefits</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88"/>
              </w:rPr>
              <w:t>Postretirement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Benefits</w:t>
            </w:r>
          </w:p>
        </w:tc>
        <w:tc>
          <w:tcPr>
            <w:tcW w:w="1580" w:type="dxa"/>
            <w:vAlign w:val="bottom"/>
            <w:gridSpan w:val="2"/>
            <w:vMerge w:val="continue"/>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net periodic benefit cost for the periods presented are shown in the table below:</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180" w:type="dxa"/>
            <w:vAlign w:val="bottom"/>
            <w:gridSpan w:val="4"/>
          </w:tcPr>
          <w:p>
            <w:pPr>
              <w:ind w:left="820"/>
              <w:spacing w:after="0"/>
              <w:rPr>
                <w:sz w:val="20"/>
                <w:szCs w:val="20"/>
                <w:color w:val="auto"/>
              </w:rPr>
            </w:pPr>
            <w:r>
              <w:rPr>
                <w:rFonts w:ascii="Arial" w:cs="Arial" w:eastAsia="Arial" w:hAnsi="Arial"/>
                <w:sz w:val="18"/>
                <w:szCs w:val="18"/>
                <w:color w:val="auto"/>
              </w:rPr>
              <w:t>December 31, 2020</w:t>
            </w:r>
          </w:p>
        </w:tc>
        <w:tc>
          <w:tcPr>
            <w:tcW w:w="308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color w:val="auto"/>
              </w:rPr>
              <w:t>Pension Benefits</w:t>
            </w: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Postretirement</w:t>
            </w: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color w:val="auto"/>
              </w:rPr>
              <w:t>Pension Benefits</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88"/>
              </w:rPr>
              <w:t>Postretirement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Benefits</w:t>
            </w:r>
          </w:p>
        </w:tc>
        <w:tc>
          <w:tcPr>
            <w:tcW w:w="1560" w:type="dxa"/>
            <w:vAlign w:val="bottom"/>
            <w:gridSpan w:val="2"/>
            <w:vMerge w:val="continue"/>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Expected return on assets: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exempt accounts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30"/>
        </w:trPr>
        <w:tc>
          <w:tcPr>
            <w:tcW w:w="4240" w:type="dxa"/>
            <w:vAlign w:val="bottom"/>
          </w:tcPr>
          <w:p>
            <w:pPr>
              <w:ind w:left="340"/>
              <w:spacing w:after="0"/>
              <w:rPr>
                <w:sz w:val="20"/>
                <w:szCs w:val="20"/>
                <w:color w:val="auto"/>
              </w:rPr>
            </w:pPr>
            <w:r>
              <w:rPr>
                <w:rFonts w:ascii="Arial" w:cs="Arial" w:eastAsia="Arial" w:hAnsi="Arial"/>
                <w:sz w:val="18"/>
                <w:szCs w:val="18"/>
                <w:color w:val="auto"/>
              </w:rPr>
              <w:t>Taxable accounts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long-term expected rate of return on plan assets was estimated based on a variety of factors including the historical investment return achieved over a long-term period, the targeted allocation of plan assets and expectations concerning future returns in the marketplace for both equity and fixed income securities. Current market factors such as inflation and interest rates are evaluated before long-term market assumptions are determined. Peer data and historical returns are reviewed to ensure reasonableness and appropriateness.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2" w:name="page243"/>
    <w:bookmarkEnd w:id="2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assumed health care cost trend weighted-average rates used to measure the expected cost of benefits covered by the plans are shown in the table below:</w:t>
      </w:r>
    </w:p>
    <w:p>
      <w:pPr>
        <w:spacing w:after="0" w:line="157"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3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4.82 %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4.83 %</w:t>
            </w:r>
          </w:p>
        </w:tc>
      </w:tr>
      <w:tr>
        <w:trPr>
          <w:trHeight w:val="229"/>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bl>
    <w:p>
      <w:pPr>
        <w:spacing w:after="0" w:line="148" w:lineRule="exact"/>
        <w:rPr>
          <w:sz w:val="20"/>
          <w:szCs w:val="20"/>
          <w:color w:val="auto"/>
        </w:rPr>
      </w:pPr>
    </w:p>
    <w:p>
      <w:pPr>
        <w:ind w:left="340" w:right="1780"/>
        <w:spacing w:after="0" w:line="438" w:lineRule="auto"/>
        <w:rPr>
          <w:sz w:val="20"/>
          <w:szCs w:val="20"/>
          <w:color w:val="auto"/>
        </w:rPr>
      </w:pPr>
      <w:r>
        <w:rPr>
          <w:rFonts w:ascii="Arial" w:cs="Arial" w:eastAsia="Arial" w:hAnsi="Arial"/>
          <w:sz w:val="18"/>
          <w:szCs w:val="18"/>
          <w:color w:val="auto"/>
        </w:rPr>
        <w:t xml:space="preserve">Changes in the health care cost trend rate assumptions are not expected to have a significant impact on postretirement benefits. </w:t>
      </w:r>
      <w:r>
        <w:rPr>
          <w:rFonts w:ascii="Arial" w:cs="Arial" w:eastAsia="Arial" w:hAnsi="Arial"/>
          <w:sz w:val="18"/>
          <w:szCs w:val="18"/>
          <w:b w:val="1"/>
          <w:bCs w:val="1"/>
          <w:color w:val="auto"/>
        </w:rPr>
        <w:t>Plan Assets</w:t>
      </w:r>
    </w:p>
    <w:p>
      <w:pPr>
        <w:spacing w:after="0" w:line="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Panhandle plans, the overall investment strategy is to maintain an appropriate balance of actively managed investments with the objective of optimizing longer-term returns while maintaining a high standard of portfolio quality and achieving proper diversification. To achieve diversity within its other postretirement plan asset portfolio, Panhandle has targeted the following asset allocations: equity of 25% to 35%, fixed income of 65% to 75%.</w:t>
      </w:r>
    </w:p>
    <w:p>
      <w:pPr>
        <w:spacing w:after="0" w:line="13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investment strategy of ETC Sunoco funded defined benefit plans is to achieve consistent positive returns, after adjusting for inflation, and to maximize long-term total return within prudent levels of risk through a combination of income and capital appreciation. The objective of this strategy is to reduce the volatility of investment returns and maintain a sufficient funded status of the plans. In anticipation of the pension plan termination, ETC Sunoco targeted the asset allocations to a more stable position by investing in growth assets and liability hedging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pension plan assets by asset category at the dates indicated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2020</w:t>
            </w:r>
          </w:p>
        </w:tc>
        <w:tc>
          <w:tcPr>
            <w:tcW w:w="340" w:type="dxa"/>
            <w:vAlign w:val="bottom"/>
            <w:tcBorders>
              <w:bottom w:val="single" w:sz="8" w:color="auto"/>
            </w:tcBorders>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 Total</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(1)</w:t>
            </w:r>
          </w:p>
        </w:tc>
        <w:tc>
          <w:tcPr>
            <w:tcW w:w="1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640" w:hanging="308"/>
        <w:spacing w:after="0"/>
        <w:tabs>
          <w:tab w:leader="none" w:pos="640" w:val="left"/>
        </w:tabs>
        <w:numPr>
          <w:ilvl w:val="0"/>
          <w:numId w:val="170"/>
        </w:numPr>
        <w:rPr>
          <w:rFonts w:ascii="Arial" w:cs="Arial" w:eastAsia="Arial" w:hAnsi="Arial"/>
          <w:sz w:val="23"/>
          <w:szCs w:val="23"/>
          <w:color w:val="auto"/>
          <w:vertAlign w:val="superscript"/>
        </w:rPr>
      </w:pPr>
      <w:r>
        <w:rPr>
          <w:rFonts w:ascii="Arial" w:cs="Arial" w:eastAsia="Arial" w:hAnsi="Arial"/>
          <w:sz w:val="18"/>
          <w:szCs w:val="18"/>
          <w:color w:val="auto"/>
        </w:rPr>
        <w:t>Comprised of approximately 100% equities as of December 31, 2020.</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2019</w:t>
            </w:r>
          </w:p>
        </w:tc>
        <w:tc>
          <w:tcPr>
            <w:tcW w:w="340" w:type="dxa"/>
            <w:vAlign w:val="bottom"/>
            <w:tcBorders>
              <w:bottom w:val="single" w:sz="8" w:color="auto"/>
            </w:tcBorders>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 Total</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(1)</w:t>
            </w:r>
          </w:p>
        </w:tc>
        <w:tc>
          <w:tcPr>
            <w:tcW w:w="1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71"/>
        </w:numPr>
        <w:rPr>
          <w:rFonts w:ascii="Arial" w:cs="Arial" w:eastAsia="Arial" w:hAnsi="Arial"/>
          <w:sz w:val="23"/>
          <w:szCs w:val="23"/>
          <w:color w:val="auto"/>
          <w:vertAlign w:val="superscript"/>
        </w:rPr>
      </w:pPr>
      <w:r>
        <w:rPr>
          <w:rFonts w:ascii="Arial" w:cs="Arial" w:eastAsia="Arial" w:hAnsi="Arial"/>
          <w:sz w:val="18"/>
          <w:szCs w:val="18"/>
          <w:color w:val="auto"/>
        </w:rPr>
        <w:t>Comprised of approximately 100% equities as of December 31, 2019.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other postretirement plan assets by asset category at the dates indicated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2020</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 Total</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202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220</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3" w:name="page244"/>
    <w:bookmarkEnd w:id="2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hanging="308"/>
        <w:spacing w:after="0"/>
        <w:tabs>
          <w:tab w:leader="none" w:pos="640" w:val="left"/>
        </w:tabs>
        <w:numPr>
          <w:ilvl w:val="0"/>
          <w:numId w:val="172"/>
        </w:numPr>
        <w:rPr>
          <w:rFonts w:ascii="Arial" w:cs="Arial" w:eastAsia="Arial" w:hAnsi="Arial"/>
          <w:sz w:val="23"/>
          <w:szCs w:val="23"/>
          <w:color w:val="auto"/>
          <w:vertAlign w:val="superscript"/>
        </w:rPr>
      </w:pPr>
      <w:r>
        <w:rPr>
          <w:rFonts w:ascii="Arial" w:cs="Arial" w:eastAsia="Arial" w:hAnsi="Arial"/>
          <w:sz w:val="18"/>
          <w:szCs w:val="18"/>
          <w:color w:val="auto"/>
        </w:rPr>
        <w:t>Primarily comprised of approximately 59% equities, 40% fixed income securities and 1% cash as of December 31, 2020.</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2019</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 Total</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177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40" w:hanging="308"/>
        <w:spacing w:after="0"/>
        <w:tabs>
          <w:tab w:leader="none" w:pos="640" w:val="left"/>
        </w:tabs>
        <w:numPr>
          <w:ilvl w:val="0"/>
          <w:numId w:val="173"/>
        </w:numPr>
        <w:rPr>
          <w:rFonts w:ascii="Arial" w:cs="Arial" w:eastAsia="Arial" w:hAnsi="Arial"/>
          <w:sz w:val="23"/>
          <w:szCs w:val="23"/>
          <w:color w:val="auto"/>
          <w:vertAlign w:val="superscript"/>
        </w:rPr>
      </w:pPr>
      <w:r>
        <w:rPr>
          <w:rFonts w:ascii="Arial" w:cs="Arial" w:eastAsia="Arial" w:hAnsi="Arial"/>
          <w:sz w:val="18"/>
          <w:szCs w:val="18"/>
          <w:color w:val="auto"/>
        </w:rPr>
        <w:t>Primarily comprised of approximately 59% equities, 40% fixed income securities and 1% cash as of December 31, 2019.</w:t>
      </w:r>
    </w:p>
    <w:p>
      <w:pPr>
        <w:spacing w:after="0" w:line="14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Level 1 plan assets are valued based on active market quotes. The Level 2 plan assets are valued based on the net asset value per share (or its equivalent) of the investments, which was not determinable through publicly published sources but was calculated consistent with authoritative accounting guidelines.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to contribute $6 million to pension plans and $8 million to other postretirement plans in 2021. The cost of the plans are funded in accordance with federal regulations, not to exceed the amounts deductible for income tax purposes.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Benefit Payments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Partnership’s estimate of expected benefit payments, which reflect expected future service, as appropriate, in each of the next five years and in the aggregate for the five years thereafter are shown in the table below:</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600" w:type="dxa"/>
            <w:vAlign w:val="bottom"/>
            <w:vMerge w:val="restart"/>
          </w:tcPr>
          <w:p>
            <w:pPr>
              <w:ind w:left="54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17"/>
                <w:szCs w:val="17"/>
                <w:color w:val="auto"/>
              </w:rPr>
            </w:pPr>
          </w:p>
        </w:tc>
        <w:tc>
          <w:tcPr>
            <w:tcW w:w="2780" w:type="dxa"/>
            <w:vAlign w:val="bottom"/>
            <w:gridSpan w:val="2"/>
            <w:vMerge w:val="restart"/>
          </w:tcPr>
          <w:p>
            <w:pPr>
              <w:ind w:left="80"/>
              <w:spacing w:after="0"/>
              <w:rPr>
                <w:sz w:val="20"/>
                <w:szCs w:val="20"/>
                <w:color w:val="auto"/>
              </w:rPr>
            </w:pPr>
            <w:r>
              <w:rPr>
                <w:rFonts w:ascii="Arial" w:cs="Arial" w:eastAsia="Arial" w:hAnsi="Arial"/>
                <w:sz w:val="18"/>
                <w:szCs w:val="18"/>
                <w:color w:val="auto"/>
              </w:rPr>
              <w:t>Pension Benefits - Funded Plans</w:t>
            </w:r>
          </w:p>
        </w:tc>
        <w:tc>
          <w:tcPr>
            <w:tcW w:w="2720" w:type="dxa"/>
            <w:vAlign w:val="bottom"/>
            <w:vMerge w:val="restart"/>
          </w:tcPr>
          <w:p>
            <w:pPr>
              <w:jc w:val="right"/>
              <w:spacing w:after="0"/>
              <w:rPr>
                <w:sz w:val="20"/>
                <w:szCs w:val="20"/>
                <w:color w:val="auto"/>
              </w:rPr>
            </w:pPr>
            <w:r>
              <w:rPr>
                <w:rFonts w:ascii="Arial" w:cs="Arial" w:eastAsia="Arial" w:hAnsi="Arial"/>
                <w:sz w:val="18"/>
                <w:szCs w:val="18"/>
                <w:color w:val="auto"/>
                <w:w w:val="96"/>
              </w:rPr>
              <w:t>Pension Benefits - Unfunded Plans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Other Postretirement Benefits (Gross,</w:t>
            </w:r>
          </w:p>
        </w:tc>
        <w:tc>
          <w:tcPr>
            <w:tcW w:w="0" w:type="dxa"/>
            <w:vAlign w:val="bottom"/>
          </w:tcPr>
          <w:p>
            <w:pPr>
              <w:spacing w:after="0"/>
              <w:rPr>
                <w:sz w:val="1"/>
                <w:szCs w:val="1"/>
                <w:color w:val="auto"/>
              </w:rPr>
            </w:pPr>
          </w:p>
        </w:tc>
      </w:tr>
      <w:tr>
        <w:trPr>
          <w:trHeight w:val="230"/>
        </w:trPr>
        <w:tc>
          <w:tcPr>
            <w:tcW w:w="1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2"/>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ind w:right="470"/>
              <w:spacing w:after="0"/>
              <w:rPr>
                <w:sz w:val="20"/>
                <w:szCs w:val="20"/>
                <w:color w:val="auto"/>
              </w:rPr>
            </w:pPr>
            <w:r>
              <w:rPr>
                <w:rFonts w:ascii="Arial" w:cs="Arial" w:eastAsia="Arial" w:hAnsi="Arial"/>
                <w:sz w:val="18"/>
                <w:szCs w:val="18"/>
                <w:color w:val="auto"/>
              </w:rPr>
              <w:t>Before Medicare Part D)</w:t>
            </w:r>
          </w:p>
        </w:tc>
        <w:tc>
          <w:tcPr>
            <w:tcW w:w="0" w:type="dxa"/>
            <w:vAlign w:val="bottom"/>
          </w:tcPr>
          <w:p>
            <w:pPr>
              <w:spacing w:after="0"/>
              <w:rPr>
                <w:sz w:val="1"/>
                <w:szCs w:val="1"/>
                <w:color w:val="auto"/>
              </w:rPr>
            </w:pPr>
          </w:p>
        </w:tc>
      </w:tr>
      <w:tr>
        <w:trPr>
          <w:trHeight w:val="223"/>
        </w:trPr>
        <w:tc>
          <w:tcPr>
            <w:tcW w:w="16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25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2022</w:t>
            </w:r>
          </w:p>
        </w:tc>
        <w:tc>
          <w:tcPr>
            <w:tcW w:w="2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2023</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2024</w:t>
            </w:r>
          </w:p>
        </w:tc>
        <w:tc>
          <w:tcPr>
            <w:tcW w:w="2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2025</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600" w:type="dxa"/>
            <w:vAlign w:val="bottom"/>
          </w:tcPr>
          <w:p>
            <w:pPr>
              <w:jc w:val="center"/>
              <w:ind w:right="10"/>
              <w:spacing w:after="0"/>
              <w:rPr>
                <w:sz w:val="20"/>
                <w:szCs w:val="20"/>
                <w:color w:val="auto"/>
              </w:rPr>
            </w:pPr>
            <w:r>
              <w:rPr>
                <w:rFonts w:ascii="Arial" w:cs="Arial" w:eastAsia="Arial" w:hAnsi="Arial"/>
                <w:sz w:val="18"/>
                <w:szCs w:val="18"/>
                <w:color w:val="auto"/>
                <w:w w:val="89"/>
              </w:rPr>
              <w:t>2026 – 2030</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Medicare Prescription Drug Act provides for a prescription drug benefit under Medicare (“Medicare Part D”) as well as a federal subsidy to sponsors of retiree health care benefit plans that provide a prescription drug benefit that is at least actuarially equivalent to Medicare Part 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Panhandle does not expect to receive any Medicare Part D subsidies in any future periods.</w:t>
      </w:r>
    </w:p>
    <w:p>
      <w:pPr>
        <w:spacing w:after="0" w:line="167" w:lineRule="exact"/>
        <w:rPr>
          <w:sz w:val="20"/>
          <w:szCs w:val="20"/>
          <w:color w:val="auto"/>
        </w:rPr>
      </w:pPr>
    </w:p>
    <w:p>
      <w:pPr>
        <w:ind w:left="320" w:hanging="312"/>
        <w:spacing w:after="0"/>
        <w:tabs>
          <w:tab w:leader="none" w:pos="3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175" w:lineRule="exact"/>
        <w:rPr>
          <w:rFonts w:ascii="Arial" w:cs="Arial" w:eastAsia="Arial" w:hAnsi="Arial"/>
          <w:sz w:val="18"/>
          <w:szCs w:val="18"/>
          <w:b w:val="1"/>
          <w:bCs w:val="1"/>
          <w:color w:val="auto"/>
        </w:rPr>
      </w:pPr>
    </w:p>
    <w:p>
      <w:pPr>
        <w:ind w:left="34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ET previously paid ETO to provide services on its behalf and on behalf of other subsidiaries of ET, which included the reimbursement of various operating and general and administrative expenses incurred by ETO on behalf of ET and its subsidiaries. These agreements expired in 2016.</w:t>
      </w:r>
    </w:p>
    <w:p>
      <w:pPr>
        <w:spacing w:after="0" w:line="9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Partnership also has related party transactions with several of its equity method investees. In addition to commercial transactions, these transactions include the provision of certain management services and leases of certain assets.</w:t>
      </w:r>
    </w:p>
    <w:p>
      <w:pPr>
        <w:spacing w:after="0" w:line="1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revenues from related companies on our consolidated statements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Affiliated revenues</w:t>
            </w:r>
          </w:p>
        </w:tc>
        <w:tc>
          <w:tcPr>
            <w:tcW w:w="28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9"/>
                <w:szCs w:val="19"/>
                <w:color w:val="auto"/>
              </w:rPr>
            </w:pPr>
          </w:p>
        </w:tc>
      </w:tr>
      <w:tr>
        <w:trPr>
          <w:trHeight w:val="769"/>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40" w:type="dxa"/>
            <w:vAlign w:val="bottom"/>
            <w:gridSpan w:val="2"/>
          </w:tcPr>
          <w:p>
            <w:pPr>
              <w:jc w:val="right"/>
              <w:ind w:right="1470"/>
              <w:spacing w:after="0"/>
              <w:rPr>
                <w:sz w:val="20"/>
                <w:szCs w:val="20"/>
                <w:color w:val="auto"/>
              </w:rPr>
            </w:pPr>
            <w:r>
              <w:rPr>
                <w:rFonts w:ascii="Arial" w:cs="Arial" w:eastAsia="Arial" w:hAnsi="Arial"/>
                <w:sz w:val="18"/>
                <w:szCs w:val="18"/>
                <w:color w:val="auto"/>
              </w:rPr>
              <w:t>F-78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4" w:name="page245"/>
    <w:bookmarkEnd w:id="2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related company accounts receivable and accounts payable balances on our consolidated balance sheets: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FGT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Phillips 66</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Traverse Rover LLC</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accounts receivable from related companies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As of December 31, 2020 and 2019, accounts payable with related companies in the Partnership’s consolidated balance sheets totaled $27 million and $31 million, respectively.</w:t>
      </w:r>
    </w:p>
    <w:p>
      <w:pPr>
        <w:spacing w:after="0" w:line="112" w:lineRule="exact"/>
        <w:rPr>
          <w:sz w:val="20"/>
          <w:szCs w:val="20"/>
          <w:color w:val="auto"/>
        </w:rPr>
      </w:pPr>
    </w:p>
    <w:p>
      <w:pPr>
        <w:ind w:left="320" w:hanging="312"/>
        <w:spacing w:after="0"/>
        <w:tabs>
          <w:tab w:leader="none" w:pos="32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REPORTABLE SEGMENTS: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reportable segments currently reflect the following segments, which conduct their business primarily in the United States:</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and expenses reflect the elimination of all material intercompany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investment in USAC segment reflects the results of USAC beginning April 2018, the date that the Partnership obtained control of USAC.</w:t>
      </w:r>
    </w:p>
    <w:p>
      <w:pPr>
        <w:spacing w:after="0" w:line="183"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reflected in crude sales and gathering, transportation and other fees.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w:t>
      </w:r>
    </w:p>
    <w:p>
      <w:pPr>
        <w:spacing w:after="0" w:line="112"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We report Segment Adjusted EBITDA as a measure of segment performance. 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cash flows of such affiliates. The use of Segment Adjusted EBITDA or Adjusted EBITDA related to unconsolidated affiliates as an analytical tool should be limited accordingly.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7"/>
              </w:rPr>
              <w:t>The following tables present financial information by segment:</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Intrastate transportation and storage:</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Eliminations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0" w:type="dxa"/>
            <w:vAlign w:val="bottom"/>
            <w:gridSpan w:val="2"/>
          </w:tcPr>
          <w:p>
            <w:pPr>
              <w:jc w:val="right"/>
              <w:ind w:right="810"/>
              <w:spacing w:after="0"/>
              <w:rPr>
                <w:sz w:val="20"/>
                <w:szCs w:val="20"/>
                <w:color w:val="auto"/>
              </w:rPr>
            </w:pPr>
            <w:r>
              <w:rPr>
                <w:rFonts w:ascii="Arial" w:cs="Arial" w:eastAsia="Arial" w:hAnsi="Arial"/>
                <w:sz w:val="18"/>
                <w:szCs w:val="18"/>
                <w:color w:val="auto"/>
              </w:rPr>
              <w:t>F-80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NGL and refined products transportation and services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Crude oil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Sunoco LP</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USAC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other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cost of products sold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Sunoco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USAC</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depreciation, depletion and amortization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Equity in earnings (losses) of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equity in earnings of unconsolidated affiliates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438"/>
        </w:trPr>
        <w:tc>
          <w:tcPr>
            <w:tcW w:w="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5,145</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8,462</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14,384</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15,872</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30"/>
        </w:trPr>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r>
      <w:tr>
        <w:trPr>
          <w:trHeight w:val="223"/>
        </w:trPr>
        <w:tc>
          <w:tcPr>
            <w:tcW w:w="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438"/>
        </w:trPr>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438"/>
        </w:trPr>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40" w:space="580"/>
            <w:col w:w="4420"/>
          </w:cols>
          <w:pgMar w:left="320" w:top="118" w:right="739" w:bottom="1440" w:gutter="0" w:footer="0" w:header="0"/>
        </w:sectPr>
      </w:pPr>
    </w:p>
    <w:bookmarkStart w:id="247" w:name="page248"/>
    <w:bookmarkEnd w:id="2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Segment Adjusted EBITDA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discontinued operations</w:t>
            </w:r>
          </w:p>
        </w:tc>
        <w:tc>
          <w:tcPr>
            <w:tcW w:w="3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 (expense) benefit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Segment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Midstream</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USAC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and eliminations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80" w:type="dxa"/>
            <w:vAlign w:val="bottom"/>
            <w:tcBorders>
              <w:top w:val="single" w:sz="8" w:color="CCEEFF"/>
              <w:bottom w:val="single" w:sz="8" w:color="CCEEFF"/>
            </w:tcBorders>
            <w:vMerge w:val="restart"/>
          </w:tcPr>
          <w:p>
            <w:pPr>
              <w:ind w:left="5060"/>
              <w:spacing w:after="0"/>
              <w:rPr>
                <w:sz w:val="20"/>
                <w:szCs w:val="20"/>
                <w:color w:val="auto"/>
              </w:rPr>
            </w:pPr>
            <w:r>
              <w:rPr>
                <w:rFonts w:ascii="Arial" w:cs="Arial" w:eastAsia="Arial" w:hAnsi="Arial"/>
                <w:sz w:val="18"/>
                <w:szCs w:val="18"/>
                <w:color w:val="auto"/>
              </w:rPr>
              <w:t>F-82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4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xml:space="preserve">Additions to property, plant and equipment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40"/>
              <w:spacing w:after="0" w:line="223" w:lineRule="exact"/>
              <w:rPr>
                <w:sz w:val="20"/>
                <w:szCs w:val="20"/>
                <w:color w:val="auto"/>
              </w:rPr>
            </w:pPr>
            <w:r>
              <w:rPr>
                <w:rFonts w:ascii="Arial" w:cs="Arial" w:eastAsia="Arial" w:hAnsi="Arial"/>
                <w:sz w:val="18"/>
                <w:szCs w:val="18"/>
                <w:color w:val="auto"/>
              </w:rPr>
              <w:t xml:space="preserve">Total additions to property, plant and equipment </w:t>
            </w:r>
            <w:r>
              <w:rPr>
                <w:rFonts w:ascii="Arial" w:cs="Arial" w:eastAsia="Arial" w:hAnsi="Arial"/>
                <w:sz w:val="23"/>
                <w:szCs w:val="23"/>
                <w:color w:val="auto"/>
                <w:vertAlign w:val="superscript"/>
              </w:rPr>
              <w:t>(1)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27" w:lineRule="auto"/>
        <w:tabs>
          <w:tab w:leader="none" w:pos="648" w:val="left"/>
        </w:tabs>
        <w:numPr>
          <w:ilvl w:val="0"/>
          <w:numId w:val="176"/>
        </w:numPr>
        <w:rPr>
          <w:rFonts w:ascii="Arial" w:cs="Arial" w:eastAsia="Arial" w:hAnsi="Arial"/>
          <w:sz w:val="23"/>
          <w:szCs w:val="23"/>
          <w:color w:val="auto"/>
          <w:vertAlign w:val="superscript"/>
        </w:rPr>
      </w:pPr>
      <w:r>
        <w:rPr>
          <w:rFonts w:ascii="Arial" w:cs="Arial" w:eastAsia="Arial" w:hAnsi="Arial"/>
          <w:sz w:val="18"/>
          <w:szCs w:val="18"/>
          <w:color w:val="auto"/>
        </w:rPr>
        <w:t>Excluding acquisitions, net of contributions in aid of construction costs (capital expenditures related to the Partnership’s proportionate ownership on an accrual basis).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December 31,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Investments in affiliates: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Intrastate transportation and storage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Interstate transportation and storage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NGL and refined products transportation and services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Crude oil transportation and services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 in affiliates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DATA (UNAUDITED):</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Summarized unaudited quarterly financial data is presented below. Earnings per unit are computed on a stand-alone basis for each quarter and total year.</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color w:val="auto"/>
              </w:rPr>
              <w:t>Quarters Ended</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9"/>
                <w:szCs w:val="19"/>
                <w:color w:val="auto"/>
              </w:rPr>
            </w:pPr>
          </w:p>
        </w:tc>
        <w:tc>
          <w:tcPr>
            <w:tcW w:w="1560" w:type="dxa"/>
            <w:vAlign w:val="bottom"/>
            <w:gridSpan w:val="2"/>
          </w:tcPr>
          <w:p>
            <w:pPr>
              <w:ind w:left="60"/>
              <w:spacing w:after="0" w:line="223" w:lineRule="exact"/>
              <w:rPr>
                <w:sz w:val="20"/>
                <w:szCs w:val="20"/>
                <w:color w:val="auto"/>
              </w:rPr>
            </w:pPr>
            <w:r>
              <w:rPr>
                <w:rFonts w:ascii="Arial" w:cs="Arial" w:eastAsia="Arial" w:hAnsi="Arial"/>
                <w:sz w:val="18"/>
                <w:szCs w:val="18"/>
                <w:color w:val="auto"/>
              </w:rPr>
              <w:t xml:space="preserve">September 30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w w:val="92"/>
              </w:rPr>
              <w:t>December 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w w:val="98"/>
              </w:rPr>
              <w:t>Total Year</w:t>
            </w:r>
          </w:p>
        </w:tc>
        <w:tc>
          <w:tcPr>
            <w:tcW w:w="0" w:type="dxa"/>
            <w:vAlign w:val="bottom"/>
          </w:tcPr>
          <w:p>
            <w:pPr>
              <w:spacing w:after="0"/>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Arial" w:cs="Arial" w:eastAsia="Arial" w:hAnsi="Arial"/>
                <w:sz w:val="18"/>
                <w:szCs w:val="18"/>
                <w:color w:val="auto"/>
              </w:rPr>
              <w:t>Limited Partners’ interest in net income</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(loss) per limited partner unit: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29" w:lineRule="auto"/>
        <w:tabs>
          <w:tab w:leader="none" w:pos="668" w:val="left"/>
        </w:tabs>
        <w:numPr>
          <w:ilvl w:val="0"/>
          <w:numId w:val="178"/>
        </w:numPr>
        <w:rPr>
          <w:rFonts w:ascii="Arial" w:cs="Arial" w:eastAsia="Arial" w:hAnsi="Arial"/>
          <w:sz w:val="26"/>
          <w:szCs w:val="26"/>
          <w:color w:val="auto"/>
          <w:vertAlign w:val="superscript"/>
        </w:rPr>
      </w:pPr>
      <w:r>
        <w:rPr>
          <w:rFonts w:ascii="Arial" w:cs="Arial" w:eastAsia="Arial" w:hAnsi="Arial"/>
          <w:sz w:val="18"/>
          <w:szCs w:val="18"/>
          <w:color w:val="auto"/>
        </w:rPr>
        <w:t>For the three months ended September 30, 2020, the net loss attributable to partners presented above reflects a change from the amount previously reported in the Partnership’s interim financial statements, due to an adjustment to the allocation of income between the general and limited partners and the noncontrolling interest in a less than wholly-owned subsidiary of the Partnership. Basic and diluted net loss per limited partner unit have also been adjusted accordingly.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9" w:name="page250"/>
    <w:bookmarkEnd w:id="2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color w:val="auto"/>
              </w:rPr>
              <w:t>Quarters Ended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w w:val="96"/>
              </w:rPr>
              <w:t>Total Year</w:t>
            </w:r>
          </w:p>
        </w:tc>
        <w:tc>
          <w:tcPr>
            <w:tcW w:w="0" w:type="dxa"/>
            <w:vAlign w:val="bottom"/>
          </w:tcPr>
          <w:p>
            <w:pPr>
              <w:spacing w:after="0"/>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Limited Partners’ interest in net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Net income per limited partner unit: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769"/>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F-84</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18" w:right="7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FIRST AMENDMENT TO THE</w:t>
      </w:r>
    </w:p>
    <w:p>
      <w:pPr>
        <w:ind w:left="2460"/>
        <w:spacing w:after="0" w:line="218" w:lineRule="auto"/>
        <w:rPr>
          <w:sz w:val="20"/>
          <w:szCs w:val="20"/>
          <w:color w:val="auto"/>
        </w:rPr>
      </w:pPr>
      <w:r>
        <w:rPr>
          <w:rFonts w:ascii="Arial" w:cs="Arial" w:eastAsia="Arial" w:hAnsi="Arial"/>
          <w:sz w:val="22"/>
          <w:szCs w:val="22"/>
          <w:b w:val="1"/>
          <w:bCs w:val="1"/>
          <w:color w:val="auto"/>
        </w:rPr>
        <w:t>AMENDED AND RESTATED ENERGY TRANSFER EQUITY, L.P.</w:t>
      </w:r>
    </w:p>
    <w:p>
      <w:pPr>
        <w:ind w:left="4020"/>
        <w:spacing w:after="0" w:line="217" w:lineRule="auto"/>
        <w:rPr>
          <w:sz w:val="20"/>
          <w:szCs w:val="20"/>
          <w:color w:val="auto"/>
        </w:rPr>
      </w:pPr>
      <w:r>
        <w:rPr>
          <w:rFonts w:ascii="Arial" w:cs="Arial" w:eastAsia="Arial" w:hAnsi="Arial"/>
          <w:sz w:val="22"/>
          <w:szCs w:val="22"/>
          <w:b w:val="1"/>
          <w:bCs w:val="1"/>
          <w:color w:val="auto"/>
        </w:rPr>
        <w:t>LONG-TERM INCENTIVE PLAN</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January 14, 2019</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amendment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to the Amended and Restated Energy Transfer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Equity, L.P. Long-Term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hereby adopted as of October 19, 2018</w:t>
      </w:r>
    </w:p>
    <w:p>
      <w:pPr>
        <w:spacing w:after="0" w:line="139"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LE GP, LLC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in its capacity as the general partner of Energy Transfer LP (the “</w:t>
      </w:r>
      <w:r>
        <w:rPr>
          <w:rFonts w:ascii="Arial" w:cs="Arial" w:eastAsia="Arial" w:hAnsi="Arial"/>
          <w:sz w:val="22"/>
          <w:szCs w:val="22"/>
          <w:b w:val="1"/>
          <w:bCs w:val="1"/>
          <w:i w:val="1"/>
          <w:iCs w:val="1"/>
          <w:color w:val="auto"/>
        </w:rPr>
        <w:t>Partnership</w:t>
      </w:r>
      <w:r>
        <w:rPr>
          <w:rFonts w:ascii="Arial" w:cs="Arial" w:eastAsia="Arial" w:hAnsi="Arial"/>
          <w:sz w:val="22"/>
          <w:szCs w:val="22"/>
          <w:color w:val="auto"/>
        </w:rPr>
        <w:t>”), on behalf of the Partnership. Terms used but not defined herein shall have the meanings given to such terms in the Plan.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Partnership maintains the Plan for the purposes set forth therein; and</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WHEREAS, the Board of Directors of the Company has previously approved the change in the name of the Partnership from Energy Transfer Equity, L.P. to Energy Transfer LP; and</w:t>
      </w:r>
    </w:p>
    <w:p>
      <w:pPr>
        <w:spacing w:after="0" w:line="11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WHEREAS, the officers of the Company have caused the aforementioned changes in the names of the Partnership to become effective in its jurisdictions of formation and qualifications and are now memorializing those changes in the books and records of the Partnership; and</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auto"/>
        </w:rPr>
        <w:t>WHEREAS, the Company now desires to amend the Plan to give the full and proper effect to such name change.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NOW, THEREFORE, effective as of the Effective Date, the Plan is amended as follows:</w:t>
      </w:r>
    </w:p>
    <w:p>
      <w:pPr>
        <w:spacing w:after="0" w:line="139" w:lineRule="exact"/>
        <w:rPr>
          <w:sz w:val="20"/>
          <w:szCs w:val="20"/>
          <w:color w:val="auto"/>
        </w:rPr>
      </w:pPr>
    </w:p>
    <w:p>
      <w:pPr>
        <w:ind w:firstLine="656"/>
        <w:spacing w:after="0" w:line="239" w:lineRule="auto"/>
        <w:tabs>
          <w:tab w:leader="none" w:pos="87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All references in the Plan to “Energy Transfer Equity, L.P.” (including in the name of the Plan) shall be, and hereby are, replaced with “Energy Transfer LP”.</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All other provisions of the Plan shall remain the same and in full force and effect.</w:t>
      </w:r>
    </w:p>
    <w:p>
      <w:pPr>
        <w:spacing w:after="0" w:line="200" w:lineRule="exact"/>
        <w:rPr>
          <w:sz w:val="20"/>
          <w:szCs w:val="20"/>
          <w:color w:val="auto"/>
        </w:rPr>
      </w:pPr>
    </w:p>
    <w:p>
      <w:pPr>
        <w:spacing w:after="0" w:line="344"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240"/>
          </w:cols>
          <w:pgMar w:left="320" w:top="1408" w:right="339" w:bottom="1440" w:gutter="0" w:footer="0" w:header="0"/>
        </w:sectPr>
      </w:pPr>
    </w:p>
    <w:bookmarkStart w:id="251" w:name="page252"/>
    <w:bookmarkEnd w:id="251"/>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executed this Amendment,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LE GP, LLC</w:t>
      </w:r>
    </w:p>
    <w:p>
      <w:pPr>
        <w:spacing w:after="0" w:line="31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 /s/ William J.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6350</wp:posOffset>
            </wp:positionV>
            <wp:extent cx="43459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Name: William J. Healy</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0280"/>
          </w:cols>
          <w:pgMar w:left="980" w:top="1440" w:right="6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LP, a Delaware limited partnership:</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Operating, L.P., a Delaware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Partners GP, L.P., a Delaware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Partners,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ETE Services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Partners Lease Acquisition &amp; Marketing LLC, a Delaware limited partnership</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OPERATING, L.P., a Delaware limited partnership:</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Advanced Meter Solutions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Alpine Holding, LLC, an Oklahoma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Aqua-ETC Water Solutions,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Arguelles Pipeline, S. De R.L. De C.V., a Mexico SRL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Bakken Holdings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Bakken Pipeline Investments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Bayou Bridge Pipeline,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Bayview Refining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BBP Construction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Blue Marlin Offshore Port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Buffalo Gulf Coast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Buffalo Parent Gulf Coast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Chalkley Gathering Company,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Citrus Energy Services, Inc.,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Citrus ETP Finance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Citrus,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Clean Air Action Corporation,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Comanche Trail Pipeline,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Consorcio Terminales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CrossCountry Citrus,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CrossCountry Energy,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Dakota Access Holdings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Dakota Access Truck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Dakota Access,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DAL-TEX Consulting,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DAPL-ETCO Construction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DAPL-ETCO Operations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Dual Drive Technologies, Ltd., a Texas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Eastern Gulf Crude Access,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Edwards Lime Gathering,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ELG Oil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ELG Utility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(Beijing) Energy Technology Co., Ltd., a Chinese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Aviation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Canada Pipelines Limited Partnership, an Alberta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Canada Pipelines ULC, an Alberta unlimited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Canada ULC, an Alberta unlimited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Crude Oil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Data Center,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Employee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Fuel GP,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Fuel, LP, a Delaware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Group,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International Holdings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Interstate Holdings, LLC, a Delaware limited liability company</w:t>
      </w:r>
    </w:p>
    <w:p>
      <w:pPr>
        <w:sectPr>
          <w:pgSz w:w="11900" w:h="16838" w:orient="portrait"/>
          <w:cols w:equalWidth="0" w:num="1">
            <w:col w:w="11240"/>
          </w:cols>
          <w:pgMar w:left="320" w:top="891"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t>Energy Transfer LNG Export,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Mexicana,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Retail Power,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CC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Crude Oil Terminals, LLC,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Finance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Rover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Starfish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TexLa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 TexLa Oasis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Bayou Bridge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Champ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China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Compression,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Endure Energy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Energy Transfer,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ETC Fayetteville Express Pipeline,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ETC Fayetteville Operating Company,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ETC Gas Company,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Gas Storage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Haynesville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Hydrocarbons,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Illinois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ETC Interstate Procurement Company,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ETC Intrastate Procurement Company,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ETC Katy Pipeline, LLC,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Marketing,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ETC Midcontinent Express Pipeline,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ETC NGL Marketing,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NGL Transport,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Field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PennTex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Sunoco Holdings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Texas Pipeline,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Tiger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Tilden System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ETCO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ETP Crude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ETP Holdco Corporation,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Evergreen Assurance,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Evergreen Capital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Evergreen Resources Group,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Explorer Pipeline Company, a Delaware corporation</w:t>
      </w:r>
    </w:p>
    <w:p>
      <w:pPr>
        <w:spacing w:after="0" w:line="23" w:lineRule="exact"/>
        <w:rPr>
          <w:sz w:val="20"/>
          <w:szCs w:val="20"/>
          <w:color w:val="auto"/>
        </w:rPr>
      </w:pPr>
    </w:p>
    <w:p>
      <w:pPr>
        <w:ind w:right="4859"/>
        <w:spacing w:after="0" w:line="299" w:lineRule="auto"/>
        <w:rPr>
          <w:sz w:val="20"/>
          <w:szCs w:val="20"/>
          <w:color w:val="auto"/>
        </w:rPr>
      </w:pPr>
      <w:r>
        <w:rPr>
          <w:rFonts w:ascii="Arial" w:cs="Arial" w:eastAsia="Arial" w:hAnsi="Arial"/>
          <w:sz w:val="16"/>
          <w:szCs w:val="16"/>
          <w:color w:val="auto"/>
        </w:rPr>
        <w:t>Fayetteville Express Pipeline LLC, a Delaware limited liability company FEP Arkansas Pipeline, LLC, an Arkansas limited liability company</w:t>
      </w:r>
    </w:p>
    <w:p>
      <w:pPr>
        <w:spacing w:after="0" w:line="1" w:lineRule="exact"/>
        <w:rPr>
          <w:sz w:val="20"/>
          <w:szCs w:val="20"/>
          <w:color w:val="auto"/>
        </w:rPr>
      </w:pPr>
    </w:p>
    <w:p>
      <w:pPr>
        <w:ind w:right="4339"/>
        <w:spacing w:after="0" w:line="266" w:lineRule="auto"/>
        <w:rPr>
          <w:sz w:val="20"/>
          <w:szCs w:val="20"/>
          <w:color w:val="auto"/>
        </w:rPr>
      </w:pPr>
      <w:r>
        <w:rPr>
          <w:rFonts w:ascii="Arial" w:cs="Arial" w:eastAsia="Arial" w:hAnsi="Arial"/>
          <w:sz w:val="18"/>
          <w:szCs w:val="18"/>
          <w:color w:val="auto"/>
        </w:rPr>
        <w:t>Florida Gas Transmission Company, LLC, a Delaware limited liability company FLST LLC, a Delaware limited liability company</w:t>
      </w:r>
    </w:p>
    <w:p>
      <w:pPr>
        <w:spacing w:after="0"/>
        <w:rPr>
          <w:sz w:val="20"/>
          <w:szCs w:val="20"/>
          <w:color w:val="auto"/>
        </w:rPr>
      </w:pPr>
      <w:r>
        <w:rPr>
          <w:rFonts w:ascii="Arial" w:cs="Arial" w:eastAsia="Arial" w:hAnsi="Arial"/>
          <w:sz w:val="18"/>
          <w:szCs w:val="18"/>
          <w:color w:val="auto"/>
        </w:rPr>
        <w:t>Glass Mountain Holding,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Grayson Pipeline,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Greyhawk Gas Storage Company,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Gulf States Transmission LLC, a Louisiana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Helios Assurance Company, Limited, a Limited Bermuda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Heritage ETC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Heritage ETC,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HFOTCO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Pipe Line Company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Asset Holdings LP, a Delaware limited partnership</w:t>
      </w:r>
    </w:p>
    <w:p>
      <w:pPr>
        <w:sectPr>
          <w:pgSz w:w="11900" w:h="16838" w:orient="portrait"/>
          <w:cols w:equalWidth="0" w:num="1">
            <w:col w:w="10119"/>
          </w:cols>
          <w:pgMar w:left="340" w:top="1030" w:right="1440"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t>HPL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Leaseco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Resources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Storage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Inland Corporation, an Ohio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J.C. Nolan Terminal Co.,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 Sun Oil Company, Ltd., a Japan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 Asphalt L.L.C., a Colorado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Kanawha Rail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GP,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Grange Acquisition, L.P., a Texas limited partnership</w:t>
      </w:r>
    </w:p>
    <w:p>
      <w:pPr>
        <w:spacing w:after="0" w:line="23" w:lineRule="exact"/>
        <w:rPr>
          <w:sz w:val="20"/>
          <w:szCs w:val="20"/>
          <w:color w:val="auto"/>
        </w:rPr>
      </w:pPr>
    </w:p>
    <w:p>
      <w:pPr>
        <w:ind w:right="4939"/>
        <w:spacing w:after="0" w:line="299" w:lineRule="auto"/>
        <w:rPr>
          <w:sz w:val="20"/>
          <w:szCs w:val="20"/>
          <w:color w:val="auto"/>
        </w:rPr>
      </w:pPr>
      <w:r>
        <w:rPr>
          <w:rFonts w:ascii="Arial" w:cs="Arial" w:eastAsia="Arial" w:hAnsi="Arial"/>
          <w:sz w:val="16"/>
          <w:szCs w:val="16"/>
          <w:color w:val="auto"/>
        </w:rPr>
        <w:t>Lake Charles Exports, LLC, a Delaware limited liability company Lake Charles LNG Company, LLC,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Lake Charles LNG Export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8 Storage Partnership,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LG PL,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LGM,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Pipeline Group,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Libre Insurance Company, Ltd., a Bermuda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LJL, LLC, a West Virginia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Loadout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Lobo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Marine Facilities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Development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Fractionators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Hattiesburg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Marketing LLC, a Delaware limited liability company</w:t>
      </w:r>
    </w:p>
    <w:p>
      <w:pPr>
        <w:spacing w:after="0" w:line="23" w:lineRule="exact"/>
        <w:rPr>
          <w:sz w:val="20"/>
          <w:szCs w:val="20"/>
          <w:color w:val="auto"/>
        </w:rPr>
      </w:pPr>
    </w:p>
    <w:p>
      <w:pPr>
        <w:ind w:right="4519"/>
        <w:spacing w:after="0" w:line="281" w:lineRule="auto"/>
        <w:rPr>
          <w:sz w:val="20"/>
          <w:szCs w:val="20"/>
          <w:color w:val="auto"/>
        </w:rPr>
      </w:pPr>
      <w:r>
        <w:rPr>
          <w:rFonts w:ascii="Arial" w:cs="Arial" w:eastAsia="Arial" w:hAnsi="Arial"/>
          <w:sz w:val="17"/>
          <w:szCs w:val="17"/>
          <w:color w:val="auto"/>
        </w:rPr>
        <w:t>Lone Star NGL Mont Belvieu GP LLC, a Delaware limited liability company Lone Star NGL Mont Belvieu LP, a Delaware limited partnership</w:t>
      </w:r>
    </w:p>
    <w:p>
      <w:pPr>
        <w:spacing w:after="0" w:line="1" w:lineRule="exact"/>
        <w:rPr>
          <w:sz w:val="20"/>
          <w:szCs w:val="20"/>
          <w:color w:val="auto"/>
        </w:rPr>
      </w:pPr>
    </w:p>
    <w:p>
      <w:pPr>
        <w:ind w:right="4099"/>
        <w:spacing w:after="0" w:line="266" w:lineRule="auto"/>
        <w:rPr>
          <w:sz w:val="20"/>
          <w:szCs w:val="20"/>
          <w:color w:val="auto"/>
        </w:rPr>
      </w:pPr>
      <w:r>
        <w:rPr>
          <w:rFonts w:ascii="Arial" w:cs="Arial" w:eastAsia="Arial" w:hAnsi="Arial"/>
          <w:sz w:val="18"/>
          <w:szCs w:val="18"/>
          <w:color w:val="auto"/>
        </w:rPr>
        <w:t>Lone Star NGL Mont Belvieu Pipelines LLC, a Delaware limited liability company Lone Star NGL Pipeline LP, a Delaware limited partnership</w:t>
      </w:r>
    </w:p>
    <w:p>
      <w:pPr>
        <w:spacing w:after="0"/>
        <w:rPr>
          <w:sz w:val="20"/>
          <w:szCs w:val="20"/>
          <w:color w:val="auto"/>
        </w:rPr>
      </w:pPr>
      <w:r>
        <w:rPr>
          <w:rFonts w:ascii="Arial" w:cs="Arial" w:eastAsia="Arial" w:hAnsi="Arial"/>
          <w:sz w:val="18"/>
          <w:szCs w:val="18"/>
          <w:color w:val="auto"/>
        </w:rPr>
        <w:t>Lone Star NGL Product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Refinery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Sea Robin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Materials Handling Solutions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Maurepas Holding,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Maurepas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 Vida JV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 Valley Pipeline Company LLC, an Ohio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Mid-America Midstream Gas Services, L.L.C., an Oklahoma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Midcontinent Express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Midstream Logistics,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Midwest Connector Capital Company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New Century Transportation,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Oasis Pipeline,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 River System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Casualty Insurance, Ltd., a Bermuda 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Insurance Limited, Bermuda 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Old Ocean Pipeline,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Orbit Gulf Coast NGL Exports,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Pacific Ethanol Central,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 Gas Storage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Panhandle Eastern Pipe Line Company,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Panhandle Energy LNG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Panhandle Storage LLC, a Delaware limited liability company</w:t>
      </w:r>
    </w:p>
    <w:p>
      <w:pPr>
        <w:sectPr>
          <w:pgSz w:w="11900" w:h="16838" w:orient="portrait"/>
          <w:cols w:equalWidth="0" w:num="1">
            <w:col w:w="10119"/>
          </w:cols>
          <w:pgMar w:left="340" w:top="1030" w:right="1440"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PEI Power II,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PEI Power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Pelico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 Virginia Operating Co.,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PEPL Real Estate,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Operating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Terminal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Gulf Coast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PES Energy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PES Equity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PES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PG Energy Inc., a Pennsylvania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Energy Solutions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Philadelphia Energy Solutions Refining and Marketing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 River Terminal,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Ranch Westex JV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Bluff Express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Employees Management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Finance Corp.,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Partners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GP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Intrastate Gas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Marcellus Gas Gathering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NEPA Gas Gathering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Texas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Utica Gas Gathering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Rocky Cliffs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Crude,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Operating,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Rover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RSS Water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 Robin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 Energy Products &amp; Services,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 General Holdings,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SemBio,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SemCanada II, L.P., an Oklahoma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SemCap,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SemDevelopment,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SemEnergy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SemFuel Transport LLC, a Wisconsin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SemFuel,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SemGreen,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Asia,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Energy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Europe Holding,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Holdings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Holdings,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Mexico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Netherlands B.V., a Dutch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Netherlands I B.V., a Dutch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Subsidiary Holding,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SemManagement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SemMaterials, L.P., an Oklahoma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SemMexico, L.L.C., an Oklahoma limited liability company</w:t>
      </w:r>
    </w:p>
    <w:p>
      <w:pPr>
        <w:sectPr>
          <w:pgSz w:w="11900" w:h="16838" w:orient="portrait"/>
          <w:cols w:equalWidth="0" w:num="1">
            <w:col w:w="10119"/>
          </w:cols>
          <w:pgMar w:left="340" w:top="1030" w:right="1440"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SemOperating G.P.,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SemProducts,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SemStream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SemTrucking, L.P., an Oklahoma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Gas Company, Inc., a Texas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Panhandle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Starfish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Steuben Development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Stingray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 Gas Services Operating Company,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 Holding Company,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Canada,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Sun Pipe Line Company of Delaware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Sun Transport,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(R&amp;M),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Sunoco Logistics Partners Operations GP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Operations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Midland Terminal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Marketing &amp; Terminals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Operating LLC, a Delaware limited liability company</w:t>
      </w:r>
    </w:p>
    <w:p>
      <w:pPr>
        <w:spacing w:after="0" w:line="23" w:lineRule="exact"/>
        <w:rPr>
          <w:sz w:val="20"/>
          <w:szCs w:val="20"/>
          <w:color w:val="auto"/>
        </w:rPr>
      </w:pPr>
    </w:p>
    <w:p>
      <w:pPr>
        <w:ind w:right="4039"/>
        <w:spacing w:after="0" w:line="281" w:lineRule="auto"/>
        <w:rPr>
          <w:sz w:val="20"/>
          <w:szCs w:val="20"/>
          <w:color w:val="auto"/>
        </w:rPr>
      </w:pPr>
      <w:r>
        <w:rPr>
          <w:rFonts w:ascii="Arial" w:cs="Arial" w:eastAsia="Arial" w:hAnsi="Arial"/>
          <w:sz w:val="17"/>
          <w:szCs w:val="17"/>
          <w:color w:val="auto"/>
        </w:rPr>
        <w:t>Sunoco Partners Real Estate Acquisition LLC, a Delaware limited liability company Sunoco Partners Rockies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Sunoco Pipeline Acquisition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Pipeline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Sweeney Gathering, L.P.,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TETC,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Company,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Power,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Energy Transfer/Sunoco Foundation, a Pennsylvania non-profit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Toney Fork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Leasing, LLC, a Idaho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Williston, LLC, a Idaho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LLC, a Idaho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Trans-Pecos Pipeline,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Transwestern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Triton Gathering,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Trunkline Field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Trunkline Gas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Trunkline LNG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Compression GP, LLC, a Delaware limited liability company</w:t>
      </w:r>
    </w:p>
    <w:p>
      <w:pPr>
        <w:spacing w:after="0" w:line="23" w:lineRule="exact"/>
        <w:rPr>
          <w:sz w:val="20"/>
          <w:szCs w:val="20"/>
          <w:color w:val="auto"/>
        </w:rPr>
      </w:pPr>
    </w:p>
    <w:p>
      <w:pPr>
        <w:ind w:right="3919"/>
        <w:spacing w:after="0" w:line="266" w:lineRule="auto"/>
        <w:rPr>
          <w:sz w:val="20"/>
          <w:szCs w:val="20"/>
          <w:color w:val="auto"/>
        </w:rPr>
      </w:pPr>
      <w:r>
        <w:rPr>
          <w:rFonts w:ascii="Arial" w:cs="Arial" w:eastAsia="Arial" w:hAnsi="Arial"/>
          <w:sz w:val="18"/>
          <w:szCs w:val="18"/>
          <w:color w:val="auto"/>
        </w:rPr>
        <w:t>USA Compression Management Services, LLC, a Delaware limited liability company Vista Mar Pipeline, LLC, a Texas limited liability company</w:t>
      </w:r>
    </w:p>
    <w:p>
      <w:pPr>
        <w:spacing w:after="0"/>
        <w:rPr>
          <w:sz w:val="20"/>
          <w:szCs w:val="20"/>
          <w:color w:val="auto"/>
        </w:rPr>
      </w:pPr>
      <w:r>
        <w:rPr>
          <w:rFonts w:ascii="Arial" w:cs="Arial" w:eastAsia="Arial" w:hAnsi="Arial"/>
          <w:sz w:val="18"/>
          <w:szCs w:val="18"/>
          <w:color w:val="auto"/>
        </w:rPr>
        <w:t>Waha Express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Wattenberg Holding, LLC, an Oklahoma limited liability company</w:t>
      </w:r>
    </w:p>
    <w:p>
      <w:pPr>
        <w:spacing w:after="0" w:line="23" w:lineRule="exact"/>
        <w:rPr>
          <w:sz w:val="20"/>
          <w:szCs w:val="20"/>
          <w:color w:val="auto"/>
        </w:rPr>
      </w:pPr>
    </w:p>
    <w:p>
      <w:pPr>
        <w:ind w:right="4039"/>
        <w:spacing w:after="0" w:line="266" w:lineRule="auto"/>
        <w:rPr>
          <w:sz w:val="20"/>
          <w:szCs w:val="20"/>
          <w:color w:val="auto"/>
        </w:rPr>
      </w:pPr>
      <w:r>
        <w:rPr>
          <w:rFonts w:ascii="Arial" w:cs="Arial" w:eastAsia="Arial" w:hAnsi="Arial"/>
          <w:sz w:val="18"/>
          <w:szCs w:val="18"/>
          <w:color w:val="auto"/>
        </w:rPr>
        <w:t>West Cameron Dehydration Company, L.L.C., a Delaware limited liability company West Shore Pipe Line Company, a Delaware corporation</w:t>
      </w:r>
    </w:p>
    <w:p>
      <w:pPr>
        <w:spacing w:after="0"/>
        <w:rPr>
          <w:sz w:val="20"/>
          <w:szCs w:val="20"/>
          <w:color w:val="auto"/>
        </w:rPr>
      </w:pPr>
      <w:r>
        <w:rPr>
          <w:rFonts w:ascii="Arial" w:cs="Arial" w:eastAsia="Arial" w:hAnsi="Arial"/>
          <w:sz w:val="17"/>
          <w:szCs w:val="17"/>
          <w:color w:val="auto"/>
        </w:rPr>
        <w:t>West Texas Gulf Pipe Line Company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Westex Energy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WGP-KHC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 Cliffs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Wolverine Pipe Line Company,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Yellowstone Pipe Line Company, a Delaware corporation</w:t>
      </w:r>
    </w:p>
    <w:p>
      <w:pPr>
        <w:sectPr>
          <w:pgSz w:w="11900" w:h="16838" w:orient="portrait"/>
          <w:cols w:equalWidth="0" w:num="1">
            <w:col w:w="10119"/>
          </w:cols>
          <w:pgMar w:left="340" w:top="1030" w:right="1440"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SUBSIDIARIES OF SUNOCO LP, a Delaware limited partnership:</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Aloha Petroleum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Aloha Petroleum, Ltd., a Hawaii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Fathom Global Energy FT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Fathom Global Energy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J.C. Nolan Terminal Co.,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Quick Stuff of Texas, Inc., a Texas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SSP BevCo I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SSP BevCo II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SSP Beverage,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Stripes Acquisition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 LP Pipeline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 LP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 Lubricants and Specialty Products Inc., a Quebec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Sunmarks,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Caddo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Energy Solutions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Finance Corp.,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NLR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Overseas, Inc.,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Property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Refined Products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Retail LLC, a Pennsylvania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Sunoco,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TCFS Holdings, Inc. a Texas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TND Beverage,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Town &amp; Country Food Stores, Inc., a Texas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USA COMPRESSION PARTNERS, LP, a Delaware limited partnership:</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CDM Environmental &amp; Technical Services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CDM Resource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 Compression Finance Corp.,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 Compression Partners,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USAC Leasing 2,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USAC Leasing,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USAC OpCo 2, LLC, a Texas limited liability company</w:t>
      </w:r>
    </w:p>
    <w:p>
      <w:pPr>
        <w:sectPr>
          <w:pgSz w:w="11900" w:h="16838" w:orient="portrait"/>
          <w:cols w:equalWidth="0" w:num="1">
            <w:col w:w="10139"/>
          </w:cols>
          <w:pgMar w:left="320" w:top="1053"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19, 2021, with respect to the consolidated financial statements and internal control over financial reporting included in the Annual Report of Energy Transfer LP on Form 10-K for the year ended December 31, 2020. We consent to the incorporation by reference of said reports in the Registration Statements of Energy Transfer LP on Forms S-3 (File No. 333-228737, File No. 333-215969, File No. 333-215893, and File No. 333-146300) and on Form S-8 (File No. 333-229456 and File No. 333-251923).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891"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86" w:lineRule="auto"/>
        <w:tabs>
          <w:tab w:leader="none" w:pos="161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42" w:lineRule="auto"/>
        <w:tabs>
          <w:tab w:leader="none" w:pos="161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3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39687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86" w:lineRule="auto"/>
        <w:tabs>
          <w:tab w:leader="none" w:pos="161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42" w:lineRule="auto"/>
        <w:tabs>
          <w:tab w:leader="none" w:pos="161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2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39687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Bradford D. Whitehurst, certify that:</w:t>
      </w:r>
    </w:p>
    <w:p>
      <w:pPr>
        <w:spacing w:after="0" w:line="171" w:lineRule="exact"/>
        <w:rPr>
          <w:sz w:val="20"/>
          <w:szCs w:val="20"/>
          <w:color w:val="auto"/>
        </w:rPr>
      </w:pPr>
    </w:p>
    <w:p>
      <w:pPr>
        <w:ind w:left="980" w:hanging="648"/>
        <w:spacing w:after="0"/>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86" w:lineRule="auto"/>
        <w:tabs>
          <w:tab w:leader="none" w:pos="161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42" w:lineRule="auto"/>
        <w:tabs>
          <w:tab w:leader="none" w:pos="161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3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39687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Energy Transfer LP (the “Partnership”) on Form 10-K for the year ended December 31, 2020,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111" w:lineRule="exact"/>
        <w:rPr>
          <w:sz w:val="20"/>
          <w:szCs w:val="20"/>
          <w:color w:val="auto"/>
        </w:rPr>
      </w:pPr>
    </w:p>
    <w:p>
      <w:pPr>
        <w:ind w:left="640" w:hanging="308"/>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Co-Chief Executive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91"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Energy Transfer LP (the “Partnership”) on Form 10-K for the year ended December 31, 2020,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111" w:lineRule="exact"/>
        <w:rPr>
          <w:sz w:val="20"/>
          <w:szCs w:val="20"/>
          <w:color w:val="auto"/>
        </w:rPr>
      </w:pPr>
    </w:p>
    <w:p>
      <w:pPr>
        <w:ind w:left="640" w:hanging="308"/>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5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43033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1417"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Energy Transfer LP (the “Partnership”) on Form 10-K for the year ended December 31, 2020,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111" w:lineRule="exact"/>
        <w:rPr>
          <w:sz w:val="20"/>
          <w:szCs w:val="20"/>
          <w:color w:val="auto"/>
        </w:rPr>
      </w:pPr>
    </w:p>
    <w:p>
      <w:pPr>
        <w:ind w:left="640" w:hanging="308"/>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lvl w:ilvl="1">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1)"/>
      <w:numFmt w:val="decimal"/>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1)"/>
      <w:numFmt w:val="decimal"/>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1)"/>
      <w:numFmt w:val="decimal"/>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
      <w:numFmt w:val="bullet"/>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
      <w:numFmt w:val="bullet"/>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
      <w:numFmt w:val="bullet"/>
      <w:start w:val="1"/>
    </w:lvl>
  </w:abstractNum>
  <w:abstractNum w:abstractNumId="59">
    <w:nsid w:val="5B25ACE2"/>
    <w:multiLevelType w:val="hybridMultilevel"/>
    <w:lvl w:ilvl="0">
      <w:lvlJc w:val="left"/>
      <w:lvlText w:val="•"/>
      <w:numFmt w:val="bullet"/>
      <w:start w:val="1"/>
    </w:lvl>
  </w:abstractNum>
  <w:abstractNum w:abstractNumId="60">
    <w:nsid w:val="175DFCF0"/>
    <w:multiLevelType w:val="hybridMultilevel"/>
    <w:lvl w:ilvl="0">
      <w:lvlJc w:val="left"/>
      <w:lvlText w:val="•"/>
      <w:numFmt w:val="bullet"/>
      <w:start w:val="1"/>
    </w:lvl>
  </w:abstractNum>
  <w:abstractNum w:abstractNumId="61">
    <w:nsid w:val="4F97E3E4"/>
    <w:multiLevelType w:val="hybridMultilevel"/>
    <w:lvl w:ilvl="0">
      <w:lvlJc w:val="left"/>
      <w:lvlText w:val="•"/>
      <w:numFmt w:val="bullet"/>
      <w:start w:val="1"/>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abstractNum>
  <w:abstractNum w:abstractNumId="70">
    <w:nsid w:val="5046B5A9"/>
    <w:multiLevelType w:val="hybridMultilevel"/>
    <w:lvl w:ilvl="0">
      <w:lvlJc w:val="left"/>
      <w:lvlText w:val="(%1)"/>
      <w:numFmt w:val="decimal"/>
      <w:start w:val="1"/>
    </w:lvl>
  </w:abstractNum>
  <w:abstractNum w:abstractNumId="71">
    <w:nsid w:val="5D888A08"/>
    <w:multiLevelType w:val="hybridMultilevel"/>
    <w:lvl w:ilvl="0">
      <w:lvlJc w:val="left"/>
      <w:lvlText w:val="•"/>
      <w:numFmt w:val="bullet"/>
      <w:start w:val="1"/>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
      <w:numFmt w:val="bullet"/>
      <w:start w:val="1"/>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abstractNum>
  <w:abstractNum w:abstractNumId="78">
    <w:nsid w:val="20EE1348"/>
    <w:multiLevelType w:val="hybridMultilevel"/>
    <w:lvl w:ilvl="0">
      <w:lvlJc w:val="left"/>
      <w:lvlText w:val="•"/>
      <w:numFmt w:val="bullet"/>
      <w:start w:val="1"/>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
      <w:numFmt w:val="bullet"/>
      <w:start w:val="1"/>
    </w:lvl>
  </w:abstractNum>
  <w:abstractNum w:abstractNumId="81">
    <w:nsid w:val="2157F6BC"/>
    <w:multiLevelType w:val="hybridMultilevel"/>
    <w:lvl w:ilvl="0">
      <w:lvlJc w:val="left"/>
      <w:lvlText w:val="•"/>
      <w:numFmt w:val="bullet"/>
      <w:start w:val="1"/>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
      <w:numFmt w:val="bullet"/>
      <w:start w:val="1"/>
    </w:lvl>
  </w:abstractNum>
  <w:abstractNum w:abstractNumId="85">
    <w:nsid w:val="E3E47A8"/>
    <w:multiLevelType w:val="hybridMultilevel"/>
    <w:lvl w:ilvl="0">
      <w:lvlJc w:val="left"/>
      <w:lvlText w:val="(%1)"/>
      <w:numFmt w:val="decimal"/>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
      <w:numFmt w:val="bullet"/>
      <w:start w:val="1"/>
    </w:lvl>
  </w:abstractNum>
  <w:abstractNum w:abstractNumId="89">
    <w:nsid w:val="5551B9F3"/>
    <w:multiLevelType w:val="hybridMultilevel"/>
    <w:lvl w:ilvl="0">
      <w:lvlJc w:val="left"/>
      <w:lvlText w:val="•"/>
      <w:numFmt w:val="bullet"/>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
      <w:numFmt w:val="bullet"/>
      <w:start w:val="1"/>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1)"/>
      <w:numFmt w:val="decimal"/>
      <w:start w:val="1"/>
    </w:lvl>
  </w:abstractNum>
  <w:abstractNum w:abstractNumId="95">
    <w:nsid w:val="7DFF9D09"/>
    <w:multiLevelType w:val="hybridMultilevel"/>
    <w:lvl w:ilvl="0">
      <w:lvlJc w:val="left"/>
      <w:lvlText w:val="(%1)"/>
      <w:numFmt w:val="decimal"/>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
      <w:numFmt w:val="bullet"/>
      <w:start w:val="1"/>
    </w:lvl>
  </w:abstractNum>
  <w:abstractNum w:abstractNumId="98">
    <w:nsid w:val="2A6DE806"/>
    <w:multiLevelType w:val="hybridMultilevel"/>
    <w:lvl w:ilvl="0">
      <w:lvlJc w:val="left"/>
      <w:lvlText w:val="•"/>
      <w:numFmt w:val="bullet"/>
      <w:start w:val="1"/>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
      <w:numFmt w:val="bullet"/>
      <w:start w:val="1"/>
    </w:lvl>
  </w:abstractNum>
  <w:abstractNum w:abstractNumId="101">
    <w:nsid w:val="7AB49DAF"/>
    <w:multiLevelType w:val="hybridMultilevel"/>
    <w:lvl w:ilvl="0">
      <w:lvlJc w:val="left"/>
      <w:lvlText w:val="(%1)"/>
      <w:numFmt w:val="decimal"/>
      <w:start w:val="1"/>
    </w:lvl>
  </w:abstractNum>
  <w:abstractNum w:abstractNumId="102">
    <w:nsid w:val="759F82CD"/>
    <w:multiLevelType w:val="hybridMultilevel"/>
    <w:lvl w:ilvl="0">
      <w:lvlJc w:val="left"/>
      <w:lvlText w:val="•"/>
      <w:numFmt w:val="bullet"/>
      <w:start w:val="1"/>
    </w:lvl>
  </w:abstractNum>
  <w:abstractNum w:abstractNumId="103">
    <w:nsid w:val="61E74EA3"/>
    <w:multiLevelType w:val="hybridMultilevel"/>
    <w:lvl w:ilvl="0">
      <w:lvlJc w:val="left"/>
      <w:lvlText w:val="•"/>
      <w:numFmt w:val="bullet"/>
      <w:start w:val="1"/>
    </w:lvl>
  </w:abstractNum>
  <w:abstractNum w:abstractNumId="104">
    <w:nsid w:val="597B4D84"/>
    <w:multiLevelType w:val="hybridMultilevel"/>
    <w:lvl w:ilvl="0">
      <w:lvlJc w:val="left"/>
      <w:lvlText w:val="(%1)"/>
      <w:numFmt w:val="decimal"/>
      <w:start w:val="1"/>
    </w:lvl>
  </w:abstractNum>
  <w:abstractNum w:abstractNumId="105">
    <w:nsid w:val="F819E7F"/>
    <w:multiLevelType w:val="hybridMultilevel"/>
    <w:lvl w:ilvl="0">
      <w:lvlJc w:val="left"/>
      <w:lvlText w:val="(%1)"/>
      <w:numFmt w:val="decimal"/>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
      <w:numFmt w:val="bullet"/>
      <w:start w:val="1"/>
    </w:lvl>
  </w:abstractNum>
  <w:abstractNum w:abstractNumId="108">
    <w:nsid w:val="631B64D4"/>
    <w:multiLevelType w:val="hybridMultilevel"/>
    <w:lvl w:ilvl="0">
      <w:lvlJc w:val="left"/>
      <w:lvlText w:val="•"/>
      <w:numFmt w:val="bullet"/>
      <w:start w:val="1"/>
    </w:lvl>
  </w:abstractNum>
  <w:abstractNum w:abstractNumId="109">
    <w:nsid w:val="78B5E776"/>
    <w:multiLevelType w:val="hybridMultilevel"/>
    <w:lvl w:ilvl="0">
      <w:lvlJc w:val="left"/>
      <w:lvlText w:val="•"/>
      <w:numFmt w:val="bullet"/>
      <w:start w:val="1"/>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1)"/>
      <w:numFmt w:val="lowerRoman"/>
      <w:start w:val="3"/>
    </w:lvl>
  </w:abstractNum>
  <w:abstractNum w:abstractNumId="112">
    <w:nsid w:val="1A0DDE32"/>
    <w:multiLevelType w:val="hybridMultilevel"/>
    <w:lvl w:ilvl="0">
      <w:lvlJc w:val="left"/>
      <w:lvlText w:val="•"/>
      <w:numFmt w:val="bullet"/>
      <w:start w:val="1"/>
    </w:lvl>
  </w:abstractNum>
  <w:abstractNum w:abstractNumId="113">
    <w:nsid w:val="65968C1C"/>
    <w:multiLevelType w:val="hybridMultilevel"/>
    <w:lvl w:ilvl="0">
      <w:lvlJc w:val="left"/>
      <w:lvlText w:val="(%1)"/>
      <w:numFmt w:val="decimal"/>
      <w:start w:val="1"/>
    </w:lvl>
  </w:abstractNum>
  <w:abstractNum w:abstractNumId="114">
    <w:nsid w:val="46263DEC"/>
    <w:multiLevelType w:val="hybridMultilevel"/>
    <w:lvl w:ilvl="0">
      <w:lvlJc w:val="left"/>
      <w:lvlText w:val="(%1)"/>
      <w:numFmt w:val="decimal"/>
      <w:start w:val="1"/>
    </w:lvl>
  </w:abstractNum>
  <w:abstractNum w:abstractNumId="115">
    <w:nsid w:val="260D8C4A"/>
    <w:multiLevelType w:val="hybridMultilevel"/>
    <w:lvl w:ilvl="0">
      <w:lvlJc w:val="left"/>
      <w:lvlText w:val="(%1)"/>
      <w:numFmt w:val="decimal"/>
      <w:start w:val="1"/>
    </w:lvl>
  </w:abstractNum>
  <w:abstractNum w:abstractNumId="116">
    <w:nsid w:val="73D4D3C4"/>
    <w:multiLevelType w:val="hybridMultilevel"/>
    <w:lvl w:ilvl="0">
      <w:lvlJc w:val="left"/>
      <w:lvlText w:val="(%1)"/>
      <w:numFmt w:val="decimal"/>
      <w:start w:val="2"/>
    </w:lvl>
    <w:lvl w:ilvl="1">
      <w:lvlJc w:val="left"/>
      <w:lvlText w:val="•"/>
      <w:numFmt w:val="bullet"/>
      <w:start w:val="1"/>
    </w:lvl>
  </w:abstractNum>
  <w:abstractNum w:abstractNumId="117">
    <w:nsid w:val="746F2E30"/>
    <w:multiLevelType w:val="hybridMultilevel"/>
    <w:lvl w:ilvl="0">
      <w:lvlJc w:val="left"/>
      <w:lvlText w:val="(%1)"/>
      <w:numFmt w:val="decimal"/>
      <w:start w:val="3"/>
    </w:lvl>
  </w:abstractNum>
  <w:abstractNum w:abstractNumId="118">
    <w:nsid w:val="6FDE8AF6"/>
    <w:multiLevelType w:val="hybridMultilevel"/>
    <w:lvl w:ilvl="0">
      <w:lvlJc w:val="left"/>
      <w:lvlText w:val="(%1)"/>
      <w:numFmt w:val="decimal"/>
      <w:start w:val="1"/>
    </w:lvl>
  </w:abstractNum>
  <w:abstractNum w:abstractNumId="119">
    <w:nsid w:val="3FC32E20"/>
    <w:multiLevelType w:val="hybridMultilevel"/>
    <w:lvl w:ilvl="0">
      <w:lvlJc w:val="left"/>
      <w:lvlText w:val="%1."/>
      <w:numFmt w:val="decimal"/>
      <w:start w:val="1"/>
    </w:lvl>
  </w:abstractNum>
  <w:abstractNum w:abstractNumId="120">
    <w:nsid w:val="49C0E823"/>
    <w:multiLevelType w:val="hybridMultilevel"/>
    <w:lvl w:ilvl="0">
      <w:lvlJc w:val="left"/>
      <w:lvlText w:val="%1."/>
      <w:numFmt w:val="decimal"/>
      <w:start w:val="4"/>
    </w:lvl>
  </w:abstractNum>
  <w:abstractNum w:abstractNumId="121">
    <w:nsid w:val="14D53685"/>
    <w:multiLevelType w:val="hybridMultilevel"/>
    <w:lvl w:ilvl="0">
      <w:lvlJc w:val="left"/>
      <w:lvlText w:val="(%1)"/>
      <w:numFmt w:val="decimal"/>
      <w:start w:val="1"/>
    </w:lvl>
  </w:abstractNum>
  <w:abstractNum w:abstractNumId="122">
    <w:nsid w:val="230F856C"/>
    <w:multiLevelType w:val="hybridMultilevel"/>
    <w:lvl w:ilvl="0">
      <w:lvlJc w:val="left"/>
      <w:lvlText w:val="(%1)"/>
      <w:numFmt w:val="decimal"/>
      <w:start w:val="1"/>
    </w:lvl>
  </w:abstractNum>
  <w:abstractNum w:abstractNumId="123">
    <w:nsid w:val="6EAA85FB"/>
    <w:multiLevelType w:val="hybridMultilevel"/>
    <w:lvl w:ilvl="0">
      <w:lvlJc w:val="left"/>
      <w:lvlText w:val="(%1)"/>
      <w:numFmt w:val="decimal"/>
      <w:start w:val="3"/>
    </w:lvl>
  </w:abstractNum>
  <w:abstractNum w:abstractNumId="124">
    <w:nsid w:val="3F06ECB2"/>
    <w:multiLevelType w:val="hybridMultilevel"/>
    <w:lvl w:ilvl="0">
      <w:lvlJc w:val="left"/>
      <w:lvlText w:val="(%1)"/>
      <w:numFmt w:val="decimal"/>
      <w:start w:val="1"/>
    </w:lvl>
  </w:abstractNum>
  <w:abstractNum w:abstractNumId="125">
    <w:nsid w:val="3B594807"/>
    <w:multiLevelType w:val="hybridMultilevel"/>
    <w:lvl w:ilvl="0">
      <w:lvlJc w:val="left"/>
      <w:lvlText w:val="•"/>
      <w:numFmt w:val="bullet"/>
      <w:start w:val="1"/>
    </w:lvl>
  </w:abstractNum>
  <w:abstractNum w:abstractNumId="126">
    <w:nsid w:val="6CAA2304"/>
    <w:multiLevelType w:val="hybridMultilevel"/>
    <w:lvl w:ilvl="0">
      <w:lvlJc w:val="left"/>
      <w:lvlText w:val="%1"/>
      <w:numFmt w:val="decimal"/>
      <w:start w:val="104"/>
    </w:lvl>
  </w:abstractNum>
  <w:abstractNum w:abstractNumId="127">
    <w:nsid w:val="3F7C2FF4"/>
    <w:multiLevelType w:val="hybridMultilevel"/>
    <w:lvl w:ilvl="0">
      <w:lvlJc w:val="left"/>
      <w:lvlText w:val="*"/>
      <w:numFmt w:val="bullet"/>
      <w:start w:val="1"/>
    </w:lvl>
  </w:abstractNum>
  <w:abstractNum w:abstractNumId="128">
    <w:nsid w:val="25413BEC"/>
    <w:multiLevelType w:val="hybridMultilevel"/>
    <w:lvl w:ilvl="0">
      <w:lvlJc w:val="left"/>
      <w:lvlText w:val="**"/>
      <w:numFmt w:val="bullet"/>
      <w:start w:val="1"/>
    </w:lvl>
  </w:abstractNum>
  <w:abstractNum w:abstractNumId="129">
    <w:nsid w:val="17180B0B"/>
    <w:multiLevelType w:val="hybridMultilevel"/>
    <w:lvl w:ilvl="0">
      <w:lvlJc w:val="left"/>
      <w:lvlText w:val="+"/>
      <w:numFmt w:val="bullet"/>
      <w:start w:val="1"/>
    </w:lvl>
  </w:abstractNum>
  <w:abstractNum w:abstractNumId="130">
    <w:nsid w:val="579328B9"/>
    <w:multiLevelType w:val="hybridMultilevel"/>
    <w:lvl w:ilvl="0">
      <w:lvlJc w:val="left"/>
      <w:lvlText w:val="%1."/>
      <w:numFmt w:val="lowerLetter"/>
      <w:start w:val="1"/>
    </w:lvl>
    <w:lvl w:ilvl="1">
      <w:lvlJc w:val="left"/>
      <w:lvlText w:val="%2."/>
      <w:numFmt w:val="lowerRoman"/>
      <w:start w:val="1"/>
    </w:lvl>
  </w:abstractNum>
  <w:abstractNum w:abstractNumId="131">
    <w:nsid w:val="5D205E20"/>
    <w:multiLevelType w:val="hybridMultilevel"/>
    <w:lvl w:ilvl="0">
      <w:lvlJc w:val="left"/>
      <w:lvlText w:val="%1."/>
      <w:numFmt w:val="lowerLetter"/>
      <w:start w:val="1"/>
    </w:lvl>
    <w:lvl w:ilvl="1">
      <w:lvlJc w:val="left"/>
      <w:lvlText w:val="%2."/>
      <w:numFmt w:val="lowerRoman"/>
      <w:start w:val="1"/>
    </w:lvl>
  </w:abstractNum>
  <w:abstractNum w:abstractNumId="132">
    <w:nsid w:val="11CCA8BA"/>
    <w:multiLevelType w:val="hybridMultilevel"/>
    <w:lvl w:ilvl="0">
      <w:lvlJc w:val="left"/>
      <w:lvlText w:val="%1."/>
      <w:numFmt w:val="decimal"/>
      <w:start w:val="1"/>
    </w:lvl>
    <w:lvl w:ilvl="1">
      <w:lvlJc w:val="left"/>
      <w:lvlText w:val="•"/>
      <w:numFmt w:val="bullet"/>
      <w:start w:val="1"/>
    </w:lvl>
  </w:abstractNum>
  <w:abstractNum w:abstractNumId="133">
    <w:nsid w:val="4D32AB86"/>
    <w:multiLevelType w:val="hybridMultilevel"/>
    <w:lvl w:ilvl="0">
      <w:lvlJc w:val="left"/>
      <w:lvlText w:val="•"/>
      <w:numFmt w:val="bullet"/>
      <w:start w:val="1"/>
    </w:lvl>
    <w:lvl w:ilvl="1">
      <w:lvlJc w:val="left"/>
      <w:lvlText w:val="•"/>
      <w:numFmt w:val="bullet"/>
      <w:start w:val="1"/>
    </w:lvl>
  </w:abstractNum>
  <w:abstractNum w:abstractNumId="134">
    <w:nsid w:val="3F07ACC3"/>
    <w:multiLevelType w:val="hybridMultilevel"/>
    <w:lvl w:ilvl="0">
      <w:lvlJc w:val="left"/>
      <w:lvlText w:val="•"/>
      <w:numFmt w:val="bullet"/>
      <w:start w:val="1"/>
    </w:lvl>
  </w:abstractNum>
  <w:abstractNum w:abstractNumId="135">
    <w:nsid w:val="6B47F63E"/>
    <w:multiLevelType w:val="hybridMultilevel"/>
    <w:lvl w:ilvl="0">
      <w:lvlJc w:val="left"/>
      <w:lvlText w:val="%1."/>
      <w:numFmt w:val="decimal"/>
      <w:start w:val="2"/>
    </w:lvl>
  </w:abstractNum>
  <w:abstractNum w:abstractNumId="136">
    <w:nsid w:val="5CB44A05"/>
    <w:multiLevelType w:val="hybridMultilevel"/>
    <w:lvl w:ilvl="0">
      <w:lvlJc w:val="left"/>
      <w:lvlText w:val="(%1)"/>
      <w:numFmt w:val="decimal"/>
      <w:start w:val="1"/>
    </w:lvl>
  </w:abstractNum>
  <w:abstractNum w:abstractNumId="137">
    <w:nsid w:val="16CF80F1"/>
    <w:multiLevelType w:val="hybridMultilevel"/>
    <w:lvl w:ilvl="0">
      <w:lvlJc w:val="left"/>
      <w:lvlText w:val="%1."/>
      <w:numFmt w:val="decimal"/>
      <w:start w:val="3"/>
    </w:lvl>
  </w:abstractNum>
  <w:abstractNum w:abstractNumId="138">
    <w:nsid w:val="1C695DEC"/>
    <w:multiLevelType w:val="hybridMultilevel"/>
    <w:lvl w:ilvl="0">
      <w:lvlJc w:val="left"/>
      <w:lvlText w:val="(%1)"/>
      <w:numFmt w:val="decimal"/>
      <w:start w:val="1"/>
    </w:lvl>
  </w:abstractNum>
  <w:abstractNum w:abstractNumId="139">
    <w:nsid w:val="3FCFAED9"/>
    <w:multiLevelType w:val="hybridMultilevel"/>
    <w:lvl w:ilvl="0">
      <w:lvlJc w:val="left"/>
      <w:lvlText w:val="•"/>
      <w:numFmt w:val="bullet"/>
      <w:start w:val="1"/>
    </w:lvl>
  </w:abstractNum>
  <w:abstractNum w:abstractNumId="140">
    <w:nsid w:val="F856867"/>
    <w:multiLevelType w:val="hybridMultilevel"/>
    <w:lvl w:ilvl="0">
      <w:lvlJc w:val="left"/>
      <w:lvlText w:val="$"/>
      <w:numFmt w:val="bullet"/>
      <w:start w:val="1"/>
    </w:lvl>
  </w:abstractNum>
  <w:abstractNum w:abstractNumId="141">
    <w:nsid w:val="11B1CC33"/>
    <w:multiLevelType w:val="hybridMultilevel"/>
    <w:lvl w:ilvl="0">
      <w:lvlJc w:val="left"/>
      <w:lvlText w:val="$"/>
      <w:numFmt w:val="bullet"/>
      <w:start w:val="1"/>
    </w:lvl>
  </w:abstractNum>
  <w:abstractNum w:abstractNumId="142">
    <w:nsid w:val="2E22FBB7"/>
    <w:multiLevelType w:val="hybridMultilevel"/>
    <w:lvl w:ilvl="0">
      <w:lvlJc w:val="left"/>
      <w:lvlText w:val="$"/>
      <w:numFmt w:val="bullet"/>
      <w:start w:val="1"/>
    </w:lvl>
  </w:abstractNum>
  <w:abstractNum w:abstractNumId="143">
    <w:nsid w:val="29934699"/>
    <w:multiLevelType w:val="hybridMultilevel"/>
    <w:lvl w:ilvl="0">
      <w:lvlJc w:val="left"/>
      <w:lvlText w:val="$"/>
      <w:numFmt w:val="bullet"/>
      <w:start w:val="1"/>
    </w:lvl>
  </w:abstractNum>
  <w:abstractNum w:abstractNumId="144">
    <w:nsid w:val="77485850"/>
    <w:multiLevelType w:val="hybridMultilevel"/>
    <w:lvl w:ilvl="0">
      <w:lvlJc w:val="left"/>
      <w:lvlText w:val="(%1)"/>
      <w:numFmt w:val="decimal"/>
      <w:start w:val="1"/>
    </w:lvl>
  </w:abstractNum>
  <w:abstractNum w:abstractNumId="145">
    <w:nsid w:val="744939A3"/>
    <w:multiLevelType w:val="hybridMultilevel"/>
    <w:lvl w:ilvl="0">
      <w:lvlJc w:val="left"/>
      <w:lvlText w:val="%1."/>
      <w:numFmt w:val="decimal"/>
      <w:start w:val="4"/>
    </w:lvl>
  </w:abstractNum>
  <w:abstractNum w:abstractNumId="146">
    <w:nsid w:val="4FA0D2E3"/>
    <w:multiLevelType w:val="hybridMultilevel"/>
    <w:lvl w:ilvl="0">
      <w:lvlJc w:val="left"/>
      <w:lvlText w:val="(%1)"/>
      <w:numFmt w:val="decimal"/>
      <w:start w:val="1"/>
    </w:lvl>
  </w:abstractNum>
  <w:abstractNum w:abstractNumId="147">
    <w:nsid w:val="6B1D2C14"/>
    <w:multiLevelType w:val="hybridMultilevel"/>
    <w:lvl w:ilvl="0">
      <w:lvlJc w:val="left"/>
      <w:lvlText w:val="%1."/>
      <w:numFmt w:val="decimal"/>
      <w:start w:val="5"/>
    </w:lvl>
  </w:abstractNum>
  <w:abstractNum w:abstractNumId="148">
    <w:nsid w:val="68B867D3"/>
    <w:multiLevelType w:val="hybridMultilevel"/>
    <w:lvl w:ilvl="0">
      <w:lvlJc w:val="left"/>
      <w:lvlText w:val="%1."/>
      <w:numFmt w:val="decimal"/>
      <w:start w:val="6"/>
    </w:lvl>
  </w:abstractNum>
  <w:abstractNum w:abstractNumId="149">
    <w:nsid w:val="3F7F5DD9"/>
    <w:multiLevelType w:val="hybridMultilevel"/>
    <w:lvl w:ilvl="0">
      <w:lvlJc w:val="left"/>
      <w:lvlText w:val="(%1)"/>
      <w:numFmt w:val="decimal"/>
      <w:start w:val="1"/>
    </w:lvl>
  </w:abstractNum>
  <w:abstractNum w:abstractNumId="150">
    <w:nsid w:val="2AE05A34"/>
    <w:multiLevelType w:val="hybridMultilevel"/>
    <w:lvl w:ilvl="0">
      <w:lvlJc w:val="left"/>
      <w:lvlText w:val="•"/>
      <w:numFmt w:val="bullet"/>
      <w:start w:val="1"/>
    </w:lvl>
  </w:abstractNum>
  <w:abstractNum w:abstractNumId="151">
    <w:nsid w:val="32794FF7"/>
    <w:multiLevelType w:val="hybridMultilevel"/>
    <w:lvl w:ilvl="0">
      <w:lvlJc w:val="left"/>
      <w:lvlText w:val="•"/>
      <w:numFmt w:val="bullet"/>
      <w:start w:val="1"/>
    </w:lvl>
  </w:abstractNum>
  <w:abstractNum w:abstractNumId="152">
    <w:nsid w:val="5454945E"/>
    <w:multiLevelType w:val="hybridMultilevel"/>
    <w:lvl w:ilvl="0">
      <w:lvlJc w:val="left"/>
      <w:lvlText w:val="•"/>
      <w:numFmt w:val="bullet"/>
      <w:start w:val="1"/>
    </w:lvl>
  </w:abstractNum>
  <w:abstractNum w:abstractNumId="153">
    <w:nsid w:val="4DEFDFA0"/>
    <w:multiLevelType w:val="hybridMultilevel"/>
    <w:lvl w:ilvl="0">
      <w:lvlJc w:val="left"/>
      <w:lvlText w:val="%1."/>
      <w:numFmt w:val="decimal"/>
      <w:start w:val="7"/>
    </w:lvl>
  </w:abstractNum>
  <w:abstractNum w:abstractNumId="154">
    <w:nsid w:val="2123D5F2"/>
    <w:multiLevelType w:val="hybridMultilevel"/>
    <w:lvl w:ilvl="0">
      <w:lvlJc w:val="left"/>
      <w:lvlText w:val="(%1)"/>
      <w:numFmt w:val="decimal"/>
      <w:start w:val="1"/>
    </w:lvl>
  </w:abstractNum>
  <w:abstractNum w:abstractNumId="155">
    <w:nsid w:val="135B8110"/>
    <w:multiLevelType w:val="hybridMultilevel"/>
    <w:lvl w:ilvl="0">
      <w:lvlJc w:val="left"/>
      <w:lvlText w:val="*"/>
      <w:numFmt w:val="bullet"/>
      <w:start w:val="1"/>
    </w:lvl>
  </w:abstractNum>
  <w:abstractNum w:abstractNumId="156">
    <w:nsid w:val="94927A8"/>
    <w:multiLevelType w:val="hybridMultilevel"/>
    <w:lvl w:ilvl="0">
      <w:lvlJc w:val="left"/>
      <w:lvlText w:val="(%1)"/>
      <w:numFmt w:val="decimal"/>
      <w:start w:val="1"/>
    </w:lvl>
  </w:abstractNum>
  <w:abstractNum w:abstractNumId="157">
    <w:nsid w:val="DCDF8F6"/>
    <w:multiLevelType w:val="hybridMultilevel"/>
    <w:lvl w:ilvl="0">
      <w:lvlJc w:val="left"/>
      <w:lvlText w:val="%1."/>
      <w:numFmt w:val="decimal"/>
      <w:start w:val="9"/>
    </w:lvl>
  </w:abstractNum>
  <w:abstractNum w:abstractNumId="158">
    <w:nsid w:val="52D7B105"/>
    <w:multiLevelType w:val="hybridMultilevel"/>
    <w:lvl w:ilvl="0">
      <w:lvlJc w:val="left"/>
      <w:lvlText w:val="%1."/>
      <w:numFmt w:val="decimal"/>
      <w:start w:val="10"/>
    </w:lvl>
  </w:abstractNum>
  <w:abstractNum w:abstractNumId="159">
    <w:nsid w:val="2E8A6394"/>
    <w:multiLevelType w:val="hybridMultilevel"/>
    <w:lvl w:ilvl="0">
      <w:lvlJc w:val="left"/>
      <w:lvlText w:val="%1."/>
      <w:numFmt w:val="decimal"/>
      <w:start w:val="11"/>
    </w:lvl>
  </w:abstractNum>
  <w:abstractNum w:abstractNumId="160">
    <w:nsid w:val="24E60401"/>
    <w:multiLevelType w:val="hybridMultilevel"/>
    <w:lvl w:ilvl="0">
      <w:lvlJc w:val="left"/>
      <w:lvlText w:val="•"/>
      <w:numFmt w:val="bullet"/>
      <w:start w:val="1"/>
    </w:lvl>
  </w:abstractNum>
  <w:abstractNum w:abstractNumId="161">
    <w:nsid w:val="2A6AD9BE"/>
    <w:multiLevelType w:val="hybridMultilevel"/>
    <w:lvl w:ilvl="0">
      <w:lvlJc w:val="left"/>
      <w:lvlText w:val="%1."/>
      <w:numFmt w:val="decimal"/>
      <w:start w:val="12"/>
    </w:lvl>
    <w:lvl w:ilvl="1">
      <w:lvlJc w:val="left"/>
      <w:lvlText w:val="•"/>
      <w:numFmt w:val="bullet"/>
      <w:start w:val="1"/>
    </w:lvl>
    <w:lvl w:ilvl="2">
      <w:lvlJc w:val="left"/>
      <w:lvlText w:val="•"/>
      <w:numFmt w:val="bullet"/>
      <w:start w:val="1"/>
    </w:lvl>
  </w:abstractNum>
  <w:abstractNum w:abstractNumId="162">
    <w:nsid w:val="BAAC1B4"/>
    <w:multiLevelType w:val="hybridMultilevel"/>
    <w:lvl w:ilvl="0">
      <w:lvlJc w:val="left"/>
      <w:lvlText w:val="•"/>
      <w:numFmt w:val="bullet"/>
      <w:start w:val="1"/>
    </w:lvl>
  </w:abstractNum>
  <w:abstractNum w:abstractNumId="163">
    <w:nsid w:val="36B2ACBC"/>
    <w:multiLevelType w:val="hybridMultilevel"/>
    <w:lvl w:ilvl="0">
      <w:lvlJc w:val="left"/>
      <w:lvlText w:val="•"/>
      <w:numFmt w:val="bullet"/>
      <w:start w:val="1"/>
    </w:lvl>
  </w:abstractNum>
  <w:abstractNum w:abstractNumId="164">
    <w:nsid w:val="779D8544"/>
    <w:multiLevelType w:val="hybridMultilevel"/>
    <w:lvl w:ilvl="0">
      <w:lvlJc w:val="left"/>
      <w:lvlText w:val="%1."/>
      <w:numFmt w:val="decimal"/>
      <w:start w:val="12"/>
    </w:lvl>
    <w:lvl w:ilvl="1">
      <w:lvlJc w:val="left"/>
      <w:lvlText w:val="•"/>
      <w:numFmt w:val="bullet"/>
      <w:start w:val="1"/>
    </w:lvl>
  </w:abstractNum>
  <w:abstractNum w:abstractNumId="165">
    <w:nsid w:val="4AB26E78"/>
    <w:multiLevelType w:val="hybridMultilevel"/>
    <w:lvl w:ilvl="0">
      <w:lvlJc w:val="left"/>
      <w:lvlText w:val="%1."/>
      <w:numFmt w:val="decimal"/>
      <w:start w:val="14"/>
    </w:lvl>
  </w:abstractNum>
  <w:abstractNum w:abstractNumId="166">
    <w:nsid w:val="21FAA2FA"/>
    <w:multiLevelType w:val="hybridMultilevel"/>
    <w:lvl w:ilvl="0">
      <w:lvlJc w:val="left"/>
      <w:lvlText w:val="(%1)"/>
      <w:numFmt w:val="decimal"/>
      <w:start w:val="1"/>
    </w:lvl>
  </w:abstractNum>
  <w:abstractNum w:abstractNumId="167">
    <w:nsid w:val="5451CF49"/>
    <w:multiLevelType w:val="hybridMultilevel"/>
    <w:lvl w:ilvl="0">
      <w:lvlJc w:val="left"/>
      <w:lvlText w:val="(%1)"/>
      <w:numFmt w:val="decimal"/>
      <w:start w:val="1"/>
    </w:lvl>
  </w:abstractNum>
  <w:abstractNum w:abstractNumId="168">
    <w:nsid w:val="6181EF69"/>
    <w:multiLevelType w:val="hybridMultilevel"/>
    <w:lvl w:ilvl="0">
      <w:lvlJc w:val="left"/>
      <w:lvlText w:val="%1."/>
      <w:numFmt w:val="decimal"/>
      <w:start w:val="15"/>
    </w:lvl>
  </w:abstractNum>
  <w:abstractNum w:abstractNumId="169">
    <w:nsid w:val="3E6400E6"/>
    <w:multiLevelType w:val="hybridMultilevel"/>
    <w:lvl w:ilvl="0">
      <w:lvlJc w:val="left"/>
      <w:lvlText w:val="(%1)"/>
      <w:numFmt w:val="decimal"/>
      <w:start w:val="1"/>
    </w:lvl>
  </w:abstractNum>
  <w:abstractNum w:abstractNumId="170">
    <w:nsid w:val="14217E23"/>
    <w:multiLevelType w:val="hybridMultilevel"/>
    <w:lvl w:ilvl="0">
      <w:lvlJc w:val="left"/>
      <w:lvlText w:val="(%1)"/>
      <w:numFmt w:val="decimal"/>
      <w:start w:val="1"/>
    </w:lvl>
  </w:abstractNum>
  <w:abstractNum w:abstractNumId="171">
    <w:nsid w:val="710757D0"/>
    <w:multiLevelType w:val="hybridMultilevel"/>
    <w:lvl w:ilvl="0">
      <w:lvlJc w:val="left"/>
      <w:lvlText w:val="(%1)"/>
      <w:numFmt w:val="decimal"/>
      <w:start w:val="1"/>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decimal"/>
      <w:start w:val="16"/>
    </w:lvl>
  </w:abstractNum>
  <w:abstractNum w:abstractNumId="174">
    <w:nsid w:val="1A9A9E69"/>
    <w:multiLevelType w:val="hybridMultilevel"/>
    <w:lvl w:ilvl="0">
      <w:lvlJc w:val="left"/>
      <w:lvlText w:val="%1."/>
      <w:numFmt w:val="decimal"/>
      <w:start w:val="17"/>
    </w:lvl>
    <w:lvl w:ilvl="1">
      <w:lvlJc w:val="left"/>
      <w:lvlText w:val="•"/>
      <w:numFmt w:val="bullet"/>
      <w:start w:val="1"/>
    </w:lvl>
  </w:abstractNum>
  <w:abstractNum w:abstractNumId="175">
    <w:nsid w:val="475E256A"/>
    <w:multiLevelType w:val="hybridMultilevel"/>
    <w:lvl w:ilvl="0">
      <w:lvlJc w:val="left"/>
      <w:lvlText w:val="(%1)"/>
      <w:numFmt w:val="decimal"/>
      <w:start w:val="1"/>
    </w:lvl>
  </w:abstractNum>
  <w:abstractNum w:abstractNumId="176">
    <w:nsid w:val="368DB37E"/>
    <w:multiLevelType w:val="hybridMultilevel"/>
    <w:lvl w:ilvl="0">
      <w:lvlJc w:val="left"/>
      <w:lvlText w:val="%1."/>
      <w:numFmt w:val="decimal"/>
      <w:start w:val="18"/>
    </w:lvl>
  </w:abstractNum>
  <w:abstractNum w:abstractNumId="177">
    <w:nsid w:val="6A3B714C"/>
    <w:multiLevelType w:val="hybridMultilevel"/>
    <w:lvl w:ilvl="0">
      <w:lvlJc w:val="left"/>
      <w:lvlText w:val="(%1)"/>
      <w:numFmt w:val="decimal"/>
      <w:start w:val="1"/>
    </w:lvl>
  </w:abstractNum>
  <w:abstractNum w:abstractNumId="178">
    <w:nsid w:val="327B517E"/>
    <w:multiLevelType w:val="hybridMultilevel"/>
    <w:lvl w:ilvl="0">
      <w:lvlJc w:val="left"/>
      <w:lvlText w:val="%1."/>
      <w:numFmt w:val="decimal"/>
      <w:start w:val="1"/>
    </w:lvl>
  </w:abstractNum>
  <w:abstractNum w:abstractNumId="179">
    <w:nsid w:val="1F461B51"/>
    <w:multiLevelType w:val="hybridMultilevel"/>
    <w:lvl w:ilvl="0">
      <w:lvlJc w:val="left"/>
      <w:lvlText w:val="%1."/>
      <w:numFmt w:val="decimal"/>
      <w:start w:val="1"/>
    </w:lvl>
    <w:lvl w:ilvl="1">
      <w:lvlJc w:val="left"/>
      <w:lvlText w:val="%2."/>
      <w:numFmt w:val="lowerLetter"/>
      <w:start w:val="1"/>
    </w:lvl>
  </w:abstractNum>
  <w:abstractNum w:abstractNumId="180">
    <w:nsid w:val="29BACF25"/>
    <w:multiLevelType w:val="hybridMultilevel"/>
    <w:lvl w:ilvl="0">
      <w:lvlJc w:val="left"/>
      <w:lvlText w:val="%1."/>
      <w:numFmt w:val="decimal"/>
      <w:start w:val="1"/>
    </w:lvl>
    <w:lvl w:ilvl="1">
      <w:lvlJc w:val="left"/>
      <w:lvlText w:val="%2."/>
      <w:numFmt w:val="lowerLetter"/>
      <w:start w:val="1"/>
    </w:lvl>
  </w:abstractNum>
  <w:abstractNum w:abstractNumId="181">
    <w:nsid w:val="5D5BABB3"/>
    <w:multiLevelType w:val="hybridMultilevel"/>
    <w:lvl w:ilvl="0">
      <w:lvlJc w:val="left"/>
      <w:lvlText w:val="%1."/>
      <w:numFmt w:val="decimal"/>
      <w:start w:val="1"/>
    </w:lvl>
    <w:lvl w:ilvl="1">
      <w:lvlJc w:val="left"/>
      <w:lvlText w:val="%2."/>
      <w:numFmt w:val="lowerLetter"/>
      <w:start w:val="1"/>
    </w:lvl>
  </w:abstractNum>
  <w:abstractNum w:abstractNumId="182">
    <w:nsid w:val="51BF6B48"/>
    <w:multiLevelType w:val="hybridMultilevel"/>
    <w:lvl w:ilvl="0">
      <w:lvlJc w:val="left"/>
      <w:lvlText w:val="(%1)"/>
      <w:numFmt w:val="decimal"/>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177" Type="http://schemas.openxmlformats.org/officeDocument/2006/relationships/hyperlink" Target="http://www.sec.gov/Archives/edgar/data/1276187/000127618715000083/ex21-wmbetetransactionagre.htm" TargetMode="External"/><Relationship Id="rId178" Type="http://schemas.openxmlformats.org/officeDocument/2006/relationships/hyperlink" Target="http://www.sec.gov/Archives/edgar/data/1012569/000119312516773907/d285419dex21.htm" TargetMode="External"/><Relationship Id="rId179" Type="http://schemas.openxmlformats.org/officeDocument/2006/relationships/hyperlink" Target="http://www.sec.gov/Archives/edgar/data/1012569/000119312516800652/d319170dex22.htm" TargetMode="External"/><Relationship Id="rId180" Type="http://schemas.openxmlformats.org/officeDocument/2006/relationships/hyperlink" Target="http://www.sec.gov/Archives/edgar/data/1161154/000119312518011358/d466186dex21.htm" TargetMode="External"/><Relationship Id="rId181" Type="http://schemas.openxmlformats.org/officeDocument/2006/relationships/hyperlink" Target="http://www.sec.gov/Archives/edgar/data/1161154/000119312518011358/d466186dex22.htm" TargetMode="External"/><Relationship Id="rId182" Type="http://schemas.openxmlformats.org/officeDocument/2006/relationships/hyperlink" Target="http://www.sec.gov/Archives/edgar/data/1276187/000119312518236837/d594535dex21.htm" TargetMode="External"/><Relationship Id="rId183" Type="http://schemas.openxmlformats.org/officeDocument/2006/relationships/hyperlink" Target="http://www.sec.gov/Archives/edgar/data/1276187/000119312519245885/d804505dex21.htm" TargetMode="External"/><Relationship Id="rId184" Type="http://schemas.openxmlformats.org/officeDocument/2006/relationships/hyperlink" Target="http://www.sec.gov/Archives/edgar/data/1276187/000119312521046617/d139787dex21.htm" TargetMode="External"/><Relationship Id="rId185" Type="http://schemas.openxmlformats.org/officeDocument/2006/relationships/hyperlink" Target="http://www.sec.gov/Archives/edgar/data/1276187/000119312505179978/dex32.htm" TargetMode="External"/><Relationship Id="rId186" Type="http://schemas.openxmlformats.org/officeDocument/2006/relationships/hyperlink" Target="http://www.sec.gov/Archives/edgar/data/1276187/000119312518303169/d639079dex31.htm" TargetMode="External"/><Relationship Id="rId187" Type="http://schemas.openxmlformats.org/officeDocument/2006/relationships/hyperlink" Target="http://www.sec.gov/Archives/edgar/data/1276187/000119312506031657/dex31.htm" TargetMode="External"/><Relationship Id="rId188" Type="http://schemas.openxmlformats.org/officeDocument/2006/relationships/hyperlink" Target="http://www.sec.gov/Archives/edgar/data/1276187/000119312506243515/dex331.htm" TargetMode="External"/><Relationship Id="rId189" Type="http://schemas.openxmlformats.org/officeDocument/2006/relationships/hyperlink" Target="http://www.sec.gov/Archives/edgar/data/1276187/000095012907005609/h51447exv3w3w2.htm" TargetMode="External"/><Relationship Id="rId190" Type="http://schemas.openxmlformats.org/officeDocument/2006/relationships/hyperlink" Target="http://www.sec.gov/Archives/edgar/data/1276187/000095012310055206/h73441exv3w1.htm" TargetMode="External"/><Relationship Id="rId191" Type="http://schemas.openxmlformats.org/officeDocument/2006/relationships/hyperlink" Target="http://www.sec.gov/Archives/edgar/data/1276187/000119312513486360/d650558dex31.htm" TargetMode="External"/><Relationship Id="rId192" Type="http://schemas.openxmlformats.org/officeDocument/2006/relationships/hyperlink" Target="http://www.sec.gov/Archives/edgar/data/1276187/000119312516498562/d138318dex31.htm" TargetMode="External"/><Relationship Id="rId195" Type="http://schemas.openxmlformats.org/officeDocument/2006/relationships/hyperlink" Target="http://www.sec.gov/Archives/edgar/data/1276187/000119312518303169/d639079dex32.htm" TargetMode="External"/><Relationship Id="rId196" Type="http://schemas.openxmlformats.org/officeDocument/2006/relationships/hyperlink" Target="http://www.sec.gov/Archives/edgar/data/1276187/000127618719000034/etex310amendmentno7.htm" TargetMode="External"/><Relationship Id="rId197" Type="http://schemas.openxmlformats.org/officeDocument/2006/relationships/hyperlink" Target="http://www.sec.gov/Archives/edgar/data/1276187/000095012310087517/h76247exv4w1.htm" TargetMode="External"/><Relationship Id="rId198" Type="http://schemas.openxmlformats.org/officeDocument/2006/relationships/hyperlink" Target="http://www.sec.gov/Archives/edgar/data/1276187/000119312513459297/d635738dex42.htm" TargetMode="External"/><Relationship Id="rId199" Type="http://schemas.openxmlformats.org/officeDocument/2006/relationships/hyperlink" Target="http://www.sec.gov/Archives/edgar/data/1276187/000127618714000026/a42ete-5thsupplementalinde.htm" TargetMode="External"/><Relationship Id="rId200" Type="http://schemas.openxmlformats.org/officeDocument/2006/relationships/hyperlink" Target="http://www.sec.gov/Archives/edgar/data/1276187/000127618714000026/a43ete-20146thsupplemental.htm" TargetMode="External"/><Relationship Id="rId201" Type="http://schemas.openxmlformats.org/officeDocument/2006/relationships/hyperlink" Target="http://www.sec.gov/Archives/edgar/data/1276187/000119312515198921/d930453dex42.htm" TargetMode="External"/><Relationship Id="rId202" Type="http://schemas.openxmlformats.org/officeDocument/2006/relationships/hyperlink" Target="http://www.sec.gov/Archives/edgar/data/1276187/000127618717000081/exhibit42-etexeighthsupple.htm" TargetMode="External"/><Relationship Id="rId203" Type="http://schemas.openxmlformats.org/officeDocument/2006/relationships/hyperlink" Target="https://www.sec.gov/Archives/edgar/data/1276187/000127618720000011/et-12312019xdescriptio.htm" TargetMode="External"/><Relationship Id="rId204" Type="http://schemas.openxmlformats.org/officeDocument/2006/relationships/hyperlink" Target="http://www.sec.gov/Archives/edgar/data/1276187/000119312519088650/d700955dex42.htm" TargetMode="External"/><Relationship Id="rId205" Type="http://schemas.openxmlformats.org/officeDocument/2006/relationships/hyperlink" Target="http://www.sec.gov/Archives/edgar/data/1276187/000127618718000011/eteex101ltip.htm" TargetMode="External"/><Relationship Id="rId206" Type="http://schemas.openxmlformats.org/officeDocument/2006/relationships/hyperlink" Target="https://www.sec.gov/Archives/edgar/data/1276187/000119312521003288/d104966dex101.htm" TargetMode="External"/><Relationship Id="rId207" Type="http://schemas.openxmlformats.org/officeDocument/2006/relationships/hyperlink" Target="https://www.sec.gov/Archives/edgar/data/1276187/000119312521003288/d104966dex102.htm" TargetMode="External"/><Relationship Id="rId208" Type="http://schemas.openxmlformats.org/officeDocument/2006/relationships/hyperlink" Target="https://www.sec.gov/Archives/edgar/data/1276187/000119312521003288/d104966dex103.htm" TargetMode="External"/><Relationship Id="rId209" Type="http://schemas.openxmlformats.org/officeDocument/2006/relationships/hyperlink" Target="http://www.sec.gov/Archives/edgar/data/1276187/000119312519024137/d699644dex41.htm" TargetMode="External"/><Relationship Id="rId210" Type="http://schemas.openxmlformats.org/officeDocument/2006/relationships/hyperlink" Target="http://www.sec.gov/Archives/edgar/data/1276187/000119312519024137/d699644dex42.htm" TargetMode="External"/><Relationship Id="rId211" Type="http://schemas.openxmlformats.org/officeDocument/2006/relationships/hyperlink" Target="http://www.sec.gov/Archives/edgar/data/1276187/000119312519024137/d699644dex43.htm" TargetMode="External"/><Relationship Id="rId212" Type="http://schemas.openxmlformats.org/officeDocument/2006/relationships/hyperlink" Target="http://www.sec.gov/Archives/edgar/data/1276187/000119312505245171/dex1026.htm" TargetMode="External"/><Relationship Id="rId213" Type="http://schemas.openxmlformats.org/officeDocument/2006/relationships/hyperlink" Target="http://www.sec.gov/Archives/edgar/data/1276187/000119312506244368/dex991.htm" TargetMode="External"/><Relationship Id="rId214" Type="http://schemas.openxmlformats.org/officeDocument/2006/relationships/hyperlink" Target="http://www.sec.gov/Archives/edgar/data/1276187/000127618719000011/et-12312018xex109.htm" TargetMode="External"/><Relationship Id="rId215" Type="http://schemas.openxmlformats.org/officeDocument/2006/relationships/hyperlink" Target="http://www.sec.gov/Archives/edgar/data/1276187/000119312507046447/dex991.htm" TargetMode="External"/><Relationship Id="rId218" Type="http://schemas.openxmlformats.org/officeDocument/2006/relationships/hyperlink" Target="http://www.sec.gov/Archives/edgar/data/1276187/000119312507105351/dex1045.htm" TargetMode="External"/><Relationship Id="rId219" Type="http://schemas.openxmlformats.org/officeDocument/2006/relationships/hyperlink" Target="http://www.sec.gov/Archives/edgar/data/1276187/000119312505245171/dex1030.htm" TargetMode="External"/><Relationship Id="rId220" Type="http://schemas.openxmlformats.org/officeDocument/2006/relationships/hyperlink" Target="http://www.sec.gov/Archives/edgar/data/1276187/000127618713000022/a102holdco-amendmenttoshar.htm" TargetMode="External"/><Relationship Id="rId221" Type="http://schemas.openxmlformats.org/officeDocument/2006/relationships/hyperlink" Target="http://www.sec.gov/Archives/edgar/data/1276187/000119312514058861/d678722dex101.htm" TargetMode="External"/><Relationship Id="rId222" Type="http://schemas.openxmlformats.org/officeDocument/2006/relationships/hyperlink" Target="http://www.sec.gov/Archives/edgar/data/1276187/000127618716000132/eteex1044masonretentionagr.htm" TargetMode="External"/><Relationship Id="rId223" Type="http://schemas.openxmlformats.org/officeDocument/2006/relationships/hyperlink" Target="http://www.sec.gov/Archives/edgar/data/1276187/000119312518011379/d468149dex101.htm" TargetMode="External"/><Relationship Id="rId224" Type="http://schemas.openxmlformats.org/officeDocument/2006/relationships/hyperlink" Target="http://www.sec.gov/Archives/edgar/data/1276187/000127618718000016/ex101registrationrightsagr.htm" TargetMode="External"/><Relationship Id="rId225" Type="http://schemas.openxmlformats.org/officeDocument/2006/relationships/hyperlink" Target="http://www.sec.gov/Archives/edgar/data/1276187/000127618719000011/et-12312018xex1023bonusplan.htm" TargetMode="External"/><Relationship Id="rId226" Type="http://schemas.openxmlformats.org/officeDocument/2006/relationships/hyperlink" Target="http://www.sec.gov/Archives/edgar/data/1276187/000119312519245885/d804505dex101.htm" TargetMode="External"/><Relationship Id="rId227" Type="http://schemas.openxmlformats.org/officeDocument/2006/relationships/hyperlink" Target="http://www.sec.gov/Archives/edgar/data/1276187/000119312519270127/d820692dex101.htm" TargetMode="External"/><Relationship Id="rId228" Type="http://schemas.openxmlformats.org/officeDocument/2006/relationships/hyperlink" Target="http://www.sec.gov/Archives/edgar/data/1276187/000119312519270127/d820692dex102.htm" TargetMode="External"/><Relationship Id="rId229" Type="http://schemas.openxmlformats.org/officeDocument/2006/relationships/hyperlink" Target="http://www.sec.gov/Archives/edgar/data/1276187/000119312521046617/d139787dex101.htm" TargetMode="External"/><Relationship Id="rId230" Type="http://schemas.openxmlformats.org/officeDocument/2006/relationships/hyperlink" Target="http://www.sec.gov/Archives/edgar/data/1276187/000119312521046617/d13978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2021-02-19T15:24:40Z</dcterms:created>
  <dcterms:modified xsi:type="dcterms:W3CDTF">2021-02-19T15:24:40Z</dcterms:modified>
</cp:coreProperties>
</file>