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417830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383540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48260</wp:posOffset>
            </wp:positionV>
            <wp:extent cx="1568450"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36" w:lineRule="exact"/>
        <w:rPr>
          <w:sz w:val="24"/>
          <w:szCs w:val="24"/>
          <w:color w:val="auto"/>
        </w:rPr>
      </w:pPr>
    </w:p>
    <w:p>
      <w:pPr>
        <w:ind w:left="3180" w:hanging="193"/>
        <w:spacing w:after="0"/>
        <w:tabs>
          <w:tab w:leader="none" w:pos="31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3180" w:hanging="200"/>
        <w:spacing w:after="0"/>
        <w:tabs>
          <w:tab w:leader="none" w:pos="318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1-32740</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ENERGY TRANSFER LP</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280" w:type="dxa"/>
            <w:vAlign w:val="bottom"/>
          </w:tcPr>
          <w:p>
            <w:pPr>
              <w:jc w:val="center"/>
              <w:ind w:left="2005"/>
              <w:spacing w:after="0"/>
              <w:rPr>
                <w:sz w:val="20"/>
                <w:szCs w:val="20"/>
                <w:color w:val="auto"/>
              </w:rPr>
            </w:pPr>
            <w:r>
              <w:rPr>
                <w:rFonts w:ascii="Arial" w:cs="Arial" w:eastAsia="Arial" w:hAnsi="Arial"/>
                <w:sz w:val="18"/>
                <w:szCs w:val="18"/>
                <w:b w:val="1"/>
                <w:bCs w:val="1"/>
                <w:color w:val="auto"/>
                <w:w w:val="91"/>
              </w:rPr>
              <w:t>Delaware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00" w:type="dxa"/>
            <w:vAlign w:val="bottom"/>
          </w:tcPr>
          <w:p>
            <w:pPr>
              <w:jc w:val="right"/>
              <w:ind w:right="2184"/>
              <w:spacing w:after="0"/>
              <w:rPr>
                <w:sz w:val="20"/>
                <w:szCs w:val="20"/>
                <w:color w:val="auto"/>
              </w:rPr>
            </w:pPr>
            <w:r>
              <w:rPr>
                <w:rFonts w:ascii="Arial" w:cs="Arial" w:eastAsia="Arial" w:hAnsi="Arial"/>
                <w:sz w:val="18"/>
                <w:szCs w:val="18"/>
                <w:b w:val="1"/>
                <w:bCs w:val="1"/>
                <w:color w:val="auto"/>
              </w:rPr>
              <w:t>30-0108820</w:t>
            </w:r>
          </w:p>
        </w:tc>
        <w:tc>
          <w:tcPr>
            <w:tcW w:w="0" w:type="dxa"/>
            <w:vAlign w:val="bottom"/>
          </w:tcPr>
          <w:p>
            <w:pPr>
              <w:spacing w:after="0"/>
              <w:rPr>
                <w:sz w:val="1"/>
                <w:szCs w:val="1"/>
                <w:color w:val="auto"/>
              </w:rPr>
            </w:pPr>
          </w:p>
        </w:tc>
      </w:tr>
      <w:tr>
        <w:trPr>
          <w:trHeight w:val="182"/>
        </w:trPr>
        <w:tc>
          <w:tcPr>
            <w:tcW w:w="7300" w:type="dxa"/>
            <w:vAlign w:val="bottom"/>
            <w:gridSpan w:val="6"/>
          </w:tcPr>
          <w:p>
            <w:pPr>
              <w:jc w:val="center"/>
              <w:ind w:right="19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00" w:type="dxa"/>
            <w:vAlign w:val="bottom"/>
          </w:tcPr>
          <w:p>
            <w:pPr>
              <w:jc w:val="center"/>
              <w:ind w:right="14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363"/>
        </w:trPr>
        <w:tc>
          <w:tcPr>
            <w:tcW w:w="3280" w:type="dxa"/>
            <w:vAlign w:val="bottom"/>
          </w:tcPr>
          <w:p>
            <w:pPr>
              <w:spacing w:after="0"/>
              <w:rPr>
                <w:sz w:val="24"/>
                <w:szCs w:val="24"/>
                <w:color w:val="auto"/>
              </w:rPr>
            </w:pPr>
          </w:p>
        </w:tc>
        <w:tc>
          <w:tcPr>
            <w:tcW w:w="7920" w:type="dxa"/>
            <w:vAlign w:val="bottom"/>
            <w:gridSpan w:val="6"/>
          </w:tcPr>
          <w:p>
            <w:pPr>
              <w:jc w:val="center"/>
              <w:ind w:right="3204"/>
              <w:spacing w:after="0"/>
              <w:rPr>
                <w:sz w:val="20"/>
                <w:szCs w:val="20"/>
                <w:color w:val="auto"/>
              </w:rPr>
            </w:pPr>
            <w:r>
              <w:rPr>
                <w:rFonts w:ascii="Arial" w:cs="Arial" w:eastAsia="Arial" w:hAnsi="Arial"/>
                <w:sz w:val="18"/>
                <w:szCs w:val="18"/>
                <w:b w:val="1"/>
                <w:bCs w:val="1"/>
                <w:color w:val="auto"/>
                <w:w w:val="88"/>
              </w:rPr>
              <w:t>8111 Westchester Drive, Suite 600, Dallas, Texas 75225</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4020" w:type="dxa"/>
            <w:vAlign w:val="bottom"/>
            <w:gridSpan w:val="5"/>
          </w:tcPr>
          <w:p>
            <w:pPr>
              <w:jc w:val="center"/>
              <w:ind w:left="559"/>
              <w:spacing w:after="0"/>
              <w:rPr>
                <w:sz w:val="20"/>
                <w:szCs w:val="20"/>
                <w:color w:val="auto"/>
              </w:rPr>
            </w:pPr>
            <w:r>
              <w:rPr>
                <w:rFonts w:ascii="Arial" w:cs="Arial" w:eastAsia="Arial" w:hAnsi="Arial"/>
                <w:sz w:val="14"/>
                <w:szCs w:val="14"/>
                <w:color w:val="auto"/>
                <w:w w:val="95"/>
              </w:rPr>
              <w:t>(Address of principal executive offices) (zip code)</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2"/>
                <w:szCs w:val="22"/>
                <w:color w:val="auto"/>
              </w:rPr>
            </w:pPr>
          </w:p>
        </w:tc>
        <w:tc>
          <w:tcPr>
            <w:tcW w:w="3460" w:type="dxa"/>
            <w:vAlign w:val="bottom"/>
            <w:gridSpan w:val="3"/>
          </w:tcPr>
          <w:p>
            <w:pPr>
              <w:jc w:val="center"/>
              <w:ind w:left="1099"/>
              <w:spacing w:after="0"/>
              <w:rPr>
                <w:sz w:val="20"/>
                <w:szCs w:val="20"/>
                <w:color w:val="auto"/>
              </w:rPr>
            </w:pPr>
            <w:r>
              <w:rPr>
                <w:rFonts w:ascii="Arial" w:cs="Arial" w:eastAsia="Arial" w:hAnsi="Arial"/>
                <w:sz w:val="18"/>
                <w:szCs w:val="18"/>
                <w:b w:val="1"/>
                <w:bCs w:val="1"/>
                <w:color w:val="auto"/>
                <w:w w:val="90"/>
              </w:rPr>
              <w:t>(214) 981-0700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4020" w:type="dxa"/>
            <w:vAlign w:val="bottom"/>
            <w:gridSpan w:val="5"/>
          </w:tcPr>
          <w:p>
            <w:pPr>
              <w:jc w:val="center"/>
              <w:ind w:left="539"/>
              <w:spacing w:after="0"/>
              <w:rPr>
                <w:sz w:val="20"/>
                <w:szCs w:val="20"/>
                <w:color w:val="auto"/>
              </w:rPr>
            </w:pPr>
            <w:r>
              <w:rPr>
                <w:rFonts w:ascii="Arial" w:cs="Arial" w:eastAsia="Arial" w:hAnsi="Arial"/>
                <w:sz w:val="14"/>
                <w:szCs w:val="14"/>
                <w:color w:val="auto"/>
                <w:w w:val="92"/>
              </w:rPr>
              <w:t>(Registrant’s telephone number, including area code)</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7920" w:type="dxa"/>
            <w:vAlign w:val="bottom"/>
            <w:gridSpan w:val="6"/>
          </w:tcPr>
          <w:p>
            <w:pPr>
              <w:jc w:val="center"/>
              <w:ind w:right="3184"/>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327"/>
        </w:trPr>
        <w:tc>
          <w:tcPr>
            <w:tcW w:w="3280" w:type="dxa"/>
            <w:vAlign w:val="bottom"/>
          </w:tcPr>
          <w:p>
            <w:pPr>
              <w:jc w:val="center"/>
              <w:ind w:left="1005"/>
              <w:spacing w:after="0"/>
              <w:rPr>
                <w:sz w:val="20"/>
                <w:szCs w:val="20"/>
                <w:color w:val="auto"/>
              </w:rPr>
            </w:pPr>
            <w:r>
              <w:rPr>
                <w:rFonts w:ascii="Arial" w:cs="Arial" w:eastAsia="Arial" w:hAnsi="Arial"/>
                <w:sz w:val="16"/>
                <w:szCs w:val="16"/>
                <w:color w:val="auto"/>
                <w:w w:val="90"/>
              </w:rPr>
              <w:t>Title of each class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580"/>
              <w:spacing w:after="0"/>
              <w:rPr>
                <w:sz w:val="20"/>
                <w:szCs w:val="20"/>
                <w:color w:val="auto"/>
              </w:rPr>
            </w:pPr>
            <w:r>
              <w:rPr>
                <w:rFonts w:ascii="Arial" w:cs="Arial" w:eastAsia="Arial" w:hAnsi="Arial"/>
                <w:sz w:val="16"/>
                <w:szCs w:val="16"/>
                <w:color w:val="auto"/>
                <w:w w:val="93"/>
              </w:rPr>
              <w:t>Trading Symbol(s)</w:t>
            </w:r>
          </w:p>
        </w:tc>
        <w:tc>
          <w:tcPr>
            <w:tcW w:w="3900" w:type="dxa"/>
            <w:vAlign w:val="bottom"/>
          </w:tcPr>
          <w:p>
            <w:pPr>
              <w:jc w:val="center"/>
              <w:ind w:right="364"/>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183"/>
        </w:trPr>
        <w:tc>
          <w:tcPr>
            <w:tcW w:w="3280" w:type="dxa"/>
            <w:vAlign w:val="bottom"/>
            <w:tcBorders>
              <w:top w:val="single" w:sz="8" w:color="auto"/>
            </w:tcBorders>
          </w:tcPr>
          <w:p>
            <w:pPr>
              <w:jc w:val="center"/>
              <w:ind w:left="985"/>
              <w:spacing w:after="0"/>
              <w:rPr>
                <w:sz w:val="20"/>
                <w:szCs w:val="20"/>
                <w:color w:val="auto"/>
              </w:rPr>
            </w:pPr>
            <w:r>
              <w:rPr>
                <w:rFonts w:ascii="Arial" w:cs="Arial" w:eastAsia="Arial" w:hAnsi="Arial"/>
                <w:sz w:val="14"/>
                <w:szCs w:val="14"/>
                <w:b w:val="1"/>
                <w:bCs w:val="1"/>
                <w:color w:val="auto"/>
                <w:w w:val="94"/>
              </w:rPr>
              <w:t>Common Units</w:t>
            </w: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ET</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51"/>
        </w:trPr>
        <w:tc>
          <w:tcPr>
            <w:tcW w:w="7300" w:type="dxa"/>
            <w:vAlign w:val="bottom"/>
            <w:gridSpan w:val="6"/>
          </w:tcPr>
          <w:p>
            <w:pPr>
              <w:jc w:val="center"/>
              <w:ind w:right="2960"/>
              <w:spacing w:after="0" w:line="151" w:lineRule="exact"/>
              <w:rPr>
                <w:sz w:val="20"/>
                <w:szCs w:val="20"/>
                <w:color w:val="auto"/>
              </w:rPr>
            </w:pPr>
            <w:r>
              <w:rPr>
                <w:rFonts w:ascii="Arial" w:cs="Arial" w:eastAsia="Arial" w:hAnsi="Arial"/>
                <w:sz w:val="14"/>
                <w:szCs w:val="14"/>
                <w:b w:val="1"/>
                <w:bCs w:val="1"/>
                <w:color w:val="auto"/>
                <w:w w:val="93"/>
              </w:rPr>
              <w:t>7.375% Series C Fixed-to-Floating Rate Cumulative Redeemable</w:t>
            </w:r>
          </w:p>
        </w:tc>
        <w:tc>
          <w:tcPr>
            <w:tcW w:w="390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91"/>
        </w:trPr>
        <w:tc>
          <w:tcPr>
            <w:tcW w:w="3280" w:type="dxa"/>
            <w:vAlign w:val="bottom"/>
          </w:tcPr>
          <w:p>
            <w:pPr>
              <w:jc w:val="center"/>
              <w:ind w:left="1005"/>
              <w:spacing w:after="0"/>
              <w:rPr>
                <w:sz w:val="20"/>
                <w:szCs w:val="20"/>
                <w:color w:val="auto"/>
              </w:rPr>
            </w:pPr>
            <w:r>
              <w:rPr>
                <w:rFonts w:ascii="Arial" w:cs="Arial" w:eastAsia="Arial" w:hAnsi="Arial"/>
                <w:sz w:val="14"/>
                <w:szCs w:val="14"/>
                <w:b w:val="1"/>
                <w:bCs w:val="1"/>
                <w:color w:val="auto"/>
                <w:w w:val="94"/>
              </w:rPr>
              <w:t>Perpetual Preferred Units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ETprC</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300" w:type="dxa"/>
            <w:vAlign w:val="bottom"/>
            <w:gridSpan w:val="6"/>
          </w:tcPr>
          <w:p>
            <w:pPr>
              <w:jc w:val="center"/>
              <w:ind w:right="2960"/>
              <w:spacing w:after="0" w:line="147" w:lineRule="exact"/>
              <w:rPr>
                <w:sz w:val="20"/>
                <w:szCs w:val="20"/>
                <w:color w:val="auto"/>
              </w:rPr>
            </w:pPr>
            <w:r>
              <w:rPr>
                <w:rFonts w:ascii="Arial" w:cs="Arial" w:eastAsia="Arial" w:hAnsi="Arial"/>
                <w:sz w:val="14"/>
                <w:szCs w:val="14"/>
                <w:b w:val="1"/>
                <w:bCs w:val="1"/>
                <w:color w:val="auto"/>
                <w:w w:val="93"/>
              </w:rPr>
              <w:t>7.625% Series D Fixed-to-Floating Rate Cumulative Redeemable</w:t>
            </w:r>
          </w:p>
        </w:tc>
        <w:tc>
          <w:tcPr>
            <w:tcW w:w="390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90"/>
        </w:trPr>
        <w:tc>
          <w:tcPr>
            <w:tcW w:w="3280" w:type="dxa"/>
            <w:vAlign w:val="bottom"/>
          </w:tcPr>
          <w:p>
            <w:pPr>
              <w:jc w:val="center"/>
              <w:ind w:left="1005"/>
              <w:spacing w:after="0"/>
              <w:rPr>
                <w:sz w:val="20"/>
                <w:szCs w:val="20"/>
                <w:color w:val="auto"/>
              </w:rPr>
            </w:pPr>
            <w:r>
              <w:rPr>
                <w:rFonts w:ascii="Arial" w:cs="Arial" w:eastAsia="Arial" w:hAnsi="Arial"/>
                <w:sz w:val="14"/>
                <w:szCs w:val="14"/>
                <w:b w:val="1"/>
                <w:bCs w:val="1"/>
                <w:color w:val="auto"/>
                <w:w w:val="94"/>
              </w:rPr>
              <w:t>Perpetual Preferred Units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ETprD</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300" w:type="dxa"/>
            <w:vAlign w:val="bottom"/>
            <w:gridSpan w:val="6"/>
          </w:tcPr>
          <w:p>
            <w:pPr>
              <w:jc w:val="center"/>
              <w:ind w:right="2960"/>
              <w:spacing w:after="0" w:line="147" w:lineRule="exact"/>
              <w:rPr>
                <w:sz w:val="20"/>
                <w:szCs w:val="20"/>
                <w:color w:val="auto"/>
              </w:rPr>
            </w:pPr>
            <w:r>
              <w:rPr>
                <w:rFonts w:ascii="Arial" w:cs="Arial" w:eastAsia="Arial" w:hAnsi="Arial"/>
                <w:sz w:val="14"/>
                <w:szCs w:val="14"/>
                <w:b w:val="1"/>
                <w:bCs w:val="1"/>
                <w:color w:val="auto"/>
                <w:w w:val="93"/>
              </w:rPr>
              <w:t>7.600% Series E Fixed-to-Floating Rate Cumulative Redeemable</w:t>
            </w:r>
          </w:p>
        </w:tc>
        <w:tc>
          <w:tcPr>
            <w:tcW w:w="390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90"/>
        </w:trPr>
        <w:tc>
          <w:tcPr>
            <w:tcW w:w="3280" w:type="dxa"/>
            <w:vAlign w:val="bottom"/>
          </w:tcPr>
          <w:p>
            <w:pPr>
              <w:jc w:val="center"/>
              <w:ind w:left="1005"/>
              <w:spacing w:after="0"/>
              <w:rPr>
                <w:sz w:val="20"/>
                <w:szCs w:val="20"/>
                <w:color w:val="auto"/>
              </w:rPr>
            </w:pPr>
            <w:r>
              <w:rPr>
                <w:rFonts w:ascii="Arial" w:cs="Arial" w:eastAsia="Arial" w:hAnsi="Arial"/>
                <w:sz w:val="14"/>
                <w:szCs w:val="14"/>
                <w:b w:val="1"/>
                <w:bCs w:val="1"/>
                <w:color w:val="auto"/>
                <w:w w:val="94"/>
              </w:rPr>
              <w:t>Perpetual Preferred Units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ETprE</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7"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6"/>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2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40" w:type="dxa"/>
            <w:vAlign w:val="bottom"/>
          </w:tcPr>
          <w:p>
            <w:pPr>
              <w:ind w:left="292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1"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20"/>
        <w:spacing w:after="0" w:line="21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At October 27, 2023, the registrant had 3,145,065,881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40" w:type="dxa"/>
            <w:vAlign w:val="bottom"/>
            <w:gridSpan w:val="43"/>
          </w:tcPr>
          <w:p>
            <w:pPr>
              <w:spacing w:after="0"/>
              <w:rPr>
                <w:sz w:val="20"/>
                <w:szCs w:val="20"/>
                <w:color w:val="auto"/>
              </w:rPr>
            </w:pPr>
            <w:r>
              <w:rPr>
                <w:rFonts w:ascii="Arial" w:cs="Arial" w:eastAsia="Arial" w:hAnsi="Arial"/>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49"/>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FORM 10-Q</w:t>
            </w:r>
          </w:p>
        </w:tc>
        <w:tc>
          <w:tcPr>
            <w:tcW w:w="492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gridSpan w:val="12"/>
          </w:tcPr>
          <w:p>
            <w:pPr>
              <w:jc w:val="center"/>
              <w:ind w:right="3300"/>
              <w:spacing w:after="0" w:line="196" w:lineRule="exact"/>
              <w:rPr>
                <w:sz w:val="20"/>
                <w:szCs w:val="20"/>
                <w:color w:val="auto"/>
              </w:rPr>
            </w:pPr>
            <w:r>
              <w:rPr>
                <w:rFonts w:ascii="Arial" w:cs="Arial" w:eastAsia="Arial" w:hAnsi="Arial"/>
                <w:sz w:val="18"/>
                <w:szCs w:val="18"/>
                <w:b w:val="1"/>
                <w:bCs w:val="1"/>
                <w:color w:val="auto"/>
                <w:w w:val="98"/>
              </w:rPr>
              <w:t>ENERGY TRANSFER LP AND SUBSIDIARIES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6"/>
          </w:tcPr>
          <w:p>
            <w:pPr>
              <w:jc w:val="center"/>
              <w:ind w:right="940"/>
              <w:spacing w:after="0" w:line="196" w:lineRule="exact"/>
              <w:rPr>
                <w:sz w:val="20"/>
                <w:szCs w:val="20"/>
                <w:color w:val="auto"/>
              </w:rPr>
            </w:pPr>
            <w:r>
              <w:rPr>
                <w:rFonts w:ascii="Arial" w:cs="Arial" w:eastAsia="Arial" w:hAnsi="Arial"/>
                <w:sz w:val="18"/>
                <w:szCs w:val="18"/>
                <w:b w:val="1"/>
                <w:bCs w:val="1"/>
                <w:color w:val="auto"/>
                <w:w w:val="98"/>
              </w:rPr>
              <w:t>TABLE OF CONTENTS</w:t>
            </w:r>
          </w:p>
        </w:tc>
        <w:tc>
          <w:tcPr>
            <w:tcW w:w="35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Borders>
              <w:top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60" w:type="dxa"/>
            <w:vAlign w:val="bottom"/>
            <w:tcBorders>
              <w:bottom w:val="single" w:sz="8" w:color="0000FF"/>
            </w:tcBorders>
            <w:gridSpan w:val="28"/>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 — FINANCIAL INFORMATION</w:t>
            </w:r>
          </w:p>
        </w:tc>
        <w:tc>
          <w:tcPr>
            <w:tcW w:w="7760" w:type="dxa"/>
            <w:vAlign w:val="bottom"/>
            <w:tcBorders>
              <w:bottom w:val="single" w:sz="8" w:color="CCEEFF"/>
            </w:tcBorders>
            <w:gridSpan w:val="14"/>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2"/>
          </w:tcPr>
          <w:p>
            <w:pPr>
              <w:spacing w:after="0" w:line="189" w:lineRule="exact"/>
              <w:rPr>
                <w:sz w:val="20"/>
                <w:szCs w:val="20"/>
                <w:color w:val="auto"/>
              </w:rPr>
            </w:pPr>
            <w:r>
              <w:rPr>
                <w:rFonts w:ascii="Arial" w:cs="Arial" w:eastAsia="Arial" w:hAnsi="Arial"/>
                <w:sz w:val="18"/>
                <w:szCs w:val="18"/>
                <w:color w:val="0000FF"/>
              </w:rPr>
              <w:t>ITEM 1. FINANCIAL STATEMENTS (Unaudited)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00" w:type="dxa"/>
            <w:vAlign w:val="bottom"/>
            <w:gridSpan w:val="16"/>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Consolidated Balance Sheets</w:t>
            </w:r>
          </w:p>
        </w:tc>
        <w:tc>
          <w:tcPr>
            <w:tcW w:w="8600" w:type="dxa"/>
            <w:vAlign w:val="bottom"/>
            <w:gridSpan w:val="25"/>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70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Consolidated Statements of Operations</w:t>
            </w: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700" w:type="dxa"/>
            <w:vAlign w:val="bottom"/>
            <w:gridSpan w:val="41"/>
            <w:shd w:val="clear" w:color="auto" w:fill="CCEEFF"/>
          </w:tcPr>
          <w:p>
            <w:pPr>
              <w:ind w:left="20"/>
              <w:spacing w:after="0" w:line="189" w:lineRule="exact"/>
              <w:rPr>
                <w:sz w:val="20"/>
                <w:szCs w:val="20"/>
                <w:color w:val="auto"/>
              </w:rPr>
            </w:pPr>
            <w:r>
              <w:rPr>
                <w:rFonts w:ascii="Arial" w:cs="Arial" w:eastAsia="Arial" w:hAnsi="Arial"/>
                <w:sz w:val="18"/>
                <w:szCs w:val="18"/>
                <w:color w:val="0000FF"/>
              </w:rPr>
              <w:t>Consolidated Statements of Comprehensive Income</w:t>
            </w: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40" w:type="dxa"/>
            <w:vAlign w:val="bottom"/>
            <w:gridSpan w:val="32"/>
          </w:tcPr>
          <w:p>
            <w:pPr>
              <w:ind w:left="20"/>
              <w:spacing w:after="0" w:line="189" w:lineRule="exact"/>
              <w:rPr>
                <w:sz w:val="20"/>
                <w:szCs w:val="20"/>
                <w:color w:val="auto"/>
              </w:rPr>
            </w:pPr>
            <w:r>
              <w:rPr>
                <w:rFonts w:ascii="Arial" w:cs="Arial" w:eastAsia="Arial" w:hAnsi="Arial"/>
                <w:sz w:val="18"/>
                <w:szCs w:val="18"/>
                <w:color w:val="0000FF"/>
              </w:rPr>
              <w:t>Consolidated Statements of Equity</w:t>
            </w:r>
          </w:p>
        </w:tc>
        <w:tc>
          <w:tcPr>
            <w:tcW w:w="6960" w:type="dxa"/>
            <w:vAlign w:val="bottom"/>
            <w:gridSpan w:val="9"/>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9</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80" w:type="dxa"/>
            <w:vAlign w:val="bottom"/>
            <w:gridSpan w:val="26"/>
            <w:shd w:val="clear" w:color="auto" w:fill="CCEEFF"/>
          </w:tcPr>
          <w:p>
            <w:pPr>
              <w:ind w:left="20"/>
              <w:spacing w:after="0" w:line="189" w:lineRule="exact"/>
              <w:rPr>
                <w:sz w:val="20"/>
                <w:szCs w:val="20"/>
                <w:color w:val="auto"/>
              </w:rPr>
            </w:pPr>
            <w:r>
              <w:rPr>
                <w:rFonts w:ascii="Arial" w:cs="Arial" w:eastAsia="Arial" w:hAnsi="Arial"/>
                <w:sz w:val="18"/>
                <w:szCs w:val="18"/>
                <w:color w:val="0000FF"/>
                <w:w w:val="88"/>
              </w:rPr>
              <w:t>Consolidated Statements of Cash Flows</w:t>
            </w:r>
          </w:p>
        </w:tc>
        <w:tc>
          <w:tcPr>
            <w:tcW w:w="7820" w:type="dxa"/>
            <w:vAlign w:val="bottom"/>
            <w:gridSpan w:val="15"/>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70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60" w:type="dxa"/>
            <w:vAlign w:val="bottom"/>
            <w:gridSpan w:val="4"/>
            <w:shd w:val="clear" w:color="auto" w:fill="CCEEFF"/>
          </w:tcPr>
          <w:p>
            <w:pPr>
              <w:ind w:left="520"/>
              <w:spacing w:after="0" w:line="189" w:lineRule="exact"/>
              <w:rPr>
                <w:sz w:val="20"/>
                <w:szCs w:val="20"/>
                <w:color w:val="auto"/>
              </w:rPr>
            </w:pPr>
            <w:r>
              <w:rPr>
                <w:rFonts w:ascii="Arial" w:cs="Arial" w:eastAsia="Arial" w:hAnsi="Arial"/>
                <w:sz w:val="18"/>
                <w:szCs w:val="18"/>
                <w:color w:val="0000FF"/>
                <w:w w:val="79"/>
              </w:rPr>
              <w:t>1.</w:t>
            </w:r>
          </w:p>
        </w:tc>
        <w:tc>
          <w:tcPr>
            <w:tcW w:w="10380" w:type="dxa"/>
            <w:vAlign w:val="bottom"/>
            <w:gridSpan w:val="39"/>
            <w:shd w:val="clear" w:color="auto" w:fill="CCEEFF"/>
          </w:tcPr>
          <w:p>
            <w:pPr>
              <w:ind w:left="40"/>
              <w:spacing w:after="0" w:line="189" w:lineRule="exact"/>
              <w:rPr>
                <w:sz w:val="20"/>
                <w:szCs w:val="20"/>
                <w:color w:val="auto"/>
              </w:rPr>
            </w:pPr>
            <w:r>
              <w:rPr>
                <w:rFonts w:ascii="Arial" w:cs="Arial" w:eastAsia="Arial" w:hAnsi="Arial"/>
                <w:sz w:val="18"/>
                <w:szCs w:val="18"/>
                <w:color w:val="0000FF"/>
              </w:rPr>
              <w:t>Organization and Basis of Presentation</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60" w:type="dxa"/>
            <w:vAlign w:val="bottom"/>
            <w:gridSpan w:val="4"/>
          </w:tcPr>
          <w:p>
            <w:pPr>
              <w:ind w:left="520"/>
              <w:spacing w:after="0" w:line="189" w:lineRule="exact"/>
              <w:rPr>
                <w:sz w:val="20"/>
                <w:szCs w:val="20"/>
                <w:color w:val="auto"/>
              </w:rPr>
            </w:pPr>
            <w:r>
              <w:rPr>
                <w:rFonts w:ascii="Arial" w:cs="Arial" w:eastAsia="Arial" w:hAnsi="Arial"/>
                <w:sz w:val="18"/>
                <w:szCs w:val="18"/>
                <w:color w:val="0000FF"/>
                <w:w w:val="79"/>
              </w:rPr>
              <w:t>2.</w:t>
            </w:r>
          </w:p>
        </w:tc>
        <w:tc>
          <w:tcPr>
            <w:tcW w:w="10380" w:type="dxa"/>
            <w:vAlign w:val="bottom"/>
            <w:gridSpan w:val="39"/>
          </w:tcPr>
          <w:p>
            <w:pPr>
              <w:ind w:left="40"/>
              <w:spacing w:after="0" w:line="189" w:lineRule="exact"/>
              <w:rPr>
                <w:sz w:val="20"/>
                <w:szCs w:val="20"/>
                <w:color w:val="auto"/>
              </w:rPr>
            </w:pPr>
            <w:r>
              <w:rPr>
                <w:rFonts w:ascii="Arial" w:cs="Arial" w:eastAsia="Arial" w:hAnsi="Arial"/>
                <w:sz w:val="18"/>
                <w:szCs w:val="18"/>
                <w:color w:val="0000FF"/>
              </w:rPr>
              <w:t>Acquisitions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60" w:type="dxa"/>
            <w:vAlign w:val="bottom"/>
            <w:gridSpan w:val="4"/>
            <w:shd w:val="clear" w:color="auto" w:fill="CCEEFF"/>
          </w:tcPr>
          <w:p>
            <w:pPr>
              <w:ind w:left="520"/>
              <w:spacing w:after="0" w:line="189" w:lineRule="exact"/>
              <w:rPr>
                <w:sz w:val="20"/>
                <w:szCs w:val="20"/>
                <w:color w:val="auto"/>
              </w:rPr>
            </w:pPr>
            <w:r>
              <w:rPr>
                <w:rFonts w:ascii="Arial" w:cs="Arial" w:eastAsia="Arial" w:hAnsi="Arial"/>
                <w:sz w:val="18"/>
                <w:szCs w:val="18"/>
                <w:color w:val="0000FF"/>
                <w:w w:val="79"/>
              </w:rPr>
              <w:t>3.</w:t>
            </w:r>
          </w:p>
        </w:tc>
        <w:tc>
          <w:tcPr>
            <w:tcW w:w="10380" w:type="dxa"/>
            <w:vAlign w:val="bottom"/>
            <w:gridSpan w:val="39"/>
            <w:shd w:val="clear" w:color="auto" w:fill="CCEEFF"/>
          </w:tcPr>
          <w:p>
            <w:pPr>
              <w:ind w:left="40"/>
              <w:spacing w:after="0" w:line="189" w:lineRule="exact"/>
              <w:rPr>
                <w:sz w:val="20"/>
                <w:szCs w:val="20"/>
                <w:color w:val="auto"/>
              </w:rPr>
            </w:pPr>
            <w:r>
              <w:rPr>
                <w:rFonts w:ascii="Arial" w:cs="Arial" w:eastAsia="Arial" w:hAnsi="Arial"/>
                <w:sz w:val="18"/>
                <w:szCs w:val="18"/>
                <w:color w:val="0000FF"/>
              </w:rPr>
              <w:t>Cash and Cash Equivalents</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60" w:type="dxa"/>
            <w:vAlign w:val="bottom"/>
            <w:gridSpan w:val="4"/>
          </w:tcPr>
          <w:p>
            <w:pPr>
              <w:ind w:left="520"/>
              <w:spacing w:after="0" w:line="189" w:lineRule="exact"/>
              <w:rPr>
                <w:sz w:val="20"/>
                <w:szCs w:val="20"/>
                <w:color w:val="auto"/>
              </w:rPr>
            </w:pPr>
            <w:r>
              <w:rPr>
                <w:rFonts w:ascii="Arial" w:cs="Arial" w:eastAsia="Arial" w:hAnsi="Arial"/>
                <w:sz w:val="18"/>
                <w:szCs w:val="18"/>
                <w:color w:val="0000FF"/>
                <w:w w:val="79"/>
              </w:rPr>
              <w:t>4.</w:t>
            </w:r>
          </w:p>
        </w:tc>
        <w:tc>
          <w:tcPr>
            <w:tcW w:w="10380" w:type="dxa"/>
            <w:vAlign w:val="bottom"/>
            <w:gridSpan w:val="39"/>
          </w:tcPr>
          <w:p>
            <w:pPr>
              <w:ind w:left="40"/>
              <w:spacing w:after="0" w:line="189" w:lineRule="exact"/>
              <w:rPr>
                <w:sz w:val="20"/>
                <w:szCs w:val="20"/>
                <w:color w:val="auto"/>
              </w:rPr>
            </w:pPr>
            <w:r>
              <w:rPr>
                <w:rFonts w:ascii="Arial" w:cs="Arial" w:eastAsia="Arial" w:hAnsi="Arial"/>
                <w:sz w:val="18"/>
                <w:szCs w:val="18"/>
                <w:color w:val="0000FF"/>
              </w:rPr>
              <w:t>Inventories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60" w:type="dxa"/>
            <w:vAlign w:val="bottom"/>
            <w:gridSpan w:val="4"/>
            <w:shd w:val="clear" w:color="auto" w:fill="CCEEFF"/>
          </w:tcPr>
          <w:p>
            <w:pPr>
              <w:ind w:left="520"/>
              <w:spacing w:after="0" w:line="189" w:lineRule="exact"/>
              <w:rPr>
                <w:sz w:val="20"/>
                <w:szCs w:val="20"/>
                <w:color w:val="auto"/>
              </w:rPr>
            </w:pPr>
            <w:r>
              <w:rPr>
                <w:rFonts w:ascii="Arial" w:cs="Arial" w:eastAsia="Arial" w:hAnsi="Arial"/>
                <w:sz w:val="18"/>
                <w:szCs w:val="18"/>
                <w:color w:val="0000FF"/>
                <w:w w:val="79"/>
              </w:rPr>
              <w:t>5.</w:t>
            </w:r>
          </w:p>
        </w:tc>
        <w:tc>
          <w:tcPr>
            <w:tcW w:w="10380" w:type="dxa"/>
            <w:vAlign w:val="bottom"/>
            <w:gridSpan w:val="39"/>
            <w:shd w:val="clear" w:color="auto" w:fill="CCEEFF"/>
          </w:tcPr>
          <w:p>
            <w:pPr>
              <w:ind w:left="40"/>
              <w:spacing w:after="0" w:line="189" w:lineRule="exact"/>
              <w:rPr>
                <w:sz w:val="20"/>
                <w:szCs w:val="20"/>
                <w:color w:val="auto"/>
              </w:rPr>
            </w:pPr>
            <w:r>
              <w:rPr>
                <w:rFonts w:ascii="Arial" w:cs="Arial" w:eastAsia="Arial" w:hAnsi="Arial"/>
                <w:sz w:val="18"/>
                <w:szCs w:val="18"/>
                <w:color w:val="0000FF"/>
              </w:rPr>
              <w:t>Fair Value Measurements</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520" w:type="dxa"/>
            <w:vAlign w:val="bottom"/>
            <w:gridSpan w:val="40"/>
          </w:tcPr>
          <w:p>
            <w:pPr>
              <w:spacing w:after="0" w:line="189" w:lineRule="exact"/>
              <w:rPr>
                <w:sz w:val="20"/>
                <w:szCs w:val="20"/>
                <w:color w:val="auto"/>
              </w:rPr>
            </w:pPr>
            <w:r>
              <w:rPr>
                <w:rFonts w:ascii="Arial" w:cs="Arial" w:eastAsia="Arial" w:hAnsi="Arial"/>
                <w:sz w:val="18"/>
                <w:szCs w:val="18"/>
                <w:color w:val="0000FF"/>
              </w:rPr>
              <w:t>6. Net Income Per Common Unit</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17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60" w:type="dxa"/>
            <w:vAlign w:val="bottom"/>
            <w:gridSpan w:val="4"/>
            <w:shd w:val="clear" w:color="auto" w:fill="CCEEFF"/>
          </w:tcPr>
          <w:p>
            <w:pPr>
              <w:ind w:left="520"/>
              <w:spacing w:after="0" w:line="189" w:lineRule="exact"/>
              <w:rPr>
                <w:sz w:val="20"/>
                <w:szCs w:val="20"/>
                <w:color w:val="auto"/>
              </w:rPr>
            </w:pPr>
            <w:r>
              <w:rPr>
                <w:rFonts w:ascii="Arial" w:cs="Arial" w:eastAsia="Arial" w:hAnsi="Arial"/>
                <w:sz w:val="18"/>
                <w:szCs w:val="18"/>
                <w:color w:val="0000FF"/>
                <w:w w:val="79"/>
              </w:rPr>
              <w:t>7.</w:t>
            </w:r>
          </w:p>
        </w:tc>
        <w:tc>
          <w:tcPr>
            <w:tcW w:w="10380" w:type="dxa"/>
            <w:vAlign w:val="bottom"/>
            <w:gridSpan w:val="39"/>
            <w:shd w:val="clear" w:color="auto" w:fill="CCEEFF"/>
          </w:tcPr>
          <w:p>
            <w:pPr>
              <w:ind w:left="40"/>
              <w:spacing w:after="0" w:line="189" w:lineRule="exact"/>
              <w:rPr>
                <w:sz w:val="20"/>
                <w:szCs w:val="20"/>
                <w:color w:val="auto"/>
              </w:rPr>
            </w:pPr>
            <w:r>
              <w:rPr>
                <w:rFonts w:ascii="Arial" w:cs="Arial" w:eastAsia="Arial" w:hAnsi="Arial"/>
                <w:sz w:val="18"/>
                <w:szCs w:val="18"/>
                <w:color w:val="0000FF"/>
              </w:rPr>
              <w:t>Debt Obligations</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60" w:type="dxa"/>
            <w:vAlign w:val="bottom"/>
            <w:gridSpan w:val="4"/>
          </w:tcPr>
          <w:p>
            <w:pPr>
              <w:ind w:left="520"/>
              <w:spacing w:after="0" w:line="189" w:lineRule="exact"/>
              <w:rPr>
                <w:sz w:val="20"/>
                <w:szCs w:val="20"/>
                <w:color w:val="auto"/>
              </w:rPr>
            </w:pPr>
            <w:r>
              <w:rPr>
                <w:rFonts w:ascii="Arial" w:cs="Arial" w:eastAsia="Arial" w:hAnsi="Arial"/>
                <w:sz w:val="18"/>
                <w:szCs w:val="18"/>
                <w:color w:val="0000FF"/>
                <w:w w:val="79"/>
              </w:rPr>
              <w:t>8.</w:t>
            </w:r>
          </w:p>
        </w:tc>
        <w:tc>
          <w:tcPr>
            <w:tcW w:w="10380" w:type="dxa"/>
            <w:vAlign w:val="bottom"/>
            <w:gridSpan w:val="39"/>
          </w:tcPr>
          <w:p>
            <w:pPr>
              <w:ind w:left="40"/>
              <w:spacing w:after="0" w:line="189" w:lineRule="exact"/>
              <w:rPr>
                <w:sz w:val="20"/>
                <w:szCs w:val="20"/>
                <w:color w:val="auto"/>
              </w:rPr>
            </w:pPr>
            <w:r>
              <w:rPr>
                <w:rFonts w:ascii="Arial" w:cs="Arial" w:eastAsia="Arial" w:hAnsi="Arial"/>
                <w:sz w:val="18"/>
                <w:szCs w:val="18"/>
                <w:color w:val="0000FF"/>
              </w:rPr>
              <w:t>Redeemable Noncontrolling Interests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18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60" w:type="dxa"/>
            <w:vAlign w:val="bottom"/>
            <w:gridSpan w:val="4"/>
            <w:shd w:val="clear" w:color="auto" w:fill="CCEEFF"/>
          </w:tcPr>
          <w:p>
            <w:pPr>
              <w:ind w:left="520"/>
              <w:spacing w:after="0" w:line="189" w:lineRule="exact"/>
              <w:rPr>
                <w:sz w:val="20"/>
                <w:szCs w:val="20"/>
                <w:color w:val="auto"/>
              </w:rPr>
            </w:pPr>
            <w:r>
              <w:rPr>
                <w:rFonts w:ascii="Arial" w:cs="Arial" w:eastAsia="Arial" w:hAnsi="Arial"/>
                <w:sz w:val="18"/>
                <w:szCs w:val="18"/>
                <w:color w:val="0000FF"/>
                <w:w w:val="79"/>
              </w:rPr>
              <w:t>9.</w:t>
            </w:r>
          </w:p>
        </w:tc>
        <w:tc>
          <w:tcPr>
            <w:tcW w:w="10380" w:type="dxa"/>
            <w:vAlign w:val="bottom"/>
            <w:gridSpan w:val="39"/>
            <w:shd w:val="clear" w:color="auto" w:fill="CCEEFF"/>
          </w:tcPr>
          <w:p>
            <w:pPr>
              <w:ind w:left="40"/>
              <w:spacing w:after="0" w:line="189" w:lineRule="exact"/>
              <w:rPr>
                <w:sz w:val="20"/>
                <w:szCs w:val="20"/>
                <w:color w:val="auto"/>
              </w:rPr>
            </w:pPr>
            <w:r>
              <w:rPr>
                <w:rFonts w:ascii="Arial" w:cs="Arial" w:eastAsia="Arial" w:hAnsi="Arial"/>
                <w:sz w:val="18"/>
                <w:szCs w:val="18"/>
                <w:color w:val="0000FF"/>
              </w:rPr>
              <w:t>Equity</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520" w:type="dxa"/>
            <w:vAlign w:val="bottom"/>
            <w:gridSpan w:val="40"/>
          </w:tcPr>
          <w:p>
            <w:pPr>
              <w:spacing w:after="0" w:line="189" w:lineRule="exact"/>
              <w:rPr>
                <w:sz w:val="20"/>
                <w:szCs w:val="20"/>
                <w:color w:val="auto"/>
              </w:rPr>
            </w:pPr>
            <w:r>
              <w:rPr>
                <w:rFonts w:ascii="Arial" w:cs="Arial" w:eastAsia="Arial" w:hAnsi="Arial"/>
                <w:sz w:val="18"/>
                <w:szCs w:val="18"/>
                <w:color w:val="0000FF"/>
              </w:rPr>
              <w:t>10. Regulatory Matters, Commitments, Contingencies and Environmental Liabilities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520" w:type="dxa"/>
            <w:vAlign w:val="bottom"/>
            <w:gridSpan w:val="40"/>
            <w:shd w:val="clear" w:color="auto" w:fill="CCEEFF"/>
          </w:tcPr>
          <w:p>
            <w:pPr>
              <w:spacing w:after="0" w:line="189" w:lineRule="exact"/>
              <w:rPr>
                <w:sz w:val="20"/>
                <w:szCs w:val="20"/>
                <w:color w:val="auto"/>
              </w:rPr>
            </w:pPr>
            <w:r>
              <w:rPr>
                <w:rFonts w:ascii="Arial" w:cs="Arial" w:eastAsia="Arial" w:hAnsi="Arial"/>
                <w:sz w:val="18"/>
                <w:szCs w:val="18"/>
                <w:color w:val="0000FF"/>
              </w:rPr>
              <w:t>11. Revenue</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32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520" w:type="dxa"/>
            <w:vAlign w:val="bottom"/>
            <w:gridSpan w:val="40"/>
          </w:tcPr>
          <w:p>
            <w:pPr>
              <w:spacing w:after="0" w:line="189" w:lineRule="exact"/>
              <w:rPr>
                <w:sz w:val="20"/>
                <w:szCs w:val="20"/>
                <w:color w:val="auto"/>
              </w:rPr>
            </w:pPr>
            <w:r>
              <w:rPr>
                <w:rFonts w:ascii="Arial" w:cs="Arial" w:eastAsia="Arial" w:hAnsi="Arial"/>
                <w:sz w:val="18"/>
                <w:szCs w:val="18"/>
                <w:color w:val="0000FF"/>
              </w:rPr>
              <w:t>12. Derivative Assets and Liabilities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0000FF"/>
            </w:tcBorders>
            <w:gridSpan w:val="14"/>
            <w:shd w:val="clear" w:color="auto" w:fill="CCEEFF"/>
          </w:tcPr>
          <w:p>
            <w:pPr>
              <w:spacing w:after="0" w:line="189" w:lineRule="exact"/>
              <w:rPr>
                <w:sz w:val="20"/>
                <w:szCs w:val="20"/>
                <w:color w:val="auto"/>
              </w:rPr>
            </w:pPr>
            <w:r>
              <w:rPr>
                <w:rFonts w:ascii="Arial" w:cs="Arial" w:eastAsia="Arial" w:hAnsi="Arial"/>
                <w:sz w:val="18"/>
                <w:szCs w:val="18"/>
                <w:color w:val="0000FF"/>
                <w:w w:val="87"/>
              </w:rPr>
              <w:t>13. Reportable Segments</w:t>
            </w:r>
          </w:p>
        </w:tc>
        <w:tc>
          <w:tcPr>
            <w:tcW w:w="8720" w:type="dxa"/>
            <w:vAlign w:val="bottom"/>
            <w:tcBorders>
              <w:bottom w:val="single" w:sz="8" w:color="CCEEFF"/>
            </w:tcBorders>
            <w:gridSpan w:val="26"/>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38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2"/>
          </w:tcPr>
          <w:p>
            <w:pPr>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13"/>
            <w:shd w:val="clear" w:color="auto" w:fill="CCEEFF"/>
          </w:tcPr>
          <w:p>
            <w:pPr>
              <w:ind w:left="20"/>
              <w:spacing w:after="0" w:line="189" w:lineRule="exact"/>
              <w:rPr>
                <w:sz w:val="20"/>
                <w:szCs w:val="20"/>
                <w:color w:val="auto"/>
              </w:rPr>
            </w:pPr>
            <w:r>
              <w:rPr>
                <w:rFonts w:ascii="Arial" w:cs="Arial" w:eastAsia="Arial" w:hAnsi="Arial"/>
                <w:sz w:val="18"/>
                <w:szCs w:val="18"/>
                <w:color w:val="0000FF"/>
                <w:w w:val="88"/>
              </w:rPr>
              <w:t>Recent Developments</w:t>
            </w:r>
          </w:p>
        </w:tc>
        <w:tc>
          <w:tcPr>
            <w:tcW w:w="9100" w:type="dxa"/>
            <w:vAlign w:val="bottom"/>
            <w:tcBorders>
              <w:bottom w:val="single" w:sz="8" w:color="CCEEFF"/>
            </w:tcBorders>
            <w:gridSpan w:val="28"/>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70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Results of Operations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20"/>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Liquidity and Capital Resources</w:t>
            </w:r>
          </w:p>
        </w:tc>
        <w:tc>
          <w:tcPr>
            <w:tcW w:w="8360" w:type="dxa"/>
            <w:vAlign w:val="bottom"/>
            <w:tcBorders>
              <w:bottom w:val="single" w:sz="8" w:color="CCEEFF"/>
            </w:tcBorders>
            <w:gridSpan w:val="21"/>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57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70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Cash Distributions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02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66</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800" w:type="dxa"/>
            <w:vAlign w:val="bottom"/>
            <w:tcBorders>
              <w:top w:val="single" w:sz="8" w:color="0000FF"/>
            </w:tcBorders>
            <w:gridSpan w:val="39"/>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4220" w:type="dxa"/>
            <w:vAlign w:val="bottom"/>
            <w:tcBorders>
              <w:top w:val="single" w:sz="8" w:color="CCEEFF"/>
            </w:tcBorders>
            <w:gridSpan w:val="3"/>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67</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0000FF"/>
            </w:tcBorders>
            <w:gridSpan w:val="24"/>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8060" w:type="dxa"/>
            <w:vAlign w:val="bottom"/>
            <w:tcBorders>
              <w:bottom w:val="single" w:sz="8" w:color="CCEEFF"/>
            </w:tcBorders>
            <w:gridSpan w:val="18"/>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2"/>
          </w:tcPr>
          <w:p>
            <w:pPr>
              <w:spacing w:after="0" w:line="189" w:lineRule="exact"/>
              <w:rPr>
                <w:sz w:val="20"/>
                <w:szCs w:val="20"/>
                <w:color w:val="auto"/>
              </w:rPr>
            </w:pPr>
            <w:r>
              <w:rPr>
                <w:rFonts w:ascii="Arial" w:cs="Arial" w:eastAsia="Arial" w:hAnsi="Arial"/>
                <w:sz w:val="18"/>
                <w:szCs w:val="18"/>
                <w:color w:val="0000FF"/>
              </w:rPr>
              <w:t>ITEM 1. LEGAL PROCEEDINGS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02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ITEM 1A. RISK FACTORS</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040" w:type="dxa"/>
            <w:vAlign w:val="bottom"/>
            <w:tcBorders>
              <w:top w:val="single" w:sz="8" w:color="0000FF"/>
            </w:tcBorders>
            <w:gridSpan w:val="15"/>
          </w:tcPr>
          <w:p>
            <w:pPr>
              <w:spacing w:after="0" w:line="189" w:lineRule="exact"/>
              <w:rPr>
                <w:sz w:val="20"/>
                <w:szCs w:val="20"/>
                <w:color w:val="auto"/>
              </w:rPr>
            </w:pPr>
            <w:r>
              <w:rPr>
                <w:rFonts w:ascii="Arial" w:cs="Arial" w:eastAsia="Arial" w:hAnsi="Arial"/>
                <w:sz w:val="18"/>
                <w:szCs w:val="18"/>
                <w:color w:val="0000FF"/>
              </w:rPr>
              <w:t>ITEM 6. EXHIBITS</w:t>
            </w:r>
          </w:p>
        </w:tc>
        <w:tc>
          <w:tcPr>
            <w:tcW w:w="8980" w:type="dxa"/>
            <w:vAlign w:val="bottom"/>
            <w:tcBorders>
              <w:top w:val="single" w:sz="8" w:color="CCEEFF"/>
            </w:tcBorders>
            <w:gridSpan w:val="27"/>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70</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02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SIGNATURE</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71</w:t>
            </w:r>
          </w:p>
        </w:tc>
        <w:tc>
          <w:tcPr>
            <w:tcW w:w="20" w:type="dxa"/>
            <w:vAlign w:val="bottom"/>
            <w:shd w:val="clear" w:color="auto" w:fill="CCEEFF"/>
          </w:tcPr>
          <w:p>
            <w:pPr>
              <w:spacing w:after="0"/>
              <w:rPr>
                <w:sz w:val="18"/>
                <w:szCs w:val="18"/>
                <w:color w:val="auto"/>
              </w:rPr>
            </w:pPr>
          </w:p>
        </w:tc>
      </w:tr>
      <w:tr>
        <w:trPr>
          <w:trHeight w:val="850"/>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100" w:type="dxa"/>
            <w:vAlign w:val="bottom"/>
            <w:tcBorders>
              <w:top w:val="single" w:sz="8" w:color="CCEEFF"/>
            </w:tcBorders>
            <w:gridSpan w:val="32"/>
          </w:tcPr>
          <w:p>
            <w:pPr>
              <w:jc w:val="center"/>
              <w:ind w:left="4010"/>
              <w:spacing w:after="0"/>
              <w:rPr>
                <w:sz w:val="20"/>
                <w:szCs w:val="20"/>
                <w:color w:val="auto"/>
              </w:rPr>
            </w:pPr>
            <w:r>
              <w:rPr>
                <w:rFonts w:ascii="Arial" w:cs="Arial" w:eastAsia="Arial" w:hAnsi="Arial"/>
                <w:sz w:val="18"/>
                <w:szCs w:val="18"/>
                <w:color w:val="auto"/>
                <w:w w:val="79"/>
              </w:rPr>
              <w:t>2</w:t>
            </w:r>
          </w:p>
        </w:tc>
        <w:tc>
          <w:tcPr>
            <w:tcW w:w="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References to the “Partnership” or “Energy Transfer” refer to Energy Transfer LP. In addition, the following is a list of certain acronyms and terms used throughout this document: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 day</w:t>
            </w: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AOCI</w:t>
            </w:r>
          </w:p>
        </w:tc>
        <w:tc>
          <w:tcPr>
            <w:tcW w:w="82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BBtu</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billion British thermal units</w:t>
            </w:r>
          </w:p>
        </w:tc>
      </w:tr>
      <w:tr>
        <w:trPr>
          <w:trHeight w:val="176"/>
        </w:trPr>
        <w:tc>
          <w:tcPr>
            <w:tcW w:w="3000" w:type="dxa"/>
            <w:vAlign w:val="bottom"/>
          </w:tcPr>
          <w:p>
            <w:pPr>
              <w:ind w:left="360"/>
              <w:spacing w:after="0" w:line="176" w:lineRule="exact"/>
              <w:rPr>
                <w:sz w:val="20"/>
                <w:szCs w:val="20"/>
                <w:color w:val="auto"/>
              </w:rPr>
            </w:pPr>
            <w:r>
              <w:rPr>
                <w:rFonts w:ascii="Arial" w:cs="Arial" w:eastAsia="Arial" w:hAnsi="Arial"/>
                <w:sz w:val="18"/>
                <w:szCs w:val="18"/>
                <w:color w:val="auto"/>
              </w:rPr>
              <w:t>Citrus</w:t>
            </w:r>
          </w:p>
        </w:tc>
        <w:tc>
          <w:tcPr>
            <w:tcW w:w="8240" w:type="dxa"/>
            <w:vAlign w:val="bottom"/>
          </w:tcPr>
          <w:p>
            <w:pPr>
              <w:ind w:left="340"/>
              <w:spacing w:after="0" w:line="176" w:lineRule="exact"/>
              <w:rPr>
                <w:sz w:val="20"/>
                <w:szCs w:val="20"/>
                <w:color w:val="auto"/>
              </w:rPr>
            </w:pPr>
            <w:r>
              <w:rPr>
                <w:rFonts w:ascii="Arial" w:cs="Arial" w:eastAsia="Arial" w:hAnsi="Arial"/>
                <w:sz w:val="18"/>
                <w:szCs w:val="18"/>
                <w:color w:val="auto"/>
                <w:w w:val="95"/>
              </w:rPr>
              <w:t>Citrus, LLC, a 50/50 joint venture which owns Florida Gas Transmission Company, LLC, which owns the</w:t>
            </w:r>
          </w:p>
        </w:tc>
      </w:tr>
      <w:tr>
        <w:trPr>
          <w:trHeight w:val="237"/>
        </w:trPr>
        <w:tc>
          <w:tcPr>
            <w:tcW w:w="300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Florida Gas Transmission Pipeline</w:t>
            </w:r>
          </w:p>
        </w:tc>
      </w:tr>
      <w:tr>
        <w:trPr>
          <w:trHeight w:val="23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Dakota Access</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Dakota Access, LLC, a non-wholly-owned subsidiary of Energy Transfer and/or Dakota Access Pipeline</w:t>
            </w:r>
          </w:p>
        </w:tc>
      </w:tr>
      <w:tr>
        <w:trPr>
          <w:trHeight w:val="175"/>
        </w:trPr>
        <w:tc>
          <w:tcPr>
            <w:tcW w:w="3000" w:type="dxa"/>
            <w:vAlign w:val="bottom"/>
          </w:tcPr>
          <w:p>
            <w:pPr>
              <w:ind w:left="360"/>
              <w:spacing w:after="0" w:line="176" w:lineRule="exact"/>
              <w:rPr>
                <w:sz w:val="20"/>
                <w:szCs w:val="20"/>
                <w:color w:val="auto"/>
              </w:rPr>
            </w:pPr>
            <w:r>
              <w:rPr>
                <w:rFonts w:ascii="Arial" w:cs="Arial" w:eastAsia="Arial" w:hAnsi="Arial"/>
                <w:sz w:val="18"/>
                <w:szCs w:val="18"/>
                <w:color w:val="auto"/>
              </w:rPr>
              <w:t>Energy Transfer Canada</w:t>
            </w:r>
          </w:p>
        </w:tc>
        <w:tc>
          <w:tcPr>
            <w:tcW w:w="8240" w:type="dxa"/>
            <w:vAlign w:val="bottom"/>
          </w:tcPr>
          <w:p>
            <w:pPr>
              <w:ind w:left="340"/>
              <w:spacing w:after="0" w:line="176" w:lineRule="exact"/>
              <w:rPr>
                <w:sz w:val="20"/>
                <w:szCs w:val="20"/>
                <w:color w:val="auto"/>
              </w:rPr>
            </w:pPr>
            <w:r>
              <w:rPr>
                <w:rFonts w:ascii="Arial" w:cs="Arial" w:eastAsia="Arial" w:hAnsi="Arial"/>
                <w:sz w:val="18"/>
                <w:szCs w:val="18"/>
                <w:color w:val="auto"/>
                <w:w w:val="95"/>
              </w:rPr>
              <w:t>Energy Transfer Canada ULC, a non-wholly-owned subsidiary of Energy Transfer until its sale in August</w:t>
            </w:r>
          </w:p>
        </w:tc>
      </w:tr>
      <w:tr>
        <w:trPr>
          <w:trHeight w:val="237"/>
        </w:trPr>
        <w:tc>
          <w:tcPr>
            <w:tcW w:w="300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2022</w:t>
            </w:r>
          </w:p>
        </w:tc>
      </w:tr>
      <w:tr>
        <w:trPr>
          <w:trHeight w:val="182"/>
        </w:trPr>
        <w:tc>
          <w:tcPr>
            <w:tcW w:w="300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Energy Transfer Preferred Units</w:t>
            </w:r>
          </w:p>
        </w:tc>
        <w:tc>
          <w:tcPr>
            <w:tcW w:w="824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w w:val="96"/>
              </w:rPr>
              <w:t>Collectively, the Series A Preferred Units, Series B Preferred Units, Series C Preferred Units, Series D</w:t>
            </w:r>
          </w:p>
        </w:tc>
      </w:tr>
      <w:tr>
        <w:trPr>
          <w:trHeight w:val="188"/>
        </w:trPr>
        <w:tc>
          <w:tcPr>
            <w:tcW w:w="3000" w:type="dxa"/>
            <w:vAlign w:val="bottom"/>
            <w:shd w:val="clear" w:color="auto" w:fill="CCEEFF"/>
          </w:tcPr>
          <w:p>
            <w:pPr>
              <w:spacing w:after="0"/>
              <w:rPr>
                <w:sz w:val="16"/>
                <w:szCs w:val="16"/>
                <w:color w:val="auto"/>
              </w:rPr>
            </w:pPr>
          </w:p>
        </w:tc>
        <w:tc>
          <w:tcPr>
            <w:tcW w:w="82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3"/>
              </w:rPr>
              <w:t>Preferred Units, Series E Preferred Units, Series F Preferred Units, Series G Preferred Units and Series H</w:t>
            </w:r>
          </w:p>
        </w:tc>
      </w:tr>
      <w:tr>
        <w:trPr>
          <w:trHeight w:val="230"/>
        </w:trPr>
        <w:tc>
          <w:tcPr>
            <w:tcW w:w="3000" w:type="dxa"/>
            <w:vAlign w:val="bottom"/>
            <w:shd w:val="clear" w:color="auto" w:fill="CCEEFF"/>
          </w:tcPr>
          <w:p>
            <w:pPr>
              <w:spacing w:after="0"/>
              <w:rPr>
                <w:sz w:val="20"/>
                <w:szCs w:val="20"/>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Units</w:t>
            </w: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Energy Transfer R&amp;M</w:t>
            </w:r>
          </w:p>
        </w:tc>
        <w:tc>
          <w:tcPr>
            <w:tcW w:w="8240" w:type="dxa"/>
            <w:vAlign w:val="bottom"/>
          </w:tcPr>
          <w:p>
            <w:pPr>
              <w:ind w:left="340"/>
              <w:spacing w:after="0"/>
              <w:rPr>
                <w:sz w:val="20"/>
                <w:szCs w:val="20"/>
                <w:color w:val="auto"/>
              </w:rPr>
            </w:pPr>
            <w:r>
              <w:rPr>
                <w:rFonts w:ascii="Arial" w:cs="Arial" w:eastAsia="Arial" w:hAnsi="Arial"/>
                <w:sz w:val="18"/>
                <w:szCs w:val="18"/>
                <w:color w:val="auto"/>
              </w:rPr>
              <w:t>Energy Transfer (R&amp;M), LLC (formerly Sunoco (R&amp;M), LLC)</w:t>
            </w:r>
          </w:p>
        </w:tc>
      </w:t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ETC Sunoco</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ETC Sunoco Holdings LLC (formerly Sunoco, Inc.), a wholly-owned subsidiary of Energy Transfer</w:t>
            </w:r>
          </w:p>
        </w:tc>
      </w:tr>
      <w:tr>
        <w:trPr>
          <w:trHeight w:val="176"/>
        </w:trPr>
        <w:tc>
          <w:tcPr>
            <w:tcW w:w="3000" w:type="dxa"/>
            <w:vAlign w:val="bottom"/>
          </w:tcPr>
          <w:p>
            <w:pPr>
              <w:ind w:left="360"/>
              <w:spacing w:after="0" w:line="176" w:lineRule="exact"/>
              <w:rPr>
                <w:sz w:val="20"/>
                <w:szCs w:val="20"/>
                <w:color w:val="auto"/>
              </w:rPr>
            </w:pPr>
            <w:r>
              <w:rPr>
                <w:rFonts w:ascii="Arial" w:cs="Arial" w:eastAsia="Arial" w:hAnsi="Arial"/>
                <w:sz w:val="18"/>
                <w:szCs w:val="18"/>
                <w:color w:val="auto"/>
              </w:rPr>
              <w:t>ETO</w:t>
            </w:r>
          </w:p>
        </w:tc>
        <w:tc>
          <w:tcPr>
            <w:tcW w:w="8240" w:type="dxa"/>
            <w:vAlign w:val="bottom"/>
          </w:tcPr>
          <w:p>
            <w:pPr>
              <w:ind w:left="340"/>
              <w:spacing w:after="0" w:line="176" w:lineRule="exact"/>
              <w:rPr>
                <w:sz w:val="20"/>
                <w:szCs w:val="20"/>
                <w:color w:val="auto"/>
              </w:rPr>
            </w:pPr>
            <w:r>
              <w:rPr>
                <w:rFonts w:ascii="Arial" w:cs="Arial" w:eastAsia="Arial" w:hAnsi="Arial"/>
                <w:sz w:val="18"/>
                <w:szCs w:val="18"/>
                <w:color w:val="auto"/>
                <w:w w:val="91"/>
              </w:rPr>
              <w:t>Energy Transfer Operating, L.P., formerly a non-wholly-owned subsidiary of Energy Transfer until its merger</w:t>
            </w:r>
          </w:p>
        </w:tc>
      </w:tr>
      <w:tr>
        <w:trPr>
          <w:trHeight w:val="237"/>
        </w:trPr>
        <w:tc>
          <w:tcPr>
            <w:tcW w:w="300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into the Partnership in April 2021</w:t>
            </w:r>
          </w:p>
        </w:tc>
      </w:tr>
      <w:tr>
        <w:trPr>
          <w:trHeight w:val="23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Act</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Exchange Act of 1934, as amended</w:t>
            </w: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Explorer</w:t>
            </w:r>
          </w:p>
        </w:tc>
        <w:tc>
          <w:tcPr>
            <w:tcW w:w="8240" w:type="dxa"/>
            <w:vAlign w:val="bottom"/>
          </w:tcPr>
          <w:p>
            <w:pPr>
              <w:ind w:left="340"/>
              <w:spacing w:after="0"/>
              <w:rPr>
                <w:sz w:val="20"/>
                <w:szCs w:val="20"/>
                <w:color w:val="auto"/>
              </w:rPr>
            </w:pPr>
            <w:r>
              <w:rPr>
                <w:rFonts w:ascii="Arial" w:cs="Arial" w:eastAsia="Arial" w:hAnsi="Arial"/>
                <w:sz w:val="18"/>
                <w:szCs w:val="18"/>
                <w:color w:val="auto"/>
              </w:rPr>
              <w:t>Explorer Pipeline Company</w:t>
            </w: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FERC</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Energy Regulatory Commission</w:t>
            </w: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GAAP</w:t>
            </w:r>
          </w:p>
        </w:tc>
        <w:tc>
          <w:tcPr>
            <w:tcW w:w="8240" w:type="dxa"/>
            <w:vAlign w:val="bottom"/>
          </w:tcPr>
          <w:p>
            <w:pPr>
              <w:ind w:left="3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Partner</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 GP, LLC, the general partner of Energy Transfer</w:t>
            </w: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HFOTCO</w:t>
            </w:r>
          </w:p>
        </w:tc>
        <w:tc>
          <w:tcPr>
            <w:tcW w:w="8240" w:type="dxa"/>
            <w:vAlign w:val="bottom"/>
          </w:tcPr>
          <w:p>
            <w:pPr>
              <w:ind w:left="340"/>
              <w:spacing w:after="0"/>
              <w:rPr>
                <w:sz w:val="20"/>
                <w:szCs w:val="20"/>
                <w:color w:val="auto"/>
              </w:rPr>
            </w:pPr>
            <w:r>
              <w:rPr>
                <w:rFonts w:ascii="Arial" w:cs="Arial" w:eastAsia="Arial" w:hAnsi="Arial"/>
                <w:sz w:val="18"/>
                <w:szCs w:val="18"/>
                <w:color w:val="auto"/>
              </w:rPr>
              <w:t>HFOTCO LLC, a wholly-owned subsidiary of Energy Transfer which owns the Houston Terminal</w:t>
            </w:r>
          </w:p>
        </w:tc>
      </w:t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IFERC</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Inside FERC’s Gas Market Report</w:t>
            </w: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LIBOR</w:t>
            </w:r>
          </w:p>
        </w:tc>
        <w:tc>
          <w:tcPr>
            <w:tcW w:w="824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MBbls</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thousand barrels</w:t>
            </w: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MEP</w:t>
            </w:r>
          </w:p>
        </w:tc>
        <w:tc>
          <w:tcPr>
            <w:tcW w:w="8240" w:type="dxa"/>
            <w:vAlign w:val="bottom"/>
          </w:tcPr>
          <w:p>
            <w:pPr>
              <w:ind w:left="340"/>
              <w:spacing w:after="0"/>
              <w:rPr>
                <w:sz w:val="20"/>
                <w:szCs w:val="20"/>
                <w:color w:val="auto"/>
              </w:rPr>
            </w:pPr>
            <w:r>
              <w:rPr>
                <w:rFonts w:ascii="Arial" w:cs="Arial" w:eastAsia="Arial" w:hAnsi="Arial"/>
                <w:sz w:val="18"/>
                <w:szCs w:val="18"/>
                <w:color w:val="auto"/>
              </w:rPr>
              <w:t>Midcontinent Express Pipeline LLC</w:t>
            </w:r>
          </w:p>
        </w:tc>
      </w:tr>
      <w:tr>
        <w:trPr>
          <w:trHeight w:val="229"/>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NGL</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natural gas liquid, such as propane, butane and natural gasoline</w:t>
            </w: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NYMEX</w:t>
            </w:r>
          </w:p>
        </w:tc>
        <w:tc>
          <w:tcPr>
            <w:tcW w:w="8240" w:type="dxa"/>
            <w:vAlign w:val="bottom"/>
          </w:tcPr>
          <w:p>
            <w:pPr>
              <w:ind w:left="34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OTC</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over-the-counter</w:t>
            </w:r>
          </w:p>
        </w:tc>
      </w:tr>
      <w:tr>
        <w:trPr>
          <w:trHeight w:val="175"/>
        </w:trPr>
        <w:tc>
          <w:tcPr>
            <w:tcW w:w="3000" w:type="dxa"/>
            <w:vAlign w:val="bottom"/>
          </w:tcPr>
          <w:p>
            <w:pPr>
              <w:ind w:left="360"/>
              <w:spacing w:after="0" w:line="176" w:lineRule="exact"/>
              <w:rPr>
                <w:sz w:val="20"/>
                <w:szCs w:val="20"/>
                <w:color w:val="auto"/>
              </w:rPr>
            </w:pPr>
            <w:r>
              <w:rPr>
                <w:rFonts w:ascii="Arial" w:cs="Arial" w:eastAsia="Arial" w:hAnsi="Arial"/>
                <w:sz w:val="18"/>
                <w:szCs w:val="18"/>
                <w:color w:val="auto"/>
              </w:rPr>
              <w:t>Panhandle</w:t>
            </w:r>
          </w:p>
        </w:tc>
        <w:tc>
          <w:tcPr>
            <w:tcW w:w="8240" w:type="dxa"/>
            <w:vAlign w:val="bottom"/>
          </w:tcPr>
          <w:p>
            <w:pPr>
              <w:ind w:left="340"/>
              <w:spacing w:after="0" w:line="176" w:lineRule="exact"/>
              <w:rPr>
                <w:sz w:val="20"/>
                <w:szCs w:val="20"/>
                <w:color w:val="auto"/>
              </w:rPr>
            </w:pPr>
            <w:r>
              <w:rPr>
                <w:rFonts w:ascii="Arial" w:cs="Arial" w:eastAsia="Arial" w:hAnsi="Arial"/>
                <w:sz w:val="18"/>
                <w:szCs w:val="18"/>
                <w:color w:val="auto"/>
                <w:w w:val="90"/>
              </w:rPr>
              <w:t>Panhandle Eastern Pipe Line Company, LP, a wholly-owned subsidiary of Energy Transfer and/or Panhandle</w:t>
            </w:r>
          </w:p>
        </w:tc>
      </w:tr>
      <w:tr>
        <w:trPr>
          <w:trHeight w:val="237"/>
        </w:trPr>
        <w:tc>
          <w:tcPr>
            <w:tcW w:w="300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Eastern Pipe Line</w:t>
            </w:r>
          </w:p>
        </w:tc>
      </w:tr>
      <w:tr>
        <w:trPr>
          <w:trHeight w:val="23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Partnership Agreement</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Energy Transfer’s Third Amended and Restated Agreement of Limited Partnership, as amended to date</w:t>
            </w: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PHMSA</w:t>
            </w:r>
          </w:p>
        </w:tc>
        <w:tc>
          <w:tcPr>
            <w:tcW w:w="8240" w:type="dxa"/>
            <w:vAlign w:val="bottom"/>
          </w:tcPr>
          <w:p>
            <w:pPr>
              <w:ind w:left="34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Rover</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Rover Pipeline LLC, a non-wholly-owned subsidiary of Energy Transfer and/or Rover Pipeline</w:t>
            </w: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Sea Robin</w:t>
            </w:r>
          </w:p>
        </w:tc>
        <w:tc>
          <w:tcPr>
            <w:tcW w:w="8240" w:type="dxa"/>
            <w:vAlign w:val="bottom"/>
          </w:tcPr>
          <w:p>
            <w:pPr>
              <w:ind w:left="340"/>
              <w:spacing w:after="0"/>
              <w:rPr>
                <w:sz w:val="20"/>
                <w:szCs w:val="20"/>
                <w:color w:val="auto"/>
              </w:rPr>
            </w:pPr>
            <w:r>
              <w:rPr>
                <w:rFonts w:ascii="Arial" w:cs="Arial" w:eastAsia="Arial" w:hAnsi="Arial"/>
                <w:sz w:val="18"/>
                <w:szCs w:val="18"/>
                <w:color w:val="auto"/>
              </w:rPr>
              <w:t>Sea Robin Pipeline Company, LLC, a wholly-owned subsidiary of Energy Transfer</w:t>
            </w: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and Exchange Commission</w:t>
            </w:r>
          </w:p>
        </w:tc>
      </w:tr>
      <w:tr>
        <w:trPr>
          <w:trHeight w:val="175"/>
        </w:trPr>
        <w:tc>
          <w:tcPr>
            <w:tcW w:w="3000" w:type="dxa"/>
            <w:vAlign w:val="bottom"/>
          </w:tcPr>
          <w:p>
            <w:pPr>
              <w:ind w:left="360"/>
              <w:spacing w:after="0" w:line="176" w:lineRule="exact"/>
              <w:rPr>
                <w:sz w:val="20"/>
                <w:szCs w:val="20"/>
                <w:color w:val="auto"/>
              </w:rPr>
            </w:pPr>
            <w:r>
              <w:rPr>
                <w:rFonts w:ascii="Arial" w:cs="Arial" w:eastAsia="Arial" w:hAnsi="Arial"/>
                <w:sz w:val="18"/>
                <w:szCs w:val="18"/>
                <w:color w:val="auto"/>
              </w:rPr>
              <w:t>Series A Preferred Units</w:t>
            </w:r>
          </w:p>
        </w:tc>
        <w:tc>
          <w:tcPr>
            <w:tcW w:w="8240" w:type="dxa"/>
            <w:vAlign w:val="bottom"/>
          </w:tcPr>
          <w:p>
            <w:pPr>
              <w:ind w:left="340"/>
              <w:spacing w:after="0" w:line="176" w:lineRule="exact"/>
              <w:rPr>
                <w:sz w:val="20"/>
                <w:szCs w:val="20"/>
                <w:color w:val="auto"/>
              </w:rPr>
            </w:pPr>
            <w:r>
              <w:rPr>
                <w:rFonts w:ascii="Arial" w:cs="Arial" w:eastAsia="Arial" w:hAnsi="Arial"/>
                <w:sz w:val="18"/>
                <w:szCs w:val="18"/>
                <w:color w:val="auto"/>
                <w:w w:val="95"/>
              </w:rPr>
              <w:t>6.250% Series A Fixed-to-Floating Rate Cumulative Redeemable Perpetual Preferred Units (currently a</w:t>
            </w:r>
          </w:p>
        </w:tc>
      </w:tr>
      <w:tr>
        <w:trPr>
          <w:trHeight w:val="237"/>
        </w:trPr>
        <w:tc>
          <w:tcPr>
            <w:tcW w:w="300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floating rate security)</w:t>
            </w:r>
          </w:p>
        </w:tc>
      </w:tr>
      <w:tr>
        <w:trPr>
          <w:trHeight w:val="23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B Preferred Units</w:t>
            </w: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6.625% Series B Fixed-to-Floating Rate Cumulative Redeemable Perpetual Preferred Units</w:t>
            </w:r>
          </w:p>
        </w:tc>
      </w:tr>
      <w:tr>
        <w:trPr>
          <w:trHeight w:val="175"/>
        </w:trPr>
        <w:tc>
          <w:tcPr>
            <w:tcW w:w="3000" w:type="dxa"/>
            <w:vAlign w:val="bottom"/>
          </w:tcPr>
          <w:p>
            <w:pPr>
              <w:ind w:left="360"/>
              <w:spacing w:after="0" w:line="176" w:lineRule="exact"/>
              <w:rPr>
                <w:sz w:val="20"/>
                <w:szCs w:val="20"/>
                <w:color w:val="auto"/>
              </w:rPr>
            </w:pPr>
            <w:r>
              <w:rPr>
                <w:rFonts w:ascii="Arial" w:cs="Arial" w:eastAsia="Arial" w:hAnsi="Arial"/>
                <w:sz w:val="18"/>
                <w:szCs w:val="18"/>
                <w:color w:val="auto"/>
              </w:rPr>
              <w:t>Series C Preferred Units</w:t>
            </w:r>
          </w:p>
        </w:tc>
        <w:tc>
          <w:tcPr>
            <w:tcW w:w="8240" w:type="dxa"/>
            <w:vAlign w:val="bottom"/>
          </w:tcPr>
          <w:p>
            <w:pPr>
              <w:ind w:left="340"/>
              <w:spacing w:after="0" w:line="176" w:lineRule="exact"/>
              <w:rPr>
                <w:sz w:val="20"/>
                <w:szCs w:val="20"/>
                <w:color w:val="auto"/>
              </w:rPr>
            </w:pPr>
            <w:r>
              <w:rPr>
                <w:rFonts w:ascii="Arial" w:cs="Arial" w:eastAsia="Arial" w:hAnsi="Arial"/>
                <w:sz w:val="18"/>
                <w:szCs w:val="18"/>
                <w:color w:val="auto"/>
                <w:w w:val="95"/>
              </w:rPr>
              <w:t>7.375% Series C Fixed-to-Floating Rate Cumulative Redeemable Perpetual Preferred Units (currently a</w:t>
            </w:r>
          </w:p>
        </w:tc>
      </w:tr>
      <w:tr>
        <w:trPr>
          <w:trHeight w:val="237"/>
        </w:trPr>
        <w:tc>
          <w:tcPr>
            <w:tcW w:w="300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floating rate security)</w:t>
            </w:r>
          </w:p>
        </w:tc>
      </w:tr>
      <w:tr>
        <w:trPr>
          <w:trHeight w:val="182"/>
        </w:trPr>
        <w:tc>
          <w:tcPr>
            <w:tcW w:w="300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Series D Preferred Units</w:t>
            </w:r>
          </w:p>
        </w:tc>
        <w:tc>
          <w:tcPr>
            <w:tcW w:w="824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w w:val="95"/>
              </w:rPr>
              <w:t>7.625% Series D Fixed-to-Floating Rate Cumulative Redeemable Perpetual Preferred Units (currently a</w:t>
            </w:r>
          </w:p>
        </w:tc>
      </w:tr>
      <w:tr>
        <w:trPr>
          <w:trHeight w:val="243"/>
        </w:trPr>
        <w:tc>
          <w:tcPr>
            <w:tcW w:w="3000" w:type="dxa"/>
            <w:vAlign w:val="bottom"/>
            <w:shd w:val="clear" w:color="auto" w:fill="CCEEFF"/>
          </w:tcPr>
          <w:p>
            <w:pPr>
              <w:spacing w:after="0"/>
              <w:rPr>
                <w:sz w:val="21"/>
                <w:szCs w:val="21"/>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floating rate security)</w:t>
            </w: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Series E Preferred Units</w:t>
            </w:r>
          </w:p>
        </w:tc>
        <w:tc>
          <w:tcPr>
            <w:tcW w:w="8240" w:type="dxa"/>
            <w:vAlign w:val="bottom"/>
          </w:tcPr>
          <w:p>
            <w:pPr>
              <w:ind w:left="340"/>
              <w:spacing w:after="0"/>
              <w:rPr>
                <w:sz w:val="20"/>
                <w:szCs w:val="20"/>
                <w:color w:val="auto"/>
              </w:rPr>
            </w:pPr>
            <w:r>
              <w:rPr>
                <w:rFonts w:ascii="Arial" w:cs="Arial" w:eastAsia="Arial" w:hAnsi="Arial"/>
                <w:sz w:val="18"/>
                <w:szCs w:val="18"/>
                <w:color w:val="auto"/>
              </w:rPr>
              <w:t>7.600% Series E Fixed-to-Floating Rate Cumulative Redeemable Perpetual Preferred Units</w:t>
            </w:r>
          </w:p>
        </w:tc>
      </w:tr>
      <w:tr>
        <w:trPr>
          <w:trHeight w:val="863"/>
        </w:trPr>
        <w:tc>
          <w:tcPr>
            <w:tcW w:w="3000" w:type="dxa"/>
            <w:vAlign w:val="bottom"/>
          </w:tcPr>
          <w:p>
            <w:pPr>
              <w:spacing w:after="0"/>
              <w:rPr>
                <w:sz w:val="24"/>
                <w:szCs w:val="24"/>
                <w:color w:val="auto"/>
              </w:rPr>
            </w:pPr>
          </w:p>
        </w:tc>
        <w:tc>
          <w:tcPr>
            <w:tcW w:w="8240" w:type="dxa"/>
            <w:vAlign w:val="bottom"/>
          </w:tcPr>
          <w:p>
            <w:pPr>
              <w:ind w:left="2580"/>
              <w:spacing w:after="0"/>
              <w:rPr>
                <w:sz w:val="20"/>
                <w:szCs w:val="20"/>
                <w:color w:val="auto"/>
              </w:rPr>
            </w:pPr>
            <w:r>
              <w:rPr>
                <w:rFonts w:ascii="Arial" w:cs="Arial" w:eastAsia="Arial" w:hAnsi="Arial"/>
                <w:sz w:val="18"/>
                <w:szCs w:val="18"/>
                <w:color w:val="auto"/>
              </w:rPr>
              <w:t>3</w:t>
            </w:r>
          </w:p>
        </w:tc>
      </w:tr>
      <w:tr>
        <w:trPr>
          <w:trHeight w:val="115"/>
        </w:trPr>
        <w:tc>
          <w:tcPr>
            <w:tcW w:w="3000" w:type="dxa"/>
            <w:vAlign w:val="bottom"/>
            <w:tcBorders>
              <w:bottom w:val="single" w:sz="8" w:color="9A9A9A"/>
            </w:tcBorders>
          </w:tcPr>
          <w:p>
            <w:pPr>
              <w:spacing w:after="0"/>
              <w:rPr>
                <w:sz w:val="10"/>
                <w:szCs w:val="10"/>
                <w:color w:val="auto"/>
              </w:rPr>
            </w:pPr>
          </w:p>
        </w:tc>
        <w:tc>
          <w:tcPr>
            <w:tcW w:w="8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763"/>
        </w:trPr>
        <w:tc>
          <w:tcPr>
            <w:tcW w:w="128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29"/>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Series F Preferred Units</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6.750%</w:t>
            </w: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Series F Fixed-Rate Reset Cumulative Redeemable Perpetual Preferred Units</w:t>
            </w:r>
          </w:p>
        </w:tc>
      </w:tr>
      <w:tr>
        <w:trPr>
          <w:trHeight w:val="230"/>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Series G Preferred Units</w:t>
            </w:r>
          </w:p>
        </w:tc>
        <w:tc>
          <w:tcPr>
            <w:tcW w:w="1200" w:type="dxa"/>
            <w:vAlign w:val="bottom"/>
          </w:tcPr>
          <w:p>
            <w:pPr>
              <w:ind w:left="600"/>
              <w:spacing w:after="0"/>
              <w:rPr>
                <w:sz w:val="20"/>
                <w:szCs w:val="20"/>
                <w:color w:val="auto"/>
              </w:rPr>
            </w:pPr>
            <w:r>
              <w:rPr>
                <w:rFonts w:ascii="Arial" w:cs="Arial" w:eastAsia="Arial" w:hAnsi="Arial"/>
                <w:sz w:val="18"/>
                <w:szCs w:val="18"/>
                <w:color w:val="auto"/>
                <w:w w:val="94"/>
              </w:rPr>
              <w:t>7.125%</w:t>
            </w:r>
          </w:p>
        </w:tc>
        <w:tc>
          <w:tcPr>
            <w:tcW w:w="7300" w:type="dxa"/>
            <w:vAlign w:val="bottom"/>
          </w:tcPr>
          <w:p>
            <w:pPr>
              <w:spacing w:after="0"/>
              <w:rPr>
                <w:sz w:val="20"/>
                <w:szCs w:val="20"/>
                <w:color w:val="auto"/>
              </w:rPr>
            </w:pPr>
            <w:r>
              <w:rPr>
                <w:rFonts w:ascii="Arial" w:cs="Arial" w:eastAsia="Arial" w:hAnsi="Arial"/>
                <w:sz w:val="18"/>
                <w:szCs w:val="18"/>
                <w:color w:val="auto"/>
              </w:rPr>
              <w:t>Series G Fixed-Rate Reset Cumulative Redeemable Perpetual Preferred Units</w:t>
            </w:r>
          </w:p>
        </w:tc>
      </w:tr>
      <w:tr>
        <w:trPr>
          <w:trHeight w:val="229"/>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Series H Preferred Units</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6.500%</w:t>
            </w: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Series H Fixed-Rate Reset Cumulative Redeemable Perpetual Preferred Units</w:t>
            </w:r>
          </w:p>
        </w:tc>
      </w:tr>
      <w:tr>
        <w:trPr>
          <w:trHeight w:val="230"/>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SOFR</w:t>
            </w:r>
          </w:p>
        </w:tc>
        <w:tc>
          <w:tcPr>
            <w:tcW w:w="8500" w:type="dxa"/>
            <w:vAlign w:val="bottom"/>
            <w:gridSpan w:val="2"/>
          </w:tcPr>
          <w:p>
            <w:pPr>
              <w:ind w:left="600"/>
              <w:spacing w:after="0"/>
              <w:rPr>
                <w:sz w:val="20"/>
                <w:szCs w:val="20"/>
                <w:color w:val="auto"/>
              </w:rPr>
            </w:pPr>
            <w:r>
              <w:rPr>
                <w:rFonts w:ascii="Arial" w:cs="Arial" w:eastAsia="Arial" w:hAnsi="Arial"/>
                <w:sz w:val="18"/>
                <w:szCs w:val="18"/>
                <w:color w:val="auto"/>
              </w:rPr>
              <w:t>Secured overnight financing rate</w:t>
            </w:r>
          </w:p>
        </w:tc>
      </w:tr>
      <w:tr>
        <w:trPr>
          <w:trHeight w:val="229"/>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SPLP</w:t>
            </w:r>
          </w:p>
        </w:tc>
        <w:tc>
          <w:tcPr>
            <w:tcW w:w="8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Sunoco Pipeline L.P., a wholly-owned subsidiary of Energy Transfer</w:t>
            </w:r>
          </w:p>
        </w:tc>
      </w:tr>
      <w:tr>
        <w:trPr>
          <w:trHeight w:val="176"/>
        </w:trPr>
        <w:tc>
          <w:tcPr>
            <w:tcW w:w="274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Transwestern</w:t>
            </w:r>
          </w:p>
        </w:tc>
        <w:tc>
          <w:tcPr>
            <w:tcW w:w="8500" w:type="dxa"/>
            <w:vAlign w:val="bottom"/>
            <w:gridSpan w:val="2"/>
          </w:tcPr>
          <w:p>
            <w:pPr>
              <w:ind w:left="600"/>
              <w:spacing w:after="0" w:line="176" w:lineRule="exact"/>
              <w:rPr>
                <w:sz w:val="20"/>
                <w:szCs w:val="20"/>
                <w:color w:val="auto"/>
              </w:rPr>
            </w:pPr>
            <w:r>
              <w:rPr>
                <w:rFonts w:ascii="Arial" w:cs="Arial" w:eastAsia="Arial" w:hAnsi="Arial"/>
                <w:sz w:val="18"/>
                <w:szCs w:val="18"/>
                <w:color w:val="auto"/>
                <w:w w:val="92"/>
              </w:rPr>
              <w:t>Transwestern Pipeline Company, LLC, a wholly-owned subsidiary of Energy Transfer and/or Transwestern</w:t>
            </w:r>
          </w:p>
        </w:tc>
      </w:tr>
      <w:tr>
        <w:trPr>
          <w:trHeight w:val="237"/>
        </w:trPr>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w w:val="90"/>
              </w:rPr>
              <w:t>Pipeline</w:t>
            </w:r>
          </w:p>
        </w:tc>
        <w:tc>
          <w:tcPr>
            <w:tcW w:w="7300" w:type="dxa"/>
            <w:vAlign w:val="bottom"/>
          </w:tcPr>
          <w:p>
            <w:pPr>
              <w:spacing w:after="0"/>
              <w:rPr>
                <w:sz w:val="20"/>
                <w:szCs w:val="20"/>
                <w:color w:val="auto"/>
              </w:rPr>
            </w:pPr>
          </w:p>
        </w:tc>
      </w:tr>
      <w:tr>
        <w:trPr>
          <w:trHeight w:val="236"/>
        </w:trPr>
        <w:tc>
          <w:tcPr>
            <w:tcW w:w="2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USAC</w:t>
            </w:r>
          </w:p>
        </w:tc>
        <w:tc>
          <w:tcPr>
            <w:tcW w:w="8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0"/>
              </w:rPr>
              <w:t>USA Compression Partners, LP, a publicly traded partnership and consolidated subsidiary of Energy Transfer</w:t>
            </w:r>
          </w:p>
        </w:tc>
      </w:tr>
      <w:tr>
        <w:trPr>
          <w:trHeight w:val="230"/>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White Cliffs</w:t>
            </w:r>
          </w:p>
        </w:tc>
        <w:tc>
          <w:tcPr>
            <w:tcW w:w="8500" w:type="dxa"/>
            <w:vAlign w:val="bottom"/>
            <w:gridSpan w:val="2"/>
          </w:tcPr>
          <w:p>
            <w:pPr>
              <w:ind w:left="600"/>
              <w:spacing w:after="0"/>
              <w:rPr>
                <w:sz w:val="20"/>
                <w:szCs w:val="20"/>
                <w:color w:val="auto"/>
              </w:rPr>
            </w:pPr>
            <w:r>
              <w:rPr>
                <w:rFonts w:ascii="Arial" w:cs="Arial" w:eastAsia="Arial" w:hAnsi="Arial"/>
                <w:sz w:val="18"/>
                <w:szCs w:val="18"/>
                <w:color w:val="auto"/>
              </w:rPr>
              <w:t>White Cliffs Pipeline, L.L.C.</w:t>
            </w:r>
          </w:p>
        </w:tc>
      </w:tr>
      <w:tr>
        <w:trPr>
          <w:trHeight w:val="863"/>
        </w:trPr>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300" w:type="dxa"/>
            <w:vAlign w:val="bottom"/>
          </w:tcPr>
          <w:p>
            <w:pPr>
              <w:jc w:val="right"/>
              <w:ind w:right="5490"/>
              <w:spacing w:after="0"/>
              <w:rPr>
                <w:sz w:val="20"/>
                <w:szCs w:val="20"/>
                <w:color w:val="auto"/>
              </w:rPr>
            </w:pPr>
            <w:r>
              <w:rPr>
                <w:rFonts w:ascii="Arial" w:cs="Arial" w:eastAsia="Arial" w:hAnsi="Arial"/>
                <w:sz w:val="18"/>
                <w:szCs w:val="18"/>
                <w:color w:val="auto"/>
              </w:rPr>
              <w:t>4</w:t>
            </w:r>
          </w:p>
        </w:tc>
      </w:tr>
      <w:tr>
        <w:trPr>
          <w:trHeight w:val="115"/>
        </w:trPr>
        <w:tc>
          <w:tcPr>
            <w:tcW w:w="1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1320"/>
        <w:spacing w:after="0" w:line="319" w:lineRule="auto"/>
        <w:rPr>
          <w:sz w:val="20"/>
          <w:szCs w:val="20"/>
          <w:color w:val="auto"/>
        </w:rPr>
      </w:pPr>
      <w:r>
        <w:rPr>
          <w:rFonts w:ascii="Arial" w:cs="Arial" w:eastAsia="Arial" w:hAnsi="Arial"/>
          <w:sz w:val="15"/>
          <w:szCs w:val="15"/>
          <w:color w:val="auto"/>
        </w:rPr>
        <w:t>Cash and cash equivalents Accounts receivable, net</w:t>
      </w:r>
    </w:p>
    <w:p>
      <w:pPr>
        <w:ind w:left="180"/>
        <w:spacing w:after="0" w:line="266" w:lineRule="auto"/>
        <w:rPr>
          <w:sz w:val="20"/>
          <w:szCs w:val="20"/>
          <w:color w:val="auto"/>
        </w:rPr>
      </w:pPr>
      <w:r>
        <w:rPr>
          <w:rFonts w:ascii="Arial" w:cs="Arial" w:eastAsia="Arial" w:hAnsi="Arial"/>
          <w:sz w:val="18"/>
          <w:szCs w:val="18"/>
          <w:color w:val="auto"/>
        </w:rPr>
        <w:t>Accounts receivable from related companies Inventories</w:t>
      </w:r>
    </w:p>
    <w:p>
      <w:pPr>
        <w:ind w:left="180"/>
        <w:spacing w:after="0"/>
        <w:rPr>
          <w:sz w:val="20"/>
          <w:szCs w:val="20"/>
          <w:color w:val="auto"/>
        </w:rPr>
      </w:pPr>
      <w:r>
        <w:rPr>
          <w:rFonts w:ascii="Arial" w:cs="Arial" w:eastAsia="Arial" w:hAnsi="Arial"/>
          <w:sz w:val="18"/>
          <w:szCs w:val="18"/>
          <w:color w:val="auto"/>
        </w:rPr>
        <w:t>Income taxes receivable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assets</w:t>
      </w:r>
    </w:p>
    <w:p>
      <w:pPr>
        <w:spacing w:after="0" w:line="293" w:lineRule="exact"/>
        <w:rPr>
          <w:sz w:val="20"/>
          <w:szCs w:val="20"/>
          <w:color w:val="auto"/>
        </w:rPr>
      </w:pPr>
    </w:p>
    <w:p>
      <w:pPr>
        <w:ind w:left="20" w:right="460"/>
        <w:spacing w:after="0" w:line="308" w:lineRule="auto"/>
        <w:rPr>
          <w:sz w:val="20"/>
          <w:szCs w:val="20"/>
          <w:color w:val="auto"/>
        </w:rPr>
      </w:pPr>
      <w:r>
        <w:rPr>
          <w:rFonts w:ascii="Arial" w:cs="Arial" w:eastAsia="Arial" w:hAnsi="Arial"/>
          <w:sz w:val="16"/>
          <w:szCs w:val="16"/>
          <w:color w:val="auto"/>
        </w:rPr>
        <w:t>Property, plant and equipment Accumulated depreciation and depletion</w:t>
      </w:r>
    </w:p>
    <w:p>
      <w:pPr>
        <w:ind w:left="180"/>
        <w:spacing w:after="0"/>
        <w:rPr>
          <w:sz w:val="20"/>
          <w:szCs w:val="20"/>
          <w:color w:val="auto"/>
        </w:rPr>
      </w:pPr>
      <w:r>
        <w:rPr>
          <w:rFonts w:ascii="Arial" w:cs="Arial" w:eastAsia="Arial" w:hAnsi="Arial"/>
          <w:sz w:val="18"/>
          <w:szCs w:val="18"/>
          <w:color w:val="auto"/>
        </w:rPr>
        <w:t>Property, plant and equipment, net</w:t>
      </w:r>
    </w:p>
    <w:p>
      <w:pPr>
        <w:spacing w:after="0" w:line="293" w:lineRule="exact"/>
        <w:rPr>
          <w:sz w:val="20"/>
          <w:szCs w:val="20"/>
          <w:color w:val="auto"/>
        </w:rPr>
      </w:pPr>
    </w:p>
    <w:p>
      <w:pPr>
        <w:ind w:left="20" w:right="520"/>
        <w:spacing w:after="0" w:line="299" w:lineRule="auto"/>
        <w:rPr>
          <w:sz w:val="20"/>
          <w:szCs w:val="20"/>
          <w:color w:val="auto"/>
        </w:rPr>
      </w:pPr>
      <w:r>
        <w:rPr>
          <w:rFonts w:ascii="Arial" w:cs="Arial" w:eastAsia="Arial" w:hAnsi="Arial"/>
          <w:sz w:val="16"/>
          <w:szCs w:val="16"/>
          <w:color w:val="auto"/>
        </w:rPr>
        <w:t>Investments in unconsolidated affiliates Non-current derivative assets</w:t>
      </w:r>
    </w:p>
    <w:p>
      <w:pPr>
        <w:spacing w:after="0" w:line="1" w:lineRule="exact"/>
        <w:rPr>
          <w:sz w:val="20"/>
          <w:szCs w:val="20"/>
          <w:color w:val="auto"/>
        </w:rPr>
      </w:pPr>
    </w:p>
    <w:p>
      <w:pPr>
        <w:ind w:left="20" w:right="1280"/>
        <w:spacing w:after="0" w:line="274" w:lineRule="auto"/>
        <w:rPr>
          <w:sz w:val="20"/>
          <w:szCs w:val="20"/>
          <w:color w:val="auto"/>
        </w:rPr>
      </w:pPr>
      <w:r>
        <w:rPr>
          <w:rFonts w:ascii="Arial" w:cs="Arial" w:eastAsia="Arial" w:hAnsi="Arial"/>
          <w:sz w:val="18"/>
          <w:szCs w:val="18"/>
          <w:color w:val="auto"/>
        </w:rPr>
        <w:t>Lease right-of-use assets, net Other non-current assets, net Intangible assets, net Goodwill</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3720"/>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3720"/>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ind w:right="3720"/>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r>
      <w:tr>
        <w:trPr>
          <w:trHeight w:val="237"/>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58"/>
        </w:trPr>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8,466</w:t>
            </w:r>
          </w:p>
        </w:tc>
      </w:tr>
      <w:tr>
        <w:trPr>
          <w:trHeight w:val="230"/>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229"/>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12,081</w:t>
            </w:r>
          </w:p>
        </w:tc>
      </w:tr>
      <w:tr>
        <w:trPr>
          <w:trHeight w:val="498"/>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109,411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105,996</w:t>
            </w:r>
          </w:p>
        </w:tc>
      </w:tr>
      <w:tr>
        <w:trPr>
          <w:trHeight w:val="230"/>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(25,685)</w:t>
            </w: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80,311</w:t>
            </w:r>
          </w:p>
        </w:tc>
      </w:tr>
      <w:tr>
        <w:trPr>
          <w:trHeight w:val="498"/>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29"/>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30"/>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5,415</w:t>
            </w:r>
          </w:p>
        </w:tc>
      </w:tr>
      <w:tr>
        <w:trPr>
          <w:trHeight w:val="230"/>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r>
      <w:tr>
        <w:trPr>
          <w:trHeight w:val="223"/>
        </w:trPr>
        <w:tc>
          <w:tcPr>
            <w:tcW w:w="2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105,643</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-3025140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-2733675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-2442210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-2150745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-1851025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-1533525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-1233805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-916940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-624840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-334010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320"/>
            <w:col w:w="7520"/>
          </w:cols>
          <w:pgMar w:left="320" w:top="233" w:right="3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4"/>
          </w:tcPr>
          <w:p>
            <w:pPr>
              <w:jc w:val="center"/>
              <w:ind w:right="810"/>
              <w:spacing w:after="0"/>
              <w:rPr>
                <w:sz w:val="20"/>
                <w:szCs w:val="20"/>
                <w:color w:val="auto"/>
              </w:rPr>
            </w:pPr>
            <w:r>
              <w:rPr>
                <w:rFonts w:ascii="Arial" w:cs="Arial" w:eastAsia="Arial" w:hAnsi="Arial"/>
                <w:sz w:val="18"/>
                <w:szCs w:val="18"/>
                <w:b w:val="1"/>
                <w:bCs w:val="1"/>
                <w:color w:val="auto"/>
                <w:w w:val="98"/>
              </w:rPr>
              <w:t>ENERGY TRANSFER LP AND SUBSIDIARIES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5"/>
          </w:tcPr>
          <w:p>
            <w:pPr>
              <w:jc w:val="center"/>
              <w:ind w:right="690"/>
              <w:spacing w:after="0" w:line="196" w:lineRule="exact"/>
              <w:rPr>
                <w:sz w:val="20"/>
                <w:szCs w:val="20"/>
                <w:color w:val="auto"/>
              </w:rPr>
            </w:pPr>
            <w:r>
              <w:rPr>
                <w:rFonts w:ascii="Arial" w:cs="Arial" w:eastAsia="Arial" w:hAnsi="Arial"/>
                <w:sz w:val="18"/>
                <w:szCs w:val="18"/>
                <w:b w:val="1"/>
                <w:bCs w:val="1"/>
                <w:color w:val="auto"/>
                <w:w w:val="96"/>
              </w:rPr>
              <w:t>CONSOLIDATED BALANCE SHEETS (continued)</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7"/>
              </w:rPr>
              <w:t>(Dollars in million)</w:t>
            </w:r>
          </w:p>
        </w:tc>
        <w:tc>
          <w:tcPr>
            <w:tcW w:w="78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gridSpan w:val="4"/>
          </w:tcPr>
          <w:p>
            <w:pPr>
              <w:jc w:val="center"/>
              <w:ind w:right="810"/>
              <w:spacing w:after="0"/>
              <w:rPr>
                <w:sz w:val="20"/>
                <w:szCs w:val="20"/>
                <w:color w:val="auto"/>
              </w:rPr>
            </w:pPr>
            <w:r>
              <w:rPr>
                <w:rFonts w:ascii="Arial" w:cs="Arial" w:eastAsia="Arial" w:hAnsi="Arial"/>
                <w:sz w:val="18"/>
                <w:szCs w:val="18"/>
                <w:color w:val="auto"/>
                <w:w w:val="92"/>
              </w:rPr>
              <w:t>(unaudited)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3440" w:type="dxa"/>
            <w:vAlign w:val="bottom"/>
            <w:gridSpan w:val="2"/>
            <w:vMerge w:val="restart"/>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9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Accounts payable to related companies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Operating lease current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70"/>
        </w:trPr>
        <w:tc>
          <w:tcPr>
            <w:tcW w:w="344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48,260</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Non-current derivative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0"/>
        </w:trPr>
        <w:tc>
          <w:tcPr>
            <w:tcW w:w="344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 Partners: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360"/>
              <w:spacing w:after="0"/>
              <w:rPr>
                <w:sz w:val="20"/>
                <w:szCs w:val="20"/>
                <w:color w:val="auto"/>
              </w:rPr>
            </w:pPr>
            <w:r>
              <w:rPr>
                <w:rFonts w:ascii="Arial" w:cs="Arial" w:eastAsia="Arial" w:hAnsi="Arial"/>
                <w:sz w:val="18"/>
                <w:szCs w:val="18"/>
                <w:color w:val="auto"/>
              </w:rPr>
              <w:t>Preferred Unitholders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Unitholders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General Partner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Accumulated other comprehensive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440" w:type="dxa"/>
            <w:vAlign w:val="bottom"/>
            <w:gridSpan w:val="2"/>
          </w:tcPr>
          <w:p>
            <w:pPr>
              <w:ind w:left="36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33,025</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40,659</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4820" w:type="dxa"/>
            <w:vAlign w:val="bottom"/>
            <w:tcBorders>
              <w:bottom w:val="single" w:sz="8" w:color="CCEEFF"/>
            </w:tcBorders>
            <w:gridSpan w:val="5"/>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1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9"/>
          </w:tcPr>
          <w:p>
            <w:pPr>
              <w:jc w:val="center"/>
              <w:ind w:right="680"/>
              <w:spacing w:after="0"/>
              <w:rPr>
                <w:sz w:val="20"/>
                <w:szCs w:val="20"/>
                <w:color w:val="auto"/>
              </w:rPr>
            </w:pPr>
            <w:r>
              <w:rPr>
                <w:rFonts w:ascii="Arial" w:cs="Arial" w:eastAsia="Arial" w:hAnsi="Arial"/>
                <w:sz w:val="18"/>
                <w:szCs w:val="18"/>
                <w:b w:val="1"/>
                <w:bCs w:val="1"/>
                <w:color w:val="auto"/>
                <w:w w:val="98"/>
              </w:rPr>
              <w:t>ENERGY TRANSFER LP AND SUBSIDIARIES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920" w:type="dxa"/>
            <w:vAlign w:val="bottom"/>
            <w:gridSpan w:val="11"/>
          </w:tcPr>
          <w:p>
            <w:pPr>
              <w:jc w:val="center"/>
              <w:ind w:left="1670"/>
              <w:spacing w:after="0" w:line="196" w:lineRule="exact"/>
              <w:rPr>
                <w:sz w:val="20"/>
                <w:szCs w:val="20"/>
                <w:color w:val="auto"/>
              </w:rPr>
            </w:pPr>
            <w:r>
              <w:rPr>
                <w:rFonts w:ascii="Arial" w:cs="Arial" w:eastAsia="Arial" w:hAnsi="Arial"/>
                <w:sz w:val="18"/>
                <w:szCs w:val="18"/>
                <w:b w:val="1"/>
                <w:bCs w:val="1"/>
                <w:color w:val="auto"/>
                <w:w w:val="98"/>
              </w:rPr>
              <w:t>CONSOLIDATED STATEMENTS OF OPERATIONS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5"/>
          </w:tcPr>
          <w:p>
            <w:pPr>
              <w:jc w:val="center"/>
              <w:ind w:left="270"/>
              <w:spacing w:after="0"/>
              <w:rPr>
                <w:sz w:val="20"/>
                <w:szCs w:val="20"/>
                <w:color w:val="auto"/>
              </w:rPr>
            </w:pPr>
            <w:r>
              <w:rPr>
                <w:rFonts w:ascii="Arial" w:cs="Arial" w:eastAsia="Arial" w:hAnsi="Arial"/>
                <w:sz w:val="18"/>
                <w:szCs w:val="18"/>
                <w:color w:val="auto"/>
                <w:w w:val="93"/>
              </w:rPr>
              <w:t>(Dollars in millions, except per unit data)</w:t>
            </w: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8"/>
                <w:szCs w:val="18"/>
                <w:color w:val="auto"/>
                <w:w w:val="92"/>
              </w:rPr>
              <w:t>(unaudited)</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7"/>
          </w:tcPr>
          <w:p>
            <w:pPr>
              <w:ind w:left="40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4"/>
                <w:szCs w:val="24"/>
                <w:color w:val="auto"/>
              </w:rPr>
            </w:pPr>
          </w:p>
        </w:tc>
        <w:tc>
          <w:tcPr>
            <w:tcW w:w="2660" w:type="dxa"/>
            <w:vAlign w:val="bottom"/>
            <w:gridSpan w:val="4"/>
          </w:tcPr>
          <w:p>
            <w:pPr>
              <w:jc w:val="right"/>
              <w:ind w:right="6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gridSpan w:val="4"/>
            <w:vMerge w:val="restart"/>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2022</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09"/>
        </w:trPr>
        <w:tc>
          <w:tcPr>
            <w:tcW w:w="516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Refined product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29"/>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Crude sales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29"/>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Gathering, transportation and other fees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29"/>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51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69,375</w:t>
            </w:r>
          </w:p>
        </w:tc>
        <w:tc>
          <w:tcPr>
            <w:tcW w:w="0" w:type="dxa"/>
            <w:vAlign w:val="bottom"/>
          </w:tcPr>
          <w:p>
            <w:pPr>
              <w:spacing w:after="0"/>
              <w:rPr>
                <w:sz w:val="1"/>
                <w:szCs w:val="1"/>
                <w:color w:val="auto"/>
              </w:rPr>
            </w:pPr>
          </w:p>
        </w:tc>
      </w:tr>
      <w:tr>
        <w:trPr>
          <w:trHeight w:val="210"/>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56,169</w:t>
            </w:r>
          </w:p>
        </w:tc>
        <w:tc>
          <w:tcPr>
            <w:tcW w:w="0" w:type="dxa"/>
            <w:vAlign w:val="bottom"/>
          </w:tcPr>
          <w:p>
            <w:pPr>
              <w:spacing w:after="0"/>
              <w:rPr>
                <w:sz w:val="1"/>
                <w:szCs w:val="1"/>
                <w:color w:val="auto"/>
              </w:rPr>
            </w:pPr>
          </w:p>
        </w:tc>
      </w:tr>
      <w:tr>
        <w:trPr>
          <w:trHeight w:val="229"/>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29"/>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Impairment losses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20,966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63,443</w:t>
            </w:r>
          </w:p>
        </w:tc>
        <w:tc>
          <w:tcPr>
            <w:tcW w:w="0" w:type="dxa"/>
            <w:vAlign w:val="bottom"/>
          </w:tcPr>
          <w:p>
            <w:pPr>
              <w:spacing w:after="0"/>
              <w:rPr>
                <w:sz w:val="1"/>
                <w:szCs w:val="1"/>
                <w:color w:val="auto"/>
              </w:rPr>
            </w:pPr>
          </w:p>
        </w:tc>
      </w:tr>
      <w:tr>
        <w:trPr>
          <w:trHeight w:val="223"/>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29"/>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30"/>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Gains on interest rate derivatives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Non-operating litigation-related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w w:val="91"/>
              </w:rPr>
              <w:t>Less: Net income attributable to redeemable noncontrolling interests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PARTNERS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9"/>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General Partner’s interest in net income</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Preferred Unitholders’ interest in net income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96"/>
        </w:trPr>
        <w:tc>
          <w:tcPr>
            <w:tcW w:w="516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Common Unitholders’ interest in net income</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899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COMMON UNIT: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1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40" w:type="dxa"/>
            <w:vAlign w:val="bottom"/>
            <w:gridSpan w:val="9"/>
          </w:tcPr>
          <w:p>
            <w:pPr>
              <w:jc w:val="center"/>
              <w:ind w:right="740"/>
              <w:spacing w:after="0"/>
              <w:rPr>
                <w:sz w:val="20"/>
                <w:szCs w:val="20"/>
                <w:color w:val="auto"/>
              </w:rPr>
            </w:pPr>
            <w:r>
              <w:rPr>
                <w:rFonts w:ascii="Arial" w:cs="Arial" w:eastAsia="Arial" w:hAnsi="Arial"/>
                <w:sz w:val="18"/>
                <w:szCs w:val="18"/>
                <w:b w:val="1"/>
                <w:bCs w:val="1"/>
                <w:color w:val="auto"/>
                <w:w w:val="98"/>
              </w:rPr>
              <w:t>ENERGY TRANSFER LP AND SUBSIDIARIES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700" w:type="dxa"/>
            <w:vAlign w:val="bottom"/>
            <w:gridSpan w:val="12"/>
          </w:tcPr>
          <w:p>
            <w:pPr>
              <w:jc w:val="center"/>
              <w:ind w:right="260"/>
              <w:spacing w:after="0" w:line="196" w:lineRule="exact"/>
              <w:rPr>
                <w:sz w:val="20"/>
                <w:szCs w:val="20"/>
                <w:color w:val="auto"/>
              </w:rPr>
            </w:pPr>
            <w:r>
              <w:rPr>
                <w:rFonts w:ascii="Arial" w:cs="Arial" w:eastAsia="Arial" w:hAnsi="Arial"/>
                <w:sz w:val="18"/>
                <w:szCs w:val="18"/>
                <w:b w:val="1"/>
                <w:bCs w:val="1"/>
                <w:color w:val="auto"/>
              </w:rPr>
              <w:t>CONSOLIDATED STATEMENTS OF COMPREHENSIVE INCOME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5"/>
          </w:tcPr>
          <w:p>
            <w:pPr>
              <w:jc w:val="center"/>
              <w:ind w:left="690"/>
              <w:spacing w:after="0"/>
              <w:rPr>
                <w:sz w:val="20"/>
                <w:szCs w:val="20"/>
                <w:color w:val="auto"/>
              </w:rPr>
            </w:pPr>
            <w:r>
              <w:rPr>
                <w:rFonts w:ascii="Arial" w:cs="Arial" w:eastAsia="Arial" w:hAnsi="Arial"/>
                <w:sz w:val="18"/>
                <w:szCs w:val="18"/>
                <w:color w:val="auto"/>
                <w:w w:val="97"/>
              </w:rPr>
              <w:t>(Dollars in millions)</w:t>
            </w:r>
          </w:p>
        </w:tc>
        <w:tc>
          <w:tcPr>
            <w:tcW w:w="5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8"/>
                <w:szCs w:val="18"/>
                <w:color w:val="auto"/>
                <w:w w:val="92"/>
              </w:rPr>
              <w:t>(unaudited)</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6"/>
          </w:tcPr>
          <w:p>
            <w:pPr>
              <w:ind w:left="4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37"/>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r>
      <w:tr>
        <w:trPr>
          <w:trHeight w:val="229"/>
        </w:trPr>
        <w:tc>
          <w:tcPr>
            <w:tcW w:w="12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w w:val="94"/>
              </w:rPr>
              <w:t>2022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2022</w:t>
            </w:r>
          </w:p>
        </w:tc>
      </w:tr>
      <w:tr>
        <w:trPr>
          <w:trHeight w:val="223"/>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r>
      <w:tr>
        <w:trPr>
          <w:trHeight w:val="229"/>
        </w:trPr>
        <w:tc>
          <w:tcPr>
            <w:tcW w:w="5160" w:type="dxa"/>
            <w:vAlign w:val="bottom"/>
            <w:gridSpan w:val="4"/>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1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Change in value of available-for-sale securities</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176"/>
        </w:trPr>
        <w:tc>
          <w:tcPr>
            <w:tcW w:w="5160" w:type="dxa"/>
            <w:vAlign w:val="bottom"/>
            <w:gridSpan w:val="4"/>
          </w:tcPr>
          <w:p>
            <w:pPr>
              <w:ind w:left="360"/>
              <w:spacing w:after="0" w:line="176" w:lineRule="exact"/>
              <w:rPr>
                <w:sz w:val="20"/>
                <w:szCs w:val="20"/>
                <w:color w:val="auto"/>
              </w:rPr>
            </w:pPr>
            <w:r>
              <w:rPr>
                <w:rFonts w:ascii="Arial" w:cs="Arial" w:eastAsia="Arial" w:hAnsi="Arial"/>
                <w:sz w:val="18"/>
                <w:szCs w:val="18"/>
                <w:color w:val="auto"/>
                <w:w w:val="92"/>
              </w:rPr>
              <w:t>Actuarial gain related to pension and other postretirement benefit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160" w:type="dxa"/>
            <w:vAlign w:val="bottom"/>
            <w:gridSpan w:val="4"/>
          </w:tcPr>
          <w:p>
            <w:pPr>
              <w:ind w:left="520"/>
              <w:spacing w:after="0"/>
              <w:rPr>
                <w:sz w:val="20"/>
                <w:szCs w:val="20"/>
                <w:color w:val="auto"/>
              </w:rPr>
            </w:pPr>
            <w:r>
              <w:rPr>
                <w:rFonts w:ascii="Arial" w:cs="Arial" w:eastAsia="Arial" w:hAnsi="Arial"/>
                <w:sz w:val="18"/>
                <w:szCs w:val="18"/>
                <w:color w:val="auto"/>
              </w:rPr>
              <w:t>plans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1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76"/>
        </w:trPr>
        <w:tc>
          <w:tcPr>
            <w:tcW w:w="5160" w:type="dxa"/>
            <w:vAlign w:val="bottom"/>
            <w:gridSpan w:val="4"/>
          </w:tcPr>
          <w:p>
            <w:pPr>
              <w:ind w:left="360"/>
              <w:spacing w:after="0" w:line="176" w:lineRule="exact"/>
              <w:rPr>
                <w:sz w:val="20"/>
                <w:szCs w:val="20"/>
                <w:color w:val="auto"/>
              </w:rPr>
            </w:pPr>
            <w:r>
              <w:rPr>
                <w:rFonts w:ascii="Arial" w:cs="Arial" w:eastAsia="Arial" w:hAnsi="Arial"/>
                <w:sz w:val="18"/>
                <w:szCs w:val="18"/>
                <w:color w:val="auto"/>
                <w:w w:val="98"/>
              </w:rPr>
              <w:t>Change in other comprehensive income from unconsolidated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160" w:type="dxa"/>
            <w:vAlign w:val="bottom"/>
            <w:tcBorders>
              <w:bottom w:val="single" w:sz="8" w:color="CCEEFF"/>
            </w:tcBorders>
            <w:gridSpan w:val="4"/>
          </w:tcPr>
          <w:p>
            <w:pPr>
              <w:ind w:left="520"/>
              <w:spacing w:after="0"/>
              <w:rPr>
                <w:sz w:val="20"/>
                <w:szCs w:val="20"/>
                <w:color w:val="auto"/>
              </w:rPr>
            </w:pPr>
            <w:r>
              <w:rPr>
                <w:rFonts w:ascii="Arial" w:cs="Arial" w:eastAsia="Arial" w:hAnsi="Arial"/>
                <w:sz w:val="18"/>
                <w:szCs w:val="18"/>
                <w:color w:val="auto"/>
              </w:rPr>
              <w:t>affiliates</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Comprehensive income</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4,443</w:t>
            </w:r>
          </w:p>
        </w:tc>
      </w:tr>
      <w:tr>
        <w:trPr>
          <w:trHeight w:val="230"/>
        </w:trPr>
        <w:tc>
          <w:tcPr>
            <w:tcW w:w="5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1"/>
              </w:rPr>
              <w:t>Less: Comprehensive income attributable to noncontrolling interests</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175"/>
        </w:trPr>
        <w:tc>
          <w:tcPr>
            <w:tcW w:w="516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Less: Comprehensive income attributable to redeemable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1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noncontrolling interests</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partners</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Preferred</w:t>
            </w: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color w:val="auto"/>
              </w:rPr>
              <w:t>General Partner</w:t>
            </w:r>
          </w:p>
        </w:tc>
        <w:tc>
          <w:tcPr>
            <w:tcW w:w="240" w:type="dxa"/>
            <w:vAlign w:val="bottom"/>
          </w:tcPr>
          <w:p>
            <w:pPr>
              <w:spacing w:after="0"/>
              <w:rPr>
                <w:sz w:val="16"/>
                <w:szCs w:val="16"/>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color w:val="auto"/>
              </w:rPr>
              <w:t>AOCI</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Noncontrolling</w:t>
            </w:r>
          </w:p>
        </w:tc>
        <w:tc>
          <w:tcPr>
            <w:tcW w:w="240" w:type="dxa"/>
            <w:vAlign w:val="bottom"/>
          </w:tcPr>
          <w:p>
            <w:pPr>
              <w:spacing w:after="0"/>
              <w:rPr>
                <w:sz w:val="16"/>
                <w:szCs w:val="16"/>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Unitholders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Unitholders</w:t>
            </w:r>
          </w:p>
        </w:tc>
        <w:tc>
          <w:tcPr>
            <w:tcW w:w="12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Interests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40,659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w w:val="99"/>
              </w:rPr>
              <w:t>Capital contributions from noncontrolling interests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Balance, March 31, 2023</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27,057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6,080</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40,669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Lotus Midstream acquisition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6"/>
        </w:trPr>
        <w:tc>
          <w:tcPr>
            <w:tcW w:w="3700" w:type="dxa"/>
            <w:vAlign w:val="bottom"/>
          </w:tcPr>
          <w:p>
            <w:pPr>
              <w:ind w:left="180"/>
              <w:spacing w:after="0" w:line="166"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09"/>
        </w:trPr>
        <w:tc>
          <w:tcPr>
            <w:tcW w:w="3700" w:type="dxa"/>
            <w:vAlign w:val="bottom"/>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2023</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40,962</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6"/>
        </w:trPr>
        <w:tc>
          <w:tcPr>
            <w:tcW w:w="3700" w:type="dxa"/>
            <w:vAlign w:val="bottom"/>
          </w:tcPr>
          <w:p>
            <w:pPr>
              <w:ind w:left="180"/>
              <w:spacing w:after="0" w:line="166"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09"/>
        </w:trPr>
        <w:tc>
          <w:tcPr>
            <w:tcW w:w="3700" w:type="dxa"/>
            <w:vAlign w:val="bottom"/>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Preferred</w:t>
            </w: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color w:val="auto"/>
              </w:rPr>
              <w:t>General Partner</w:t>
            </w:r>
          </w:p>
        </w:tc>
        <w:tc>
          <w:tcPr>
            <w:tcW w:w="240" w:type="dxa"/>
            <w:vAlign w:val="bottom"/>
          </w:tcPr>
          <w:p>
            <w:pPr>
              <w:spacing w:after="0"/>
              <w:rPr>
                <w:sz w:val="16"/>
                <w:szCs w:val="16"/>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color w:val="auto"/>
              </w:rPr>
              <w:t>AOCI</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Noncontrolling</w:t>
            </w:r>
          </w:p>
        </w:tc>
        <w:tc>
          <w:tcPr>
            <w:tcW w:w="240" w:type="dxa"/>
            <w:vAlign w:val="bottom"/>
          </w:tcPr>
          <w:p>
            <w:pPr>
              <w:spacing w:after="0"/>
              <w:rPr>
                <w:sz w:val="16"/>
                <w:szCs w:val="16"/>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Unitholders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Unitholders</w:t>
            </w:r>
          </w:p>
        </w:tc>
        <w:tc>
          <w:tcPr>
            <w:tcW w:w="12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Interests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39,345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w w:val="99"/>
              </w:rPr>
              <w:t>Capital contributions from noncontrolling interests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Arial" w:cs="Arial" w:eastAsia="Arial" w:hAnsi="Arial"/>
                <w:sz w:val="16"/>
                <w:szCs w:val="16"/>
                <w:color w:val="auto"/>
              </w:rPr>
              <w:t>Balance, March 31, 2022</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25,881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6,077</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8,331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40,329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Capital contributions from noncontrolling interests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6"/>
        </w:trPr>
        <w:tc>
          <w:tcPr>
            <w:tcW w:w="3700" w:type="dxa"/>
            <w:vAlign w:val="bottom"/>
          </w:tcPr>
          <w:p>
            <w:pPr>
              <w:ind w:left="180"/>
              <w:spacing w:after="0" w:line="166"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09"/>
        </w:trPr>
        <w:tc>
          <w:tcPr>
            <w:tcW w:w="3700" w:type="dxa"/>
            <w:vAlign w:val="bottom"/>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w w:val="99"/>
              </w:rPr>
              <w:t>Capital contributions from noncontrolling interests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Energy Transfer Canada sale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6"/>
        </w:trPr>
        <w:tc>
          <w:tcPr>
            <w:tcW w:w="3700" w:type="dxa"/>
            <w:vAlign w:val="bottom"/>
          </w:tcPr>
          <w:p>
            <w:pPr>
              <w:ind w:left="180"/>
              <w:spacing w:after="0" w:line="166" w:lineRule="exact"/>
              <w:rPr>
                <w:sz w:val="20"/>
                <w:szCs w:val="20"/>
                <w:color w:val="auto"/>
              </w:rPr>
            </w:pPr>
            <w:r>
              <w:rPr>
                <w:rFonts w:ascii="Arial" w:cs="Arial" w:eastAsia="Arial" w:hAnsi="Arial"/>
                <w:sz w:val="16"/>
                <w:szCs w:val="16"/>
                <w:color w:val="auto"/>
              </w:rPr>
              <w:t>Net income, excluding amounts attributable to</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9"/>
        </w:trPr>
        <w:tc>
          <w:tcPr>
            <w:tcW w:w="3700" w:type="dxa"/>
            <w:vAlign w:val="bottom"/>
          </w:tcPr>
          <w:p>
            <w:pPr>
              <w:ind w:left="36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74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ENERGY TRANSFER LP AND SUBSIDIARIES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STATEMENTS OF CASH FLOWS</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(Dollars in millions)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(unaudited)</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40" w:type="dxa"/>
            <w:vAlign w:val="bottom"/>
            <w:gridSpan w:val="5"/>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09"/>
        </w:trPr>
        <w:tc>
          <w:tcPr>
            <w:tcW w:w="7740" w:type="dxa"/>
            <w:vAlign w:val="bottom"/>
            <w:gridSpan w:val="5"/>
            <w:vMerge w:val="continue"/>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9"/>
        </w:trPr>
        <w:tc>
          <w:tcPr>
            <w:tcW w:w="7740" w:type="dxa"/>
            <w:vAlign w:val="bottom"/>
            <w:gridSpan w:val="5"/>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Non-cash compensation expense</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Impairment losses and other</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Distributions on unvested awards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Distributions from unconsolidated affiliates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Other non-cash</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5"/>
          </w:tcPr>
          <w:p>
            <w:pPr>
              <w:ind w:left="180"/>
              <w:spacing w:after="0"/>
              <w:rPr>
                <w:sz w:val="20"/>
                <w:szCs w:val="20"/>
                <w:color w:val="auto"/>
              </w:rPr>
            </w:pPr>
            <w:r>
              <w:rPr>
                <w:rFonts w:ascii="Arial" w:cs="Arial" w:eastAsia="Arial" w:hAnsi="Arial"/>
                <w:sz w:val="18"/>
                <w:szCs w:val="18"/>
                <w:color w:val="auto"/>
              </w:rPr>
              <w:t>Net change in operating assets and liabilities, net of effects of acquisitions and divestitures</w:t>
            </w:r>
          </w:p>
        </w:tc>
        <w:tc>
          <w:tcPr>
            <w:tcW w:w="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7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0" w:type="dxa"/>
            <w:vAlign w:val="bottom"/>
          </w:tcPr>
          <w:p>
            <w:pPr>
              <w:spacing w:after="0"/>
              <w:rPr>
                <w:sz w:val="1"/>
                <w:szCs w:val="1"/>
                <w:color w:val="auto"/>
              </w:rPr>
            </w:pPr>
          </w:p>
        </w:tc>
      </w:tr>
      <w:tr>
        <w:trPr>
          <w:trHeight w:val="210"/>
        </w:trPr>
        <w:tc>
          <w:tcPr>
            <w:tcW w:w="7740" w:type="dxa"/>
            <w:vAlign w:val="bottom"/>
            <w:gridSpan w:val="5"/>
          </w:tcPr>
          <w:p>
            <w:pPr>
              <w:ind w:left="2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Cash paid for Lotus Midstream acquisition, net of cash received</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Cash paid for other acquisitions, net of cash received</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Capital expenditures, excluding allowance for equity funds used during construction</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Contributions in aid of construction costs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Contributions to unconsolidated affiliates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Distributions from unconsolidated affiliates in excess of cumulative earnings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Proceeds from sale of Energy Transfer Canada interest</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Proceeds from sales of other assets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09"/>
        </w:trPr>
        <w:tc>
          <w:tcPr>
            <w:tcW w:w="7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Proceeds from borrowings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3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Capital contributions from noncontrolling interests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0"/>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Distributions to redeemable noncontrolling interests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740" w:type="dxa"/>
            <w:vAlign w:val="bottom"/>
            <w:gridSpan w:val="5"/>
          </w:tcPr>
          <w:p>
            <w:pPr>
              <w:ind w:left="180"/>
              <w:spacing w:after="0"/>
              <w:rPr>
                <w:sz w:val="20"/>
                <w:szCs w:val="20"/>
                <w:color w:val="auto"/>
              </w:rPr>
            </w:pPr>
            <w:r>
              <w:rPr>
                <w:rFonts w:ascii="Arial" w:cs="Arial" w:eastAsia="Arial" w:hAnsi="Arial"/>
                <w:sz w:val="18"/>
                <w:szCs w:val="18"/>
                <w:color w:val="auto"/>
              </w:rPr>
              <w:t>Debt issuance costs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23"/>
        </w:trPr>
        <w:tc>
          <w:tcPr>
            <w:tcW w:w="7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ind w:left="340" w:right="6740" w:hanging="332"/>
        <w:spacing w:after="0" w:line="440"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ORGANIZATION AND BASIS OF PRESENTATION </w:t>
      </w:r>
      <w:r>
        <w:rPr>
          <w:rFonts w:ascii="Arial" w:cs="Arial" w:eastAsia="Arial" w:hAnsi="Arial"/>
          <w:sz w:val="18"/>
          <w:szCs w:val="18"/>
          <w:b w:val="1"/>
          <w:bCs w:val="1"/>
          <w:color w:val="auto"/>
        </w:rPr>
        <w:t>Organization</w:t>
      </w:r>
    </w:p>
    <w:p>
      <w:pPr>
        <w:spacing w:after="0" w:line="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presented herein contain the results of Energy Transfer LP and its subsidiaries (the “Partnership,” “we,” “us,” “our” or “Energy Transfer”).</w:t>
      </w:r>
    </w:p>
    <w:p>
      <w:pPr>
        <w:spacing w:after="0" w:line="11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unaudited financial information included in this Form 10-Q has been prepared on the same basis as the audited consolidated financial statements included in the Partnership’s Annual Report on Form 10-K for the year ended December 31, 2022, filed with the SEC on February 17, 2023. In the opinion of the Partnership’s management, such financial information reflects all adjustments necessary for a fair presentation of the financial position and the results of operations for such interim periods in accordance with GAAP. All intercompany items and transactions have been eliminated in consolidation. Certain information and disclosures normally included in annual consolidated financial statements prepared in accordance with GAAP have been omitted pursuant to the rules and regulations of the SEC.</w:t>
      </w:r>
    </w:p>
    <w:p>
      <w:pPr>
        <w:spacing w:after="0" w:line="123"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Partnership presented herein include the results of operations of our controlled subsidiaries, including Sunoco LP and USAC. The Partnership owns the general partner interest, incentive distribution rights and 28.5 million common units of Sunoco LP, and the general partner interests and 46.1 million common units of USAC.</w:t>
      </w:r>
    </w:p>
    <w:p>
      <w:pPr>
        <w:spacing w:after="0" w:line="129"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conform to the current period presentation. These reclassifications had no impact on net income or total equity.</w:t>
      </w:r>
    </w:p>
    <w:p>
      <w:pPr>
        <w:spacing w:after="0" w:line="11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75"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unaudited consolidated financial statements have been prepared in conformity with GAAP, which requires the use of estimates and assumptions made by management that affect the reported amounts of assets, liabilities, revenues, expenses and the accrual for and disclosure of contingent assets and liabilities that exist at the date of the consolidated financial statements. Although these estimates are based on management’s available knowledge of current and expected future events, actual results could be different from those estimates.</w:t>
      </w:r>
    </w:p>
    <w:p>
      <w:pPr>
        <w:spacing w:after="0" w:line="113"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Pending Crestwood Acquisition</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August 16, 2023, the Partnership announced its entry into a definitive merger agreement to acquire Crestwood Equity Partners LP (“Crestwood”). Under the terms of the merger agreement, Crestwood’s common unitholders will receive 2.07 Energy Transfer common units for each Crestwood common unit. Crestwood owns gathering and processing assets located in the Williston, Delaware and Powder River basins. On October 30, 2023, a majority of Crestwood’s unitholders voted to approve the merger. The transaction is expected to close on November 3, 2023, subject to customary closing conditions.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Lotus Midstream Acquisition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May 2, 2023, Energy Transfer acquired Lotus Midstream Operations, LLC (“Lotus Midstream”) for total consideration of $1.50 billion, including working capital. Consideration included $930 million in cash and approximately 44.5 million newly issued Energy Transfer common units, which had an aggregate acquisition-date fair value of $574 million. Lotus Midstream owns and operates Centurion Pipeline Company LLC, an integrated crude midstream platform located in the Permian Basin.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assumed allocation of the purchase price among the assets acquired and liabilities assumed: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At May 2, 2023</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Lease right-of-use assets,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57"/>
        </w:trPr>
        <w:tc>
          <w:tcPr>
            <w:tcW w:w="8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8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r>
      <w:tr>
        <w:trPr>
          <w:trHeight w:val="223"/>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received</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net of cash received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Acquisition</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On May 1, 2023, Sunoco LP completed the acquisition of 16 refined product terminals located across the East Coast and Midwest from Zenith Energy for $111 million, including working capital. The purchase price was primarily allocated to property and equipment.</w:t>
      </w:r>
    </w:p>
    <w:p>
      <w:pPr>
        <w:spacing w:after="0" w:line="11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 The Partnership’s consolidated balance sheets did not include any material amounts of restricted cash as of September 30, 2023 or December 31, 2022.</w:t>
      </w:r>
    </w:p>
    <w:p>
      <w:pPr>
        <w:spacing w:after="0" w:line="132"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net change in operating assets and liabilities, net of effects of acquisitions, included in cash flows from operating activities is comprised as follows:</w:t>
      </w:r>
    </w:p>
    <w:p>
      <w:pPr>
        <w:spacing w:after="0" w:line="141" w:lineRule="exact"/>
        <w:rPr>
          <w:sz w:val="20"/>
          <w:szCs w:val="20"/>
          <w:color w:val="auto"/>
        </w:rPr>
      </w:pPr>
    </w:p>
    <w:p>
      <w:pPr>
        <w:jc w:val="center"/>
        <w:ind w:left="7520"/>
        <w:spacing w:after="0"/>
        <w:rPr>
          <w:sz w:val="20"/>
          <w:szCs w:val="20"/>
          <w:color w:val="auto"/>
        </w:rPr>
      </w:pPr>
      <w:r>
        <w:rPr>
          <w:rFonts w:ascii="Arial" w:cs="Arial" w:eastAsia="Arial" w:hAnsi="Arial"/>
          <w:sz w:val="18"/>
          <w:szCs w:val="18"/>
          <w:color w:val="auto"/>
        </w:rPr>
        <w:t>Nine Months Ended</w:t>
      </w:r>
    </w:p>
    <w:p>
      <w:pPr>
        <w:jc w:val="center"/>
        <w:ind w:left="7520"/>
        <w:spacing w:after="0"/>
        <w:rPr>
          <w:sz w:val="20"/>
          <w:szCs w:val="20"/>
          <w:color w:val="auto"/>
        </w:rPr>
      </w:pPr>
      <w:r>
        <w:rPr>
          <w:rFonts w:ascii="Arial" w:cs="Arial" w:eastAsia="Arial" w:hAnsi="Arial"/>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3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to related companies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Derivative assets and liabilities, net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change in operating assets and liabilities, net of effects of acquisitions and divestitures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Non-cash investing and financing activities were as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40" w:type="dxa"/>
            <w:vAlign w:val="bottom"/>
          </w:tcPr>
          <w:p>
            <w:pPr>
              <w:spacing w:after="0"/>
              <w:rPr>
                <w:sz w:val="24"/>
                <w:szCs w:val="24"/>
                <w:color w:val="auto"/>
              </w:rPr>
            </w:pPr>
          </w:p>
        </w:tc>
        <w:tc>
          <w:tcPr>
            <w:tcW w:w="7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Lease assets obtained in exchange for new lease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reinvestment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8"/>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4.  INVENTORIES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NGLs and refined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Crude oil</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Spare parts and other</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Sunoco LP’s fuel inventories are stated at the lower of cost or market using the last-in, first-out (“LIFO”) method. As of September 30, 2023 and December 31, 2022, the carrying value of Sunoco LP’s fuel inventory included lower of cost or market reserves of $3 million and $116 million, respectively. For the three and nine months ended September 30, 2023 and 2022, the Partnership’s consolidated income statements did not include any material amounts of income from the liquidation of Sunoco LP’s LIFO fuel inventory. For the three months ended September 30, 2023 and 2022, the Partnership’s cost of products sold included favorable inventory adjustments of $141 million and unfavorable inventory adjustments of $40 million, respectively, related to Sunoco LP’s LIFO inventory. For the nine months ended September 30, 2023 and 2022, the Partnership’s cost of products sold included favorable inventory adjustments of $113 million and favorable inventory adjustments of $81 million, respectively, related to Sunoco LP’s LIFO inventory.</w:t>
      </w:r>
    </w:p>
    <w:p>
      <w:pPr>
        <w:spacing w:after="0" w:line="1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MEASURES</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commodity derivatives and interest rate derivatives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options transacted through a clearing broker as having Level 2 inputs due to the level of activity of these contracts on the exchange in which they trade. The valuation methodologies employed for our interest rate derivatives do not necessitate material judgment, and the inputs are observed from actively quoted public markets and therefore are categorized in Level 2. Level 3 inputs are unobservable. During the nine months ended September 30, 2023, no transfers were made between any levels within the fair value hierarchy.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the gross fair value of our financial assets and liabilities measured and recorded at fair value on a recurring basis as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2023 and December 31, 2022 based on inputs used to derive their fair values: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ind w:left="20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ind w:left="480"/>
              <w:spacing w:after="0"/>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Fair Value Total</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Level 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Interest rate derivatives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Forwards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Crude – Forwards/Swaps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commodity derivatives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Power:</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Futures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 Forwards/Swaps</w:t>
            </w:r>
          </w:p>
        </w:tc>
        <w:tc>
          <w:tcPr>
            <w:tcW w:w="2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commodity derivatives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ind w:left="20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29"/>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Crude – Forwards/Swaps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commodity derivatives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 Forwards/Swaps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commodity derivatives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aggregate estimated fair value and carrying amount of our consolidated debt obligations as of September 30, 2023 were $44.60 billion and $48.08 billion, respectively. As of December 31, 2022, the aggregate fair value and carrying amount of our consolidated debt obligations were $45.42 billion and $48.26 billion, respectively. The fair value of our consolidated debt obligations is a Level 2 valuation based on the respective debt obligations’ observable inputs for similar liabilities.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COMMON UNIT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income or loss and weighted average units used in computing basic and diluted income per common unit is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32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9"/>
        </w:trPr>
        <w:tc>
          <w:tcPr>
            <w:tcW w:w="488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Less: Net income attributable to redeemable noncontrolling</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Net income, net of noncontrolling interests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General Partner’s interest in net income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Preferred Unitholders’ interest in net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Unitholders’ interest in 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Income per Common Unit: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units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Basic income per common unit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270"/>
              <w:spacing w:after="0" w:line="17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0.73</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70"/>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Income per Common Unit: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40"/>
              <w:spacing w:after="0"/>
              <w:rPr>
                <w:sz w:val="20"/>
                <w:szCs w:val="20"/>
                <w:color w:val="auto"/>
              </w:rPr>
            </w:pPr>
            <w:r>
              <w:rPr>
                <w:rFonts w:ascii="Arial" w:cs="Arial" w:eastAsia="Arial" w:hAnsi="Arial"/>
                <w:sz w:val="18"/>
                <w:szCs w:val="18"/>
                <w:color w:val="auto"/>
              </w:rPr>
              <w:t>Common Unitholders’ interest in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w w:val="94"/>
              </w:rPr>
              <w:t xml:space="preserve">Dilutive effect of equity-based compensation of subsidiaries </w:t>
            </w:r>
            <w:r>
              <w:rPr>
                <w:rFonts w:ascii="Arial" w:cs="Arial" w:eastAsia="Arial" w:hAnsi="Arial"/>
                <w:sz w:val="23"/>
                <w:szCs w:val="23"/>
                <w:color w:val="auto"/>
                <w:w w:val="94"/>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880" w:type="dxa"/>
            <w:vAlign w:val="bottom"/>
          </w:tcPr>
          <w:p>
            <w:pPr>
              <w:ind w:left="340"/>
              <w:spacing w:after="0"/>
              <w:rPr>
                <w:sz w:val="20"/>
                <w:szCs w:val="20"/>
                <w:color w:val="auto"/>
              </w:rPr>
            </w:pPr>
            <w:r>
              <w:rPr>
                <w:rFonts w:ascii="Arial" w:cs="Arial" w:eastAsia="Arial" w:hAnsi="Arial"/>
                <w:sz w:val="18"/>
                <w:szCs w:val="18"/>
                <w:color w:val="auto"/>
              </w:rPr>
              <w:t>Diluted income attributable to Common Unitholders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units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Dilutive effect of unvested restricted unit awards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color w:val="auto"/>
                <w:w w:val="97"/>
              </w:rPr>
              <w:t>Weighted average common units, assuming dilutive effect of</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3,167.7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3,108.6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restricted unit awards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 income per common unit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40" w:hanging="308"/>
        <w:spacing w:after="0"/>
        <w:tabs>
          <w:tab w:leader="none" w:pos="640" w:val="left"/>
        </w:tabs>
        <w:numPr>
          <w:ilvl w:val="1"/>
          <w:numId w:val="7"/>
        </w:numPr>
        <w:rPr>
          <w:rFonts w:ascii="Arial" w:cs="Arial" w:eastAsia="Arial" w:hAnsi="Arial"/>
          <w:sz w:val="23"/>
          <w:szCs w:val="23"/>
          <w:color w:val="auto"/>
          <w:vertAlign w:val="superscript"/>
        </w:rPr>
      </w:pPr>
      <w:r>
        <w:rPr>
          <w:rFonts w:ascii="Arial" w:cs="Arial" w:eastAsia="Arial" w:hAnsi="Arial"/>
          <w:sz w:val="18"/>
          <w:szCs w:val="18"/>
          <w:color w:val="auto"/>
        </w:rPr>
        <w:t>Dilutive effects are excluded from the calculation for periods where the impact would have been antidilutive.</w:t>
      </w:r>
    </w:p>
    <w:p>
      <w:pPr>
        <w:spacing w:after="0" w:line="143" w:lineRule="exact"/>
        <w:rPr>
          <w:rFonts w:ascii="Arial" w:cs="Arial" w:eastAsia="Arial" w:hAnsi="Arial"/>
          <w:sz w:val="23"/>
          <w:szCs w:val="23"/>
          <w:color w:val="auto"/>
          <w:vertAlign w:val="superscript"/>
        </w:rPr>
      </w:pPr>
    </w:p>
    <w:p>
      <w:pPr>
        <w:ind w:left="340" w:right="9100" w:hanging="332"/>
        <w:spacing w:after="0" w:line="439"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DEBT OBLIGATIONS </w:t>
      </w:r>
      <w:r>
        <w:rPr>
          <w:rFonts w:ascii="Arial" w:cs="Arial" w:eastAsia="Arial" w:hAnsi="Arial"/>
          <w:sz w:val="18"/>
          <w:szCs w:val="18"/>
          <w:b w:val="1"/>
          <w:bCs w:val="1"/>
          <w:color w:val="auto"/>
        </w:rPr>
        <w:t xml:space="preserve">Recent Transactions </w:t>
      </w:r>
      <w:r>
        <w:rPr>
          <w:rFonts w:ascii="Arial" w:cs="Arial" w:eastAsia="Arial" w:hAnsi="Arial"/>
          <w:sz w:val="18"/>
          <w:szCs w:val="18"/>
          <w:b w:val="1"/>
          <w:bCs w:val="1"/>
          <w:i w:val="1"/>
          <w:iCs w:val="1"/>
          <w:color w:val="auto"/>
        </w:rPr>
        <w:t>Senior Notes</w:t>
      </w:r>
    </w:p>
    <w:p>
      <w:pPr>
        <w:spacing w:after="0" w:line="2"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November 1, 2023, the Partnership redeemed $600 million aggregate principal amount of its 4.50% Senior Notes due November 1, 2023 using proceeds from the senior notes offering discussed in the following paragraph.</w:t>
      </w:r>
    </w:p>
    <w:p>
      <w:pPr>
        <w:spacing w:after="0" w:line="116"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October 2023, the Partnership issued $1.00 billion aggregate principal amount of 6.05% Senior Notes due 2026, $500 million aggregate principal amount of 6.10% Senior Notes due 2028, $1.00 billion aggregate principal amount of 6.40% Senior Notes due 2030 and $1.50 billion aggregate principal amount of 6.55% Senior Notes due 2033. The Partnership intends to use the net proceeds to refinance existing indebtedness, including borrowings under its Five-Year Credit Facility (defined below) and for general partnership purposes.</w:t>
      </w:r>
    </w:p>
    <w:p>
      <w:pPr>
        <w:spacing w:after="0" w:line="11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third quarter of 2023, the Partnership redeemed $500 million aggregate principal amount of its 4.20% Senior Notes due September 2023 using proceeds from its Five-Year Credit Facility.</w:t>
      </w:r>
    </w:p>
    <w:p>
      <w:pPr>
        <w:spacing w:after="0" w:line="116"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the first quarter of 2023, the Partnership redeemed $350 million aggregate principal amount of its 3.45% Senior Notes due January 2023, $800 million aggregate principal amount of its 3.60% Senior Notes due February 2023 and $1.00 billion aggregate principal amount of its 4.25% Senior Notes due March 2023 using proceeds from its Five-Year Credit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HFOTCO Debt</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May 2023, the Partnership refinanced all of the $225 million outstanding principal amount of HFOTCO tax-exempt bonds with new 10-year tax-exempt bonds. The new bonds, which were issued through the Harris County Industrial Development Corporation and are obligations of Energy Transfer, accrue interest at a fixed rate of 4.05% and are mandatorily redeemable in 2033. Upon redemption, these tax-exempt bonds may be remarketed on different terms through final maturity of November 1, 2050.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Senior Notes Offering</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In September 2023, Sunoco LP issued $500 million aggregate principal amount of 7.00% senior notes due 2028 in a private placement to eligible purchasers. The net proceeds from this offering were used to repay a portion of Sunoco LP’s existing borrowings under its credit facility.</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Current Maturities of Long-Term Debt</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September 30, 2023, current maturities of long-term debt reflected on the Partnership’s consolidated balance sheet included $1.00 billion of senior notes issued by the Bakken Pipeline entities, which mature in April 2024.</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Facilities and Commercial Paper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Five-Year Credit Facility</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Partnership’s revolving credit facility (the “Five-Year Credit Facility”) allows for unsecured borrowings up to $5.00 billion and matures in April 2027. The Five-Year Credit Facility contains an accordion feature, under which the total aggregate commitment may be increased up to $7.00 billion under certain conditions.</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September 30, 2023, the Five-Year Credit Facility had $2.85 billion of outstanding borrowings, of which $1.55 billion consisted of commercial paper. The amount available for future borrowings was $2.12 billion, after accounting for outstanding letters of credit in the amount of $32 million. The weighted average interest rate on the total amount outstanding as of September 30, 2023 was 6.29%.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September 30, 2023, Sunoco LP’s credit facility had $647 million of outstanding borrowings and $6 million in standby letters of credit and matures in April 2027. The amount available for future borrowings at September 30, 2023 was $847 million. The weighted average interest rate on the total amount outstanding as of September 30, 2023 was 7.34%.</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of September 30, 2023, USAC’s credit facility, which matures in December 2026, had $813 million of outstanding borrowings and no outstanding letters of credit. As of September 30, 2023, USAC had $787 million of availability under its credit facility, and subject to compliance with applicable financial covenants, available borrowing capacity of $434 million. The weighted average interest rate on the total amount outstanding as of September 30, 2023 was 7.99%.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September 30, 2023. For the quarter ended September 30, 2023, our leverage ratio, as calculated pursuant to the covenant related to our Five-Year Credit Facility, was 3.11x.</w:t>
      </w:r>
    </w:p>
    <w:p>
      <w:pPr>
        <w:spacing w:after="0" w:line="12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REDEEMABLE NONCONTROLLING INTERESTS</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Certain redeemable noncontrolling interests in the Partnership’s subsidiaries were reflected as mezzanine equity on the consolidated balance sheets. Redeemable noncontrolling interests as of September 30, 2023 and December 31, 2022 included a balance of $477 million related to the USAC Series A preferred units. Redeemable noncontrolling interests also included a balance of $21 million as of September 30, 2023 and $16 million as of December 31, 2022 related to noncontrolling interest holders in one of the Partnership’s consolidated subsidiaries that have the option to sell their interests to the Partnership.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Energy Transfer Common Units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Energy Transfer common units during the nine months ended September 30, 2023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Number of Units</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common units at December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3,094.4</w:t>
            </w:r>
          </w:p>
        </w:tc>
      </w:tr>
      <w:tr>
        <w:trPr>
          <w:trHeight w:val="229"/>
        </w:trPr>
        <w:tc>
          <w:tcPr>
            <w:tcW w:w="9120" w:type="dxa"/>
            <w:vAlign w:val="bottom"/>
          </w:tcPr>
          <w:p>
            <w:pPr>
              <w:ind w:left="180"/>
              <w:spacing w:after="0"/>
              <w:rPr>
                <w:sz w:val="20"/>
                <w:szCs w:val="20"/>
                <w:color w:val="auto"/>
              </w:rPr>
            </w:pPr>
            <w:r>
              <w:rPr>
                <w:rFonts w:ascii="Arial" w:cs="Arial" w:eastAsia="Arial" w:hAnsi="Arial"/>
                <w:sz w:val="18"/>
                <w:szCs w:val="18"/>
                <w:color w:val="auto"/>
              </w:rPr>
              <w:t>Common units issued under the distribution reinvestment plan</w:t>
            </w: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 issued for Lotus Midstream acquisition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9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units vested under equity incentive plans and 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common units at September 30,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Repurchase Program</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the nine months ended September 30, 2023, Energy Transfer did not repurchase any of its common units under its current buyback program. As of September 30, 2023, $880 million remained available to repurchase under the current program.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Distribution Reinvestment Program</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nine months ended September 30, 2023, distributions of $70 million were reinvested under the distribution reinvestment program. As of September 30, 2023, a total of 6 million Energy Transfer common units remained available to be issued under the existing registration statement in connection with the distribution reinvestment program.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Distributions on Energy Transfer Common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declared and/or paid with respect to Energy Transfer common units subsequent to December 31, 2022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gridSpan w:val="2"/>
          </w:tcPr>
          <w:p>
            <w:pPr>
              <w:ind w:left="720"/>
              <w:spacing w:after="0"/>
              <w:rPr>
                <w:sz w:val="20"/>
                <w:szCs w:val="20"/>
                <w:color w:val="auto"/>
              </w:rPr>
            </w:pPr>
            <w:r>
              <w:rPr>
                <w:rFonts w:ascii="Arial" w:cs="Arial" w:eastAsia="Arial" w:hAnsi="Arial"/>
                <w:sz w:val="18"/>
                <w:szCs w:val="18"/>
                <w:color w:val="auto"/>
              </w:rPr>
              <w:t>Quarter Ended</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Record Date</w:t>
            </w:r>
          </w:p>
        </w:tc>
        <w:tc>
          <w:tcPr>
            <w:tcW w:w="2640" w:type="dxa"/>
            <w:vAlign w:val="bottom"/>
            <w:gridSpan w:val="2"/>
          </w:tcPr>
          <w:p>
            <w:pPr>
              <w:ind w:left="76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1940" w:type="dxa"/>
            <w:vAlign w:val="bottom"/>
          </w:tcPr>
          <w:p>
            <w:pPr>
              <w:jc w:val="right"/>
              <w:ind w:right="1010"/>
              <w:spacing w:after="0"/>
              <w:rPr>
                <w:sz w:val="20"/>
                <w:szCs w:val="20"/>
                <w:color w:val="auto"/>
              </w:rPr>
            </w:pPr>
            <w:r>
              <w:rPr>
                <w:rFonts w:ascii="Arial" w:cs="Arial" w:eastAsia="Arial" w:hAnsi="Arial"/>
                <w:sz w:val="18"/>
                <w:szCs w:val="18"/>
                <w:color w:val="auto"/>
              </w:rPr>
              <w:t>Rate</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7, 2023</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21, 2023</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640" w:type="dxa"/>
            <w:vAlign w:val="bottom"/>
            <w:gridSpan w:val="2"/>
          </w:tcPr>
          <w:p>
            <w:pPr>
              <w:spacing w:after="0"/>
              <w:rPr>
                <w:sz w:val="20"/>
                <w:szCs w:val="20"/>
                <w:color w:val="auto"/>
              </w:rPr>
            </w:pPr>
            <w:r>
              <w:rPr>
                <w:rFonts w:ascii="Arial" w:cs="Arial" w:eastAsia="Arial" w:hAnsi="Arial"/>
                <w:sz w:val="18"/>
                <w:szCs w:val="18"/>
                <w:color w:val="auto"/>
              </w:rPr>
              <w:t>May 8, 2023</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May 22, 2023</w:t>
            </w:r>
          </w:p>
        </w:tc>
        <w:tc>
          <w:tcPr>
            <w:tcW w:w="6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0.3075</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14, 2023</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21, 2023</w:t>
            </w: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0.3100</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640" w:type="dxa"/>
            <w:vAlign w:val="bottom"/>
            <w:gridSpan w:val="2"/>
          </w:tcPr>
          <w:p>
            <w:pPr>
              <w:spacing w:after="0"/>
              <w:rPr>
                <w:sz w:val="20"/>
                <w:szCs w:val="20"/>
                <w:color w:val="auto"/>
              </w:rPr>
            </w:pPr>
            <w:r>
              <w:rPr>
                <w:rFonts w:ascii="Arial" w:cs="Arial" w:eastAsia="Arial" w:hAnsi="Arial"/>
                <w:sz w:val="18"/>
                <w:szCs w:val="18"/>
                <w:color w:val="auto"/>
              </w:rPr>
              <w:t>October 30, 2023</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November 20, 2023</w:t>
            </w:r>
          </w:p>
        </w:tc>
        <w:tc>
          <w:tcPr>
            <w:tcW w:w="6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0.3125</w:t>
            </w: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Energy Transfer Preferred Units</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September 30, 2023 and December 31, 2022, Energy Transfer’s outstanding preferred units included 950,000 Series A Preferred Units, 550,000 Series B Preferred Units, 18,000,000 Series C Preferred Units, 17,800,000 Series D Preferred Units, 32,000,000 Series E Preferred Units, 500,000 Series F Preferred Units, 1,484,780 Series G Preferred Units and 900,000 Series H Preferred Units.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the Energy Transfer Preferred Units: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Preferred Unitholders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3"/>
        </w:trPr>
        <w:tc>
          <w:tcPr>
            <w:tcW w:w="2480" w:type="dxa"/>
            <w:vAlign w:val="bottom"/>
          </w:tcPr>
          <w:p>
            <w:pPr>
              <w:spacing w:after="0"/>
              <w:rPr>
                <w:sz w:val="19"/>
                <w:szCs w:val="19"/>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color w:val="auto"/>
              </w:rPr>
              <w:t>Series A</w:t>
            </w:r>
          </w:p>
        </w:tc>
        <w:tc>
          <w:tcPr>
            <w:tcW w:w="10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Series B</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Series E</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10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Series G</w:t>
            </w: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3"/>
              </w:rPr>
              <w:t>Series 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Total</w:t>
            </w: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r>
      <w:tr>
        <w:trPr>
          <w:trHeight w:val="230"/>
        </w:trPr>
        <w:tc>
          <w:tcPr>
            <w:tcW w:w="248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color w:val="auto"/>
              </w:rPr>
              <w:t>Balance, March 31, 2023</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6,080</w:t>
            </w:r>
          </w:p>
        </w:tc>
      </w:tr>
      <w:tr>
        <w:trPr>
          <w:trHeight w:val="22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2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30"/>
        </w:trPr>
        <w:tc>
          <w:tcPr>
            <w:tcW w:w="248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w:t>
            </w:r>
          </w:p>
        </w:tc>
      </w:tr>
      <w:tr>
        <w:trPr>
          <w:trHeight w:val="21"/>
        </w:trPr>
        <w:tc>
          <w:tcPr>
            <w:tcW w:w="2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07"/>
        </w:trPr>
        <w:tc>
          <w:tcPr>
            <w:tcW w:w="2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Preferred Unitholders</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2480" w:type="dxa"/>
            <w:vAlign w:val="bottom"/>
          </w:tcPr>
          <w:p>
            <w:pPr>
              <w:spacing w:after="0"/>
              <w:rPr>
                <w:sz w:val="19"/>
                <w:szCs w:val="19"/>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color w:val="auto"/>
              </w:rPr>
              <w:t>Series A</w:t>
            </w:r>
          </w:p>
        </w:tc>
        <w:tc>
          <w:tcPr>
            <w:tcW w:w="10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Series B</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Series E</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10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Series G</w:t>
            </w: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3"/>
              </w:rPr>
              <w:t>Series 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Total</w:t>
            </w: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r>
      <w:tr>
        <w:trPr>
          <w:trHeight w:val="229"/>
        </w:trPr>
        <w:tc>
          <w:tcPr>
            <w:tcW w:w="248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6,077</w:t>
            </w:r>
          </w:p>
        </w:tc>
      </w:tr>
      <w:tr>
        <w:trPr>
          <w:trHeight w:val="230"/>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2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r>
      <w:tr>
        <w:trPr>
          <w:trHeight w:val="230"/>
        </w:trPr>
        <w:tc>
          <w:tcPr>
            <w:tcW w:w="248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w:t>
            </w:r>
          </w:p>
        </w:tc>
      </w:tr>
      <w:tr>
        <w:trPr>
          <w:trHeight w:val="20"/>
        </w:trPr>
        <w:tc>
          <w:tcPr>
            <w:tcW w:w="2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Distributions on Energy Transfer Preferred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declared on the Energy Transfer Preferred Units were as follows: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Period Ended</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Record Date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6"/>
              </w:rPr>
              <w:t>Payment Date</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Series A</w:t>
            </w:r>
            <w:r>
              <w:rPr>
                <w:rFonts w:ascii="Arial" w:cs="Arial" w:eastAsia="Arial" w:hAnsi="Arial"/>
                <w:sz w:val="21"/>
                <w:szCs w:val="2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Series B</w:t>
            </w:r>
            <w:r>
              <w:rPr>
                <w:rFonts w:ascii="Arial" w:cs="Arial" w:eastAsia="Arial" w:hAnsi="Arial"/>
                <w:sz w:val="21"/>
                <w:szCs w:val="21"/>
                <w:color w:val="auto"/>
                <w:w w:val="92"/>
                <w:vertAlign w:val="superscript"/>
              </w:rPr>
              <w:t>(2)</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Series C</w:t>
            </w:r>
            <w:r>
              <w:rPr>
                <w:rFonts w:ascii="Arial" w:cs="Arial" w:eastAsia="Arial" w:hAnsi="Arial"/>
                <w:sz w:val="21"/>
                <w:szCs w:val="21"/>
                <w:color w:val="auto"/>
                <w:w w:val="91"/>
                <w:vertAlign w:val="superscript"/>
              </w:rPr>
              <w:t>(1)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Series D</w:t>
            </w:r>
            <w:r>
              <w:rPr>
                <w:rFonts w:ascii="Arial" w:cs="Arial" w:eastAsia="Arial" w:hAnsi="Arial"/>
                <w:sz w:val="21"/>
                <w:szCs w:val="21"/>
                <w:color w:val="auto"/>
                <w:w w:val="89"/>
                <w:vertAlign w:val="superscript"/>
              </w:rPr>
              <w:t>(1)</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Series E</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Series F</w:t>
            </w:r>
            <w:r>
              <w:rPr>
                <w:rFonts w:ascii="Arial" w:cs="Arial" w:eastAsia="Arial" w:hAnsi="Arial"/>
                <w:sz w:val="21"/>
                <w:szCs w:val="21"/>
                <w:color w:val="auto"/>
                <w:w w:val="93"/>
                <w:vertAlign w:val="superscript"/>
              </w:rPr>
              <w:t>(2)</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8"/>
              </w:rPr>
              <w:t>Series G</w:t>
            </w:r>
            <w:r>
              <w:rPr>
                <w:rFonts w:ascii="Arial" w:cs="Arial" w:eastAsia="Arial" w:hAnsi="Arial"/>
                <w:sz w:val="21"/>
                <w:szCs w:val="21"/>
                <w:color w:val="auto"/>
                <w:w w:val="88"/>
                <w:vertAlign w:val="superscript"/>
              </w:rPr>
              <w:t>(2)</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1"/>
              </w:rPr>
              <w:t>Series H</w:t>
            </w:r>
            <w:r>
              <w:rPr>
                <w:rFonts w:ascii="Arial" w:cs="Arial" w:eastAsia="Arial" w:hAnsi="Arial"/>
                <w:sz w:val="21"/>
                <w:szCs w:val="21"/>
                <w:color w:val="auto"/>
                <w:w w:val="91"/>
                <w:vertAlign w:val="superscript"/>
              </w:rPr>
              <w:t>(2)</w:t>
            </w:r>
          </w:p>
        </w:tc>
      </w:tr>
      <w:tr>
        <w:trPr>
          <w:trHeight w:val="159"/>
        </w:trPr>
        <w:tc>
          <w:tcPr>
            <w:tcW w:w="15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December 31, 2022</w:t>
            </w:r>
          </w:p>
        </w:tc>
        <w:tc>
          <w:tcPr>
            <w:tcW w:w="11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1,</w:t>
            </w:r>
          </w:p>
        </w:tc>
        <w:tc>
          <w:tcPr>
            <w:tcW w:w="12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15,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98"/>
              </w:rPr>
              <w:t>$   31.250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98"/>
              </w:rPr>
              <w:t>$   33.125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   0.4609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98"/>
              </w:rPr>
              <w:t>$  0.4766</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  0.475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9"/>
              <w:spacing w:after="0" w:line="159" w:lineRule="exact"/>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line="159"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w:t>
            </w:r>
          </w:p>
        </w:tc>
      </w:tr>
      <w:tr>
        <w:trPr>
          <w:trHeight w:val="212"/>
        </w:trPr>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1580" w:type="dxa"/>
            <w:vAlign w:val="bottom"/>
            <w:gridSpan w:val="2"/>
          </w:tcPr>
          <w:p>
            <w:pPr>
              <w:ind w:left="20"/>
              <w:spacing w:after="0"/>
              <w:rPr>
                <w:sz w:val="20"/>
                <w:szCs w:val="20"/>
                <w:color w:val="auto"/>
              </w:rPr>
            </w:pPr>
            <w:r>
              <w:rPr>
                <w:rFonts w:ascii="Arial" w:cs="Arial" w:eastAsia="Arial" w:hAnsi="Arial"/>
                <w:sz w:val="16"/>
                <w:szCs w:val="16"/>
                <w:color w:val="auto"/>
              </w:rPr>
              <w:t>March 31, 2023</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May 1, 2023</w:t>
            </w:r>
          </w:p>
        </w:tc>
        <w:tc>
          <w:tcPr>
            <w:tcW w:w="1220" w:type="dxa"/>
            <w:vAlign w:val="bottom"/>
            <w:gridSpan w:val="2"/>
          </w:tcPr>
          <w:p>
            <w:pPr>
              <w:ind w:left="20"/>
              <w:spacing w:after="0"/>
              <w:rPr>
                <w:sz w:val="20"/>
                <w:szCs w:val="20"/>
                <w:color w:val="auto"/>
              </w:rPr>
            </w:pPr>
            <w:r>
              <w:rPr>
                <w:rFonts w:ascii="Arial" w:cs="Arial" w:eastAsia="Arial" w:hAnsi="Arial"/>
                <w:sz w:val="16"/>
                <w:szCs w:val="16"/>
                <w:color w:val="auto"/>
              </w:rPr>
              <w:t>May 15, 2023</w:t>
            </w:r>
          </w:p>
        </w:tc>
        <w:tc>
          <w:tcPr>
            <w:tcW w:w="800" w:type="dxa"/>
            <w:vAlign w:val="bottom"/>
          </w:tcPr>
          <w:p>
            <w:pPr>
              <w:jc w:val="right"/>
              <w:spacing w:after="0"/>
              <w:rPr>
                <w:sz w:val="20"/>
                <w:szCs w:val="20"/>
                <w:color w:val="auto"/>
              </w:rPr>
            </w:pPr>
            <w:r>
              <w:rPr>
                <w:rFonts w:ascii="Arial" w:cs="Arial" w:eastAsia="Arial" w:hAnsi="Arial"/>
                <w:sz w:val="16"/>
                <w:szCs w:val="16"/>
                <w:color w:val="auto"/>
              </w:rPr>
              <w:t>21.982</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0.4609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0.4766</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35.625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32.500</w:t>
            </w:r>
          </w:p>
        </w:tc>
      </w:tr>
      <w:tr>
        <w:trPr>
          <w:trHeight w:val="169"/>
        </w:trPr>
        <w:tc>
          <w:tcPr>
            <w:tcW w:w="15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June 30, 2023</w:t>
            </w:r>
          </w:p>
        </w:tc>
        <w:tc>
          <w:tcPr>
            <w:tcW w:w="11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August 1,</w:t>
            </w:r>
          </w:p>
        </w:tc>
        <w:tc>
          <w:tcPr>
            <w:tcW w:w="12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August 15,</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23.891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33.125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0.6294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0.4766</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0.475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r>
      <w:tr>
        <w:trPr>
          <w:trHeight w:val="212"/>
        </w:trPr>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66"/>
        </w:trPr>
        <w:tc>
          <w:tcPr>
            <w:tcW w:w="15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September 30, 2023</w:t>
            </w:r>
          </w:p>
        </w:tc>
        <w:tc>
          <w:tcPr>
            <w:tcW w:w="11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November 1,</w:t>
            </w:r>
          </w:p>
        </w:tc>
        <w:tc>
          <w:tcPr>
            <w:tcW w:w="12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November 15,</w:t>
            </w: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24.672</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0.6489</w:t>
            </w:r>
          </w:p>
        </w:tc>
        <w:tc>
          <w:tcPr>
            <w:tcW w:w="1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0.6622</w:t>
            </w:r>
          </w:p>
        </w:tc>
        <w:tc>
          <w:tcPr>
            <w:tcW w:w="12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6"/>
                <w:szCs w:val="16"/>
                <w:color w:val="auto"/>
              </w:rPr>
              <w:t>0.475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Arial" w:cs="Arial" w:eastAsia="Arial" w:hAnsi="Arial"/>
                <w:sz w:val="16"/>
                <w:szCs w:val="16"/>
                <w:color w:val="auto"/>
              </w:rPr>
              <w:t>33.750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Arial" w:cs="Arial" w:eastAsia="Arial" w:hAnsi="Arial"/>
                <w:sz w:val="16"/>
                <w:szCs w:val="16"/>
                <w:color w:val="auto"/>
              </w:rPr>
              <w:t>35.625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Arial" w:cs="Arial" w:eastAsia="Arial" w:hAnsi="Arial"/>
                <w:sz w:val="16"/>
                <w:szCs w:val="16"/>
                <w:color w:val="auto"/>
              </w:rPr>
              <w:t>32.500</w:t>
            </w:r>
          </w:p>
        </w:tc>
      </w:tr>
      <w:tr>
        <w:trPr>
          <w:trHeight w:val="20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160"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See additional information on Series A, Series C and Series D distributions below.</w:t>
      </w:r>
    </w:p>
    <w:p>
      <w:pPr>
        <w:spacing w:after="0" w:line="68" w:lineRule="exact"/>
        <w:rPr>
          <w:rFonts w:ascii="Arial" w:cs="Arial" w:eastAsia="Arial" w:hAnsi="Arial"/>
          <w:sz w:val="23"/>
          <w:szCs w:val="23"/>
          <w:color w:val="auto"/>
          <w:vertAlign w:val="superscript"/>
        </w:rPr>
      </w:pPr>
    </w:p>
    <w:p>
      <w:pPr>
        <w:ind w:left="640" w:hanging="308"/>
        <w:spacing w:after="0" w:line="231" w:lineRule="auto"/>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Series B, Series F, Series G and Series H distributions are paid on a semi-annual basis.</w:t>
      </w:r>
    </w:p>
    <w:p>
      <w:pPr>
        <w:spacing w:after="0" w:line="14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Prior to February 15, 2023, distributions on the Series A Preferred Units accrued at a fixed rate of 6.250% per annum of the liquidation preference of $1,000. Beginning February 15, 2023 to, but excluding, August 15, 2023, the Series A Preferred Units accrued a floating distribution rate set each quarterly distribution period at a percentage of the $1,000 liquidation preference equal to the then-current three-month LIBOR plus a spread of 4.028% per annum. On and after August 15, 2023, the floating distribution rate on the Series A Preferred Units is based on the three-month SOFR, plus a tenor spread adjustment of 0.26161%, plus 4.028% per annum. Distributions on Series A Preferred Units were previously payable semiannually in arrears until February 15, 2023, and, after February 15, 2023, quarterly in arrears, when, as, and if declared by our General Partner out of legally available funds for such purpose.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Prior to May 15, 2023, distributions on the Series C Preferred Units accrued at a fixed rate of 7.375% per annum of the liquidation preference of $25. Beginning May 15, 2023 to, but excluding, August 15, 2023, the Series C Preferred Units accrued a floating distribution rate set each quarterly distribution period at a percentage of the $25 liquidation preference equal to the then-current three-month LIBOR plus a spread of 4.530% per annum. On and after August 15, 2023, the floating distribution rate on the Series C Preferred Units is based on the three-month SOFR, plus a tenor spread adjustment of 0.26161%, plus 4.530% per annum.</w:t>
      </w:r>
    </w:p>
    <w:p>
      <w:pPr>
        <w:spacing w:after="0" w:line="13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Prior to August 15, 2023, distributions on the Series D Preferred Units accrued at a fixed rate of 7.625% per annum of the liquidation preference of $25. On and after August 15, 2023, the Series D Preferred Units accrue a floating distribution rate set each quarterly distribution period at a percentage of the $25 liquidation preference equal to the three-month SOFR, plus a tenor spread adjustment of 0.26161%, plus 4.738% per annum.</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the Series B Preferred Units and Series E Preferred Units are scheduled to begin accruing at a floating rate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9"/>
              </w:rPr>
              <w:t>Beginning of floating rate</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period</w:t>
            </w: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Applicable Spread</w:t>
            </w: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w w:val="99"/>
              </w:rPr>
              <w:t>Tenor spread adjustment</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Floating rate</w:t>
            </w: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B Preferred Units</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15, 2028</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4.155 %</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0.26161 %</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Three-month SOFR</w:t>
            </w: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Series E Preferred Units</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May 15, 2024</w:t>
            </w:r>
          </w:p>
        </w:tc>
        <w:tc>
          <w:tcPr>
            <w:tcW w:w="2040" w:type="dxa"/>
            <w:vAlign w:val="bottom"/>
          </w:tcPr>
          <w:p>
            <w:pPr>
              <w:jc w:val="right"/>
              <w:spacing w:after="0"/>
              <w:rPr>
                <w:sz w:val="20"/>
                <w:szCs w:val="20"/>
                <w:color w:val="auto"/>
              </w:rPr>
            </w:pPr>
            <w:r>
              <w:rPr>
                <w:rFonts w:ascii="Arial" w:cs="Arial" w:eastAsia="Arial" w:hAnsi="Arial"/>
                <w:sz w:val="18"/>
                <w:szCs w:val="18"/>
                <w:color w:val="auto"/>
              </w:rPr>
              <w:t>5.161 %</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0.26161 %</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Three-month SOFR</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Partnership’s consolidated financial statements also include noncontrolling interests in Sunoco LP and USAC, both of which are master limited partnerships, as well as other non-wholly-owned consolidated joint ventures. The following sections describe cash distributions made by our publicly traded subsidiaries, Sunoco LP and USAC, both of which are required by their respective partnership agreements to distribute all cash on hand (less appropriate reserves determined by the boards of directors of their respective general partners) subsequent to the end of each quarter.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Cash Distributions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Sunoco LP’s common units declared and/or paid by Sunoco LP subsequent to December 31, 2022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gridSpan w:val="2"/>
          </w:tcPr>
          <w:p>
            <w:pPr>
              <w:ind w:left="720"/>
              <w:spacing w:after="0"/>
              <w:rPr>
                <w:sz w:val="20"/>
                <w:szCs w:val="20"/>
                <w:color w:val="auto"/>
              </w:rPr>
            </w:pPr>
            <w:r>
              <w:rPr>
                <w:rFonts w:ascii="Arial" w:cs="Arial" w:eastAsia="Arial" w:hAnsi="Arial"/>
                <w:sz w:val="18"/>
                <w:szCs w:val="18"/>
                <w:color w:val="auto"/>
              </w:rPr>
              <w:t>Quarter Ended</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Record Date</w:t>
            </w:r>
          </w:p>
        </w:tc>
        <w:tc>
          <w:tcPr>
            <w:tcW w:w="2640" w:type="dxa"/>
            <w:vAlign w:val="bottom"/>
            <w:gridSpan w:val="2"/>
          </w:tcPr>
          <w:p>
            <w:pPr>
              <w:ind w:left="76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1940" w:type="dxa"/>
            <w:vAlign w:val="bottom"/>
          </w:tcPr>
          <w:p>
            <w:pPr>
              <w:jc w:val="right"/>
              <w:ind w:right="1010"/>
              <w:spacing w:after="0"/>
              <w:rPr>
                <w:sz w:val="20"/>
                <w:szCs w:val="20"/>
                <w:color w:val="auto"/>
              </w:rPr>
            </w:pPr>
            <w:r>
              <w:rPr>
                <w:rFonts w:ascii="Arial" w:cs="Arial" w:eastAsia="Arial" w:hAnsi="Arial"/>
                <w:sz w:val="18"/>
                <w:szCs w:val="18"/>
                <w:color w:val="auto"/>
              </w:rPr>
              <w:t>Rate</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7, 2023</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21, 2023</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640" w:type="dxa"/>
            <w:vAlign w:val="bottom"/>
            <w:gridSpan w:val="2"/>
          </w:tcPr>
          <w:p>
            <w:pPr>
              <w:spacing w:after="0"/>
              <w:rPr>
                <w:sz w:val="20"/>
                <w:szCs w:val="20"/>
                <w:color w:val="auto"/>
              </w:rPr>
            </w:pPr>
            <w:r>
              <w:rPr>
                <w:rFonts w:ascii="Arial" w:cs="Arial" w:eastAsia="Arial" w:hAnsi="Arial"/>
                <w:sz w:val="18"/>
                <w:szCs w:val="18"/>
                <w:color w:val="auto"/>
              </w:rPr>
              <w:t>May 8, 2023</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May 22, 2023</w:t>
            </w:r>
          </w:p>
        </w:tc>
        <w:tc>
          <w:tcPr>
            <w:tcW w:w="6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0.8420</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14, 2023</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21, 2023</w:t>
            </w: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0.8420</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640" w:type="dxa"/>
            <w:vAlign w:val="bottom"/>
            <w:gridSpan w:val="2"/>
          </w:tcPr>
          <w:p>
            <w:pPr>
              <w:spacing w:after="0"/>
              <w:rPr>
                <w:sz w:val="20"/>
                <w:szCs w:val="20"/>
                <w:color w:val="auto"/>
              </w:rPr>
            </w:pPr>
            <w:r>
              <w:rPr>
                <w:rFonts w:ascii="Arial" w:cs="Arial" w:eastAsia="Arial" w:hAnsi="Arial"/>
                <w:sz w:val="18"/>
                <w:szCs w:val="18"/>
                <w:color w:val="auto"/>
              </w:rPr>
              <w:t>October 30, 2023</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November 20, 2023</w:t>
            </w:r>
          </w:p>
        </w:tc>
        <w:tc>
          <w:tcPr>
            <w:tcW w:w="6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0.8420</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Cash Distributions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USAC’s common units declared and/or paid by USAC subsequent to December 31, 2022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gridSpan w:val="2"/>
          </w:tcPr>
          <w:p>
            <w:pPr>
              <w:ind w:left="720"/>
              <w:spacing w:after="0"/>
              <w:rPr>
                <w:sz w:val="20"/>
                <w:szCs w:val="20"/>
                <w:color w:val="auto"/>
              </w:rPr>
            </w:pPr>
            <w:r>
              <w:rPr>
                <w:rFonts w:ascii="Arial" w:cs="Arial" w:eastAsia="Arial" w:hAnsi="Arial"/>
                <w:sz w:val="18"/>
                <w:szCs w:val="18"/>
                <w:color w:val="auto"/>
              </w:rPr>
              <w:t>Quarter Ended</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Record Date</w:t>
            </w:r>
          </w:p>
        </w:tc>
        <w:tc>
          <w:tcPr>
            <w:tcW w:w="2640" w:type="dxa"/>
            <w:vAlign w:val="bottom"/>
            <w:gridSpan w:val="2"/>
          </w:tcPr>
          <w:p>
            <w:pPr>
              <w:ind w:left="76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1940" w:type="dxa"/>
            <w:vAlign w:val="bottom"/>
          </w:tcPr>
          <w:p>
            <w:pPr>
              <w:jc w:val="right"/>
              <w:ind w:right="1010"/>
              <w:spacing w:after="0"/>
              <w:rPr>
                <w:sz w:val="20"/>
                <w:szCs w:val="20"/>
                <w:color w:val="auto"/>
              </w:rPr>
            </w:pPr>
            <w:r>
              <w:rPr>
                <w:rFonts w:ascii="Arial" w:cs="Arial" w:eastAsia="Arial" w:hAnsi="Arial"/>
                <w:sz w:val="18"/>
                <w:szCs w:val="18"/>
                <w:color w:val="auto"/>
              </w:rPr>
              <w:t>Rate</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23, 2023</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3, 2023</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640" w:type="dxa"/>
            <w:vAlign w:val="bottom"/>
            <w:gridSpan w:val="2"/>
          </w:tcPr>
          <w:p>
            <w:pPr>
              <w:spacing w:after="0"/>
              <w:rPr>
                <w:sz w:val="20"/>
                <w:szCs w:val="20"/>
                <w:color w:val="auto"/>
              </w:rPr>
            </w:pPr>
            <w:r>
              <w:rPr>
                <w:rFonts w:ascii="Arial" w:cs="Arial" w:eastAsia="Arial" w:hAnsi="Arial"/>
                <w:sz w:val="18"/>
                <w:szCs w:val="18"/>
                <w:color w:val="auto"/>
              </w:rPr>
              <w:t>April 24, 2023</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May 5, 2023</w:t>
            </w:r>
          </w:p>
        </w:tc>
        <w:tc>
          <w:tcPr>
            <w:tcW w:w="6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24, 2023</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4, 2023</w:t>
            </w: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640" w:type="dxa"/>
            <w:vAlign w:val="bottom"/>
            <w:gridSpan w:val="2"/>
          </w:tcPr>
          <w:p>
            <w:pPr>
              <w:spacing w:after="0"/>
              <w:rPr>
                <w:sz w:val="20"/>
                <w:szCs w:val="20"/>
                <w:color w:val="auto"/>
              </w:rPr>
            </w:pPr>
            <w:r>
              <w:rPr>
                <w:rFonts w:ascii="Arial" w:cs="Arial" w:eastAsia="Arial" w:hAnsi="Arial"/>
                <w:sz w:val="18"/>
                <w:szCs w:val="18"/>
                <w:color w:val="auto"/>
              </w:rPr>
              <w:t>October 23, 2023</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November 3, 2023</w:t>
            </w:r>
          </w:p>
        </w:tc>
        <w:tc>
          <w:tcPr>
            <w:tcW w:w="6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0.525</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Warrants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September 30, 2023 and December 31, 2022, USAC warrants with the right to purchase 10,000,000 USAC common units at a strike price of $19.59 per unit were outstanding. On October 27, 2023, such warrants were exercised in full by the holders. The exercise of the warrants will be net settled for approximately 2,360,000 USAC common units.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9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52"/>
        </w:trPr>
        <w:tc>
          <w:tcPr>
            <w:tcW w:w="340" w:type="dxa"/>
            <w:vAlign w:val="bottom"/>
          </w:tcPr>
          <w:p>
            <w:pPr>
              <w:spacing w:after="0"/>
              <w:rPr>
                <w:sz w:val="24"/>
                <w:szCs w:val="24"/>
                <w:color w:val="auto"/>
              </w:rPr>
            </w:pPr>
          </w:p>
        </w:tc>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of AOCI, net of tax:</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31,</w:t>
            </w:r>
          </w:p>
        </w:tc>
      </w:tr>
      <w:tr>
        <w:trPr>
          <w:trHeight w:val="237"/>
        </w:trPr>
        <w:tc>
          <w:tcPr>
            <w:tcW w:w="340" w:type="dxa"/>
            <w:vAlign w:val="bottom"/>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4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Actuarial loss related to pensions and other postretirement benefits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40" w:type="dxa"/>
            <w:vAlign w:val="bottom"/>
          </w:tcPr>
          <w:p>
            <w:pPr>
              <w:spacing w:after="0"/>
              <w:rPr>
                <w:sz w:val="19"/>
                <w:szCs w:val="19"/>
                <w:color w:val="auto"/>
              </w:rPr>
            </w:pPr>
          </w:p>
        </w:tc>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Investments in unconsolidated affiliates, net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34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AOCI included in partners’ capital,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right="2320" w:hanging="332"/>
        <w:spacing w:after="0" w:line="440" w:lineRule="auto"/>
        <w:tabs>
          <w:tab w:leader="none" w:pos="33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REGULATORY MATTERS, COMMITMENTS, CONTINGENCIES AND ENVIRONMENTAL LIABILITIES </w:t>
      </w:r>
      <w:r>
        <w:rPr>
          <w:rFonts w:ascii="Arial" w:cs="Arial" w:eastAsia="Arial" w:hAnsi="Arial"/>
          <w:sz w:val="18"/>
          <w:szCs w:val="18"/>
          <w:b w:val="1"/>
          <w:bCs w:val="1"/>
          <w:color w:val="auto"/>
        </w:rPr>
        <w:t>FERC Proceedings</w:t>
      </w:r>
    </w:p>
    <w:p>
      <w:pPr>
        <w:spacing w:after="0" w:line="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Rover – FERC - Stoneman House</w:t>
      </w:r>
    </w:p>
    <w:p>
      <w:pPr>
        <w:spacing w:after="0" w:line="171"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The hearing was set to commence on March 6, 2023; as explained below, this FERC proceeding has been stayed.</w:t>
      </w:r>
    </w:p>
    <w:p>
      <w:pPr>
        <w:spacing w:after="0" w:line="123"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 2022, Energy Transfer and Rover filed a Complaint for Declaratory Relief in the United States District Court for the Northern District of Texas (“Federal District Court”)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Federal District Court case. On May 24, 2022, the Federal District Court ordered a stay of the FERC’s enforcement case and the District Court case pending the resolution of two cases pending before the United States Supreme Court. Arguments were heard in those cases on November 7, 2022. On April 14, 2023, the United States Supreme Court held against the government in both cases, finding that the federal district courts had jurisdiction to hear those suits and to resolve the parties’ constitutional challenges. The cases were remanded to the federal district courts for further proceedings.</w:t>
      </w:r>
    </w:p>
    <w:p>
      <w:pPr>
        <w:spacing w:after="0" w:line="124"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September 13, 2023 the District Court ordered that the District Court case would be stayed pending the resolution of another case pending before the United States Supreme Court and that the FERC enforcement case would remain stayed. Energy Transfer and Rover intend to vigorously defend this claim.</w:t>
      </w:r>
    </w:p>
    <w:p>
      <w:pPr>
        <w:spacing w:after="0" w:line="1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Rover – FERC - Tuscarawas</w:t>
      </w:r>
    </w:p>
    <w:p>
      <w:pPr>
        <w:spacing w:after="0" w:line="171"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In 2019, Enforcement Staff provided Rover with a notice pursuant to Section 1b.19 of the FERC regulations that Enforcement Staff intended to recommend that the FERC pursue an enforcement action against Rover and the Partnership. On December 16, 2021, FERC issued an Order to Show Cause and Notice of Proposed Penalty (Docket No. IN17-4-000), ordering Rover and Energy Transfer to show cause why they should not be found to have violated Section 7(e) of the Natural Gas Act, Section 157.20 of FERC’s regulations, and the Rover Pipeline Certificate Order, and assessed civil penalties of $40 million.</w:t>
      </w:r>
    </w:p>
    <w:p>
      <w:pPr>
        <w:spacing w:after="0" w:line="140"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Rover and Energy Transfer filed their answer to this order on March 21, 2022, and Enforcement Staff filed a reply on April 20, 2022. Rover and Energy Transfer filed their surreply to this order on May 13, 2022. The primary contractor (and one of the subcontractors) responsible for the HDD operations of the Tuscarawas River site have agreed to indemnify Rover and the Partnership for any and all losses, including any fines and penalties from government agencies, resulting from their actions in conducting such HDD operations. Given the stage of the proceedings, the Partnership is unable at this time to provide an assessment of the potential outcome or range of potential liability, if any; however, the Partnership believes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indemnity described above will be applicable to the penalty proposed by Enforcement Staff and intends to vigorously defend itself against the subject claims.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FERC Proceedings</w:t>
      </w:r>
    </w:p>
    <w:p>
      <w:pPr>
        <w:spacing w:after="0" w:line="171"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By an order issued January 16, 2019, the FERC initiated a review of Panhandle’s then existing rates pursuant to Section 5 of the Natural Gas Act to determine whether the rates charged by Panhandle are just and reasonable and set the matter for hearing. On August 30, 2019, Panhandle filed a general rate proceeding under Section 4 of the Natural Gas Act. The Natural Gas Act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United States Court of Appeals for the District of Columbia Circuit (“Court of Appeals”), and the Michigan Public Service Commission also subsequently appealed these orders. On April 25, 2023, the Court of Appeals consolidated Panhandle’s and Michigan Public Service Commission’s appeals and stayed the consolidated appeal proceeding while FERC further considered the requests for rehearing of its December 16, 2022 order. On September 25, 2023, FERC issued its order addressing arguments raised on rehearing and compliance, which denied our requests for rehearing. Panhandle is evaluating the September 25 order and has sixty days from that date to appeal the order to the Court of Appeals.</w:t>
      </w:r>
    </w:p>
    <w:p>
      <w:pPr>
        <w:spacing w:after="0" w:line="118"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On December 1, 2022, Sea Robin filed a rate case pursuant to Section 4 of the Natural Gas Act. By order dated June 29, 2023, a revised procedural schedule was adopted in this proceeding setting the commencement of the hearing for January 9, 2024, with an initial decision anticipated by May 21, 2024. Subsequently, by Order of the Acting Chief Administrative Law Judge, deadlines in the procedural schedule were extended, including revised hearing commencement and initial decisions deadlines to March 26, 2024 and August 8, 2024, respectively.</w:t>
      </w:r>
    </w:p>
    <w:p>
      <w:pPr>
        <w:spacing w:after="0" w:line="11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May 2021, the FERC commenced an audit of SPLP for the period from January 1, 2018 to present to evaluate SPLP’s compliance with its FERC oil tariffs, the accounting requirements of the Uniform System of Accounts as prescribed by the FERC, and the FERC’s Form No. 6 reporting requirements. An audit report was received in September 2023 noting no issues that would have a material impact on the Partnership's financial position or results of operations.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Internal Revenue Service Audits</w:t>
      </w:r>
    </w:p>
    <w:p>
      <w:pPr>
        <w:spacing w:after="0" w:line="175"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Partnership’s 2020 U.S. Federal income tax return is currently under examination by the Internal Revenue Service (“IRS”). In general, Energy Transfer and its subsidiaries are no longer subject to examination by the IRS and most state jurisdictions for 2017 and prior tax years.</w:t>
      </w:r>
    </w:p>
    <w:p>
      <w:pPr>
        <w:spacing w:after="0" w:line="9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USAC is currently under examination by the IRS for years 2019 and 2020. The IRS has issued preliminary partnership examination changes, along with imputed underpayment computations. Based on discussions with the IRS, USAC has estimated a potential range of loss up to $25 million. Once a final partnership imputed underpayment, if any, is determined, USAC’s general partner may either elect to pay the imputed underpayment (including any applicable penalties and interest) directly to the IRS or, if eligible, issue a revised information statement to each USAC unitholder, and former USAC unitholder, with respect to an audited and adjusted return.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In the normal course of business, Energy Transfer purchases, processes and sells natural gas pursuant to long-term contracts and enters into long-term transportation and storage agreements. Such contracts contain terms that are customary in the industry. Energy Transfer believes that the terms of these agreements are commercially reasonable and will not have a material adverse effect on the Partnership’s financial position or results of operations.</w:t>
      </w:r>
    </w:p>
    <w:p>
      <w:pPr>
        <w:spacing w:after="0" w:line="95"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Our joint venture agreements require that we fund our proportionate share of capital contributions to our unconsolidated affiliates. Such contributions will depend upon the unconsolidated affiliates’ capital requirements, such as for funding capital projects or repayment of long-term obligations.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have certain non-cancelable rights-of-way (“ROW”) commitments which require fixed payments and either expire upon our chosen abandonment or at various dates in the future. The following table reflects ROW expense included in operating expenses in the accompanying consolidated statements of operations:</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500" w:type="dxa"/>
            <w:vAlign w:val="bottom"/>
            <w:gridSpan w:val="4"/>
          </w:tcPr>
          <w:p>
            <w:pPr>
              <w:jc w:val="center"/>
              <w:ind w:left="290"/>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jc w:val="center"/>
              <w:ind w:right="230"/>
              <w:spacing w:after="0"/>
              <w:rPr>
                <w:sz w:val="20"/>
                <w:szCs w:val="20"/>
                <w:color w:val="auto"/>
              </w:rPr>
            </w:pPr>
            <w:r>
              <w:rPr>
                <w:rFonts w:ascii="Arial" w:cs="Arial" w:eastAsia="Arial" w:hAnsi="Arial"/>
                <w:sz w:val="18"/>
                <w:szCs w:val="18"/>
                <w:color w:val="auto"/>
                <w:w w:val="91"/>
              </w:rPr>
              <w:t>Nine Months Ended</w:t>
            </w:r>
          </w:p>
        </w:tc>
      </w:tr>
      <w:tr>
        <w:trPr>
          <w:trHeight w:val="237"/>
        </w:trPr>
        <w:tc>
          <w:tcPr>
            <w:tcW w:w="4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color w:val="auto"/>
                <w:w w:val="88"/>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6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 expense</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and Contingencies</w:t>
      </w:r>
    </w:p>
    <w:p>
      <w:pPr>
        <w:spacing w:after="0" w:line="17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We may, from time to time, be involved in litigation and claims arising out of our operations in the normal course of business. Due to the flammable and combustible nature of natural gas and crude oil, the potential exists for personal injury and/or property damage to occur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12"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We or our subsidiaries are parties to various legal proceedings, arbitrations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spacing w:after="0" w:line="10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As of September 30, 2023 and December 31, 2022, accruals of approximately $947 million and $200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$200 million.</w:t>
      </w:r>
    </w:p>
    <w:p>
      <w:pPr>
        <w:spacing w:after="0" w:line="124"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spacing w:after="0" w:line="9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following sections include descriptions of certain matters that could impact the Partnership’s financial position, results of operations and/or cash flows in future periods. The following sections also include updates to certain matters that have previously been disclosed, even if those matters are not anticipated to have a potentially significant impact on future periods. In addition to the matters disclosed in the following sections, the Partnership is also involved in multiple other matters that could impact future periods, including other lawsuits and arbitration related to the Partnership’s commercial agreements. With respect to such matters, contingencies that met both the probable and reasonably estimable criteria have been included in the accruals disclosed above, and the range of additional losses disclosed above also reflects any relevant amounts for such matters.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Dakota Access Pipeline</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July 27, 2016, the Standing Rock Sioux Tribe (“SRST”) filed a lawsuit in the United States District Court for the District of Columbia (“District Court”) challenging permits issued by the United States Army Corps of Engineers (“USACE”) that allowed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25, 2020, the District Court remanded the case back to the USACE for preparation of an Environment Impact Statement (“EIS”). On July 6, 2020, the District Court vacated the easement and ordered the Dakota Access Pipeline to be shut down and emptied of oil by August 5, 2020. Dakota Access and the USACE appealed to the Court of Appeals which granted an administrative stay of the District Court’s July 6 order and ordered further briefing on whether to fully stay the July 6 order. On August 5, 2020, the Court of Appeals (1) granted a stay of the portion of the District Court order that required Dakota Access to shut the pipeline down and empty it of oil, (2) denied a motion to stay the March 25 order pending a decision on the merits by the Court of Appeals as to whether the USACE would be required to prepare an EIS and (3) denied a motion to stay the District Court’s order to vacate the easement during this appeal process. The August 5 order also states that the Court of Appeals expected the USACE to clarify its position with respect to whether USACE intended to allow the continued operation of the pipeline notwithstanding the vacatur of the easement and that the District Court may consider additional relief, if necessary.</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August 10, 2020, the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The Tribes subsequently filed a motion seeking an injunction to stop the operation of the pipeline and both USACE and Dakota Access filed briefs in opposition of the motion for injunction. The motion for injunction was fully briefed as of January 8, 2021.</w:t>
      </w:r>
    </w:p>
    <w:p>
      <w:pPr>
        <w:spacing w:after="0" w:line="13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January 26, 2021, the Court of Appeals affirmed the District Court’s March 25, 2020 order requiring an EIS and its July 6, 2020 order vacating the easement. In this same January 26 order, the Court of Appeals also overturned the District Court’s July 6, 2020 order that the pipeline shut down and be emptied of oil. Dakota Access filed for rehearing en banc on April 12, 2021, which the Court of Appeals denied. On September 20, 2021, Dakota Access filed a petition with the U.S. Supreme Court to hear the case. Oppositions were filed by the Solicitor General (December 17, 2021) and the Tribes (December 16, 2021). Dakota Access filed their reply on January 4, 2022. On February 22, 2022, the U.S. Supreme Court declined to hear the case.</w:t>
      </w:r>
    </w:p>
    <w:p>
      <w:pPr>
        <w:spacing w:after="0" w:line="13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District Court scheduled a status conference for February 10, 2021 to discuss the effects of the Court of Appeals’ January 26, 2021 order on the pending motion for injunctive relief, as well as USACE’s expectations as to how it will proceed regarding its enforcement discretion regarding the easement. On May 3, 2021, USACE advised the District Court that it had not changed its position with respect to its opposition to the Tribes’ motion for injunction. On May 21, 2021, the District Court denied the plaintiffs’ request for an injunction. On June 22, 2021, the District Court terminated the consolidated lawsuits and dismissed all remaining outstanding counts without prejudice.</w:t>
      </w:r>
    </w:p>
    <w:p>
      <w:pPr>
        <w:spacing w:after="0" w:line="13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September 8, 2023, the USACE published the Draft EIS. The USACE anticipates that a Final EIS and Record of Decision would be issued in 2024. The pipeline continues to operate pending completion of the EIS. Energy Transfer cannot determine when or how future lawsuits will be resolved or the impact they may have on the Bakken Pipeline, which consists of both Dakota Access and the Energy Transfer Crude Oil Pipeline; however, Energy Transfer expects that after the law and complete record are fully considered, any such proceeding will be resolved in a manner that will allow the pipeline to continue to operate.</w:t>
      </w:r>
    </w:p>
    <w:p>
      <w:pPr>
        <w:spacing w:after="0" w:line="13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 Belvieu Incident</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June 26, 2016, a hydrocarbon storage well located on another operator’s facility adjacent to Lone Star NGL Mont Belvieu LP’s (“Lone Star”), now known as Energy Transfer Mont Belvieu NGLs LP, facilities in Mont Belvieu, Texas experienced an over-pressurization resulting in a subsurface release. The subsurface release caused a fire at Lone Star’s South Terminal and damage to Lone Star’s storage well operations at its South and North Terminals. Normal operations resumed at the facilities in the fall of 2016, with the exception of one of Lone Star’s storage wells at the North Terminal that has not been returned to service. Lone Star has obtained payment for most of the losses it has submitted to the adjacent operator. Lone Star continues to quantify and seek reimbursement for outstanding losses.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MTBE Litigation</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ETC Sunoco and Energy Transfer R&amp;M (collectively, “Sunoco Defendants”) are defendants in lawsuits alleging methyl tertiary butyl ether (“MTBE”) contamination of groundwater. The plaintiffs, state-level governmental entities, assert product liability, nuisance, trespass, negligence, violation of environmental laws and/or deceptive business practices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claims. The plaintiffs seek to recover compensatory damages, and in some cases also seek natural resource damages, injunctive relief, punitive damages and attorneys’ fees.</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of September 30, 2023, Sunoco Defendants are defendants in two cases: one case initiated by the State of Maryland and one by the Commonwealth of Pennsylvania. The actions brought also named as defendants ETO, ETP Holdco Corporation and Sunoco Partners Marketing &amp; Terminals L.P., now known as Energy Transfer Marketing &amp; Terminals L.P. ETP Holdco Corporation and Energy Transfer Marketing &amp; Terminals L.P. are wholly-owned subsidiaries of Energy Transfer.</w:t>
      </w:r>
    </w:p>
    <w:p>
      <w:pPr>
        <w:spacing w:after="0" w:line="13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Filed By or Against Williams</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In April and May 2016, The Williams Companies, Inc. (“Williams”) filed two lawsuits (the “Williams Litigation”) against Energy Transfer, LE GP, LLC, and, in one of the lawsuits, Energy Transfer Corp LP, ETE Corp GP, LLC, and Energy Transfer Equity GP, LLC (collectively, “Energy Transfer Defendants”) in the Delaware Court of Chancery (“the Court”), alleging that the Energy Transfer Defendants breached their obligations under the Energy Transfer-Williams merger agreement (the “Merger Agreement”). In general, Williams alleges that the Energy Transfer Defendants breached the Merger Agreement by (a) failing to use commercially reasonable efforts to obtain from Latham &amp; Watkins LLP (“Latham”) the delivery of a tax opinion concerning Section 721 of the Internal Revenue Code (“721 Opinion”), (b) issuing the Partnership’s Series A convertible preferred units (the “Issuance”) and (c) making allegedly untrue representations and warranties in the Merger Agreement. Williams asked the Court to compel the Energy Transfer Defendants to close the merger or take various other affirmative actions.</w:t>
      </w:r>
    </w:p>
    <w:p>
      <w:pPr>
        <w:spacing w:after="0" w:line="124"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After a two-day trial on June 20 and 21, 2016, the Court ruled in favor of the Energy Transfer Defendants and issued a declaratory judgment that Energy Transfer could terminate the merger after June 28, 2016 because of Latham’s inability to provide the required 721 Opinion. The Court did not reach a decision regarding Williams’ claims related to the Issuance or certain of the alleged untrue representations and warranties. On March 23, 2017, the Delaware Supreme Court affirmed this ruling on the June 2016 trial. In September 2016, the parties filed amended pleadings. Williams filed an amended complaint seeking a $410 million termination fee (the “Termination Fee”) based on the alleged breaches of the Merger Agreement listed above. The Energy Transfer Defendants filed amended counterclaims and affirmative defenses, asserting that Williams materially breached the Merger Agreement by, among other things, (a) modifying and qualifying its board recommendation in a manner adverse to the merger, (b) failing to use its reasonable best efforts to consummate the merger, (c) failing to provide material information to Energy Transfer for inclusion in the Form S-4 related to the merger, (d) failing to facilitate the financing of the merger and (e) breaching the Merger Agreement’s forum-selection clause. The Energy Transfer Defendants sought a $1.48 billion termination fee under the Merger Agreement and additional damages caused by Williams’ misconduct.</w:t>
      </w:r>
    </w:p>
    <w:p>
      <w:pPr>
        <w:spacing w:after="0" w:line="11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On September 29, 2016, Williams filed a motion to dismiss the Energy Transfer Defendants’ amended counterclaims and to strike certain of the Energy Transfer Defendants’ affirmative defenses. On December 1, 2017, the Court issued a Memorandum Opinion granting in part and denying in part Williams’ motion to dismiss. The Court dismissed, among other things, the Energy Transfer Defendants’ claim for a $1.48 billion termination fee.</w:t>
      </w:r>
    </w:p>
    <w:p>
      <w:pPr>
        <w:spacing w:after="0" w:line="9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Trial was held on all remaining claims on May 10-17, 2021, and on December 29, 2021, the Court ruled in favor of Williams and awarded it the Termination Fee plus certain fees and expenses, holding that the Issuance breached the Merger Agreement and that Williams had not materially breached the Merger Agreement, though the Court awarded sanctions against Williams due to its CEO’s intentional spoliation of evidence. The Court subsequently awarded Williams approximately $190 million in attorneys’ fees, expenses and pre-judgment interest.</w:t>
      </w:r>
    </w:p>
    <w:p>
      <w:pPr>
        <w:spacing w:after="0" w:line="117"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On September 21, 2022, the Court entered a final judgment against the Energy Transfer Defendants in the amount of approximately $601 million plus post-judgment interest at a rate of 3.5% per year, compounded quarterly. The Energy Transfer Defendants filed a notice of appeal on October 21, 2022 and filed their opening brief in support of their appeal on December 30, 2022. Williams filed their answering brief on January 20, 2023, and the Energy Transfer Defendants filed their reply brief on February 6, 2023. The Delaware Supreme Court heard oral argument on July 12, 2023.</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10, 2023, the Delaware Supreme Court affirmed. On October 25, 2023, Energy Transfer Defendants filed a motion for reargument.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Therefore, the mandate will not issue until the Delaware Supreme Court disposes of that motion.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Once the mandate issues, the previously-stayed judgment in the amount of approximately $617 million will become effective, plus additional post-judgment interest.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Rover - State of Ohio</w:t>
      </w:r>
    </w:p>
    <w:p>
      <w:pPr>
        <w:spacing w:after="0" w:line="17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On April 22, 2020, the Ohio Supreme Court granted the review. On March 17, 2022, the Ohio Supreme Court reversed in part and remanded to the Ohio trial court. The Ohio Supreme Court agreed with Rover that the State of Ohio had waived its rights under Section 401 of the Clean Water Act but remanded to the trial court to determine whether any of the allegations fell outside the scope of the waiver.</w:t>
      </w:r>
    </w:p>
    <w:p>
      <w:pPr>
        <w:spacing w:after="0" w:line="11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remand, the Ohio EPA voluntarily dismissed four of the other five defendants and dismissed one of its counts against Rover. In its Fourth Amended Complaint, the Ohio EPA removed all paragraphs that alleged violations by the four dismissed defendants, including those where the dismissed defendants were alleged to have acted jointly with Rover or others. At a June 2, 2022, status conference, the trial judge set a schedule for Rover and the other remaining defendant to file motions to dismiss the Fourth Amended Complaint. On August 1, 2022, Rover and the other remaining defendant each filed their respective motions. Briefing on those motions was completed on November 4, 2022. By order issued on October 20, 2023, the trial judge dismissed the Ohio EPA’s Fourth Amended Complaint.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Unitholder Litigation Regarding Pipeline Construction</w:t>
      </w:r>
    </w:p>
    <w:p>
      <w:pPr>
        <w:spacing w:after="0" w:line="171"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Various purported unitholders of Energy Transfer have filed derivative actions against various past and current members of Energy Transfer’s Board of Directors, LE GP, LLC, and Energy Transfer, as a nominal defendant that assert claims for breach of fiduciary duties, unjust enrichment, waste of corporate assets, breach of Energy Transfer’s Partnership Agreement, tortious interference, abuse of control and gross mismanagement related primarily to matters involving the construction of pipelines in Pennsylvania and Ohio. They also seek damages and changes to Energy Transfer’s corporate governance structure. See Bettiol v. LE GP, Case No. 3:19-cv-02890-X (N.D. Tex.); Davidson v. Kelcy L. Warren, Cause No. DC-20-02322 (44th Judicial District of Dallas County, Texas); Harris v. Kelcy L. Warren, Case No. 2:20-cv-00364-GAM (E.D. Pa.); Barry King v. LE GP, Case No. 3:20-cv-00719-X (N.D. Tex.); Inter-Marketing Group USA, Inc. v. LE GP, et at., Case No. 2022-0139-SG (Del. Ch.); Elliot v. LE GP LLC, Case No.</w:t>
      </w:r>
    </w:p>
    <w:p>
      <w:pPr>
        <w:spacing w:after="0" w:line="2"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3:22-cv-01527-B (N.D. Tex.); Chapa v. Kelcy L. Warren, et al., Index No. 611307/2022 (N.Y. Sup. Ct.); Elliott v. LE GP et al, Cause No. DC-22-14194 (Dallas County, Tex.); and Charles King v. LE GP, LLC et al, Cause No. DC-22-14159 (Dallas County, Texas). The Barry King action that was filed in the United States District Court for the Northern District of Texas (Case No. 3:20-cv-00719-X) has been consolidated with the Bettiol action. On August 9, 2022, the Elliot action that was filed in the United States District Court for the Northern District of Texas (Case No. 3:22-cv-01527-B) was voluntarily dismissed.</w:t>
      </w:r>
    </w:p>
    <w:p>
      <w:pPr>
        <w:spacing w:after="0" w:line="13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Another purported unitholder of Energy Transfer, Allegheny County Employees’ Retirement System (“ACERS”), individually and on behalf of all others similarly situated, filed a suit under the federal securities laws purportedly on behalf of a class, against Energy Transfer and three of Energy Transfer’s directors: Kelcy L. Warren, John W. McReynolds and Thomas E. Long. See Allegheny County Emps.’ Ret. Sys. v. Energy Transfer LP, Case No. 2:20-00200-GAM (E.D. Pa.). On June 15, 2020, ACERS filed an amended complaint and added as additional defendants Energy Transfer directors Marshall McCrea and Matthew S. Ramsey, as well as Michael J. Hennigan and Joseph McGinn. The amended complaint asserts claims for violations of Sections 10(b) and 20(a) of the Exchange Act and Rule 10b-5 promulgated thereunder related primarily to matters involving the construction of pipelines in Pennsylvania. On August 14, 2020, the defendants filed a motion to dismiss ACERS’ amended complaint. On April 6, 2021, the court granted in part and denied in part the defendants’ motion to dismiss. The court held that ACERS could proceed with its claims regarding certain statements put at issue by the amended complaint while also dismissing claims based on other statements. The court also dismissed without prejudice the claims against defendants McReynolds, McGinn and Hennigan. Discovery is ongoing. On August 23, 2022, the court granted in part and denied in part ACERS’ motion for class certification. The court certified a class consisting of those who purchased or otherwise acquired common units of Energy Transfer between February 25, 2017 and November 11, 2019.</w:t>
      </w:r>
    </w:p>
    <w:p>
      <w:pPr>
        <w:spacing w:after="0" w:line="1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June 3, 2022, another purported unitholder of Energy Transfer, Mike Vega, filed suit, purportedly on behalf of a class, against Energy Transfer and Messrs. Warren, Long, McCrea and Whitehurst. See Vega v. Energy Transfer LP et al., Case No. 1:22-cv-4614 (S.D.N.Y.). The action asserts claims for violations of Sections 10(b) and 20(a) of the Securities Exchange Act of 1934 and Rule 10b-5 promulgated thereunder related primarily to statements made in connection with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construction of Rover. On August 10, 2022, the court appointed the New Mexico State Investment Council and Public Employees Retirement Association of New Mexico (the “New Mexico Funds”) as lead plaintiffs. New Mexico Funds filed an amended complaint on September 30, 2022 and added as additional defendants Energy Transfer directors John W. McReynolds and Matthew S. Ramsey. On November 7, 2022, the court granted the defendants’ motion to transfer and transferred this action to the United States District Court for the Northern District of Texas. On January 27, 2023, the defendants filed their motion to dismiss the New Mexico Funds’ amended complaint.</w:t>
      </w:r>
    </w:p>
    <w:p>
      <w:pPr>
        <w:spacing w:after="0" w:line="12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Cline Class Action</w:t>
      </w:r>
    </w:p>
    <w:p>
      <w:pPr>
        <w:spacing w:after="0" w:line="17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On July 7, 2017, Perry Cline filed a class action complaint in the Eastern District of Oklahoma against Sunoco, Inc. (R&amp;M), LLC (now known as Energy Transfer R&amp;M) and Energy Transfer Marketing &amp; Terminals L.P. (collectively, “ETMT”) that alleged ETMT failed to make timely payments of oil and gas proceeds from Oklahoma wells and to pay statutory interest for those untimely payments. On October 3, 2019, the District Court certified a 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spacing w:after="0" w:line="11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After a bench trial, on August 17, 2020, Judge John Gibney (sitting from the Eastern District of Virginia) issued an opinion that awarded the Class actual damages of $74.8 million for late payment interest for identified and unidentified royalty owners and interest-on-interest. This amount was later amended to $80.7 million to account for interest accrued from trial (the “Order”). Judge Gibney also awarded punitive damages in the amount of $75 million. The Class is also seeking attorneys’ fees.</w:t>
      </w:r>
    </w:p>
    <w:p>
      <w:pPr>
        <w:spacing w:after="0" w:line="133"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On August 27, 2020, ETMT filed its Notice of Appeal with the 10th Circuit Court of Appeals (“10th Circuit”) and appealed the entirety of the Order. The matter was fully briefed, and oral argument was set for November 15, 2021. However, on November 1, 2021, the 10th Circuit dismissed the appeal due to jurisdictional concerns with finality of the Order. En banc rehearing of this decision was denied on November 29, 2021. On December 1, 2021, ETMT filed a Petition for Writ of Mandamus to the 10th Circuit to correct the jurisdictional problems and secure final judgment. On February 2, 2022, the 10th Circuit denied the Petition for Writ of Mandamus, citing that there are other avenues for ETMT to obtain adequate relief. On February 10, 2022, ETMT filed a Motion to Modify the Plan of Allocation Order and Issue a Rule 58 Judgment with the trial court, requesting the District Court to enter a final judgment in compliance with the Rules. ETMT also filed an injunction with the trial court to enjoin all efforts by plaintiffs to execute on any non-final judgment. On March 31, 2022, Judge Gibney denied the Motion to Modify the Plan of Allocation, reiterating his thoughts that the order constitutes a final judgment. Judge Gibney granted the injunction in part (placing a hold on enforcement efforts for 60 days) and denied the injunction in part. The injunction has since been lifted.</w:t>
      </w:r>
    </w:p>
    <w:p>
      <w:pPr>
        <w:spacing w:after="0" w:line="13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Despite the fact that ETMT has taken the position that the judgment is not final and not subject to execution, the Class engaged in asset discovery and actively tried to collect on the judgment through garnishment proceedings from ETMT’s customers. ETMT unsuccessfully tried to deposit the funds into the District Court’s Registry. Accordingly, to stop the garnishment proceedings, on December 2, 2022, ETMT wired approximately $161 million to the Plaintiff’s approved Plan Administrator, which represents the full amount of the judgment with attorney’s fees and post-judgment interest. ETMT did so without waiving its ability to pursue its pending appeal or its right to appeal the merits of the judgment. Plaintiff has since dismissed the garnishment actions.</w:t>
      </w:r>
    </w:p>
    <w:p>
      <w:pPr>
        <w:spacing w:after="0" w:line="13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ETMT cannot predict the outcome of the case, nor can ETMT predict the amount of time and expense that will be required to resolve the appeal. ETMT has been vigorous and diligent in its appeals relating to the finality issues underlying the Order and appealed the denial of the Motion to Modify to the 10th Circuit in an attempt to get a decision on finality. The appeal was fully briefed, and oral argument was held on March 21, 2023. On August 3, 2023, the 10th Circuit ruled in favor of ETMT and found that the district court’s plan of allocation (which was part of the final judgment) did not satisfy all finality requirements. The Court held that the district court abused its discretion in denying ETMT’s Rule 60(b)(6) Motion to Modify and reversed and remanded for further proceedings. The case is now back at the trial court so that the district court can fix the finality requirements with the judgment. Further, ETMT sought and recovered a return of funds deposited with the Plan Administrator; Class Counsel did not oppose this motion.</w:t>
      </w:r>
    </w:p>
    <w:p>
      <w:pPr>
        <w:spacing w:after="0" w:line="11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a status hearing on September 28, 2023, Class Counsel indicated that it would seek additional interest up until the date that the final judgment is entered. The District Court asked for briefing on the issue of additional interest and held a hearing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on October 17, 2023 to address this issue further and enter a ruling as to whether additional interest should be added to the judgment total. During the hearing, the District Court ruled that additional interest should be awarded at the 12% statutory rate from the date of the prior improper judgment up until October 17, 2023. However, the Judge tolled the running of interest for the time period during which the Plan Administrator was in possession of Sunoco’s funds (between November 2, 2022 and October 10, 2023). Based on this ruling, the Class calculated that approximately $23 million in additional interest should be added to the final judgment. On October 19, 2023, the District Court entered the new final judgment with a corrected Plan of Allocation. Both Parties agree that this newly entered judgment fixes the finality concerns and will allow an appeal to the 10th Circuit on the merits. With the inclusion of additional interest, the total amount awarded to the Plaintiffs is approximately $104 million in actual damages and $75 million in punitive damages. Sunoco intends on appealing the entirety of the judgment.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12121"/>
        </w:rPr>
        <w:t>Energy Transfer LP and ETC Texas Pipeline, Ltd. v. Culberson Midstream LLC, et al.</w:t>
      </w:r>
    </w:p>
    <w:p>
      <w:pPr>
        <w:spacing w:after="0" w:line="171" w:lineRule="exact"/>
        <w:rPr>
          <w:sz w:val="20"/>
          <w:szCs w:val="20"/>
          <w:color w:val="auto"/>
        </w:rPr>
      </w:pPr>
    </w:p>
    <w:p>
      <w:pPr>
        <w:jc w:val="both"/>
        <w:ind w:left="340"/>
        <w:spacing w:after="0" w:line="267" w:lineRule="auto"/>
        <w:rPr>
          <w:sz w:val="20"/>
          <w:szCs w:val="20"/>
          <w:color w:val="auto"/>
        </w:rPr>
      </w:pPr>
      <w:r>
        <w:rPr>
          <w:rFonts w:ascii="Arial" w:cs="Arial" w:eastAsia="Arial" w:hAnsi="Arial"/>
          <w:sz w:val="17"/>
          <w:szCs w:val="17"/>
          <w:color w:val="auto"/>
        </w:rPr>
        <w:t>On April 8, 2022, Energy Transfer and ETC Texas Pipeline, Ltd. (“ETC,” and together with Energy Transfer, “Plaintiffs”) filed suit against Culberson Midstream LLC (“Culberson”), Culberson Midstream Equity, LLC (“Culberson Equity”), and Moontower Resources Gathering, LLC (“Moontower”). On October 1, 2018, ETC and Culberson entered into a Gas Gathering and Processing Agreement (the “Bypass GGPA”) under which Culberson was to gather gas from its dedicated acreage and deliver all committed gas exclusively to ETC. In connection with the Bypass GGPA, on October 18, 2018, Energy Transfer and Culberson Equity also entered into an Option Agreement. Under the Option Agreement, Culberson Equity and Moontower had the right (but not the obligation) to require Energy Transfer to purchase their respective interests in Culberson by way of a put option. Notably, the Option Agreement is only enforceable so long as the parties comply with the Bypass GGPA. In late March 2022, Culberson Equity and Moontower submitted a put notice to Energy Transfer seeking to require Energy Transfer to purchase their respective interests in Culberson for approximately $93 million. On April 8, 2022, Plaintiffs filed suit against Culberson, Culberson Equity and Moontower asserting claims for declaratory judgment and breach of contract, contending that they materially breached the Bypass GGPA by sending some committed gas to third parties and also by failing to send any gas to Plaintiffs since March 2020, and thus that Culberson Equity’s and Moontower’s put notice is void. Culberson, Culberson Equity, and Moontower have answered the lawsuit. Additionally, Culberson filed a counterclaim against ETC for breach of the Bypass GGPA, seeking the recovery of damages and attorneys’ fees. Culberson Equity and Moontower also filed a counterclaim against Energy Transfer for (1) breach of the Option Agreement, and (2) a declaratory judgment concerning Energy Transfer’s alleged obligation to purchase the Culberson interests. The lawsuit is pending in the 193rd Judicial District Court (“the Court”) in Dallas County, Texas. On April 27, 2022, Culberson filed an application for a temporary restraining order, temporary injunction, and permanent injunction, and Culberson Equity and Moontower joined in that request. The Court held a hearing on the application on April 28 and denied the injunction. In early May, Culberson filed a motion to enforce the appraisal process and confirm the validity of their put price calculation, to which Plaintiffs objected. On July 11, 2022, the Court held a hearing on the motion, and on July 19, 2022, the Court ordered the parties to engage in an appraisal process regarding the put price. An independent appraiser was appointed and issued his decision on October 15, 2022, concluding that the put price totals $93 million. Plaintiffs have consistently reiterated their objection to the appraisal process and conclusion.</w:t>
      </w:r>
    </w:p>
    <w:p>
      <w:pPr>
        <w:spacing w:after="0" w:line="13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October 6, 2022, Culberson, Culberson Equity and Moontower filed a motion for summary judgment, but the Court postponed considering it until after further document discovery and depositions. On December 7, 2022, Plaintiffs amended their petition to add Moontower Resources Operating, LLC and Moontower Resources WI, LLC as Defendants, and to assert a claim against all Defendants for fraudulent inducement.</w:t>
      </w:r>
    </w:p>
    <w:p>
      <w:pPr>
        <w:spacing w:after="0" w:line="111"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Defendants refiled updated motions for summary judgment on May 5, 2023, seeking summary judgment on: (1) Plaintiffs’ breach of contract and declaratory judgment claims on a no-evidence basis; (2) Plaintiffs’ fraud and alter ego claims on a no-evidence basis; and (3) Plaintiffs’ fraud claim on a traditional basis. Plaintiffs responded on June 6, 2023. Defendants submitted their replies in support of summary judgment on June 12, 2023.</w:t>
      </w:r>
    </w:p>
    <w:p>
      <w:pPr>
        <w:spacing w:after="0" w:line="9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June 5, 2023, counsel for Defendants informed the Court via a letter that Defendants were continuing the submission date of the no-evidence motion regarding Plaintiffs’ breach of contract and declaratory judgment claims, noting that such submission would be rescheduled along with a traditional summary judgment motion regarding the same subject matter. To that end, on July 17, 2023, Defendant Culberson Midstream, LLC filed a Traditional Motion for Summary Judgment on Plaintiffs’ Breach of Contract and Declaratory Judgment Claims, while Defendants Culberson Midstream Equity, LLC and Moontower Resources Gathering filed a Motion for Partial Summary Judgment Regarding the Breach of the Option Agreement. Further, on July 25, 2023, Defendants filed a Traditional and No-Evidence Motion for Summary Judgment Regarding Damages and Recission. On July 28, 2023, in turn, Plaintiff ETC Texas Pipeline, Ltd. filed a Traditional Motion for Partial Summary Judgment on Breach of Contract and Declaratory Judgment.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On September 20, 2023, the Court held oral argument on the various Motions for Summary Judgment. Following oral argument, on September 26, 2023, the Court ruled on each of the Motions. The Court denied Defendants’ Traditional Motion for Partial Summary Judgment Regarding Fraud, Defendants’ No Evidence Motion for Summary Judgment Regarding Plaintiffs’ Fraud and Alter Ego Claims, Defendants’ Traditional and No Evidence Motion for Partial Summary Judgment Regarding Damages and Rescission, and Plaintiff ETC Texas Pipeline, Ltd.’s Traditional Motion for Partial Summary Judgment on Breach of Contract and Declaratory Judgment. The Court granted Culberson Midstream, LLC’s Traditional Motion for Partial Summary Judgment Seeking Dismissal of Plaintiffs’ Breach of Contract and Declaratory Judgment Claims and Culberson Midstream Equity, LLC and Moontower Resources Gathering, LLC’s Motion for Partial Summary Judgment Regarding Breach of the Option Agreement.</w:t>
      </w:r>
    </w:p>
    <w:p>
      <w:pPr>
        <w:spacing w:after="0" w:line="11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Discovery has closed in this matter. Trial on the remaining issues is currently set for June 18, 2024. Plaintiffs cannot predict the ultimate outcome of this litigation or the amount of time and expense that will be required to resolve 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Attorney General v. New England Gas Company</w:t>
      </w:r>
    </w:p>
    <w:p>
      <w:pPr>
        <w:spacing w:after="0" w:line="171" w:lineRule="exact"/>
        <w:rPr>
          <w:sz w:val="20"/>
          <w:szCs w:val="20"/>
          <w:color w:val="auto"/>
        </w:rPr>
      </w:pPr>
    </w:p>
    <w:p>
      <w:pPr>
        <w:jc w:val="both"/>
        <w:ind w:left="340"/>
        <w:spacing w:after="0" w:line="284" w:lineRule="auto"/>
        <w:rPr>
          <w:sz w:val="20"/>
          <w:szCs w:val="20"/>
          <w:color w:val="auto"/>
        </w:rPr>
      </w:pPr>
      <w:r>
        <w:rPr>
          <w:rFonts w:ascii="Arial" w:cs="Arial" w:eastAsia="Arial" w:hAnsi="Arial"/>
          <w:sz w:val="16"/>
          <w:szCs w:val="16"/>
          <w:color w:val="auto"/>
        </w:rPr>
        <w:t>On July 7, 2011, the Massachusetts Attorney General (the “MA AG”) filed a regulatory complaint with the Massachusetts Department of Public Utilities (“DPU”) against New England Gas Company (“NEG”) with respect to certain environmental cost recoveries. NEG was an operating division of Southern Union Company (“SUG”), and the NEG assets were acquired in connection with the merger transaction with Energy Transfer in March 2012. Subsequent to the merger, in 2013, SUG sold the NEG assets to Liberty Utilities (“Liberty,” and together with NEG and SUG, “Respondents”) and retained certain potential liabilities, including the environmental cost recoveries with respect to the pending complaint before the DPU. Specifically, the MA AG seeks a refund to NEG’s ratepayers for approximately $18 million in legal fees associated with SUG environmental response activities. The MA AG requests that the DPU initiate an investigation into NEG’s collection and reconciliation of recoverable environmental costs, namely: (1) the legal fees charged by the Kasowitz, Benson, Torres &amp; Friedman firm and passed through the recovery mechanism since 2005; (2) the legal fees charged by the Bishop, London &amp; Dodds firm and passed through the recovery mechanisms since 2005; and (3) the legal fees passed through the recovery mechanism that the MA AG contends only qualify for a lesser (i.e., 50 percent) level of recovery. Respondents maintain that, by tariff, these costs are recoverable through rates charged to NEG customers pursuant to the environmental remediation adjustment clause program. After the Respondents answered the complaint and filed a motion to dismiss in 2011, the Hearing Officer deferred decision on the motion to dismiss and issued a stay of discovery pending resolution of a discovery dispute, which it later lifted on June 24, 2013, permitting the case to resume. However, the MA AG failed to take any further steps to prosecute its claims for nearly seven years. The case remained largely dormant until February 2022, when the Hearing Officer denied the motion to dismiss. After receiving input from the parties, the Hearing Officer entered a procedural schedule on March 16, 2022 (which was amended slightly on August 22, 2022). The parties engaged in discovery and the preparation of pre-filed testimony. Respondents submitted their pre-filed testimony on July 11, 2022. The MA AG served three sets of discovery requests on Respondents on September 9, September 12, and September 20, respectively, to which Respondents timely responded. On October 5, 2022, the MA AG requested that the DPU issue a ruling on whether the information that Respondents redacted in their attorneys’ fees invoices is protected by the attorney-client privilege. On the same day, the MA AG also filed a Motion to Stay the Procedural Schedule pending a ruling on the privilege issue. On October 6, 2022, without even affording Respondents the opportunity to respond, the DPU granted the MA AG’s request to stay the procedural schedule. Accordingly, all previous deadlines (including the MA AG’s October 7, 2022, deadline to submit direct pre-filed testimony) are presently stayed. On October 18, 2023, the DPU issued an Order on Attorney General’s Motion to Compel, ruling on issues originally raised in a motion to compel that the MA AG filed in 2013. The October 18, 2023 Order directs NEG to review its redactions again and, to the extent any invoices are completely redacted or heavily redacted, to provide more lightly redacted versions within 30 days. The October 18, 2023 Order also states that the MDPU will set a new procedural schedule in this matter sometime after NEG complies with the directives in the order. Respondents cannot predict the ultimate outcome of this regulatory proceeding, nor can they predict the amount of time and expense that will be required to resolve these claims; however, Respondents will vigorously defend themselves against the MA AG’s claims.</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33"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our results of operations for any single period, we believe that such costs will not have a material adverse effect on our financial position.</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subsidiaries are responsible for environmental remediation at certain sites, including the following:</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of our interstate pipelines conduct soil and groundwater remediation related to contamination from past uses of polychlorinated biphenyls (“PCBs”). PCB assessments are ongoing and, in some cases, our subsidiaries could be contractually responsible for contamination caused by other parties.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gathering and processing systems are responsible for soil and groundwater remediation related to releases of hydrocarbons.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Legacy sites related to Sunoco, Inc. that are subject to environmental assessments, including formerly owned terminals and other logistics assets, retail sites that the Partnership no longer operates, closed and/or sold refineries and other formerly owned sites.</w:t>
      </w:r>
    </w:p>
    <w:p>
      <w:pPr>
        <w:spacing w:after="0" w:line="62"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Partnership is potentially subject to joint and several liability for the costs of remediation at sites at which it has been identified as a potentially responsible party (“PRP”). As of September 30, 2023, the Partnership had been named as a PRP at approximately 31 identified or potentially identifiable “Superfund” sites under federal and/or comparable state law. The Partnership is usually one of a number of companies identified as a PRP at a site. The Partnership has reviewed the nature and extent of its involvement at each site and other relevant circumstances and, based upon the Partnership’s purported nexus to the sites, believes that its potential liability associated with such sites will not be significant.</w:t>
      </w:r>
    </w:p>
    <w:p>
      <w:pPr>
        <w:spacing w:after="0" w:line="107"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spacing w:after="0" w:line="10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following table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would require disclosure in our consolidated financial statements.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31,</w:t>
            </w:r>
          </w:p>
        </w:tc>
      </w:tr>
      <w:tr>
        <w:trPr>
          <w:trHeight w:val="237"/>
        </w:trPr>
        <w:tc>
          <w:tcPr>
            <w:tcW w:w="7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the nine months ended September 30, 2023 and 2022, the Partnership recorded $23 million and $8 million, respectively, of expenditures related to environmental cleanup programs.</w:t>
      </w:r>
    </w:p>
    <w:p>
      <w:pPr>
        <w:spacing w:after="0" w:line="116"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Our pipeline operations are subject to regulation by the United States Department of Transportation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1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Our operations are also subject to the requirements of the Federal Occupational Safety and Health Act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however, there is no assurance that such costs will not be material in the future.</w:t>
      </w:r>
    </w:p>
    <w:p>
      <w:pPr>
        <w:spacing w:after="0" w:line="106" w:lineRule="exact"/>
        <w:rPr>
          <w:sz w:val="20"/>
          <w:szCs w:val="20"/>
          <w:color w:val="auto"/>
        </w:rPr>
      </w:pPr>
    </w:p>
    <w:p>
      <w:pPr>
        <w:ind w:left="340" w:right="8860" w:hanging="332"/>
        <w:spacing w:after="0" w:line="495" w:lineRule="auto"/>
        <w:tabs>
          <w:tab w:leader="none" w:pos="325"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REVENUE </w:t>
      </w:r>
      <w:r>
        <w:rPr>
          <w:rFonts w:ascii="Arial" w:cs="Arial" w:eastAsia="Arial" w:hAnsi="Arial"/>
          <w:sz w:val="16"/>
          <w:szCs w:val="16"/>
          <w:b w:val="1"/>
          <w:bCs w:val="1"/>
          <w:color w:val="auto"/>
        </w:rPr>
        <w:t>Disaggregation of Revenue</w:t>
      </w:r>
    </w:p>
    <w:p>
      <w:pPr>
        <w:spacing w:after="0" w:line="1"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Partnership’s consolidated financial statements reflect eight reportable segments, which also represent the level at which the Partnership aggregates revenue for disclosure purposes. Note 13 depicts the disaggregation of revenue by segment.</w:t>
      </w:r>
    </w:p>
    <w:p>
      <w:pPr>
        <w:spacing w:after="0" w:line="11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Contract Balances with Customers</w:t>
      </w:r>
    </w:p>
    <w:p>
      <w:pPr>
        <w:spacing w:after="0" w:line="175" w:lineRule="exact"/>
        <w:rPr>
          <w:rFonts w:ascii="Arial" w:cs="Arial" w:eastAsia="Arial" w:hAnsi="Arial"/>
          <w:sz w:val="16"/>
          <w:szCs w:val="16"/>
          <w:b w:val="1"/>
          <w:bCs w:val="1"/>
          <w:color w:val="auto"/>
        </w:rPr>
      </w:pPr>
    </w:p>
    <w:p>
      <w:pPr>
        <w:jc w:val="both"/>
        <w:ind w:left="34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29"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16" w:lineRule="exact"/>
        <w:rPr>
          <w:rFonts w:ascii="Arial" w:cs="Arial" w:eastAsia="Arial" w:hAnsi="Arial"/>
          <w:sz w:val="16"/>
          <w:szCs w:val="16"/>
          <w:b w:val="1"/>
          <w:bCs w:val="1"/>
          <w:color w:val="auto"/>
        </w:rPr>
      </w:pPr>
    </w:p>
    <w:p>
      <w:pPr>
        <w:jc w:val="both"/>
        <w:ind w:left="34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The Partnership recognizes a contract liability if the customer’s payment of consideration precedes the Partnership’s fulfillment of the performance obligations. Certain contracts contain provisions requiring customers to pay a fixed minimum fee, but allow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long-term license agreements. Sunoco LP recognizes a contract liability when the upfront payment is received and recognizes revenue over the term of the license.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79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340" w:type="dxa"/>
            <w:vAlign w:val="bottom"/>
          </w:tcPr>
          <w:p>
            <w:pPr>
              <w:spacing w:after="0"/>
              <w:rPr>
                <w:sz w:val="24"/>
                <w:szCs w:val="24"/>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The following table summarizes the consolidated activity of our contract liabilities: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1"/>
              </w:rPr>
              <w:t>Contract</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Balance, September 30, 2023</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September 30, 2022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balances of Sunoco LP’s contract assets were as follows:</w:t>
            </w: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40" w:type="dxa"/>
            <w:vAlign w:val="bottom"/>
          </w:tcPr>
          <w:p>
            <w:pPr>
              <w:spacing w:after="0"/>
              <w:rPr>
                <w:sz w:val="24"/>
                <w:szCs w:val="24"/>
                <w:color w:val="auto"/>
              </w:rPr>
            </w:pPr>
          </w:p>
        </w:tc>
        <w:tc>
          <w:tcPr>
            <w:tcW w:w="7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Accounts receivable from contracts with customers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Obligations</w:t>
      </w:r>
    </w:p>
    <w:p>
      <w:pPr>
        <w:spacing w:after="0" w:line="17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 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contacts, only the fixed components of the contracts are included in the following table.</w:t>
      </w:r>
    </w:p>
    <w:p>
      <w:pPr>
        <w:spacing w:after="0" w:line="13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As of September 30, 2023, the aggregate amount of transaction price allocated to unsatisfied (or partially satisfied) performance obligations was $39.83 billion. The Partnership expects to recognize this amount as revenue within the time bands illustrated in the following table:</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color w:val="auto"/>
                <w:w w:val="89"/>
              </w:rPr>
              <w:t>Years Ending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(remainder)</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68"/>
        </w:trPr>
        <w:tc>
          <w:tcPr>
            <w:tcW w:w="34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Revenue expected to be recognized on</w:t>
            </w: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contracts with customers existing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39,830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2023</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7500" w:hanging="332"/>
        <w:spacing w:after="0" w:line="440" w:lineRule="auto"/>
        <w:tabs>
          <w:tab w:leader="none" w:pos="3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ASSETS AND LIABILITIES </w:t>
      </w:r>
      <w:r>
        <w:rPr>
          <w:rFonts w:ascii="Arial" w:cs="Arial" w:eastAsia="Arial" w:hAnsi="Arial"/>
          <w:sz w:val="18"/>
          <w:szCs w:val="18"/>
          <w:b w:val="1"/>
          <w:bCs w:val="1"/>
          <w:color w:val="auto"/>
        </w:rPr>
        <w:t>Commodity Price Risk</w:t>
      </w:r>
    </w:p>
    <w:p>
      <w:pPr>
        <w:spacing w:after="0" w:line="1"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off-peak season and entering into a financial contract. Changes in the spreads between the forward natural gas prices and the physical inventory spot price result in unrealized gains or losses until the underlying physical gas is withdrawn and the related designated</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derivatives are settled. Once the gas is withdrawn and the designated derivatives are settled, the previously unrealized gains or losses associated with these positions are realized.</w:t>
      </w:r>
    </w:p>
    <w:p>
      <w:pPr>
        <w:spacing w:after="0" w:line="116"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We use futures, swaps and options to hedge the sales price of natural gas we retain for fees in our intrastate transportation and storage segment and operational gas sales in our interstate transportation and storage segment. These contracts are not designated as hedges for accounting purposes.</w:t>
      </w:r>
    </w:p>
    <w:p>
      <w:pPr>
        <w:spacing w:after="0" w:line="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utilize swaps, futures and other derivative instruments to mitigate the risk associated with market movements in the price of natural gas, refined products and NGLs to manage our storage facilities and the purchase and sale of purity NGL. These contracts are not designated as hedges for accounting purposes.</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3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We use financial commodity derivatives to take advantage of market opportunities in our trading activities which complement our intrastate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intrastate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outstanding commodity-related derivatives: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980" w:type="dxa"/>
            <w:vAlign w:val="bottom"/>
            <w:gridSpan w:val="4"/>
          </w:tcPr>
          <w:p>
            <w:pPr>
              <w:ind w:left="720"/>
              <w:spacing w:after="0"/>
              <w:rPr>
                <w:sz w:val="20"/>
                <w:szCs w:val="20"/>
                <w:color w:val="auto"/>
              </w:rPr>
            </w:pPr>
            <w:r>
              <w:rPr>
                <w:rFonts w:ascii="Arial" w:cs="Arial" w:eastAsia="Arial" w:hAnsi="Arial"/>
                <w:sz w:val="18"/>
                <w:szCs w:val="18"/>
                <w:color w:val="auto"/>
              </w:rPr>
              <w:t>September 30, 2023</w:t>
            </w:r>
          </w:p>
        </w:tc>
        <w:tc>
          <w:tcPr>
            <w:tcW w:w="2880" w:type="dxa"/>
            <w:vAlign w:val="bottom"/>
            <w:gridSpan w:val="3"/>
          </w:tcPr>
          <w:p>
            <w:pPr>
              <w:ind w:left="74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23"/>
        </w:trPr>
        <w:tc>
          <w:tcPr>
            <w:tcW w:w="4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5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Notional Volume</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Maturity</w:t>
            </w:r>
          </w:p>
        </w:tc>
        <w:tc>
          <w:tcPr>
            <w:tcW w:w="100" w:type="dxa"/>
            <w:vAlign w:val="bottom"/>
          </w:tcPr>
          <w:p>
            <w:pPr>
              <w:spacing w:after="0"/>
              <w:rPr>
                <w:sz w:val="19"/>
                <w:szCs w:val="19"/>
                <w:color w:val="auto"/>
              </w:rPr>
            </w:pPr>
          </w:p>
        </w:tc>
        <w:tc>
          <w:tcPr>
            <w:tcW w:w="15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Notional Volume</w:t>
            </w:r>
          </w:p>
        </w:tc>
        <w:tc>
          <w:tcPr>
            <w:tcW w:w="13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line="230" w:lineRule="exact"/>
              <w:rPr>
                <w:sz w:val="20"/>
                <w:szCs w:val="20"/>
                <w:color w:val="auto"/>
              </w:rPr>
            </w:pPr>
            <w:r>
              <w:rPr>
                <w:rFonts w:ascii="Arial" w:cs="Arial" w:eastAsia="Arial" w:hAnsi="Arial"/>
                <w:sz w:val="18"/>
                <w:szCs w:val="18"/>
                <w:color w:val="auto"/>
              </w:rPr>
              <w:t xml:space="preserve">Basis Swaps IFERC/NYMEX </w:t>
            </w:r>
            <w:r>
              <w:rPr>
                <w:rFonts w:ascii="Arial" w:cs="Arial" w:eastAsia="Arial" w:hAnsi="Arial"/>
                <w:sz w:val="23"/>
                <w:szCs w:val="23"/>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(44,800)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(39,563)</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380" w:type="dxa"/>
            <w:vAlign w:val="bottom"/>
          </w:tcPr>
          <w:p>
            <w:pPr>
              <w:jc w:val="right"/>
              <w:spacing w:after="0"/>
              <w:rPr>
                <w:sz w:val="20"/>
                <w:szCs w:val="20"/>
                <w:color w:val="auto"/>
              </w:rPr>
            </w:pPr>
            <w:r>
              <w:rPr>
                <w:rFonts w:ascii="Arial" w:cs="Arial" w:eastAsia="Arial" w:hAnsi="Arial"/>
                <w:sz w:val="18"/>
                <w:szCs w:val="18"/>
                <w:color w:val="auto"/>
              </w:rPr>
              <w:t>171,600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2023-2029</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380" w:type="dxa"/>
            <w:vAlign w:val="bottom"/>
          </w:tcPr>
          <w:p>
            <w:pPr>
              <w:jc w:val="right"/>
              <w:spacing w:after="0"/>
              <w:rPr>
                <w:sz w:val="20"/>
                <w:szCs w:val="20"/>
                <w:color w:val="auto"/>
              </w:rPr>
            </w:pPr>
            <w:r>
              <w:rPr>
                <w:rFonts w:ascii="Arial" w:cs="Arial" w:eastAsia="Arial" w:hAnsi="Arial"/>
                <w:sz w:val="18"/>
                <w:szCs w:val="18"/>
                <w:color w:val="auto"/>
              </w:rPr>
              <w:t>68,800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119,200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Pr>
          <w:p>
            <w:pPr>
              <w:jc w:val="right"/>
              <w:spacing w:after="0"/>
              <w:rPr>
                <w:sz w:val="20"/>
                <w:szCs w:val="20"/>
                <w:color w:val="auto"/>
              </w:rPr>
            </w:pPr>
            <w:r>
              <w:rPr>
                <w:rFonts w:ascii="Arial" w:cs="Arial" w:eastAsia="Arial" w:hAnsi="Arial"/>
                <w:sz w:val="18"/>
                <w:szCs w:val="18"/>
                <w:color w:val="auto"/>
              </w:rPr>
              <w:t>48,393</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42,440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(202,815)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(15,758)</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NGLs (MBbls) – Forwards/Swaps</w:t>
            </w:r>
          </w:p>
        </w:tc>
        <w:tc>
          <w:tcPr>
            <w:tcW w:w="1380" w:type="dxa"/>
            <w:vAlign w:val="bottom"/>
          </w:tcPr>
          <w:p>
            <w:pPr>
              <w:jc w:val="right"/>
              <w:spacing w:after="0"/>
              <w:rPr>
                <w:sz w:val="20"/>
                <w:szCs w:val="20"/>
                <w:color w:val="auto"/>
              </w:rPr>
            </w:pPr>
            <w:r>
              <w:rPr>
                <w:rFonts w:ascii="Arial" w:cs="Arial" w:eastAsia="Arial" w:hAnsi="Arial"/>
                <w:sz w:val="18"/>
                <w:szCs w:val="18"/>
                <w:color w:val="auto"/>
              </w:rPr>
              <w:t>(14,238)</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(MBbls) – Forwards/Swaps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Refined Products (MBbls) – Futures</w:t>
            </w:r>
          </w:p>
        </w:tc>
        <w:tc>
          <w:tcPr>
            <w:tcW w:w="1380" w:type="dxa"/>
            <w:vAlign w:val="bottom"/>
          </w:tcPr>
          <w:p>
            <w:pPr>
              <w:jc w:val="right"/>
              <w:spacing w:after="0"/>
              <w:rPr>
                <w:sz w:val="20"/>
                <w:szCs w:val="20"/>
                <w:color w:val="auto"/>
              </w:rPr>
            </w:pPr>
            <w:r>
              <w:rPr>
                <w:rFonts w:ascii="Arial" w:cs="Arial" w:eastAsia="Arial" w:hAnsi="Arial"/>
                <w:sz w:val="18"/>
                <w:szCs w:val="18"/>
                <w:color w:val="auto"/>
              </w:rPr>
              <w:t>(5,751)</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Pr>
          <w:p>
            <w:pPr>
              <w:jc w:val="right"/>
              <w:spacing w:after="0"/>
              <w:rPr>
                <w:sz w:val="20"/>
                <w:szCs w:val="20"/>
                <w:color w:val="auto"/>
              </w:rPr>
            </w:pPr>
            <w:r>
              <w:rPr>
                <w:rFonts w:ascii="Arial" w:cs="Arial" w:eastAsia="Arial" w:hAnsi="Arial"/>
                <w:sz w:val="18"/>
                <w:szCs w:val="18"/>
                <w:color w:val="auto"/>
              </w:rPr>
              <w:t>(43,745)</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(37,448)</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Hedged Item – Inventory</w:t>
            </w:r>
          </w:p>
        </w:tc>
        <w:tc>
          <w:tcPr>
            <w:tcW w:w="1380" w:type="dxa"/>
            <w:vAlign w:val="bottom"/>
          </w:tcPr>
          <w:p>
            <w:pPr>
              <w:jc w:val="right"/>
              <w:spacing w:after="0"/>
              <w:rPr>
                <w:sz w:val="20"/>
                <w:szCs w:val="20"/>
                <w:color w:val="auto"/>
              </w:rPr>
            </w:pPr>
            <w:r>
              <w:rPr>
                <w:rFonts w:ascii="Arial" w:cs="Arial" w:eastAsia="Arial" w:hAnsi="Arial"/>
                <w:sz w:val="18"/>
                <w:szCs w:val="18"/>
                <w:color w:val="auto"/>
              </w:rPr>
              <w:t>43,745</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2023-2024</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37,448</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line="227" w:lineRule="auto"/>
        <w:tabs>
          <w:tab w:leader="none" w:pos="6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summarizes our interest rate swaps outstanding (including USAC’s), none of which were designated as hedges for accounting purposes: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Energy Transfer:</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July 2024</w:t>
      </w:r>
      <w:r>
        <w:rPr>
          <w:rFonts w:ascii="Arial" w:cs="Arial" w:eastAsia="Arial" w:hAnsi="Arial"/>
          <w:sz w:val="23"/>
          <w:szCs w:val="23"/>
          <w:color w:val="auto"/>
          <w:vertAlign w:val="superscript"/>
        </w:rPr>
        <w:t>(2)</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USAC: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April 2025</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Type</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-635</wp:posOffset>
            </wp:positionV>
            <wp:extent cx="667766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77660" cy="154305"/>
                    </a:xfrm>
                    <a:prstGeom prst="rect">
                      <a:avLst/>
                    </a:prstGeom>
                    <a:noFill/>
                  </pic:spPr>
                </pic:pic>
              </a:graphicData>
            </a:graphic>
          </wp:anchor>
        </w:drawing>
      </w:r>
    </w:p>
    <w:p>
      <w:pPr>
        <w:spacing w:after="0" w:line="220" w:lineRule="exact"/>
        <w:rPr>
          <w:sz w:val="20"/>
          <w:szCs w:val="20"/>
          <w:color w:val="auto"/>
        </w:rPr>
      </w:pPr>
    </w:p>
    <w:p>
      <w:pPr>
        <w:ind w:left="160" w:right="420" w:hanging="161"/>
        <w:spacing w:after="0" w:line="235" w:lineRule="auto"/>
        <w:rPr>
          <w:sz w:val="20"/>
          <w:szCs w:val="20"/>
          <w:color w:val="auto"/>
        </w:rPr>
      </w:pPr>
      <w:r>
        <w:rPr>
          <w:rFonts w:ascii="Arial" w:cs="Arial" w:eastAsia="Arial" w:hAnsi="Arial"/>
          <w:sz w:val="18"/>
          <w:szCs w:val="18"/>
          <w:color w:val="auto"/>
        </w:rPr>
        <w:t>Forward-starting to pay an average fixed rate of 3.388% and receive a 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8890</wp:posOffset>
            </wp:positionV>
            <wp:extent cx="667766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Pay a fixed rate of 3.785% and receive a floating rate (effective April 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Notional Amount Outstanding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jc w:val="center"/>
              <w:ind w:right="400"/>
              <w:spacing w:after="0" w:line="169" w:lineRule="exact"/>
              <w:rPr>
                <w:sz w:val="20"/>
                <w:szCs w:val="20"/>
                <w:color w:val="auto"/>
              </w:rPr>
            </w:pPr>
            <w:r>
              <w:rPr>
                <w:rFonts w:ascii="Arial" w:cs="Arial" w:eastAsia="Arial" w:hAnsi="Arial"/>
                <w:sz w:val="18"/>
                <w:szCs w:val="18"/>
                <w:color w:val="auto"/>
                <w:w w:val="88"/>
              </w:rPr>
              <w:t>September 30,</w:t>
            </w: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r>
      <w:tr>
        <w:trPr>
          <w:trHeight w:val="237"/>
        </w:trPr>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64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459"/>
        </w:trPr>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3" w:lineRule="exact"/>
        <w:rPr>
          <w:sz w:val="20"/>
          <w:szCs w:val="20"/>
          <w:color w:val="auto"/>
        </w:rPr>
      </w:pPr>
    </w:p>
    <w:p>
      <w:pPr>
        <w:sectPr>
          <w:pgSz w:w="11900" w:h="16838" w:orient="portrait"/>
          <w:cols w:equalWidth="0" w:num="3">
            <w:col w:w="1680" w:space="540"/>
            <w:col w:w="5440" w:space="280"/>
            <w:col w:w="3300"/>
          </w:cols>
          <w:pgMar w:left="320" w:top="233" w:right="339" w:bottom="1440" w:gutter="0" w:footer="0" w:header="0"/>
          <w:type w:val="continuous"/>
        </w:sectPr>
      </w:pPr>
    </w:p>
    <w:p>
      <w:pPr>
        <w:ind w:left="640" w:hanging="308"/>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SOFR.</w:t>
      </w:r>
    </w:p>
    <w:p>
      <w:pPr>
        <w:spacing w:after="0" w:line="68" w:lineRule="exact"/>
        <w:rPr>
          <w:rFonts w:ascii="Arial" w:cs="Arial" w:eastAsia="Arial" w:hAnsi="Arial"/>
          <w:sz w:val="23"/>
          <w:szCs w:val="23"/>
          <w:color w:val="auto"/>
          <w:vertAlign w:val="superscript"/>
        </w:rPr>
      </w:pPr>
    </w:p>
    <w:p>
      <w:pPr>
        <w:ind w:left="640" w:hanging="308"/>
        <w:spacing w:after="0" w:line="231" w:lineRule="auto"/>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July 2024 interest rate swaps were terminated and settled in August 2023.</w:t>
      </w:r>
    </w:p>
    <w:p>
      <w:pPr>
        <w:spacing w:after="0" w:line="94" w:lineRule="exact"/>
        <w:rPr>
          <w:sz w:val="20"/>
          <w:szCs w:val="20"/>
          <w:color w:val="auto"/>
        </w:rPr>
      </w:pPr>
    </w:p>
    <w:p>
      <w:pPr>
        <w:jc w:val="both"/>
        <w:ind w:left="660" w:hanging="328"/>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 October 2023, USAC modified its April 2025 interest rate swap. The termination date was extended from April 1, 2025 to December 31, 2025. Under the modified interest rate swap, USAC pays a fixed interest rate of 3.9725% and continues to receive floating interest rate payments that are indexed to the one-month SOFR.</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on our financial position or results of operations as a consequence of counterparty non-performance.</w:t>
      </w:r>
    </w:p>
    <w:p>
      <w:pPr>
        <w:spacing w:after="0" w:line="138"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52"/>
        </w:trPr>
        <w:tc>
          <w:tcPr>
            <w:tcW w:w="3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Derivative Summary</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w w:val="98"/>
              </w:rPr>
              <w:t>The following table provides a summary of our derivative assets and liabilities: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9"/>
              </w:rPr>
              <w:t>Fair Value of Derivative Instruments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5"/>
          </w:tcPr>
          <w:p>
            <w:pPr>
              <w:ind w:left="680"/>
              <w:spacing w:after="0"/>
              <w:rPr>
                <w:sz w:val="20"/>
                <w:szCs w:val="20"/>
                <w:color w:val="auto"/>
              </w:rPr>
            </w:pPr>
            <w:r>
              <w:rPr>
                <w:rFonts w:ascii="Arial" w:cs="Arial" w:eastAsia="Arial" w:hAnsi="Arial"/>
                <w:sz w:val="18"/>
                <w:szCs w:val="18"/>
                <w:color w:val="auto"/>
              </w:rPr>
              <w:t>Asset Derivatives</w:t>
            </w:r>
          </w:p>
        </w:tc>
        <w:tc>
          <w:tcPr>
            <w:tcW w:w="140" w:type="dxa"/>
            <w:vAlign w:val="bottom"/>
          </w:tcPr>
          <w:p>
            <w:pPr>
              <w:spacing w:after="0"/>
              <w:rPr>
                <w:sz w:val="19"/>
                <w:szCs w:val="19"/>
                <w:color w:val="auto"/>
              </w:rPr>
            </w:pPr>
          </w:p>
        </w:tc>
        <w:tc>
          <w:tcPr>
            <w:tcW w:w="274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September 30,</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September 30,</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r>
      <w:tr>
        <w:trPr>
          <w:trHeight w:val="237"/>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16"/>
        </w:trPr>
        <w:tc>
          <w:tcPr>
            <w:tcW w:w="340" w:type="dxa"/>
            <w:vAlign w:val="bottom"/>
          </w:tcPr>
          <w:p>
            <w:pPr>
              <w:spacing w:after="0"/>
              <w:rPr>
                <w:sz w:val="18"/>
                <w:szCs w:val="18"/>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derivatives – margin deposits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4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Commodity derivatives – margin deposits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340" w:type="dxa"/>
            <w:vAlign w:val="bottom"/>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340" w:type="dxa"/>
            <w:vAlign w:val="bottom"/>
          </w:tcPr>
          <w:p>
            <w:pPr>
              <w:spacing w:after="0"/>
              <w:rPr>
                <w:sz w:val="19"/>
                <w:szCs w:val="19"/>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derivatives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1"/>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400" w:type="dxa"/>
            <w:vAlign w:val="bottom"/>
            <w:vMerge w:val="restart"/>
          </w:tcPr>
          <w:p>
            <w:pPr>
              <w:spacing w:after="0"/>
              <w:rPr>
                <w:sz w:val="20"/>
                <w:szCs w:val="20"/>
                <w:color w:val="auto"/>
              </w:rPr>
            </w:pPr>
            <w:r>
              <w:rPr>
                <w:rFonts w:ascii="Arial" w:cs="Arial" w:eastAsia="Arial" w:hAnsi="Arial"/>
                <w:sz w:val="18"/>
                <w:szCs w:val="18"/>
                <w:color w:val="auto"/>
              </w:rPr>
              <w:t>Derivatives without offsetting</w:t>
            </w:r>
          </w:p>
        </w:tc>
        <w:tc>
          <w:tcPr>
            <w:tcW w:w="2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9"/>
              </w:rPr>
              <w:t>Balance Sheet Location</w:t>
            </w:r>
          </w:p>
        </w:tc>
        <w:tc>
          <w:tcPr>
            <w:tcW w:w="0" w:type="dxa"/>
            <w:vAlign w:val="bottom"/>
          </w:tcPr>
          <w:p>
            <w:pPr>
              <w:spacing w:after="0"/>
              <w:rPr>
                <w:sz w:val="1"/>
                <w:szCs w:val="1"/>
                <w:color w:val="auto"/>
              </w:rPr>
            </w:pPr>
          </w:p>
        </w:tc>
      </w:tr>
      <w:tr>
        <w:trPr>
          <w:trHeight w:val="155"/>
        </w:trPr>
        <w:tc>
          <w:tcPr>
            <w:tcW w:w="240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40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2140" w:type="dxa"/>
            <w:vAlign w:val="bottom"/>
          </w:tcPr>
          <w:p>
            <w:pPr>
              <w:ind w:left="20"/>
              <w:spacing w:after="0"/>
              <w:rPr>
                <w:sz w:val="20"/>
                <w:szCs w:val="20"/>
                <w:color w:val="auto"/>
              </w:rPr>
            </w:pPr>
            <w:r>
              <w:rPr>
                <w:rFonts w:ascii="Arial" w:cs="Arial" w:eastAsia="Arial" w:hAnsi="Arial"/>
                <w:sz w:val="18"/>
                <w:szCs w:val="18"/>
                <w:color w:val="auto"/>
                <w:w w:val="94"/>
              </w:rPr>
              <w:t>Derivative assets (liabilities)</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Derivatives in offsetting agreements:</w:t>
            </w:r>
          </w:p>
        </w:tc>
        <w:tc>
          <w:tcPr>
            <w:tcW w:w="0" w:type="dxa"/>
            <w:vAlign w:val="bottom"/>
          </w:tcPr>
          <w:p>
            <w:pPr>
              <w:spacing w:after="0"/>
              <w:rPr>
                <w:sz w:val="1"/>
                <w:szCs w:val="1"/>
                <w:color w:val="auto"/>
              </w:rPr>
            </w:pPr>
          </w:p>
        </w:tc>
      </w:tr>
      <w:tr>
        <w:trPr>
          <w:trHeight w:val="230"/>
        </w:trPr>
        <w:tc>
          <w:tcPr>
            <w:tcW w:w="2400" w:type="dxa"/>
            <w:vAlign w:val="bottom"/>
          </w:tcPr>
          <w:p>
            <w:pPr>
              <w:ind w:left="160"/>
              <w:spacing w:after="0"/>
              <w:rPr>
                <w:sz w:val="20"/>
                <w:szCs w:val="20"/>
                <w:color w:val="auto"/>
              </w:rPr>
            </w:pPr>
            <w:r>
              <w:rPr>
                <w:rFonts w:ascii="Arial" w:cs="Arial" w:eastAsia="Arial" w:hAnsi="Arial"/>
                <w:sz w:val="18"/>
                <w:szCs w:val="18"/>
                <w:color w:val="auto"/>
              </w:rPr>
              <w:t>OTC contracts</w:t>
            </w:r>
          </w:p>
        </w:tc>
        <w:tc>
          <w:tcPr>
            <w:tcW w:w="2140" w:type="dxa"/>
            <w:vAlign w:val="bottom"/>
          </w:tcPr>
          <w:p>
            <w:pPr>
              <w:ind w:left="20"/>
              <w:spacing w:after="0"/>
              <w:rPr>
                <w:sz w:val="20"/>
                <w:szCs w:val="20"/>
                <w:color w:val="auto"/>
              </w:rPr>
            </w:pPr>
            <w:r>
              <w:rPr>
                <w:rFonts w:ascii="Arial" w:cs="Arial" w:eastAsia="Arial" w:hAnsi="Arial"/>
                <w:sz w:val="18"/>
                <w:szCs w:val="18"/>
                <w:color w:val="auto"/>
                <w:w w:val="94"/>
              </w:rPr>
              <w:t>Derivative assets (liabilities)</w:t>
            </w:r>
          </w:p>
        </w:tc>
        <w:tc>
          <w:tcPr>
            <w:tcW w:w="0" w:type="dxa"/>
            <w:vAlign w:val="bottom"/>
          </w:tcPr>
          <w:p>
            <w:pPr>
              <w:spacing w:after="0"/>
              <w:rPr>
                <w:sz w:val="1"/>
                <w:szCs w:val="1"/>
                <w:color w:val="auto"/>
              </w:rPr>
            </w:pPr>
          </w:p>
        </w:tc>
      </w:tr>
      <w:tr>
        <w:trPr>
          <w:trHeight w:val="176"/>
        </w:trPr>
        <w:tc>
          <w:tcPr>
            <w:tcW w:w="2400" w:type="dxa"/>
            <w:vAlign w:val="bottom"/>
          </w:tcPr>
          <w:p>
            <w:pPr>
              <w:ind w:left="160"/>
              <w:spacing w:after="0" w:line="176" w:lineRule="exact"/>
              <w:rPr>
                <w:sz w:val="20"/>
                <w:szCs w:val="20"/>
                <w:color w:val="auto"/>
              </w:rPr>
            </w:pPr>
            <w:r>
              <w:rPr>
                <w:rFonts w:ascii="Arial" w:cs="Arial" w:eastAsia="Arial" w:hAnsi="Arial"/>
                <w:sz w:val="18"/>
                <w:szCs w:val="18"/>
                <w:color w:val="auto"/>
              </w:rPr>
              <w:t>Broker cleared derivative</w:t>
            </w:r>
          </w:p>
        </w:tc>
        <w:tc>
          <w:tcPr>
            <w:tcW w:w="2140" w:type="dxa"/>
            <w:vAlign w:val="bottom"/>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2400" w:type="dxa"/>
            <w:vAlign w:val="bottom"/>
          </w:tcPr>
          <w:p>
            <w:pPr>
              <w:ind w:left="320"/>
              <w:spacing w:after="0"/>
              <w:rPr>
                <w:sz w:val="20"/>
                <w:szCs w:val="20"/>
                <w:color w:val="auto"/>
              </w:rPr>
            </w:pPr>
            <w:r>
              <w:rPr>
                <w:rFonts w:ascii="Arial" w:cs="Arial" w:eastAsia="Arial" w:hAnsi="Arial"/>
                <w:sz w:val="18"/>
                <w:szCs w:val="18"/>
                <w:color w:val="auto"/>
              </w:rPr>
              <w:t>contracts</w:t>
            </w:r>
          </w:p>
        </w:tc>
        <w:tc>
          <w:tcPr>
            <w:tcW w:w="21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55"/>
        </w:trPr>
        <w:tc>
          <w:tcPr>
            <w:tcW w:w="2400" w:type="dxa"/>
            <w:vAlign w:val="bottom"/>
          </w:tcPr>
          <w:p>
            <w:pPr>
              <w:ind w:left="320"/>
              <w:spacing w:after="0"/>
              <w:rPr>
                <w:sz w:val="20"/>
                <w:szCs w:val="20"/>
                <w:color w:val="auto"/>
              </w:rPr>
            </w:pPr>
            <w:r>
              <w:rPr>
                <w:rFonts w:ascii="Arial" w:cs="Arial" w:eastAsia="Arial" w:hAnsi="Arial"/>
                <w:sz w:val="18"/>
                <w:szCs w:val="18"/>
                <w:color w:val="auto"/>
              </w:rPr>
              <w:t>Total gross derivatives</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Offsetting agreements:</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60"/>
              <w:spacing w:after="0"/>
              <w:rPr>
                <w:sz w:val="20"/>
                <w:szCs w:val="20"/>
                <w:color w:val="auto"/>
              </w:rPr>
            </w:pPr>
            <w:r>
              <w:rPr>
                <w:rFonts w:ascii="Arial" w:cs="Arial" w:eastAsia="Arial" w:hAnsi="Arial"/>
                <w:sz w:val="18"/>
                <w:szCs w:val="18"/>
                <w:color w:val="auto"/>
              </w:rPr>
              <w:t>Counterparty netting</w:t>
            </w:r>
          </w:p>
        </w:tc>
        <w:tc>
          <w:tcPr>
            <w:tcW w:w="2140" w:type="dxa"/>
            <w:vAlign w:val="bottom"/>
          </w:tcPr>
          <w:p>
            <w:pPr>
              <w:ind w:left="20"/>
              <w:spacing w:after="0"/>
              <w:rPr>
                <w:sz w:val="20"/>
                <w:szCs w:val="20"/>
                <w:color w:val="auto"/>
              </w:rPr>
            </w:pPr>
            <w:r>
              <w:rPr>
                <w:rFonts w:ascii="Arial" w:cs="Arial" w:eastAsia="Arial" w:hAnsi="Arial"/>
                <w:sz w:val="18"/>
                <w:szCs w:val="18"/>
                <w:color w:val="auto"/>
                <w:w w:val="94"/>
              </w:rPr>
              <w:t>Derivative assets (liabilities)</w:t>
            </w:r>
          </w:p>
        </w:tc>
        <w:tc>
          <w:tcPr>
            <w:tcW w:w="0" w:type="dxa"/>
            <w:vAlign w:val="bottom"/>
          </w:tcPr>
          <w:p>
            <w:pPr>
              <w:spacing w:after="0"/>
              <w:rPr>
                <w:sz w:val="1"/>
                <w:szCs w:val="1"/>
                <w:color w:val="auto"/>
              </w:rPr>
            </w:pPr>
          </w:p>
        </w:tc>
      </w:tr>
      <w:tr>
        <w:trPr>
          <w:trHeight w:val="176"/>
        </w:trPr>
        <w:tc>
          <w:tcPr>
            <w:tcW w:w="2400" w:type="dxa"/>
            <w:vAlign w:val="bottom"/>
          </w:tcPr>
          <w:p>
            <w:pPr>
              <w:ind w:left="160"/>
              <w:spacing w:after="0" w:line="176" w:lineRule="exact"/>
              <w:rPr>
                <w:sz w:val="20"/>
                <w:szCs w:val="20"/>
                <w:color w:val="auto"/>
              </w:rPr>
            </w:pPr>
            <w:r>
              <w:rPr>
                <w:rFonts w:ascii="Arial" w:cs="Arial" w:eastAsia="Arial" w:hAnsi="Arial"/>
                <w:sz w:val="18"/>
                <w:szCs w:val="18"/>
                <w:color w:val="auto"/>
              </w:rPr>
              <w:t>Counterparty netting</w:t>
            </w:r>
          </w:p>
        </w:tc>
        <w:tc>
          <w:tcPr>
            <w:tcW w:w="2140" w:type="dxa"/>
            <w:vAlign w:val="bottom"/>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21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net derivatives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40" w:type="dxa"/>
            <w:vAlign w:val="bottom"/>
          </w:tcPr>
          <w:p>
            <w:pPr>
              <w:spacing w:after="0"/>
              <w:rPr>
                <w:sz w:val="20"/>
                <w:szCs w:val="20"/>
                <w:color w:val="auto"/>
              </w:rPr>
            </w:pPr>
          </w:p>
        </w:tc>
        <w:tc>
          <w:tcPr>
            <w:tcW w:w="272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r>
      <w:tr>
        <w:trPr>
          <w:trHeight w:val="169"/>
        </w:trPr>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2C2C2C"/>
              </w:rPr>
              <w:t>September 30,</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color w:val="2C2C2C"/>
              </w:rPr>
              <w:t>September 30,</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r>
      <w:tr>
        <w:trPr>
          <w:trHeight w:val="237"/>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2C2C2C"/>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2C2C2C"/>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40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59"/>
        </w:trPr>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18"/>
        </w:trPr>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24"/>
        </w:trPr>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458"/>
        </w:trPr>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-1722120</wp:posOffset>
            </wp:positionV>
            <wp:extent cx="667766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77660" cy="26543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-1310640</wp:posOffset>
            </wp:positionV>
            <wp:extent cx="667766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-899795</wp:posOffset>
            </wp:positionV>
            <wp:extent cx="667766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77660" cy="15430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-599440</wp:posOffset>
            </wp:positionV>
            <wp:extent cx="667766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-187960</wp:posOffset>
            </wp:positionV>
            <wp:extent cx="667766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7766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100"/>
            <w:col w:w="6240"/>
          </w:cols>
          <w:pgMar w:left="320" w:top="216" w:right="339" w:bottom="1440" w:gutter="0" w:footer="0" w:header="0"/>
          <w:type w:val="continuous"/>
        </w:sectPr>
      </w:pPr>
    </w:p>
    <w:p>
      <w:pPr>
        <w:spacing w:after="0" w:line="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 date.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summarizes the location and amounts recognized in our consolidated statements of operations with respect to our derivative financial instruments: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Location</w:t>
            </w:r>
          </w:p>
        </w:tc>
        <w:tc>
          <w:tcPr>
            <w:tcW w:w="5520" w:type="dxa"/>
            <w:vAlign w:val="bottom"/>
            <w:gridSpan w:val="10"/>
          </w:tcPr>
          <w:p>
            <w:pPr>
              <w:jc w:val="right"/>
              <w:ind w:right="610"/>
              <w:spacing w:after="0"/>
              <w:rPr>
                <w:sz w:val="20"/>
                <w:szCs w:val="20"/>
                <w:color w:val="auto"/>
              </w:rPr>
            </w:pPr>
            <w:r>
              <w:rPr>
                <w:rFonts w:ascii="Arial" w:cs="Arial" w:eastAsia="Arial" w:hAnsi="Arial"/>
                <w:sz w:val="18"/>
                <w:szCs w:val="18"/>
                <w:color w:val="auto"/>
                <w:w w:val="99"/>
              </w:rPr>
              <w:t>Amount of Gain (Loss) Recognized in Income on Derivatives</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gridSpan w:val="5"/>
          </w:tcPr>
          <w:p>
            <w:pPr>
              <w:ind w:left="360"/>
              <w:spacing w:after="0" w:line="169" w:lineRule="exact"/>
              <w:rPr>
                <w:sz w:val="20"/>
                <w:szCs w:val="20"/>
                <w:color w:val="auto"/>
              </w:rPr>
            </w:pPr>
            <w:r>
              <w:rPr>
                <w:rFonts w:ascii="Arial" w:cs="Arial" w:eastAsia="Arial" w:hAnsi="Arial"/>
                <w:sz w:val="18"/>
                <w:szCs w:val="18"/>
                <w:color w:val="auto"/>
              </w:rPr>
              <w:t>Three Months Ended</w:t>
            </w:r>
          </w:p>
        </w:tc>
        <w:tc>
          <w:tcPr>
            <w:tcW w:w="30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gridSpan w:val="4"/>
          </w:tcPr>
          <w:p>
            <w:pPr>
              <w:jc w:val="right"/>
              <w:ind w:right="610"/>
              <w:spacing w:after="0" w:line="169" w:lineRule="exact"/>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80" w:type="dxa"/>
            <w:vAlign w:val="bottom"/>
            <w:vMerge w:val="restart"/>
          </w:tcPr>
          <w:p>
            <w:pPr>
              <w:ind w:left="20"/>
              <w:spacing w:after="0"/>
              <w:rPr>
                <w:sz w:val="20"/>
                <w:szCs w:val="20"/>
                <w:color w:val="auto"/>
              </w:rPr>
            </w:pPr>
            <w:r>
              <w:rPr>
                <w:rFonts w:ascii="Arial" w:cs="Arial" w:eastAsia="Arial" w:hAnsi="Arial"/>
                <w:sz w:val="18"/>
                <w:szCs w:val="18"/>
                <w:color w:val="auto"/>
                <w:w w:val="94"/>
              </w:rPr>
              <w:t>Derivatives not designated as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56"/>
        </w:trPr>
        <w:tc>
          <w:tcPr>
            <w:tcW w:w="2280" w:type="dxa"/>
            <w:vAlign w:val="bottom"/>
            <w:vMerge w:val="continue"/>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80"/>
              <w:spacing w:after="0"/>
              <w:rPr>
                <w:sz w:val="20"/>
                <w:szCs w:val="20"/>
                <w:color w:val="auto"/>
              </w:rPr>
            </w:pPr>
            <w:r>
              <w:rPr>
                <w:rFonts w:ascii="Arial" w:cs="Arial" w:eastAsia="Arial" w:hAnsi="Arial"/>
                <w:sz w:val="18"/>
                <w:szCs w:val="18"/>
                <w:color w:val="auto"/>
              </w:rPr>
              <w:t>hedging instruments:</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Commodity derivatives –</w:t>
            </w:r>
          </w:p>
        </w:tc>
        <w:tc>
          <w:tcPr>
            <w:tcW w:w="270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8"/>
                <w:szCs w:val="18"/>
                <w:color w:val="auto"/>
              </w:rPr>
              <w:t>Cost of products sold</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Trading</w:t>
            </w:r>
          </w:p>
        </w:tc>
        <w:tc>
          <w:tcPr>
            <w:tcW w:w="27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6"/>
        </w:trPr>
        <w:tc>
          <w:tcPr>
            <w:tcW w:w="2280" w:type="dxa"/>
            <w:vAlign w:val="bottom"/>
          </w:tcPr>
          <w:p>
            <w:pPr>
              <w:ind w:left="180"/>
              <w:spacing w:after="0" w:line="176" w:lineRule="exact"/>
              <w:rPr>
                <w:sz w:val="20"/>
                <w:szCs w:val="20"/>
                <w:color w:val="auto"/>
              </w:rPr>
            </w:pPr>
            <w:r>
              <w:rPr>
                <w:rFonts w:ascii="Arial" w:cs="Arial" w:eastAsia="Arial" w:hAnsi="Arial"/>
                <w:sz w:val="18"/>
                <w:szCs w:val="18"/>
                <w:color w:val="auto"/>
              </w:rPr>
              <w:t>Commodity derivatives –</w:t>
            </w:r>
          </w:p>
        </w:tc>
        <w:tc>
          <w:tcPr>
            <w:tcW w:w="27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Cost of products sold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340"/>
              <w:spacing w:after="0"/>
              <w:rPr>
                <w:sz w:val="20"/>
                <w:szCs w:val="20"/>
                <w:color w:val="auto"/>
              </w:rPr>
            </w:pPr>
            <w:r>
              <w:rPr>
                <w:rFonts w:ascii="Arial" w:cs="Arial" w:eastAsia="Arial" w:hAnsi="Arial"/>
                <w:sz w:val="18"/>
                <w:szCs w:val="18"/>
                <w:color w:val="auto"/>
              </w:rPr>
              <w:t>Non-trading</w:t>
            </w: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Interest rate derivatives</w:t>
            </w:r>
          </w:p>
        </w:tc>
        <w:tc>
          <w:tcPr>
            <w:tcW w:w="27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Gains on interest rate</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spacing w:after="0"/>
              <w:rPr>
                <w:sz w:val="21"/>
                <w:szCs w:val="21"/>
                <w:color w:val="auto"/>
              </w:rPr>
            </w:pPr>
          </w:p>
        </w:tc>
        <w:tc>
          <w:tcPr>
            <w:tcW w:w="2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2280" w:type="dxa"/>
            <w:vAlign w:val="bottom"/>
          </w:tcPr>
          <w:p>
            <w:pPr>
              <w:ind w:left="34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REPORTABLE SEGMENTS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reportable segments, which conduct their business primarily in the United States, are as follows:</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 and expenses reflect the elimination of all material intercompany transactions.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primarily reflected in crude sales.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 and gathering, transportation and other fees.</w:t>
      </w:r>
    </w:p>
    <w:p>
      <w:pPr>
        <w:spacing w:after="0" w:line="13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as well as certain non-recurring gains and losses. Inventory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spacing w:after="0" w:line="11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Segment Adjusted EBITDA and consolidated Adjusted EBITDA reflect amounts for unconsolidated affiliates based on the same recognition and measurement methods used to record equity in earnings of unconsolidated affiliates. Adjusted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financial information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36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960" w:type="dxa"/>
            <w:vAlign w:val="bottom"/>
            <w:gridSpan w:val="5"/>
          </w:tcPr>
          <w:p>
            <w:pPr>
              <w:ind w:left="4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240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5"/>
          </w:tcPr>
          <w:p>
            <w:pPr>
              <w:jc w:val="center"/>
              <w:ind w:right="72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88"/>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Interstate transportation and storage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1,076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Investment in Sunoco LP</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All other</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(consolidated)</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5"/>
          </w:tcPr>
          <w:p>
            <w:pPr>
              <w:jc w:val="center"/>
              <w:ind w:right="72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88"/>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Reconciliation of net income to Adjusted EBITDA:</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1,047</w:t>
            </w:r>
          </w:p>
        </w:tc>
        <w:tc>
          <w:tcPr>
            <w:tcW w:w="10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1,322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Impairment losses and other</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 on interest rate derivatives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Non-cash compensation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6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Unrealized (gains) losses on commodity risk management</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Inventory valuation adjustments (Sunoco LP)</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 EBITDA related to unconsolidated affiliates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Non-operating litigation-related loss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(consolidated)</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is a discussion of our historical consolidated financial condition and results of operations, and should be read in conjunction with (i) our historical consolidated financial statements and accompanying notes thereto included elsewhere in this Quarterly Report on Form 10-Q; and (ii) the consolidated financial statements and management’s discussion and analysis of financial condition and results of operations included in the Partnership’s Annual Report on Form 10-K for the year ended December 31, 2022 filed with the SEC on February 17, 2023. This discussion includes forward-looking statements that are subject to risk and uncertainties. Actual results may differ substantially from the statements we make in this section due to a number of factors that are discussed in “Part I – Item 1A. Risk Factors” of our Annual Report on Form 10-K for the year ended December 31, 2022 filed with the SEC on February 17, 2023, “Part II — Item 1A. Risk Factors” of our Quarterly Report on Form 10-Q for the quarter ended June 30, 2023 filed with the SEC on August 3, 2023 and in this Quarterly Report on Form 10-Q. Additional information on forward-looking statements is discussed in “Forward-Looking Statements.”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references to “we,” “us,” “our,” the “Partnership” and “Energy Transfer” mean Energy Transfer LP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Crestwood Acquisition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16, 2023, the Partnership announced its entry into a definitive merger agreement to acquire Crestwood Equity Partners LP (“Crestwood”). Under the terms of the merger agreement, Crestwood’s common unitholders will receive 2.07 Energy Transfer common units for each Crestwood common unit. Crestwood owns gathering and processing assets located in the Williston, Delaware and Powder River basins. On October 30, 2023, a majority of Crestwood’s unitholders voted to approve the merger. The transaction is expected to close on November 3, 2023, subject to customary closing conditions.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Lotus Midstream Acquisition</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 2023, Energy Transfer acquired Lotus Midstream Operations, LLC (“Lotus Midstream”) for total consideration of $1.50 billion. Lotus Midstream owns and operates Centurion Pipeline Company LLC, an integrated crude midstream platform located in the Permian Basin.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Acquisition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2023, Sunoco LP completed the acquisition of 16 refined product terminals located across the East Coast and Midwest from Zenith Energy for $111 million. Sunoco LP expects the acquisition to be accretive to its unitholders in the first year of ownership.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Distribution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2023, Energy Transfer announced a quarterly distribution of $0.3125 per unit ($1.25 annualized) on Energy Transfer common units for the quarter ended September 30,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Natural Gas Transportation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Rate Regulation</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an individual entity’s ability to argue in support of recovery of an income tax allowance and the court’s subsequent opinion upholding denial of an income tax allowance to a master limited partnership, the impact of the FERC’s policy on the treatment of income taxes on the rates we can charge for FERC-regulated transportation services is unknown at this time.</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without application of the FERC’s rate making-related policy statements and rulemakings, the FERC or our shippers may challenge the cost-of-service rates we charge. The FERC’s establishment of a just and reasonable rate is based on many components, including ROE and tax-related components, but also other pipeline costs that will continue to affect FERC’s determination of just and reasonable cost-of-service rates. Moreover, we receive revenues from our pipelines based on a variety of rate structures, including cost-of-service rates, negotiated rates, discounted rates and market-based rates. Many of our interstate pipelines, such as Tiger Pipeline, Midcontinent Express Pipeline and Fayetteville Express Pipeline, have negotiated market rates that were agreed to by customers in connection with long-term contracts entered into to support the construction of the pipelines. Other systems, such as Florida Gas Transmission Pipeline,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our cost-of-service components and the outcomes of any challenges to our rates by the FERC or our shippers.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18, 2018, the FERC issued a final rule establishing procedures to evaluate rates charged by the FERC-jurisdictional gas pipelines in light of the Tax Act and the FERC’s Revised Policy Statement. By an order issued January 16, 2019, the FERC initiated a review of Panhandle’s then existing rates pursuant to Section 5 of the Natural Gas Act to determine whether the rates charged by Panhandle are just and reasonable and set the matter for hearing. On August 30, 2019, Panhandle filed a general rate proceeding under Section 4 of the Natural Gas Act. The Natural Gas Act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United States Court of Appeals for the District of Columbia Circuit (“Court of Appeals”), and the Michigan Public Service Commission also subsequently appealed these orders. On April 25, 2023, the Court of Appeals consolidated Panhandle’s and Michigan Public Service Commission’s appeals and stayed the consolidated appeal proceeding while FERC further considered the requests for rehearing of its December 16, 2022 order. On September 25, 2023, FERC issued its order addressing arguments raised on rehearing and compliance, which denied our requests for rehearing. Panhandle is evaluating the September 25 order and has sixty days from that date to appeal the order to the Court of Appeals.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Certification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On February 18, 2021, the FERC issued another NOI (“2021 NOI”), reopening its review of the 1999 Policy Statement. Comments on the 2021 NOI were due on May 26, 2021; we filed comments in the FERC proceeding. In September 2021, FERC issued a Notice of Technical Conference on Greenhouse Gas Mitigation related to natural gas infrastructure projects authorized under Sections 3 and 7 of the Natural Gas Act. A technical conference was held on November 19, 2021, and post-technical conference comments were submitted to the FERC on January 7, 2022.</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18, 2022, the FERC issued two new policy statements: (1) an Updated Policy Statement on the Certification of New Interstate Natural Gas Facilities and (2) a Policy Statement on the Consideration of Greenhouse Gas Emissions in Natural Gas Infrastructure Project Reviews (“2022 Policy Statements”), to be effective that same day. On March 24, 2022, the FERC issued an order designating the 2022 Policy Statements as draft policy statements, and requested further comments. The FERC will not apply the now draft 2022 Policy Statements to pending applications or applications to be filed at FERC until it issues any final guidance on these topics. Comments on the 2022 Policy Statements were due on April 25, 2022, and reply comments were due on May 25, 2022. We are unable to predict what, if any, changes may be proposed as a result of the 2022 Policy Statements that might affect our natural gas pipeline or LNG facility projects, or when such new policies, if any, might become effective. We do not expect that any change in these policy statements would affect us in a materially different manner than any other natural gas pipeline company operating in the United States.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Common Carrier Regulation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Liquids pipelines transporting in interstate commerce are regulated by FERC as common carriers under the Interstate Commerce Act (“ICA”). Under the ICA, 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17, 2020, FERC issued an order establishing a new index of PPI-FG plus 0.78%. The FERC received requests for rehearing of its December 17, 2020 order and on January 20, 2022, granted rehearing and modified the oil index. Specifically, for the five-year period commencing July 1, 2021 and ending June 30, 2026, FERC-regulated liquids pipelines charging indexed rates are permitted to adjust their indexed ceilings annually by PPI-FG minus 0.21%. FERC directed liquids pipelines to recompute their ceiling levels for July 1, 2021 through June 30, 2022, as well as the ceiling levels for the period July 1, 2022 to June 30, 2023, based on the new index level. Where an oil pipeline’s filed rates exceed its ceiling levels, FERC ordered such oil pipelines to reduce the rate to bring it into compliance with the recomputed ceiling level to be effective March 1, 2022. Some parties sought rehearing of the January 20 order with FERC, which was denied by FERC on May 6, 2022. Certain parties have appealed the January 20 and May 6 orders. Such appeals remain pending at the D.C. Circuit.</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20, 2022, the FERC issued a policy statement on the Standard Applied to Complaints Against Oil Pipeline Index Rate Changes to establish guidelines regarding how the FERC will evaluate shipper complaints against oil pipeline index rate increases. Specifically, the policy statement adopted the proposal in the FERC’s earlier Notice of Inquiry issued on March 25, 2020 to eliminate the “Substantially Exacerbate Test” as the preliminary screen applied to complaints against index rate increases and instead adopt the proposal to apply the “Percentage Comparison Test” as the preliminary screen for both protests and complaints against index rate increases. At this time, we cannot determine the effect of a change in the FERC’s preliminary screen for complaints against index rates changes, however, a revised screen would result in a threshold aligned with the existing threshold for protests against index rate increases. Any complaint or protest raised by a shipper could materially and adversely affect our financial condition, results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Quality Standards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EPA recently finalized its Good Neighbor Plan (the “Plan”) which seeks to reduce nitrogen oxide pollution from power plants and other industrial facilities from 23 upwind states which the EPA determined is contributing to National Ambient Air Quality Standards (NAAQS) nonattainment and interfering with maintenance of the 2015 ozone NAAQS in downwind states. As part of the Plan, the EPA announced that it would be issuing prescriptive emission standards for several sectors, including certain new and existing internal combustion engines of a certain size used in pipeline transportation of natural gas. The EPA’s final rule was to become effective on August 4, 2023, and the prescribed emission standards were scheduled to be effective in 2026; however, of the nine states impacted within the Partnership’s footprint, effectiveness of the rule is currently stayed in six states and pending a decision on a stay in three other states. Additionally, other operators and industry groups have challenged the Plan in the D.C. Circuit. Although the stay was denied, it was promptly followed by the filing of an emergency stay application with the U.S. Supreme Court, which is still pending. The Partnership currently estimates that the final rule would require retrofitting or replacement of approximately 240 engines in its interstate and intrastate natural gas transportation and storage operations. The Partnership is involved in challenging application of the Plan in the nine states impacted within its footprint. Compliance with the Plan (if implementation is not stayed or otherwise delayed) will still require substantial capital expenditures which could adversely affect our business in future periods. However, at this time, we are still assessing the potential costs of this rule and, given uncertainties resulting from the multiple legal challenges filed against the Plan in various states, in the DC Circuit and the U.S. Supreme Court, we cannot predict with any certainty what the final costs of compliance for the Plan for the Partnership ultimately may be. For additional information on how our operations could be impacted by regulatory developments related to the 2015 ozone NAAQS, please see “Item 1. Business – Regulation – Environmental Matters – Air Emissions” and the risk factor entitled “Our business involves the generation, handling and disposal of hazardous substances, hydrocarbons and wastes which activities are subject to environmental and worker health and safety laws and regulations that may cause us to incur significant costs and liabilities” in “Item 1A. Risk Factors – Risks Relating to the Partnership’s Business – Regulatory Matters” included in the Partnership’s Annual Report on Form 10-K for the year ended December 31, 2022 filed with the SEC on February 17,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as well as certain non-recurring gains and losses. Inventory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Adjusted EBITDA, as reported for each segment in the following table, is analyzed for each segment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176"/>
        </w:trPr>
        <w:tc>
          <w:tcPr>
            <w:tcW w:w="3580" w:type="dxa"/>
            <w:vAlign w:val="bottom"/>
          </w:tcPr>
          <w:p>
            <w:pPr>
              <w:ind w:left="180"/>
              <w:spacing w:after="0" w:line="176" w:lineRule="exact"/>
              <w:rPr>
                <w:sz w:val="20"/>
                <w:szCs w:val="20"/>
                <w:color w:val="auto"/>
              </w:rPr>
            </w:pPr>
            <w:r>
              <w:rPr>
                <w:rFonts w:ascii="Arial" w:cs="Arial" w:eastAsia="Arial" w:hAnsi="Arial"/>
                <w:sz w:val="18"/>
                <w:szCs w:val="18"/>
                <w:color w:val="auto"/>
                <w:w w:val="94"/>
              </w:rPr>
              <w:t>NGL and refined products transportation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36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 (consolidated)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3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Reconciliation of net income to Adjusted</w:t>
            </w: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3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3580" w:type="dxa"/>
            <w:vAlign w:val="bottom"/>
          </w:tcPr>
          <w:p>
            <w:pPr>
              <w:ind w:left="180"/>
              <w:spacing w:after="0"/>
              <w:rPr>
                <w:sz w:val="20"/>
                <w:szCs w:val="20"/>
                <w:color w:val="auto"/>
              </w:rPr>
            </w:pPr>
            <w:r>
              <w:rPr>
                <w:rFonts w:ascii="Arial" w:cs="Arial" w:eastAsia="Arial" w:hAnsi="Arial"/>
                <w:sz w:val="18"/>
                <w:szCs w:val="18"/>
                <w:color w:val="auto"/>
                <w:w w:val="98"/>
              </w:rPr>
              <w:t>Interest expense, net of interest capitalized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3580" w:type="dxa"/>
            <w:vAlign w:val="bottom"/>
          </w:tcPr>
          <w:p>
            <w:pPr>
              <w:ind w:left="180"/>
              <w:spacing w:after="0"/>
              <w:rPr>
                <w:sz w:val="20"/>
                <w:szCs w:val="20"/>
                <w:color w:val="auto"/>
              </w:rPr>
            </w:pPr>
            <w:r>
              <w:rPr>
                <w:rFonts w:ascii="Arial" w:cs="Arial" w:eastAsia="Arial" w:hAnsi="Arial"/>
                <w:sz w:val="18"/>
                <w:szCs w:val="18"/>
                <w:color w:val="auto"/>
              </w:rPr>
              <w:t>Impairment losses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interest rate derivatives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75"/>
        </w:trPr>
        <w:tc>
          <w:tcPr>
            <w:tcW w:w="3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Unrealized (gains) losses on commodity risk</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 activities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3580" w:type="dxa"/>
            <w:vAlign w:val="bottom"/>
          </w:tcPr>
          <w:p>
            <w:pPr>
              <w:ind w:left="180"/>
              <w:spacing w:after="0"/>
              <w:rPr>
                <w:sz w:val="20"/>
                <w:szCs w:val="20"/>
                <w:color w:val="auto"/>
              </w:rPr>
            </w:pPr>
            <w:r>
              <w:rPr>
                <w:rFonts w:ascii="Arial" w:cs="Arial" w:eastAsia="Arial" w:hAnsi="Arial"/>
                <w:sz w:val="18"/>
                <w:szCs w:val="18"/>
                <w:color w:val="auto"/>
                <w:w w:val="94"/>
              </w:rPr>
              <w:t>Inventory valuation adjustments (Sunoco LP)</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76"/>
        </w:trPr>
        <w:tc>
          <w:tcPr>
            <w:tcW w:w="3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Adjusted EBITDA related to unconsolidated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affiliates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w w:val="93"/>
              </w:rPr>
              <w:t>Equity in earnings of unconsolidated affiliates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Non-operating litigation-related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 (consolidated)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For the three and nine months ended September 30, 2023 compared to the same periods last year, net income decreased $275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$704 million, respectively, or approximately 21% and 16%, respectively. For both the three-month and nine-month periods, net income was significantly impacted by the recognition of a $625 million non-operating litigation-related loss in the third quarter of 2023, as well as decreases in gains on interest rate derivatives and increases in depreciation, depletion and amortization; each of these items is discussed further below. The impacts of these decreases were partially offset by the impacts of impairment losses recognized in the prior period; these impairments are also discussed further below. The change to net income also reflects changes in Adjusted EBITDA, which are summarized below and discussed in more detail in “Segment Operating Results.”</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Adjusted EBITDA (consolidated). </w:t>
      </w:r>
      <w:r>
        <w:rPr>
          <w:rFonts w:ascii="Arial" w:cs="Arial" w:eastAsia="Arial" w:hAnsi="Arial"/>
          <w:sz w:val="16"/>
          <w:szCs w:val="16"/>
          <w:color w:val="auto"/>
        </w:rPr>
        <w:t>For the three and nine months ended September 30, 2023 compared to the same periods last year, Adjusted EBITDA</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$453 million and $440 million, respectively, primarily driven by increases in our NGL and refined products transportation and services segment and our crude oil transportation and services segment, partially offset by the impact of unfavorable natural gas and NGL prices in our midstream segment. The decrease in Adjusted EBITDA from our midstream segment was partially offset by increases in Adjusted EBITDA from multiple other segments.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the changes impacting net income and Adjusted EBITDA for the three and nine months ended September 30, 2023 compared to the same periods last year is available below and in “Segment Operating Results.”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increased for the three and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last year primarily due to additional depreciation and amortization from assets recently placed in service and recent acquisitions.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Expense, net of interest capitalized. </w:t>
      </w:r>
      <w:r>
        <w:rPr>
          <w:rFonts w:ascii="Arial" w:cs="Arial" w:eastAsia="Arial" w:hAnsi="Arial"/>
          <w:sz w:val="18"/>
          <w:szCs w:val="18"/>
          <w:color w:val="auto"/>
        </w:rPr>
        <w:t>Interest expense, net of interest capitalized, increased for the three and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last year primarily due to higher interest rates on floating rate debt.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three months ended September 30, 2023 compared to the same period last year, income tax expense decreased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in the prior period associated with the sale of Energy Transfer Canada. For the nine months ended September 30, 2023 compared to the same period last year, income tax expense increased due to higher earnings from the Partnership’s consolidated corporate subsidiaries.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Losses and Other. </w:t>
      </w:r>
      <w:r>
        <w:rPr>
          <w:rFonts w:ascii="Arial" w:cs="Arial" w:eastAsia="Arial" w:hAnsi="Arial"/>
          <w:sz w:val="18"/>
          <w:szCs w:val="18"/>
          <w:color w:val="auto"/>
        </w:rPr>
        <w:t>For the three months ended September 30, 2023, impairment losses and other included a total of $1 million recognized by</w:t>
      </w:r>
      <w:r>
        <w:rPr>
          <w:rFonts w:ascii="Arial" w:cs="Arial" w:eastAsia="Arial" w:hAnsi="Arial"/>
          <w:sz w:val="18"/>
          <w:szCs w:val="18"/>
          <w:i w:val="1"/>
          <w:iCs w:val="1"/>
          <w:color w:val="auto"/>
        </w:rPr>
        <w:t xml:space="preserve"> </w:t>
      </w:r>
      <w:r>
        <w:rPr>
          <w:rFonts w:ascii="Arial" w:cs="Arial" w:eastAsia="Arial" w:hAnsi="Arial"/>
          <w:sz w:val="18"/>
          <w:szCs w:val="18"/>
          <w:color w:val="auto"/>
        </w:rPr>
        <w:t>USAC related to its compression equipment. For the nine months ended September 30, 2023, impairment losses and other included a total of $12 million recognized by USAC related to its compression equipment.</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2022, impairment losses and other included an $85 million loss on the deconsolidation of Energy Transfer Canada, which was recorded upon the completion of the sale in August 2022. The nine months ended September 30, 2022 amount also included a $300 million impairment related to Energy Transfer Canada’s assets recorded in March 2022 based on the anticipated proceeds from the expected sale of those assets. The remainder of impairment losses and other for the three and nine months ended September 30, 2022 were from USAC’s recognition of impairment losses related to its compression equipment.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Gains on Interest Rate Derivatives. </w:t>
      </w:r>
      <w:r>
        <w:rPr>
          <w:rFonts w:ascii="Arial" w:cs="Arial" w:eastAsia="Arial" w:hAnsi="Arial"/>
          <w:sz w:val="18"/>
          <w:szCs w:val="18"/>
          <w:color w:val="auto"/>
        </w:rPr>
        <w:t>Gains on interest rate derivatives resulted from changes in forward interest rates, which caused our forward-starting</w:t>
      </w:r>
      <w:r>
        <w:rPr>
          <w:rFonts w:ascii="Arial" w:cs="Arial" w:eastAsia="Arial" w:hAnsi="Arial"/>
          <w:sz w:val="18"/>
          <w:szCs w:val="18"/>
          <w:i w:val="1"/>
          <w:iCs w:val="1"/>
          <w:color w:val="auto"/>
        </w:rPr>
        <w:t xml:space="preserve"> </w:t>
      </w:r>
      <w:r>
        <w:rPr>
          <w:rFonts w:ascii="Arial" w:cs="Arial" w:eastAsia="Arial" w:hAnsi="Arial"/>
          <w:sz w:val="18"/>
          <w:szCs w:val="18"/>
          <w:color w:val="auto"/>
        </w:rPr>
        <w:t>swaps to change in value. The magnitude of the gains during the respective periods also reflected higher aggregate notional amount of interest rate swaps outstanding in the prior period.</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Unrealized (Gains) Losses on Commodity Risk Management Activities. </w:t>
      </w:r>
      <w:r>
        <w:rPr>
          <w:rFonts w:ascii="Arial" w:cs="Arial" w:eastAsia="Arial" w:hAnsi="Arial"/>
          <w:sz w:val="17"/>
          <w:szCs w:val="17"/>
          <w:color w:val="auto"/>
        </w:rPr>
        <w:t>The unrealized gains and losses on our commodity risk management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changes in fair value of commodity derivatives and the hedged inventory included in designated fair value hedging relationships. Information on the unrealized gains and losses within each segment are included in “Segment Operating Results,” and additional information on the commodity-related derivatives, including notional volumes, maturities and fair values, is available in “Item 3. Quantitative and Qualitative Disclosures About Market Risk” and in Note 12 to our consolidated financial statements included in “Item 1. Financial Statements.”</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Inventory Valuation Adjustments. </w:t>
      </w:r>
      <w:r>
        <w:rPr>
          <w:rFonts w:ascii="Arial" w:cs="Arial" w:eastAsia="Arial" w:hAnsi="Arial"/>
          <w:sz w:val="17"/>
          <w:szCs w:val="17"/>
          <w:color w:val="auto"/>
        </w:rPr>
        <w:t>Inventory valuation adjustments represent changes in lower of cost or market reserves using the last-in, first-out method</w:t>
      </w:r>
      <w:r>
        <w:rPr>
          <w:rFonts w:ascii="Arial" w:cs="Arial" w:eastAsia="Arial" w:hAnsi="Arial"/>
          <w:sz w:val="17"/>
          <w:szCs w:val="17"/>
          <w:i w:val="1"/>
          <w:iCs w:val="1"/>
          <w:color w:val="auto"/>
        </w:rPr>
        <w:t xml:space="preserve"> </w:t>
      </w:r>
      <w:r>
        <w:rPr>
          <w:rFonts w:ascii="Arial" w:cs="Arial" w:eastAsia="Arial" w:hAnsi="Arial"/>
          <w:sz w:val="17"/>
          <w:szCs w:val="17"/>
          <w:color w:val="auto"/>
        </w:rPr>
        <w:t>on Sunoco LP’s inventory. These amounts are unrealized valuation adjustments applied to fuel volumes remaining in inventory at the end of the period. For the three months ended September 30, 2023, an increase in fuel prices reduced the lower of cost or market reserve requirements for the period by a net of $141 million, resulting in a favorable impact to net income. For the three months ended September 30, 2022, a decrease in fuel prices increased the lower of cost or market reserve requirements for the period by a net of $40 million, resulting in unfavorable impacts to net income. For the nine months ended September 30, 2023 and 2022, an increase in fuel prices reduced the lower of cost or market reserve requirements for the period by a net of $113 million and $81 million, respectively, resulting in favorable impacts to net income.</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and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Operating Results.”</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Non-Operating Litigation-Related Loss. </w:t>
      </w:r>
      <w:r>
        <w:rPr>
          <w:rFonts w:ascii="Arial" w:cs="Arial" w:eastAsia="Arial" w:hAnsi="Arial"/>
          <w:sz w:val="18"/>
          <w:szCs w:val="18"/>
          <w:color w:val="auto"/>
        </w:rPr>
        <w:t>Non-operating litigation-related loss recognized in the three and nine months ended September 30, 2023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contingent loss associated with the Williams Litigation, which is discussed in Note 10 to our consolidated financial statements included in “Item 1.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the amortization of regulatory assets and other income and expense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5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w w:val="92"/>
              </w:rPr>
              <w:t>Supplemental Information on Unconsolidated Affiliates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9"/>
          </w:tcPr>
          <w:p>
            <w:pPr>
              <w:spacing w:after="0"/>
              <w:rPr>
                <w:sz w:val="20"/>
                <w:szCs w:val="20"/>
                <w:color w:val="auto"/>
              </w:rPr>
            </w:pPr>
            <w:r>
              <w:rPr>
                <w:rFonts w:ascii="Arial" w:cs="Arial" w:eastAsia="Arial" w:hAnsi="Arial"/>
                <w:sz w:val="18"/>
                <w:szCs w:val="18"/>
                <w:color w:val="auto"/>
                <w:w w:val="94"/>
              </w:rPr>
              <w:t>The following table presents financial information related to unconsolidated affiliates: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0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color w:val="auto"/>
              </w:rPr>
              <w:t>September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Equity in earnings (losses) of unconsolidated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56"/>
        </w:trPr>
        <w:tc>
          <w:tcPr>
            <w:tcW w:w="3560" w:type="dxa"/>
            <w:vAlign w:val="bottom"/>
            <w:gridSpan w:val="2"/>
            <w:vMerge w:val="continue"/>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affiliates: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MEP</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Explorer</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6"/>
        </w:trPr>
        <w:tc>
          <w:tcPr>
            <w:tcW w:w="3560" w:type="dxa"/>
            <w:vAlign w:val="bottom"/>
            <w:gridSpan w:val="2"/>
          </w:tcPr>
          <w:p>
            <w:pPr>
              <w:ind w:left="360"/>
              <w:spacing w:after="0" w:line="156" w:lineRule="exact"/>
              <w:rPr>
                <w:sz w:val="20"/>
                <w:szCs w:val="20"/>
                <w:color w:val="auto"/>
              </w:rPr>
            </w:pPr>
            <w:r>
              <w:rPr>
                <w:rFonts w:ascii="Arial" w:cs="Arial" w:eastAsia="Arial" w:hAnsi="Arial"/>
                <w:sz w:val="18"/>
                <w:szCs w:val="18"/>
                <w:color w:val="auto"/>
                <w:w w:val="95"/>
              </w:rPr>
              <w:t>Total equity in earnings of unconsolidated</w:t>
            </w:r>
          </w:p>
        </w:tc>
        <w:tc>
          <w:tcPr>
            <w:tcW w:w="800" w:type="dxa"/>
            <w:vAlign w:val="bottom"/>
            <w:vMerge w:val="restart"/>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13"/>
                <w:szCs w:val="13"/>
                <w:color w:val="auto"/>
              </w:rPr>
            </w:pPr>
          </w:p>
        </w:tc>
        <w:tc>
          <w:tcPr>
            <w:tcW w:w="800" w:type="dxa"/>
            <w:vAlign w:val="bottom"/>
            <w:vMerge w:val="restart"/>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affiliates</w:t>
            </w: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Adjusted EBITDA related to unconsolidated</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line="243" w:lineRule="exact"/>
              <w:rPr>
                <w:sz w:val="20"/>
                <w:szCs w:val="20"/>
                <w:color w:val="auto"/>
              </w:rPr>
            </w:pPr>
            <w:r>
              <w:rPr>
                <w:rFonts w:ascii="Arial" w:cs="Arial" w:eastAsia="Arial" w:hAnsi="Arial"/>
                <w:sz w:val="18"/>
                <w:szCs w:val="18"/>
                <w:color w:val="auto"/>
              </w:rPr>
              <w:t>affiliates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MEP</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Explorer</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3560" w:type="dxa"/>
            <w:vAlign w:val="bottom"/>
            <w:gridSpan w:val="2"/>
          </w:tcPr>
          <w:p>
            <w:pPr>
              <w:ind w:left="360"/>
              <w:spacing w:after="0" w:line="156" w:lineRule="exact"/>
              <w:rPr>
                <w:sz w:val="20"/>
                <w:szCs w:val="20"/>
                <w:color w:val="auto"/>
              </w:rPr>
            </w:pPr>
            <w:r>
              <w:rPr>
                <w:rFonts w:ascii="Arial" w:cs="Arial" w:eastAsia="Arial" w:hAnsi="Arial"/>
                <w:sz w:val="18"/>
                <w:szCs w:val="18"/>
                <w:color w:val="auto"/>
              </w:rPr>
              <w:t>Total Adjusted EBITDA related to</w:t>
            </w:r>
          </w:p>
        </w:tc>
        <w:tc>
          <w:tcPr>
            <w:tcW w:w="800" w:type="dxa"/>
            <w:vAlign w:val="bottom"/>
            <w:vMerge w:val="restart"/>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9"/>
              </w:rPr>
              <w:t>182</w:t>
            </w:r>
          </w:p>
        </w:tc>
        <w:tc>
          <w:tcPr>
            <w:tcW w:w="120" w:type="dxa"/>
            <w:vAlign w:val="bottom"/>
          </w:tcPr>
          <w:p>
            <w:pPr>
              <w:spacing w:after="0"/>
              <w:rPr>
                <w:sz w:val="13"/>
                <w:szCs w:val="13"/>
                <w:color w:val="auto"/>
              </w:rPr>
            </w:pPr>
          </w:p>
        </w:tc>
        <w:tc>
          <w:tcPr>
            <w:tcW w:w="800" w:type="dxa"/>
            <w:vAlign w:val="bottom"/>
            <w:vMerge w:val="restart"/>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9"/>
              </w:rPr>
              <w:t>147</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1"/>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unconsolidated affiliates</w:t>
            </w: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Distributions received from unconsolidated</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affiliates: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MEP</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Explorer</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5"/>
        </w:trPr>
        <w:tc>
          <w:tcPr>
            <w:tcW w:w="3560" w:type="dxa"/>
            <w:vAlign w:val="bottom"/>
            <w:gridSpan w:val="2"/>
          </w:tcPr>
          <w:p>
            <w:pPr>
              <w:ind w:left="360"/>
              <w:spacing w:after="0" w:line="156" w:lineRule="exact"/>
              <w:rPr>
                <w:sz w:val="20"/>
                <w:szCs w:val="20"/>
                <w:color w:val="auto"/>
              </w:rPr>
            </w:pPr>
            <w:r>
              <w:rPr>
                <w:rFonts w:ascii="Arial" w:cs="Arial" w:eastAsia="Arial" w:hAnsi="Arial"/>
                <w:sz w:val="18"/>
                <w:szCs w:val="18"/>
                <w:color w:val="auto"/>
              </w:rPr>
              <w:t>Total distributions received from</w:t>
            </w:r>
          </w:p>
        </w:tc>
        <w:tc>
          <w:tcPr>
            <w:tcW w:w="800" w:type="dxa"/>
            <w:vAlign w:val="bottom"/>
            <w:tcBorders>
              <w:top w:val="single" w:sz="8" w:color="auto"/>
            </w:tcBorders>
            <w:vMerge w:val="restart"/>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122</w:t>
            </w:r>
          </w:p>
        </w:tc>
        <w:tc>
          <w:tcPr>
            <w:tcW w:w="120" w:type="dxa"/>
            <w:vAlign w:val="bottom"/>
          </w:tcPr>
          <w:p>
            <w:pPr>
              <w:spacing w:after="0"/>
              <w:rPr>
                <w:sz w:val="13"/>
                <w:szCs w:val="13"/>
                <w:color w:val="auto"/>
              </w:rPr>
            </w:pPr>
          </w:p>
        </w:tc>
        <w:tc>
          <w:tcPr>
            <w:tcW w:w="800" w:type="dxa"/>
            <w:vAlign w:val="bottom"/>
            <w:tcBorders>
              <w:top w:val="single" w:sz="8" w:color="auto"/>
            </w:tcBorders>
            <w:vMerge w:val="restart"/>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1"/>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unconsolidated affiliates</w:t>
            </w: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4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identify the components of Segment Adjusted EBITDA, which is calculated as follows:</w:t>
      </w:r>
    </w:p>
    <w:p>
      <w:pPr>
        <w:spacing w:after="0" w:line="117" w:lineRule="exact"/>
        <w:rPr>
          <w:sz w:val="20"/>
          <w:szCs w:val="20"/>
          <w:color w:val="auto"/>
        </w:rPr>
      </w:pPr>
    </w:p>
    <w:p>
      <w:pPr>
        <w:ind w:left="3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Segment margin,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w:t>
      </w:r>
      <w:r>
        <w:rPr>
          <w:rFonts w:ascii="Arial" w:cs="Arial" w:eastAsia="Arial" w:hAnsi="Arial"/>
          <w:sz w:val="18"/>
          <w:szCs w:val="18"/>
          <w:color w:val="auto"/>
        </w:rPr>
        <w:t>. These amounts represent the amounts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that are attributable to each segment.</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Unrealized gains or losses on commodity risk management activities and inventory valuation adjustments</w:t>
      </w:r>
      <w:r>
        <w:rPr>
          <w:rFonts w:ascii="Arial" w:cs="Arial" w:eastAsia="Arial" w:hAnsi="Arial"/>
          <w:sz w:val="18"/>
          <w:szCs w:val="18"/>
          <w:color w:val="auto"/>
        </w:rPr>
        <w:t>. These are the unrealized amounts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cost of products sold to calculate segment margin. These amounts are not included in Segment Adjusted EBITDA; therefore, the unrealized losses are added back and the unrealized gains are subtracted to calculate the segment measure.</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hanging="332"/>
        <w:spacing w:after="0" w:line="342"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Non-cash compensation expense</w:t>
      </w:r>
      <w:r>
        <w:rPr>
          <w:rFonts w:ascii="Arial" w:cs="Arial" w:eastAsia="Arial" w:hAnsi="Arial"/>
          <w:sz w:val="16"/>
          <w:szCs w:val="16"/>
          <w:color w:val="auto"/>
        </w:rPr>
        <w:t>. These amounts represent the total non-cash compensation recorded in operating expenses and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This expense is not included in Segment Adjusted EBITDA and therefore is added back to calculate the segment measure.</w:t>
      </w:r>
    </w:p>
    <w:p>
      <w:pPr>
        <w:spacing w:after="0" w:line="15" w:lineRule="exact"/>
        <w:rPr>
          <w:rFonts w:ascii="Arial" w:cs="Arial" w:eastAsia="Arial" w:hAnsi="Arial"/>
          <w:sz w:val="16"/>
          <w:szCs w:val="16"/>
          <w:color w:val="auto"/>
        </w:rPr>
      </w:pPr>
    </w:p>
    <w:p>
      <w:pPr>
        <w:jc w:val="both"/>
        <w:ind w:left="340" w:hanging="332"/>
        <w:spacing w:after="0" w:line="275" w:lineRule="auto"/>
        <w:tabs>
          <w:tab w:leader="none" w:pos="33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Adjusted EBITDA related to unconsolidated affiliates</w:t>
      </w:r>
      <w:r>
        <w:rPr>
          <w:rFonts w:ascii="Arial" w:cs="Arial" w:eastAsia="Arial" w:hAnsi="Arial"/>
          <w:sz w:val="17"/>
          <w:szCs w:val="17"/>
          <w:color w:val="auto"/>
        </w:rPr>
        <w:t>. Adjusted EBITDA related to unconsolidated affiliates excludes the same items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for certain segments, the following sections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4"/>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40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w w:val="98"/>
              </w:rPr>
              <w:t>Change</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w w:val="92"/>
              </w:rPr>
              <w:t>Withdrawals from storage natural gas inventory (BBtu)</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(13,458)</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r>
      <w:tr>
        <w:trPr>
          <w:trHeight w:val="223"/>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175"/>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9"/>
              </w:rPr>
              <w:t>Unrealized losses on commodity risk management</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Operating expenses, excluding non-cash compensation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excluding non-cash compensation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Adjusted EBITDA related to unconsolidated affiliates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4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Volumes</w:t>
      </w:r>
      <w:r>
        <w:rPr>
          <w:rFonts w:ascii="Arial" w:cs="Arial" w:eastAsia="Arial" w:hAnsi="Arial"/>
          <w:sz w:val="18"/>
          <w:szCs w:val="18"/>
          <w:color w:val="auto"/>
        </w:rPr>
        <w:t>. For the three months ended September 30, 2023 compared to the same periods last year, transported volumes increased primarily due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utilization on our Texas intrastate assets. For the nine months ended September 30, 2023 compared to the same period last year, transported volumes increased primarily due to increased utilization on the Enable Oklahoma Intrastate Transmission system and the Texas system, as well as higher production in the Haynesville Shale.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Margin. </w:t>
      </w:r>
      <w:r>
        <w:rPr>
          <w:rFonts w:ascii="Arial" w:cs="Arial" w:eastAsia="Arial" w:hAnsi="Arial"/>
          <w:sz w:val="18"/>
          <w:szCs w:val="18"/>
          <w:color w:val="auto"/>
        </w:rPr>
        <w:t>The components of our intrastate transportation and storage segment margin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10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3560" w:type="dxa"/>
            <w:vAlign w:val="bottom"/>
          </w:tcPr>
          <w:p>
            <w:pPr>
              <w:spacing w:after="0"/>
              <w:rPr>
                <w:sz w:val="20"/>
                <w:szCs w:val="20"/>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color w:val="auto"/>
              </w:rPr>
              <w:t>September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35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fees</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76"/>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Natural gas sales and other (excluding</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unrealized gains and losses)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Retained fuel revenues (excluding unrealized</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and losses)</w:t>
            </w: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2"/>
              </w:rPr>
              <w:t>Storage margin (excluding unrealized gains and</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w w:val="95"/>
              </w:rPr>
              <w:t>losses and fair value inventory adjustments)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Unrealized losses on commodity risk</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8"/>
        </w:trPr>
        <w:tc>
          <w:tcPr>
            <w:tcW w:w="35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management activities and fair value</w:t>
            </w: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adjustments</w:t>
            </w:r>
          </w:p>
        </w:tc>
        <w:tc>
          <w:tcPr>
            <w:tcW w:w="8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color w:val="auto"/>
              </w:rPr>
              <w:t>Total segment margin</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309</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1"/>
        </w:trPr>
        <w:tc>
          <w:tcPr>
            <w:tcW w:w="3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intrastate transportation and storage segment decreased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$74 million in realized natural gas sales and other primarily due to lower pipeline optimization;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$40 million in retained fuel revenues related to lower natural gas prices; partially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$28 million in storage margin primarily due to favorable storage optimization;</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$22 million in operating expenses primarily due to a $21 million decrease in cost of fuel consumption from lower natural gas prices and a $2 million decrease due to lower utility pricing;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$9 million in transportation fees primarily due to new contracts on our Texas system and Haynesville assets.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nine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intrastate transportation and storage segment decreased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$112 million in realized natural gas sales and other primarily due to lower pipeline optimization;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$101 million in retained fuel revenues related to lower natural gas prices; partially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$59 million in storage margin primarily due to higher storage optimization;</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$44 million in operating expenses primarily due to a $53 million decrease in cost of fuel consumption from lower natural gas prices, partially offset by a $4 million increase from recently acquired assets, a $2 million increase in ad valorem taxes and a $3 million increase in employee costs; and</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$23 million in transportation fees primarily due to new contracts on our Texas system and Haynesville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952"/>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4"/>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1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Natural gas sold (BBtu/d)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175"/>
        </w:trPr>
        <w:tc>
          <w:tcPr>
            <w:tcW w:w="3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Operating expenses, excluding non-cash</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8"/>
        </w:trPr>
        <w:tc>
          <w:tcPr>
            <w:tcW w:w="358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compensation, amortization and accretion</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75"/>
        </w:trPr>
        <w:tc>
          <w:tcPr>
            <w:tcW w:w="3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Selling, general and administrative expenses,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8"/>
        </w:trPr>
        <w:tc>
          <w:tcPr>
            <w:tcW w:w="35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excluding non-cash compensation,</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and accretion expenses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76"/>
        </w:trPr>
        <w:tc>
          <w:tcPr>
            <w:tcW w:w="3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Adjusted EBITDA related to unconsolidated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affiliates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1"/>
        </w:trPr>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three and nine months ended September 30, 2023 compared to the same periods last year, transported volumes increased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our Gulf Run system being placed in service in December 2022, as well as more capacity sold and higher utilization on our Transwestern, Rover, Panhandle and Trunkline systems due to increased demand.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interstate transportation and storage segment increased due to the net impacts of the following:</w:t>
      </w:r>
    </w:p>
    <w:p>
      <w:pPr>
        <w:spacing w:after="0" w:line="62" w:lineRule="exact"/>
        <w:rPr>
          <w:sz w:val="20"/>
          <w:szCs w:val="20"/>
          <w:color w:val="auto"/>
        </w:rPr>
      </w:pPr>
    </w:p>
    <w:p>
      <w:pPr>
        <w:jc w:val="both"/>
        <w:ind w:left="340" w:hanging="332"/>
        <w:spacing w:after="0" w:line="301"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of $23 million in segment margin primarily due to a $44 million increase resulting from our Gulf Run system being placed in service in December 2022, as well as a $28 million increase in transportation revenue from several of our interstate pipelines due to higher contracted volumes and higher interruptible utilization. These increases were partially offset by a $23 million decrease due to lower rates on our Panhandle system resulting from a FERC order in a rate case and a $27 million decrease primarily due to lower operational gas sales resulting from lower prices;</w:t>
      </w:r>
    </w:p>
    <w:p>
      <w:pPr>
        <w:spacing w:after="0" w:line="49" w:lineRule="exact"/>
        <w:rPr>
          <w:rFonts w:ascii="Arial" w:cs="Arial" w:eastAsia="Arial" w:hAnsi="Arial"/>
          <w:sz w:val="16"/>
          <w:szCs w:val="16"/>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$41 million in operating expenses primarily due to a decrease from the revaluation of system gas;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decrease of $7 million in selling, general and administrative expenses primarily due to lower employee-related costs and professional fees; and</w:t>
      </w:r>
    </w:p>
    <w:p>
      <w:pPr>
        <w:spacing w:after="0" w:line="128"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$23 million in Adjusted EBITDA related to unconsolidated affiliates primarily due to an increase from our Midcontinent Express Pipeline joint venture due to capacity sold at higher rates;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$12 million in other items primarily due to the recognition in the prior period of amounts related to a shipper bankruptcy.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nine months ended September 30, 2023 compared to the same period last year, Segment Adjusted EBITDA related to our interstate transportation and storage segment increased due to the net impacts of the following:</w:t>
      </w:r>
    </w:p>
    <w:p>
      <w:pPr>
        <w:spacing w:after="0" w:line="62" w:lineRule="exact"/>
        <w:rPr>
          <w:sz w:val="20"/>
          <w:szCs w:val="20"/>
          <w:color w:val="auto"/>
        </w:rPr>
      </w:pPr>
    </w:p>
    <w:p>
      <w:pPr>
        <w:jc w:val="both"/>
        <w:ind w:left="340" w:hanging="332"/>
        <w:spacing w:after="0" w:line="255"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$129 million in segment margin primarily due to a $97 million increase resulting from our Gulf Run system being placed in service in December 2022, a $49 million increase in transportation revenue from several of our interstate pipeline systems due to higher contracted volumes and higher rates, an $18 million increase related to a shipper bankruptcy, a $13 million increase in parking and storage revenue and a $5 million increase in interruptible utilization. These increases were partially offset by a $22 million decrease due to lower operational gas sales resulting from lower prices, a $23 million decrease due to lower rates on our Panhandle system resulting from a FERC order in a rate case and an $8 million decrease in liquids revenue due to lower prices;</w:t>
      </w:r>
    </w:p>
    <w:p>
      <w:pPr>
        <w:spacing w:after="0" w:line="8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$23 million in operating expenses primarily due to a $46 million decrease from the revaluation of system gas, partially offset by $19 million of incremental expenses from our Gulf Run system being placed in service in December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decrease of $11 million in selling, general and administrative expenses primarily due to lower professional fees and employee-related costs; and</w:t>
      </w:r>
    </w:p>
    <w:p>
      <w:pPr>
        <w:spacing w:after="0" w:line="140" w:lineRule="exact"/>
        <w:rPr>
          <w:rFonts w:ascii="Arial" w:cs="Arial" w:eastAsia="Arial" w:hAnsi="Arial"/>
          <w:sz w:val="16"/>
          <w:szCs w:val="16"/>
          <w:color w:val="auto"/>
        </w:rPr>
      </w:pPr>
    </w:p>
    <w:p>
      <w:pPr>
        <w:jc w:val="both"/>
        <w:ind w:left="340" w:hanging="332"/>
        <w:spacing w:after="0" w:line="286"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increase of $81 million in Adjusted EBITDA related to unconsolidated affiliates primarily due to an increase of $75 million from our Midcontinent Express Pipeline joint venture as a result of higher revenue due to capacity sold at higher rates and a $5 million increase from our Southeast Supply Header joint venture as a result of higher revenue due to increased capacity sold at higher rates; partially offset by</w:t>
      </w:r>
    </w:p>
    <w:p>
      <w:pPr>
        <w:spacing w:after="0" w:line="57" w:lineRule="exact"/>
        <w:rPr>
          <w:rFonts w:ascii="Arial" w:cs="Arial" w:eastAsia="Arial" w:hAnsi="Arial"/>
          <w:sz w:val="17"/>
          <w:szCs w:val="17"/>
          <w:color w:val="auto"/>
        </w:rPr>
      </w:pPr>
    </w:p>
    <w:p>
      <w:pPr>
        <w:ind w:left="320" w:hanging="31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decrease of $35 million in other items primarily due to the recognition in the prior period of certain amounts related to shipper bankruptcies.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7"/>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3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(5,847)</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non-cash</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176"/>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7"/>
              </w:rPr>
              <w:t>Selling, general and administrative expenses,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w w:val="97"/>
              </w:rPr>
              <w:t>excluding non-cash compensation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EBITDA related to unconsolidated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3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three and nine months ended September 30, 2023 compared to the same periods last year, gathered volumes and NGL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increased producer activity in most regions.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table below presents the components of our midstream segment margin. For the three and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amounts previously reported for fee-based and non-fee-based margin have been adjusted to reflect the reclassification of certain amounts to conform to the current period presentation; these changes did not impact total segment margin.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3560" w:type="dxa"/>
            <w:vAlign w:val="bottom"/>
          </w:tcPr>
          <w:p>
            <w:pPr>
              <w:spacing w:after="0"/>
              <w:rPr>
                <w:sz w:val="20"/>
                <w:szCs w:val="20"/>
                <w:color w:val="auto"/>
              </w:rPr>
            </w:pPr>
          </w:p>
        </w:tc>
        <w:tc>
          <w:tcPr>
            <w:tcW w:w="2000" w:type="dxa"/>
            <w:vAlign w:val="bottom"/>
            <w:gridSpan w:val="4"/>
          </w:tcPr>
          <w:p>
            <w:pPr>
              <w:jc w:val="right"/>
              <w:ind w:right="150"/>
              <w:spacing w:after="0"/>
              <w:rPr>
                <w:sz w:val="20"/>
                <w:szCs w:val="20"/>
                <w:color w:val="auto"/>
              </w:rPr>
            </w:pPr>
            <w:r>
              <w:rPr>
                <w:rFonts w:ascii="Arial" w:cs="Arial" w:eastAsia="Arial" w:hAnsi="Arial"/>
                <w:sz w:val="18"/>
                <w:szCs w:val="18"/>
                <w:color w:val="auto"/>
              </w:rPr>
              <w:t>September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35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Change</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Gathering and processing fee-based revenues</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772</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86"/>
              </w:rPr>
              <w:t>124</w:t>
            </w:r>
          </w:p>
        </w:tc>
      </w:tr>
      <w:tr>
        <w:trPr>
          <w:trHeight w:val="176"/>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Non-fee-based contracts and processing</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(excluding unrealized gains and losses)</w:t>
            </w:r>
          </w:p>
        </w:tc>
        <w:tc>
          <w:tcPr>
            <w:tcW w:w="8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197</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5"/>
              </w:rPr>
              <w:t>(677)</w:t>
            </w:r>
          </w:p>
        </w:tc>
      </w:tr>
      <w:tr>
        <w:trPr>
          <w:trHeight w:val="248"/>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5"/>
              </w:rPr>
              <w:t>(553)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midstream segment decreased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decrease of $224 million in non-fee-based margin due to lower natural gas prices of $157 million and lower NGL prices of $68 million; and</w:t>
      </w:r>
    </w:p>
    <w:p>
      <w:pPr>
        <w:spacing w:after="0" w:line="12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$19 million in operating expenses due to a $9 million increase in employee costs, a $7 million increase in maintenance, repairs and projects, including trucking and compression needs coupled with pricing increases, and a $6 million increase in ad valorem taxes due to growth and acquisitions; partially offset by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of $5 million in selling, general and administrative expenses primarily due to lower insurance costs.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September 30, 2023 compared to the same period last year, Segment Adjusted EBITDA related to our midstream segment decreased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$691 million in non-fee-based margin due to lower natural gas prices of $420 million and lower NGL prices of $271 million;</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$122 million in operating expenses due to a $44 million increase in services and material, including repairs, compliance and pricing, a $29 million increase in employee costs, a $17 million increase from the acquisition of Woodford Express and our new plants coming online, a $13 million increase from trucking and rental pricing and usage, a $10 million increase in ad valorem taxes and a $6 million increase in environmental reserves;</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increase of $12 million in selling, general and administrative expenses primarily due to higher corporate allocations and legal expenses;</w:t>
      </w:r>
    </w:p>
    <w:p>
      <w:pPr>
        <w:spacing w:after="0" w:line="128"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$6 million in Adjusted EBITDA related to unconsolidated affiliates due to the sale of the Partnership’s membership interest in Ranch Westex JV LLC in 2022;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$34 million in other items primarily due to the realization in the prior period of certain amounts related to a shipper bankruptcy;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$14 million in non-fee-based margin due to increased processed volumes in the Permian and South Texas regions;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$124 million in fee-based margin due to the Woodford Express acquisition in September 2022, as well as increased producer activity across all regions.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3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Refined products transportation volumes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(MBbls/d)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NGL and refined products terminal volumes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(MBbls/d)</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30"/>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w:t>
            </w:r>
          </w:p>
        </w:tc>
      </w:tr>
      <w:tr>
        <w:trPr>
          <w:trHeight w:val="22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9"/>
              </w:rPr>
              <w:t>Unrealized (gains) losses on commodity risk</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management 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non-cash</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7"/>
              </w:rPr>
              <w:t>Selling, general and administrative expenses,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w w:val="97"/>
              </w:rPr>
              <w:t>excluding non-cash compensation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EBITDA related to unconsolidated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0"/>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three and nine months ended September 30, 2023 compared to the same periods last year, NGL transportation and terminal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higher volumes from the Permian region, on our Mariner East pipeline system and on our export pipelines into our Nederland Terminal.</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transportation volumes and the commissioning of our eighth fractionator in August 2023 also led to higher fractionated volumes at our Mont Belvieu, Texas fractionation facility for the three and nine months ended September 30, 2023 compared to the same periods last year.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Margin. </w:t>
      </w:r>
      <w:r>
        <w:rPr>
          <w:rFonts w:ascii="Arial" w:cs="Arial" w:eastAsia="Arial" w:hAnsi="Arial"/>
          <w:sz w:val="18"/>
          <w:szCs w:val="18"/>
          <w:color w:val="auto"/>
        </w:rPr>
        <w:t>The components of our NGL and refined products transportation and services segment margin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3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margin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Fractionators and refinery services margin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Terminal services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Storage margin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9"/>
              </w:rPr>
              <w:t>Unrealized gains (losses) on commodity risk</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management activities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48"/>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NGL and refined products transportation and services segment increased due to the net impacts of the following:</w:t>
      </w:r>
    </w:p>
    <w:p>
      <w:pPr>
        <w:spacing w:after="0" w:line="62" w:lineRule="exact"/>
        <w:rPr>
          <w:sz w:val="20"/>
          <w:szCs w:val="20"/>
          <w:color w:val="auto"/>
        </w:rPr>
      </w:pPr>
    </w:p>
    <w:p>
      <w:pPr>
        <w:jc w:val="both"/>
        <w:ind w:left="340" w:hanging="332"/>
        <w:spacing w:after="0" w:line="311"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increase of $233 million in marketing margin (excluding unrealized gains and losses on commodity risk management activities) primarily due to gains during the 2023 period from the optimization of hedged NGL and refined product inventories as compared to losses from this activity during the 2022 period. Marketing margin also benefited from intrasegment charges of $7 million which are fully offset within our transportation margin;</w:t>
      </w:r>
    </w:p>
    <w:p>
      <w:pPr>
        <w:spacing w:after="0" w:line="40" w:lineRule="exact"/>
        <w:rPr>
          <w:rFonts w:ascii="Arial" w:cs="Arial" w:eastAsia="Arial" w:hAnsi="Arial"/>
          <w:sz w:val="16"/>
          <w:szCs w:val="16"/>
          <w:color w:val="auto"/>
        </w:rPr>
      </w:pPr>
    </w:p>
    <w:p>
      <w:pPr>
        <w:jc w:val="both"/>
        <w:ind w:left="340" w:hanging="332"/>
        <w:spacing w:after="0" w:line="255"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$86 million in transportation margin primarily due to a $41 million increase resulting from higher y-grade throughput and contractual rate escalations on our Texas pipeline system, a $26 million increase resulting from higher throughput on our Mariner East pipeline system, a $15 million increase from higher exported volumes feeding into our Nederland Terminal, a $13 million increase from higher throughput and contractual rate escalations on our refined product pipelines and a $2 million increase from higher throughput on our Mariner West pipeline. These increases were partially offset by intrasegment charges of $7 million and $6 million which are fully offset within our marketing and fractionation margins, respectively;</w:t>
      </w:r>
    </w:p>
    <w:p>
      <w:pPr>
        <w:spacing w:after="0" w:line="84"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$56 million in terminal services margin primarily due to a $34 million increase from our Marcus Hook Terminal due to contractual rate escalations and higher throughput, an $18 million increase from higher export volumes loaded at our Nederland Terminal and a $3 million increase due to increased tank leases at our Eagle Point terminal;</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of $30 million in operating expenses primarily due to a decrease in gas and power utility costs;</w:t>
      </w:r>
    </w:p>
    <w:p>
      <w:pPr>
        <w:spacing w:after="0" w:line="117" w:lineRule="exact"/>
        <w:rPr>
          <w:rFonts w:ascii="Arial" w:cs="Arial" w:eastAsia="Arial" w:hAnsi="Arial"/>
          <w:sz w:val="18"/>
          <w:szCs w:val="18"/>
          <w:color w:val="auto"/>
        </w:rPr>
      </w:pPr>
    </w:p>
    <w:p>
      <w:pPr>
        <w:jc w:val="both"/>
        <w:ind w:left="340" w:right="20" w:hanging="332"/>
        <w:spacing w:after="0" w:line="26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$24 million in fractionators and refinery services margin due to a $17 million increase resulting from higher volumes, a $6 million intrasegment charge which is fully offset in our transportation margin and a $2 million increase from a more favorable pricing environment impacting our refinery services business;</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$7 million in Adjusted EBITDA related to unconsolidated affiliates primarily due to higher volumes from certain joint venture pipelines;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$6 million in storage margin primarily due to a $10 million increase in fees generated from exported volumes. This increase was partially offset by a $3 million decrease from the timing of cavern withdrawals.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nine months ended September 30, 2023 compared to the same period last year, Segment Adjusted EBITDA related to our NGL and refined products transportation and services segment increased due to the net impacts of the following:</w:t>
      </w:r>
    </w:p>
    <w:p>
      <w:pPr>
        <w:spacing w:after="0" w:line="62" w:lineRule="exact"/>
        <w:rPr>
          <w:sz w:val="20"/>
          <w:szCs w:val="20"/>
          <w:color w:val="auto"/>
        </w:rPr>
      </w:pPr>
    </w:p>
    <w:p>
      <w:pPr>
        <w:jc w:val="both"/>
        <w:ind w:left="340" w:hanging="332"/>
        <w:spacing w:after="0" w:line="259"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$293 million in marketing margin (excluding unrealized gains and losses on commodity risk management activities) primarily due to higher gains during the 2023 period from the optimization of hedged NGL and refined product inventories, as compared to losses from this activity during the 2022 period. Marketing margin also benefited from intrasegment charges of $19 million which are fully offset within our transportation margin;</w:t>
      </w:r>
    </w:p>
    <w:p>
      <w:pPr>
        <w:spacing w:after="0" w:line="78"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$226 million in transportation margin primarily due to a $117 million increase resulting from higher y-grade throughput and contractual rate escalations on our Texas pipeline system, a $71 million increase resulting from higher throughput on our Mariner East pipeline system, a $33 million increase from higher exported volumes feeding into our Nederland Terminal, a $15 million increase from higher throughput and contractual rate escalations on our refined product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pipelines, a $13 million increase from the timing of third-party deficiency payments on our Northeast region pipelines and a $9 million increase from higher throughput on our Mariner West pipeline. These increases were partially offset by intrasegment charges of $19 million and $12 million which are fully offset within our marketing and fractionation margins, respectively;</w:t>
      </w:r>
    </w:p>
    <w:p>
      <w:pPr>
        <w:spacing w:after="0" w:line="76" w:lineRule="exact"/>
        <w:rPr>
          <w:sz w:val="20"/>
          <w:szCs w:val="20"/>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$143 million in terminal services margin primarily due to an $89 million increase from our Marcus Hook Terminal due to contractual rate escalations and higher throughput, a $48 million increase from higher export volumes loaded at our Nederland Terminal and a $6 million increase primarily from higher throughput from our refined product marketing terminals;</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$41 million in operating expenses primarily due to $70 million in savings from lower electricity prices, partially offset by a $15 million increase in employee costs and a $9 million increase in materials cost and contract and maintenance labor;</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$21 million in storage margin primarily due to fees generated from exported volumes;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increase of $21 million in Adjusted EBITDA related to unconsolidated affiliates due to higher volumes on certain joint venture pipelines; and</w:t>
      </w:r>
    </w:p>
    <w:p>
      <w:pPr>
        <w:spacing w:after="0" w:line="12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$20 million in fractionators and refinery services margin primarily due to a $19 million increase resulting from higher volumes and a $12 million intrasegment charge which is fully offset in our transportation margin. These increases were partially offset by an $11 million decrease from a less favorable pricing environment impacting our refinery services business; partially offset by</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$10 million in selling, general and administrative expenses primarily due to a $7 million increase in overhead expenses and a $3 million increase in insurance costs.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3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Crude terminal volumes (MBbls/d)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23"/>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176"/>
        </w:trPr>
        <w:tc>
          <w:tcPr>
            <w:tcW w:w="3660" w:type="dxa"/>
            <w:vAlign w:val="bottom"/>
          </w:tcPr>
          <w:p>
            <w:pPr>
              <w:ind w:left="20"/>
              <w:spacing w:after="0" w:line="176" w:lineRule="exact"/>
              <w:rPr>
                <w:sz w:val="20"/>
                <w:szCs w:val="20"/>
                <w:color w:val="auto"/>
              </w:rPr>
            </w:pPr>
            <w:r>
              <w:rPr>
                <w:rFonts w:ascii="Arial" w:cs="Arial" w:eastAsia="Arial" w:hAnsi="Arial"/>
                <w:sz w:val="18"/>
                <w:szCs w:val="18"/>
                <w:color w:val="auto"/>
              </w:rPr>
              <w:t>Unrealized (gains) losses on commodity risk</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management 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non-cash</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175"/>
        </w:trPr>
        <w:tc>
          <w:tcPr>
            <w:tcW w:w="3660" w:type="dxa"/>
            <w:vAlign w:val="bottom"/>
          </w:tcPr>
          <w:p>
            <w:pPr>
              <w:ind w:left="20"/>
              <w:spacing w:after="0" w:line="176" w:lineRule="exact"/>
              <w:rPr>
                <w:sz w:val="20"/>
                <w:szCs w:val="20"/>
                <w:color w:val="auto"/>
              </w:rPr>
            </w:pPr>
            <w:r>
              <w:rPr>
                <w:rFonts w:ascii="Arial" w:cs="Arial" w:eastAsia="Arial" w:hAnsi="Arial"/>
                <w:sz w:val="18"/>
                <w:szCs w:val="18"/>
                <w:color w:val="auto"/>
                <w:w w:val="99"/>
              </w:rPr>
              <w:t>Selling, general and administrative expenses,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excluding non-cash compensation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176"/>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EBITDA related to unconsolidated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three and nine months ended September 30, 2023 compared to the same periods last year, crude transportation volumes were higher on</w:t>
      </w:r>
      <w:r>
        <w:rPr>
          <w:rFonts w:ascii="Arial" w:cs="Arial" w:eastAsia="Arial" w:hAnsi="Arial"/>
          <w:sz w:val="18"/>
          <w:szCs w:val="18"/>
          <w:i w:val="1"/>
          <w:iCs w:val="1"/>
          <w:color w:val="auto"/>
        </w:rPr>
        <w:t xml:space="preserve"> </w:t>
      </w:r>
      <w:r>
        <w:rPr>
          <w:rFonts w:ascii="Arial" w:cs="Arial" w:eastAsia="Arial" w:hAnsi="Arial"/>
          <w:sz w:val="18"/>
          <w:szCs w:val="18"/>
          <w:color w:val="auto"/>
        </w:rPr>
        <w:t>our Texas pipeline system due to higher Permian crude oil production, higher gathered volumes and contributions from assets acquired in 2023. Volumes on our Bakken Pipeline were also higher, driven by continuing crude oil production growth in the Bakken. Volumes on our Bayou Bridge Pipeline were higher for the nine months ended September 30, 2023, while relatively consistent for the three months ended September 30, 2023, due to continuing strong Gulf Coast refinery demand. Crude terminal volumes were higher due to growth in Permian and Bakken volumes, stronger Gulf Coast refinery utilization and contributions from assets acquired in 2023.</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crude oil transportation and services segment increased primarily due to the net impacts of the following:</w:t>
      </w:r>
    </w:p>
    <w:p>
      <w:pPr>
        <w:spacing w:after="0" w:line="62" w:lineRule="exact"/>
        <w:rPr>
          <w:sz w:val="20"/>
          <w:szCs w:val="20"/>
          <w:color w:val="auto"/>
        </w:rPr>
      </w:pPr>
    </w:p>
    <w:p>
      <w:pPr>
        <w:jc w:val="both"/>
        <w:ind w:left="340" w:hanging="332"/>
        <w:spacing w:after="0" w:line="275" w:lineRule="auto"/>
        <w:tabs>
          <w:tab w:leader="none" w:pos="3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$120 million in segment margin (excluding unrealized gains and losses on commodity risk management activities) primarily due to an $81 million increase from recently acquired assets, a $36 million increase from higher volumes on our Bakken Pipeline and a $33 million increase from higher volumes on our Texas crude pipeline system, partially offset by a $20 million decrease at our Gulf Coast terminals due to timing of oil gain sales in the prior period as well as a $9 million decrease from our crude oil acquisition and marketing business primarily due to lower refined product sales margins and higher affiliate fees paid due to higher volumes transported;</w:t>
      </w:r>
    </w:p>
    <w:p>
      <w:pPr>
        <w:spacing w:after="0" w:line="68" w:lineRule="exact"/>
        <w:rPr>
          <w:rFonts w:ascii="Arial" w:cs="Arial" w:eastAsia="Arial" w:hAnsi="Arial"/>
          <w:sz w:val="17"/>
          <w:szCs w:val="17"/>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decrease of $126 million in selling, general and administrative expenses primarily due to a charge related to a legal matter in the prior period; and</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$5 million in Adjusted EBITDA related to unconsolidated affiliates due to assets acquired; partially offset by</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$7 million in operating expenses primarily due to a $21 million increase from assets acquired, partially offset by a $9 million decrease in ad valorem taxes.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September 30, 2023 compared to the same period last year, Segment Adjusted EBITDA related to our crude oil transportation and services segment increased primarily due to the net impacts of the following:</w:t>
      </w:r>
    </w:p>
    <w:p>
      <w:pPr>
        <w:spacing w:after="0" w:line="62" w:lineRule="exact"/>
        <w:rPr>
          <w:sz w:val="20"/>
          <w:szCs w:val="20"/>
          <w:color w:val="auto"/>
        </w:rPr>
      </w:pPr>
    </w:p>
    <w:p>
      <w:pPr>
        <w:jc w:val="both"/>
        <w:ind w:left="340" w:hanging="332"/>
        <w:spacing w:after="0" w:line="279" w:lineRule="auto"/>
        <w:tabs>
          <w:tab w:leader="none" w:pos="3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$199 million in segment margin (excluding unrealized gains and losses on commodity risk management activities) primarily due to a $131 million increase from recently acquired assets, an $85 million increase from higher volumes on our Bakken Pipeline and a $65 million increase from higher volumes on our Texas crude pipeline system, partially offset by a $100 million decrease from our crude oil acquisition and marketing business due primarily to lower refined product sales margins and higher affiliate fees paid due to higher volumes transported;</w:t>
      </w:r>
    </w:p>
    <w:p>
      <w:pPr>
        <w:spacing w:after="0" w:line="63"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decrease of $122 million in selling, general and administrative expenses primarily due to a charge related to a legal matter in the prior period; and</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$9 million in Adjusted EBITDA related to unconsolidated affiliates due to assets acquired; partially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$41 million in operating expenses primarily due to a $37 million increase from assets acquired.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7"/>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3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r>
      <w:tr>
        <w:trPr>
          <w:trHeight w:val="223"/>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Unrealized (gains) losses on commodity risk</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management 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75"/>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non-cash</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w w:val="97"/>
              </w:rPr>
              <w:t>Selling, general and administrative expenses,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w w:val="97"/>
              </w:rPr>
              <w:t>excluding non-cash compensation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75"/>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EBITDA related to unconsolidated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58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in Sunoco LP segment decreased primarily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in the profit on motor fuel sales of $22 million primarily due to a 7% decrease in profit per gallon sold, partially offset by an increase in gallons sold; and</w:t>
      </w:r>
    </w:p>
    <w:p>
      <w:pPr>
        <w:spacing w:after="0" w:line="62"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in operating costs of $11 million, including other operating expense, general and administrative expense and lease expense, primarily due to higher costs as a result of acquisitions of refined product terminals and the transmix processing and terminal facility; partially offset by</w:t>
      </w:r>
    </w:p>
    <w:p>
      <w:pPr>
        <w:spacing w:after="0" w:line="15"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non-motor fuel sales and lease profit of $12 million primarily due to increased throughput and storage margin from recent acquisitions and increased rental income.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September 30, 2023 compared to the same period last year, Segment Adjusted EBITDA related to our investment in Sunoco LP segment increased primarily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the gross profit on motor fuel sales of $42 million primarily due to a 6.9% increase in gallons sold;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non-motor fuel sales and lease profit of $24 million primarily due to increased throughput and storage margin from recent acquisitions and increased rental income;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operating costs of $22 million, including other operating expense, general and administrative expense and lease expense, primarily due to higher costs as a result of acquisitions of refined product terminals and the transmix processing and terminal facility.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USAC</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5"/>
        </w:trPr>
        <w:tc>
          <w:tcPr>
            <w:tcW w:w="3560" w:type="dxa"/>
            <w:vAlign w:val="bottom"/>
          </w:tcPr>
          <w:p>
            <w:pPr>
              <w:spacing w:after="0"/>
              <w:rPr>
                <w:sz w:val="24"/>
                <w:szCs w:val="24"/>
                <w:color w:val="auto"/>
              </w:rPr>
            </w:pPr>
          </w:p>
        </w:tc>
        <w:tc>
          <w:tcPr>
            <w:tcW w:w="210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6"/>
        </w:trPr>
        <w:tc>
          <w:tcPr>
            <w:tcW w:w="3560" w:type="dxa"/>
            <w:vAlign w:val="bottom"/>
          </w:tcPr>
          <w:p>
            <w:pPr>
              <w:spacing w:after="0"/>
              <w:rPr>
                <w:sz w:val="20"/>
                <w:szCs w:val="20"/>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color w:val="auto"/>
              </w:rPr>
              <w:t>September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35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176"/>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non-cash</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Selling, general and administrative expenses,</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excluding non-cash compensation expense</w:t>
            </w:r>
          </w:p>
        </w:tc>
        <w:tc>
          <w:tcPr>
            <w:tcW w:w="8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USAC.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in USAC segment increased primarily due to the net impacts of the following:</w:t>
      </w:r>
    </w:p>
    <w:p>
      <w:pPr>
        <w:spacing w:after="0" w:line="62" w:lineRule="exact"/>
        <w:rPr>
          <w:sz w:val="20"/>
          <w:szCs w:val="20"/>
          <w:color w:val="auto"/>
        </w:rPr>
      </w:pPr>
    </w:p>
    <w:p>
      <w:pPr>
        <w:jc w:val="both"/>
        <w:ind w:left="340" w:hanging="332"/>
        <w:spacing w:after="0" w:line="263"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$31 million in segment margin primarily due to higher revenue-generating horsepower as a result of increased demand for compression services, higher market-based rates on newly deployed and redeployed compression units and higher average rates on existing customer contracts; partially offset by</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$8 million in operating expenses primarily due to higher employee costs associated with increased revenue-generating horsepower as well as higher parts and service costs.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nine months ended September 30, 2023 compared to the same period last year, Segment Adjusted EBITDA related to our investment in USAC segment increased primarily due to the net impacts of the following:</w:t>
      </w:r>
    </w:p>
    <w:p>
      <w:pPr>
        <w:spacing w:after="0" w:line="62" w:lineRule="exact"/>
        <w:rPr>
          <w:sz w:val="20"/>
          <w:szCs w:val="20"/>
          <w:color w:val="auto"/>
        </w:rPr>
      </w:pPr>
    </w:p>
    <w:p>
      <w:pPr>
        <w:jc w:val="both"/>
        <w:ind w:left="340" w:hanging="332"/>
        <w:spacing w:after="0" w:line="263"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$81 million in segment margin primarily due to higher revenue-generating horsepower as a result of increased demand for compression services, higher market-based rates on newly deployed and redeployed compression units and higher average rates on existing customer contracts; partially offset by</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$17 million in operating expenses primarily due to higher employee costs associated with increased revenue-generating horsepower as well as higher parts and service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35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952"/>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rPr>
              <w:t>All Other</w:t>
            </w: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6"/>
        </w:trPr>
        <w:tc>
          <w:tcPr>
            <w:tcW w:w="1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0" w:type="dxa"/>
            <w:vAlign w:val="bottom"/>
            <w:gridSpan w:val="4"/>
          </w:tcPr>
          <w:p>
            <w:pPr>
              <w:jc w:val="right"/>
              <w:ind w:right="150"/>
              <w:spacing w:after="0"/>
              <w:rPr>
                <w:sz w:val="20"/>
                <w:szCs w:val="20"/>
                <w:color w:val="auto"/>
              </w:rPr>
            </w:pPr>
            <w:r>
              <w:rPr>
                <w:rFonts w:ascii="Arial" w:cs="Arial" w:eastAsia="Arial" w:hAnsi="Arial"/>
                <w:sz w:val="18"/>
                <w:szCs w:val="18"/>
                <w:color w:val="auto"/>
              </w:rPr>
              <w:t>September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1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444</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30"/>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products sold</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r>
      <w:tr>
        <w:trPr>
          <w:trHeight w:val="223"/>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176"/>
        </w:trPr>
        <w:tc>
          <w:tcPr>
            <w:tcW w:w="35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Unrealized (gains) losses on commodity risk</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management activities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76"/>
        </w:trPr>
        <w:tc>
          <w:tcPr>
            <w:tcW w:w="3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non-cash</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175"/>
        </w:trPr>
        <w:tc>
          <w:tcPr>
            <w:tcW w:w="35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Selling, general and administrative expenses,</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w w:val="97"/>
              </w:rPr>
              <w:t>excluding non-cash compensation expense</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75"/>
        </w:trPr>
        <w:tc>
          <w:tcPr>
            <w:tcW w:w="3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EBITDA related to unconsolidated</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and eliminations</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3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primarily include:</w:t>
      </w:r>
    </w:p>
    <w:p>
      <w:pPr>
        <w:spacing w:after="0" w:line="117"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investment in coal handling facilities;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Canadian operations, until those assets were divested in August 2022.</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2023 compared to the same period last year, Segment Adjusted EBITDA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all other segment decreased primarily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$11 million due to the sale of Energy Transfer Canada in 2022;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$10 million due to less favorable power trading market conditions;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$7 million from our dual drive compression business due to lower gas prices and increased competition; partially offset by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of $5 million due to higher margin from sales in our compressor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September 30, 2023 compared to the same period last year, Segment Adjusted EBITDA related to our all other segment decreased primarily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of $80 million due to the sale of Energy Transfer Canada in 2022;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of $19 million from our dual drive compression business due to lower gas prices and increased competition;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of $16 million due to less favorable power trading market conditions due to lower volatility; partially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$20 million due to higher margin from sales in our compressor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satisfy obligations and pay distributions to unitholders will depend on our future performance, which will be subject to prevailing economic, financial, business and weather conditions, and other factors, many of which are beyond management’s control.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expect capital expenditures in 2023 to be within the following ranges (including only our proportionate share for joint ventures and excluding capital expenditures related to our investments in Sunoco LP and USAC):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Growth</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Maintenance</w:t>
            </w:r>
          </w:p>
        </w:tc>
        <w:tc>
          <w:tcPr>
            <w:tcW w:w="96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High</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Intrastate transportation and storage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Interstate transportation and storage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NGL and refined products transportation and services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transportation and services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(including eliminations)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expenditures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expects its growth capital expenditures will be between $2 billion and $3 billion per year in future periods.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have included these factors in our anticipated growth capital expenditures for each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generally fund capital expenditures and distributions with cash flows from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Sunoco LP currently expects to spend approximately $65 million in maintenance capital and at least $150 million in growth capital for the full year 2023.</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USAC currently plans to spend approximately $26 million in maintenance capital expenditures and spend between $270 million and $280 million in expansion capital expenditures for the full year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flows may change in the future due to a number of factors, some of which we cannot control. These include regulatory changes, the price for our products and services, the demand for such products and services, margin requirements resulting from significant changes in commodity prices, operational risks, the successful integration of our acquisitions and other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cash flows from operating activities between periods primarily result from changes in earnings (as discussed in “Results of Operations”),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we have a significant amount of interstate pipeline construction in progress. Changes in operating assets and liabilities between periods result from factors such as the changes in the value of price risk management assets and liabilities, the timing of accounts receivable collection, the timing of payments on accounts payable, the timing of purchase and sales of inventories and the timing of advances and deposits received from customers.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Nine months ended September 30, 2023 compared to nine months ended September 30, 2022</w:t>
      </w:r>
      <w:r>
        <w:rPr>
          <w:rFonts w:ascii="Arial" w:cs="Arial" w:eastAsia="Arial" w:hAnsi="Arial"/>
          <w:sz w:val="17"/>
          <w:szCs w:val="17"/>
          <w:color w:val="auto"/>
        </w:rPr>
        <w:t>. Cash provided by operating activities during 2023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$8.26 billion compared to $7.71 billion for 2022, and net income was $3.73 billion for 2023 and $4.43 billion for 2022. The difference between net income and net cash provided by operating activities for the nine months ended September 30, 2023 primarily consisted of net changes in operating assets and liabilities (net of effects of acquisitions and divestitures) of $1.18 billion and non-cash items totaling $3.11 billion.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non-cash activity in 2023 and 2022 consisted primarily of depreciation, depletion and amortization of $3.23 billion and $3.10 billion, respectively, non-cash compensation expense of $99 million and $88 million, respectively, favorable inventory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valuation adjustments of $113 million and $81 million, respectively, deferred income taxes of $187 million and $158 million, respectively, and impairment losses and other of $12 million and $386 million, respectively. Net income also included equity in earnings of unconsolidated affiliates of $286 million and $186 million in 2023 and 2022,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operating activities includes cash distributions received from unconsolidated affiliates that are deemed to be paid from cumulative earnings, which distributions were $286 million in 2023 and $182 million in 2022.</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Cash paid for interest, net of interest capitalized, was $1.54 billion and $1.48 billion for the nine months ended September 30,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capitalized was $53 million and $84 million for the nine months ended September 30, 2023 and 2022,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from investing activities primarily consist of cash amounts paid for acquisitions, capital expenditures, cash contributions to our joint ventures and cash proceeds from sales or contributions of assets or businesses. In addition, distributions from equity investees are included in cash flows from investing activities if the distributions are deemed to be a return of the Partnership’s investment. Changes in capital expenditures between periods primarily result from increases or decreases in our growth capital expenditures to fund our construction and expansion projects.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Nine months ended September 30, 2023 compared to nine months ended September 30, 2022. </w:t>
      </w:r>
      <w:r>
        <w:rPr>
          <w:rFonts w:ascii="Arial" w:cs="Arial" w:eastAsia="Arial" w:hAnsi="Arial"/>
          <w:sz w:val="18"/>
          <w:szCs w:val="18"/>
          <w:color w:val="auto"/>
        </w:rPr>
        <w:t>Cash used in investing activities during 2023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$3.36 billion compared to $3.08 billion for 2022. Total capital expenditures (excluding the allowance for equity funds used during construction and net of contributions in aid of construction costs) for 2023 were $2.39 billion compared to $2.44 billion for 2022. Additional detail related to our capital expenditures is provided in the following table.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2023, we paid $930 million in cash for the Lotus Midstream acquisition and Sunoco LP paid $111 million in cash for the acquisition of 16 refined product terminals from Zenith Energy. In 2022, we paid $485 million in cash for the acquisition of Woodford Express, LLC, we paid $325 million in cash for the acquisition of Caliche Coastal Holdings, LLC (subsequently renamed Energy Transfer Spindletop LLC) and Sunoco LP paid $252 million in cash related to its acquisition of a transmix processing and terminal facility. In 2022, we received $302 million in cash from the sale of our interest in Energy Transfer Canada.</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capital expenditures (including only our proportionate share for joint ventures, net of contributions in aid of construction costs) on an accrual basis for the nine months ended September 30,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color w:val="auto"/>
                <w:w w:val="91"/>
              </w:rPr>
              <w:t>Capital Expenditures Recorded During Period</w:t>
            </w:r>
          </w:p>
        </w:tc>
      </w:tr>
      <w:tr>
        <w:trPr>
          <w:trHeight w:val="223"/>
        </w:trPr>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Growth</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Maintenance</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Intrastate transportation and storage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Investment in Sunoco LP</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cash flows from financing activities between periods primarily result from changes in the levels of borrowings and equity issuances, which are primarily used to fund our acquisitions and growth capital expenditures. Distributions increase between the periods based on increases in the number of common units outstanding or increases in the distribution rate.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Nine months ended September 30, 2023 compared to nine months ended September 30, 2022. </w:t>
      </w:r>
      <w:r>
        <w:rPr>
          <w:rFonts w:ascii="Arial" w:cs="Arial" w:eastAsia="Arial" w:hAnsi="Arial"/>
          <w:sz w:val="18"/>
          <w:szCs w:val="18"/>
          <w:color w:val="auto"/>
        </w:rPr>
        <w:t>Cash used in financing activities during 2023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$4.64 billion compared to $4.65 billion for 2022. During 2023, we had a net decrease in our debt level of $183 million compared to a net decrease of $1.71 billion for 2022. In 2023 and 2022, we paid debt issuance costs of $12 million and $9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2023 and 2022, we paid distributions of $3.12 billion and $2.12 billion, respectively, to our partners. In 2023 and 2022, we paid distributions of $1.29 billion and $1.18 billion, respectively, to noncontrolling interests. In 2023 and 2022, we paid distributions of $37 million in both periods to our redeemable noncontrolling interests.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2023 and 2022, we received capital contributions of $3 million and $404 million, respectively, in cash from noncontrolling interests.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Description of Indebtedness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99"/>
        </w:trPr>
        <w:tc>
          <w:tcPr>
            <w:tcW w:w="8240" w:type="dxa"/>
            <w:vAlign w:val="bottom"/>
            <w:gridSpan w:val="2"/>
          </w:tcPr>
          <w:p>
            <w:pPr>
              <w:spacing w:after="0"/>
              <w:rPr>
                <w:sz w:val="20"/>
                <w:szCs w:val="20"/>
                <w:color w:val="auto"/>
              </w:rPr>
            </w:pPr>
            <w:r>
              <w:rPr>
                <w:rFonts w:ascii="Arial" w:cs="Arial" w:eastAsia="Arial" w:hAnsi="Arial"/>
                <w:sz w:val="18"/>
                <w:szCs w:val="18"/>
                <w:color w:val="auto"/>
              </w:rPr>
              <w:t>Our outstanding consolidated indebtedness was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4"/>
        </w:trPr>
        <w:tc>
          <w:tcPr>
            <w:tcW w:w="2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r>
      <w:tr>
        <w:trPr>
          <w:trHeight w:val="236"/>
        </w:trPr>
        <w:tc>
          <w:tcPr>
            <w:tcW w:w="2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16"/>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Energy Transfer Indebtedness: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Notes and Debentures</w:t>
            </w:r>
            <w:r>
              <w:rPr>
                <w:rFonts w:ascii="Arial" w:cs="Arial" w:eastAsia="Arial" w:hAnsi="Arial"/>
                <w:sz w:val="23"/>
                <w:szCs w:val="23"/>
                <w:color w:val="auto"/>
                <w:vertAlign w:val="superscript"/>
              </w:rPr>
              <w:t>(1)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39,468</w:t>
            </w:r>
          </w:p>
        </w:tc>
      </w:tr>
      <w:tr>
        <w:trPr>
          <w:trHeight w:val="229"/>
        </w:trPr>
        <w:tc>
          <w:tcPr>
            <w:tcW w:w="8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Five-Year Credit Facility</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Subsidiary Indebtedness: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Transwestern Senior Notes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Bakken Project Senior Notes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29"/>
        </w:trPr>
        <w:tc>
          <w:tcPr>
            <w:tcW w:w="8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Sunoco LP Senior Notes and lease-related obligations</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2,694</w:t>
            </w:r>
          </w:p>
        </w:tc>
      </w:tr>
      <w:tr>
        <w:trPr>
          <w:trHeight w:val="229"/>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USAC Senior Notes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30"/>
        </w:trPr>
        <w:tc>
          <w:tcPr>
            <w:tcW w:w="8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HFOTCO Tax Exempt Bonds</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8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Sunoco LP Credit Facility</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USAC Credit Facility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57"/>
        </w:trPr>
        <w:tc>
          <w:tcPr>
            <w:tcW w:w="8240" w:type="dxa"/>
            <w:vAlign w:val="bottom"/>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unamortized premiums, discounts, and fair value adjustments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debt issuance costs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48,262</w:t>
            </w:r>
          </w:p>
        </w:tc>
      </w:tr>
      <w:tr>
        <w:trPr>
          <w:trHeight w:val="230"/>
        </w:trPr>
        <w:tc>
          <w:tcPr>
            <w:tcW w:w="8240" w:type="dxa"/>
            <w:vAlign w:val="bottom"/>
            <w:tcBorders>
              <w:bottom w:val="single" w:sz="8" w:color="CCEEFF"/>
            </w:tcBorders>
            <w:gridSpan w:val="2"/>
          </w:tcPr>
          <w:p>
            <w:pPr>
              <w:ind w:left="360"/>
              <w:spacing w:after="0" w:line="230" w:lineRule="exact"/>
              <w:rPr>
                <w:sz w:val="20"/>
                <w:szCs w:val="20"/>
                <w:color w:val="auto"/>
              </w:rPr>
            </w:pPr>
            <w:r>
              <w:rPr>
                <w:rFonts w:ascii="Arial" w:cs="Arial" w:eastAsia="Arial" w:hAnsi="Arial"/>
                <w:sz w:val="18"/>
                <w:szCs w:val="18"/>
                <w:color w:val="auto"/>
              </w:rPr>
              <w:t>Less: current maturities of long-term debt</w:t>
            </w:r>
            <w:r>
              <w:rPr>
                <w:rFonts w:ascii="Arial" w:cs="Arial" w:eastAsia="Arial" w:hAnsi="Arial"/>
                <w:sz w:val="23"/>
                <w:szCs w:val="23"/>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2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48,260</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hanging="332"/>
        <w:spacing w:after="0" w:line="238" w:lineRule="auto"/>
        <w:tabs>
          <w:tab w:leader="none" w:pos="328"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As of September 30, 2023, this balance included a total of $4.31 billion aggregate principal amount of senior notes due on or before September 30, 2024, which were classified as long-term as management has the intent and ability to refinance the borrowings on a long-term basis.</w:t>
      </w:r>
    </w:p>
    <w:p>
      <w:pPr>
        <w:spacing w:after="0" w:line="61"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See additional information below under “Recent Transactions.”</w:t>
      </w:r>
    </w:p>
    <w:p>
      <w:pPr>
        <w:spacing w:after="0" w:line="93"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As of September 30, 2023, current maturities of long-term debt reflected on the Partnership’s consolidated balance sheet includes $1.00 billion of senior notes issued by the Bakken Pipeline entities which mature in April 2024. The Partnership’s proportional ownership in the Bakken Pipeline entities is 36.4%.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2023, the Partnership redeemed $600 million aggregate principal amount of its 4.50% Senior Notes due November 1, 2023 using proceeds from the senior notes offering discussed in the following paragraph.</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2023, the Partnership issued $1.00 billion aggregate principal amount of 6.05% Senior Notes due 2026, $500 million aggregate principal amount of 6.10% Senior Notes due 2028, $1.00 billion aggregate principal amount of 6.40% Senior Notes due 2030 and $1.50 billion aggregate principal amount of 6.55% Senior Notes due 2033. The Partnership intends to use the net proceeds to refinance existing indebtedness, including borrowings under its Five-Year Credit Facility (defined below) and for general partnership purposes.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2023, the Partnership redeemed $500 million aggregate principal amount of its 4.20% Senior Notes due September 2023 using proceeds from its Five-Year Credit Facility.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2023, the Partnership redeemed $350 million aggregate principal amount of its 3.45% Senior Notes due January 2023, $800 million aggregate principal amount of its 3.60% Senior Notes due February 2023 and $1.00 billion aggregate principal amount of its 4.25% Senior Notes due March 2023 using proceeds from its Five-Year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HFOTCO Debt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2023, the Partnership refinanced all of the $225 million outstanding principal amount of HFOTCO tax-exempt bonds with new 10-year tax-exempt bonds. The new bonds, which were issued through the Harris County Industrial Development Corporation and are obligations of Energy Transfer, accrue interest at a fixed rate of 4.05% and are mandatorily redeemable in 2033. Upon redemption, these tax-exempt bonds may be remarketed on different terms through final maturity of November 1, 2050.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Senior Notes Offering</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September 2023, Sunoco LP issued $500 million aggregate principal amount of 7.00% senior notes due 2028 in a private placement to eligible purchasers. The net proceeds from this offering were used to repay a portion of Sunoco LP’s existing borrowings under its credit facility.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and 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Five-Year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Partnership’s revolving credit facility (the “Five-Year Credit Facility”) allows for unsecured borrowings up to $5.00 billion and matures in April 2027. The Five-Year Credit Facility contains an accordion feature, under which the total aggregate commitment may be increased up to $7.00 billion under certain conditions.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 Five-Year Credit Facility had $2.85 billion of outstanding borrowings, of which $1,547 million consisted of commercial paper. The amount available for future borrowings was $2.12 billion, after accounting for outstanding letters of credit in the amount of $32 million. The weighted average interest rate on the total amount outstanding as of September 30, 2023 was 6.29%.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Sunoco LP’s credit facility had $647 million of outstanding borrowings and $6 million in standby letters of credit and matures in April 2027. The amount available for future borrowings at September 30, 2023 was $847 million. The weighted average interest rate on the total amount outstanding as of September 30, 2023 was 7.34%.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USAC’s credit facility, which matures in December 2026, had $813 million of outstanding borrowings and no outstanding letters of credit. As of September 30, 2023, USAC had $787 million of availability under its credit facility, and subject to compliance with applicable financial covenants, available borrowing capacity of $434 million. The weighted average interest rate on the total amount outstanding as of September 30, 2023 was 7.99%.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September 30,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Energy Transfer</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its Partnership Agreement, Energy Transfer will distribute all of its Available Cash, as defined in the Partnership Agreement, within 50 days following the end of each fiscal quarter. Available Cash generally means, with respect to any quarter, all cash on hand at the end of such quarter less the amount of cash reserves that are necessary or appropriate in the reasonable discretion of our General Partner to provide for future cash requirements.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Energy Transfer Common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and/or paid with respect to Energy Transfer common units subsequent to December 31, 2022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ind w:left="840"/>
              <w:spacing w:after="0"/>
              <w:rPr>
                <w:sz w:val="20"/>
                <w:szCs w:val="20"/>
                <w:color w:val="auto"/>
              </w:rPr>
            </w:pPr>
            <w:r>
              <w:rPr>
                <w:rFonts w:ascii="Arial" w:cs="Arial" w:eastAsia="Arial" w:hAnsi="Arial"/>
                <w:sz w:val="18"/>
                <w:szCs w:val="18"/>
                <w:color w:val="auto"/>
              </w:rPr>
              <w:t>Quarter Ended</w:t>
            </w:r>
          </w:p>
        </w:tc>
        <w:tc>
          <w:tcPr>
            <w:tcW w:w="2840" w:type="dxa"/>
            <w:vAlign w:val="bottom"/>
            <w:gridSpan w:val="2"/>
          </w:tcPr>
          <w:p>
            <w:pPr>
              <w:ind w:left="900"/>
              <w:spacing w:after="0"/>
              <w:rPr>
                <w:sz w:val="20"/>
                <w:szCs w:val="20"/>
                <w:color w:val="auto"/>
              </w:rPr>
            </w:pPr>
            <w:r>
              <w:rPr>
                <w:rFonts w:ascii="Arial" w:cs="Arial" w:eastAsia="Arial" w:hAnsi="Arial"/>
                <w:sz w:val="18"/>
                <w:szCs w:val="18"/>
                <w:color w:val="auto"/>
              </w:rPr>
              <w:t>Record Date</w:t>
            </w:r>
          </w:p>
        </w:tc>
        <w:tc>
          <w:tcPr>
            <w:tcW w:w="2820" w:type="dxa"/>
            <w:vAlign w:val="bottom"/>
            <w:gridSpan w:val="2"/>
          </w:tcPr>
          <w:p>
            <w:pPr>
              <w:ind w:left="840"/>
              <w:spacing w:after="0"/>
              <w:rPr>
                <w:sz w:val="20"/>
                <w:szCs w:val="20"/>
                <w:color w:val="auto"/>
              </w:rPr>
            </w:pPr>
            <w:r>
              <w:rPr>
                <w:rFonts w:ascii="Arial" w:cs="Arial" w:eastAsia="Arial" w:hAnsi="Arial"/>
                <w:sz w:val="18"/>
                <w:szCs w:val="18"/>
                <w:color w:val="auto"/>
              </w:rPr>
              <w:t>Payment Date</w:t>
            </w:r>
          </w:p>
        </w:tc>
        <w:tc>
          <w:tcPr>
            <w:tcW w:w="660" w:type="dxa"/>
            <w:vAlign w:val="bottom"/>
          </w:tcPr>
          <w:p>
            <w:pPr>
              <w:spacing w:after="0"/>
              <w:rPr>
                <w:sz w:val="20"/>
                <w:szCs w:val="20"/>
                <w:color w:val="auto"/>
              </w:rPr>
            </w:pPr>
          </w:p>
        </w:tc>
        <w:tc>
          <w:tcPr>
            <w:tcW w:w="2080" w:type="dxa"/>
            <w:vAlign w:val="bottom"/>
          </w:tcPr>
          <w:p>
            <w:pPr>
              <w:jc w:val="right"/>
              <w:ind w:right="1110"/>
              <w:spacing w:after="0"/>
              <w:rPr>
                <w:sz w:val="20"/>
                <w:szCs w:val="20"/>
                <w:color w:val="auto"/>
              </w:rPr>
            </w:pPr>
            <w:r>
              <w:rPr>
                <w:rFonts w:ascii="Arial" w:cs="Arial" w:eastAsia="Arial" w:hAnsi="Arial"/>
                <w:sz w:val="18"/>
                <w:szCs w:val="18"/>
                <w:color w:val="auto"/>
              </w:rPr>
              <w:t>Rate</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7, 2023</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21, 2023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8, 2023</w:t>
            </w:r>
          </w:p>
        </w:tc>
        <w:tc>
          <w:tcPr>
            <w:tcW w:w="2820" w:type="dxa"/>
            <w:vAlign w:val="bottom"/>
            <w:gridSpan w:val="2"/>
          </w:tcPr>
          <w:p>
            <w:pPr>
              <w:spacing w:after="0"/>
              <w:rPr>
                <w:sz w:val="20"/>
                <w:szCs w:val="20"/>
                <w:color w:val="auto"/>
              </w:rPr>
            </w:pPr>
            <w:r>
              <w:rPr>
                <w:rFonts w:ascii="Arial" w:cs="Arial" w:eastAsia="Arial" w:hAnsi="Arial"/>
                <w:sz w:val="18"/>
                <w:szCs w:val="18"/>
                <w:color w:val="auto"/>
              </w:rPr>
              <w:t>May 22, 2023</w:t>
            </w:r>
          </w:p>
        </w:tc>
        <w:tc>
          <w:tcPr>
            <w:tcW w:w="6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0.3075</w:t>
            </w: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14, 2023</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21, 2023</w:t>
            </w: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0.3100</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October 30, 2023</w:t>
            </w:r>
          </w:p>
        </w:tc>
        <w:tc>
          <w:tcPr>
            <w:tcW w:w="2820" w:type="dxa"/>
            <w:vAlign w:val="bottom"/>
            <w:gridSpan w:val="2"/>
          </w:tcPr>
          <w:p>
            <w:pPr>
              <w:spacing w:after="0"/>
              <w:rPr>
                <w:sz w:val="20"/>
                <w:szCs w:val="20"/>
                <w:color w:val="auto"/>
              </w:rPr>
            </w:pPr>
            <w:r>
              <w:rPr>
                <w:rFonts w:ascii="Arial" w:cs="Arial" w:eastAsia="Arial" w:hAnsi="Arial"/>
                <w:sz w:val="18"/>
                <w:szCs w:val="18"/>
                <w:color w:val="auto"/>
              </w:rPr>
              <w:t>November 20, 2023</w:t>
            </w:r>
          </w:p>
        </w:tc>
        <w:tc>
          <w:tcPr>
            <w:tcW w:w="6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0.3125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Energy Transfer Preferred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on the Energy Transfer Preferred Units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0"/>
              </w:rPr>
              <w:t>Period Ended</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5"/>
              </w:rPr>
              <w:t>Record Date</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0"/>
              </w:rPr>
              <w:t>Payment Date</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5"/>
              </w:rPr>
              <w:t>Series A</w:t>
            </w:r>
            <w:r>
              <w:rPr>
                <w:rFonts w:ascii="Arial" w:cs="Arial" w:eastAsia="Arial" w:hAnsi="Arial"/>
                <w:sz w:val="21"/>
                <w:szCs w:val="21"/>
                <w:color w:val="auto"/>
                <w:w w:val="85"/>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5"/>
              </w:rPr>
              <w:t>Series B</w:t>
            </w:r>
            <w:r>
              <w:rPr>
                <w:rFonts w:ascii="Arial" w:cs="Arial" w:eastAsia="Arial" w:hAnsi="Arial"/>
                <w:sz w:val="21"/>
                <w:szCs w:val="21"/>
                <w:color w:val="auto"/>
                <w:w w:val="85"/>
                <w:vertAlign w:val="superscript"/>
              </w:rPr>
              <w:t>(2)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4"/>
              </w:rPr>
              <w:t>Series C</w:t>
            </w:r>
            <w:r>
              <w:rPr>
                <w:rFonts w:ascii="Arial" w:cs="Arial" w:eastAsia="Arial" w:hAnsi="Arial"/>
                <w:sz w:val="21"/>
                <w:szCs w:val="21"/>
                <w:color w:val="auto"/>
                <w:w w:val="84"/>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4"/>
              </w:rPr>
              <w:t>Series D</w:t>
            </w:r>
            <w:r>
              <w:rPr>
                <w:rFonts w:ascii="Arial" w:cs="Arial" w:eastAsia="Arial" w:hAnsi="Arial"/>
                <w:sz w:val="21"/>
                <w:szCs w:val="21"/>
                <w:color w:val="auto"/>
                <w:w w:val="84"/>
                <w:vertAlign w:val="superscript"/>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Series 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3"/>
              </w:rPr>
              <w:t>Series F</w:t>
            </w:r>
            <w:r>
              <w:rPr>
                <w:rFonts w:ascii="Arial" w:cs="Arial" w:eastAsia="Arial" w:hAnsi="Arial"/>
                <w:sz w:val="21"/>
                <w:szCs w:val="21"/>
                <w:color w:val="auto"/>
                <w:w w:val="83"/>
                <w:vertAlign w:val="superscript"/>
              </w:rPr>
              <w:t>(2)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5"/>
              </w:rPr>
              <w:t>Series G</w:t>
            </w:r>
            <w:r>
              <w:rPr>
                <w:rFonts w:ascii="Arial" w:cs="Arial" w:eastAsia="Arial" w:hAnsi="Arial"/>
                <w:sz w:val="21"/>
                <w:szCs w:val="21"/>
                <w:color w:val="auto"/>
                <w:w w:val="85"/>
                <w:vertAlign w:val="superscript"/>
              </w:rPr>
              <w:t>(2)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4"/>
              </w:rPr>
              <w:t>Series H</w:t>
            </w:r>
            <w:r>
              <w:rPr>
                <w:rFonts w:ascii="Arial" w:cs="Arial" w:eastAsia="Arial" w:hAnsi="Arial"/>
                <w:sz w:val="21"/>
                <w:szCs w:val="21"/>
                <w:color w:val="auto"/>
                <w:w w:val="84"/>
                <w:vertAlign w:val="superscript"/>
              </w:rPr>
              <w:t>(2)</w:t>
            </w:r>
          </w:p>
        </w:tc>
      </w:tr>
      <w:tr>
        <w:trPr>
          <w:trHeight w:val="159"/>
        </w:trPr>
        <w:tc>
          <w:tcPr>
            <w:tcW w:w="10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December</w:t>
            </w:r>
          </w:p>
        </w:tc>
        <w:tc>
          <w:tcPr>
            <w:tcW w:w="10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1,</w:t>
            </w:r>
          </w:p>
        </w:tc>
        <w:tc>
          <w:tcPr>
            <w:tcW w:w="10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15,</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31.250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33.125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0.4609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0.4766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0.475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ind w:left="540"/>
              <w:spacing w:after="0" w:line="159" w:lineRule="exact"/>
              <w:rPr>
                <w:sz w:val="20"/>
                <w:szCs w:val="20"/>
                <w:color w:val="auto"/>
              </w:rPr>
            </w:pPr>
            <w:r>
              <w:rPr>
                <w:rFonts w:ascii="Arial" w:cs="Arial" w:eastAsia="Arial" w:hAnsi="Arial"/>
                <w:sz w:val="16"/>
                <w:szCs w:val="16"/>
                <w:color w:val="auto"/>
              </w:rPr>
              <w:t>—   $</w:t>
            </w:r>
          </w:p>
        </w:tc>
        <w:tc>
          <w:tcPr>
            <w:tcW w:w="10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w:t>
            </w:r>
          </w:p>
        </w:tc>
      </w:tr>
      <w:tr>
        <w:trPr>
          <w:trHeight w:val="212"/>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66"/>
        </w:trPr>
        <w:tc>
          <w:tcPr>
            <w:tcW w:w="10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March 31,</w:t>
            </w:r>
          </w:p>
        </w:tc>
        <w:tc>
          <w:tcPr>
            <w:tcW w:w="10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May 1, 2023</w:t>
            </w:r>
          </w:p>
        </w:tc>
        <w:tc>
          <w:tcPr>
            <w:tcW w:w="10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May 15, 2023</w:t>
            </w: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21.982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0.4609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0.4766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6"/>
                <w:szCs w:val="16"/>
                <w:color w:val="auto"/>
              </w:rPr>
              <w:t>0.475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Arial" w:cs="Arial" w:eastAsia="Arial" w:hAnsi="Arial"/>
                <w:sz w:val="16"/>
                <w:szCs w:val="16"/>
                <w:color w:val="auto"/>
              </w:rPr>
              <w:t>33.750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35.625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32.500</w:t>
            </w: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9"/>
        </w:trPr>
        <w:tc>
          <w:tcPr>
            <w:tcW w:w="10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June 30,</w:t>
            </w:r>
          </w:p>
        </w:tc>
        <w:tc>
          <w:tcPr>
            <w:tcW w:w="10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August 1,</w:t>
            </w:r>
          </w:p>
        </w:tc>
        <w:tc>
          <w:tcPr>
            <w:tcW w:w="10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August 15,</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23.891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33.125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0.6294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0.4766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0.475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r>
      <w:tr>
        <w:trPr>
          <w:trHeight w:val="212"/>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66"/>
        </w:trPr>
        <w:tc>
          <w:tcPr>
            <w:tcW w:w="10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September</w:t>
            </w:r>
          </w:p>
        </w:tc>
        <w:tc>
          <w:tcPr>
            <w:tcW w:w="10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November 1,</w:t>
            </w:r>
          </w:p>
        </w:tc>
        <w:tc>
          <w:tcPr>
            <w:tcW w:w="10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November</w:t>
            </w: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24.672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0.6489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0.6622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6"/>
                <w:szCs w:val="16"/>
                <w:color w:val="auto"/>
              </w:rPr>
              <w:t>0.4750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Arial" w:cs="Arial" w:eastAsia="Arial" w:hAnsi="Arial"/>
                <w:sz w:val="16"/>
                <w:szCs w:val="16"/>
                <w:color w:val="auto"/>
              </w:rPr>
              <w:t>33.75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35.625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32.50</w:t>
            </w:r>
          </w:p>
        </w:tc>
      </w:tr>
      <w:tr>
        <w:trPr>
          <w:trHeight w:val="206"/>
        </w:trPr>
        <w:tc>
          <w:tcPr>
            <w:tcW w:w="920" w:type="dxa"/>
            <w:vAlign w:val="bottom"/>
          </w:tcPr>
          <w:p>
            <w:pPr>
              <w:ind w:left="20"/>
              <w:spacing w:after="0"/>
              <w:rPr>
                <w:sz w:val="20"/>
                <w:szCs w:val="20"/>
                <w:color w:val="auto"/>
              </w:rPr>
            </w:pPr>
            <w:r>
              <w:rPr>
                <w:rFonts w:ascii="Arial" w:cs="Arial" w:eastAsia="Arial" w:hAnsi="Arial"/>
                <w:sz w:val="16"/>
                <w:szCs w:val="16"/>
                <w:color w:val="auto"/>
              </w:rPr>
              <w:t>30, 2023</w:t>
            </w: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auto"/>
              </w:rPr>
              <w:t>15, 2023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14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See additional information on Series A, Series C and Series D distributions below.</w:t>
      </w:r>
    </w:p>
    <w:p>
      <w:pPr>
        <w:spacing w:after="0" w:line="82" w:lineRule="exact"/>
        <w:rPr>
          <w:rFonts w:ascii="Arial" w:cs="Arial" w:eastAsia="Arial" w:hAnsi="Arial"/>
          <w:sz w:val="23"/>
          <w:szCs w:val="23"/>
          <w:color w:val="auto"/>
          <w:vertAlign w:val="superscript"/>
        </w:rPr>
      </w:pPr>
    </w:p>
    <w:p>
      <w:pPr>
        <w:ind w:left="320" w:hanging="312"/>
        <w:spacing w:after="0" w:line="219" w:lineRule="auto"/>
        <w:tabs>
          <w:tab w:leader="none" w:pos="32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Series B, Series F, Series G and Series H distributions are paid on a semi-annual basis.</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February 15, 2023, distributions on the Series A Preferred Units accrued at a fixed rate of 6.250% per annum of the liquidation preference of $1,000. Beginning February 15, 2023 to, but excluding, August 15, 2023, the Series A Preferred Units accrued a floating distribution rate set each quarterly distribution period at a percentage of the $1,000 liquidation preference equal to the then-current three-month LIBOR plus a spread of 4.028% per annum. Beginning August 15, 2023, the floating distribution rate on the Series A Preferred Units is based on three-month SOFR, plus a tenor spread adjustment of 0.26161%, plus 4.028% per annum. Distributions on Series A Preferred Units were previously payable semiannually in arrears until February 15, 2023, and, after February 15, 2023, quarterly in arrears, when, as, and if declared by our General Partner out of legally available funds for such purpose.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May 15, 2023, distributions on the Series C Preferred Units accrued at a fixed rate of 7.375% per annum of the liquidation preference of $25. Beginning May 15, 2023 to, but excluding, August 15, 2023, the Series C Preferred Units accrued a floating distribution rate set each quarterly distribution period at a percentage of the $25 liquidation preference equal to the then-current three-month LIBOR plus a spread of 4.530% per annum. On and after August 15, 2023, the floating distribution rate on the Series C Preferred Units is based on the three-month SOFR, plus a tenor spread adjustment of 0.26161%, plus 4.530% per annum.</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August 15, 2023, distributions on the Series D Preferred Units accrued at a fixed rate of 7.625% per annum of the liquidation preference of $25. On and after August 15, 2023, the Series D Preferred Units accrue a floating distribution rate set each quarterly distribution period at a percentage of the $25 liquidation preference equal to the three-month SOFR, plus a tenor spread adjustment of 0.26161%, plus 4.738% per annum.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the Series B Preferred Units and Series E Preferred Units are scheduled to begin accruing at a floating rate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Beginning of floating rate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period</w:t>
            </w:r>
          </w:p>
        </w:tc>
        <w:tc>
          <w:tcPr>
            <w:tcW w:w="2320" w:type="dxa"/>
            <w:vAlign w:val="bottom"/>
            <w:gridSpan w:val="2"/>
          </w:tcPr>
          <w:p>
            <w:pPr>
              <w:ind w:left="440"/>
              <w:spacing w:after="0"/>
              <w:rPr>
                <w:sz w:val="20"/>
                <w:szCs w:val="20"/>
                <w:color w:val="auto"/>
              </w:rPr>
            </w:pPr>
            <w:r>
              <w:rPr>
                <w:rFonts w:ascii="Arial" w:cs="Arial" w:eastAsia="Arial" w:hAnsi="Arial"/>
                <w:sz w:val="18"/>
                <w:szCs w:val="18"/>
                <w:color w:val="auto"/>
              </w:rPr>
              <w:t>Applicable Spread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Tenor spread adjustment</w:t>
            </w:r>
          </w:p>
        </w:tc>
        <w:tc>
          <w:tcPr>
            <w:tcW w:w="2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Floating rate</w:t>
            </w:r>
          </w:p>
        </w:tc>
      </w:tr>
      <w:tr>
        <w:trPr>
          <w:trHeight w:val="223"/>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B Preferred Units</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15, 2028</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0.26161 %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Three-month SOFR</w:t>
            </w:r>
          </w:p>
        </w:tc>
        <w:tc>
          <w:tcPr>
            <w:tcW w:w="20" w:type="dxa"/>
            <w:vAlign w:val="bottom"/>
          </w:tcPr>
          <w:p>
            <w:pPr>
              <w:spacing w:after="0"/>
              <w:rPr>
                <w:sz w:val="19"/>
                <w:szCs w:val="19"/>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Series E Preferred Units</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May 15, 2024</w:t>
            </w:r>
          </w:p>
        </w:tc>
        <w:tc>
          <w:tcPr>
            <w:tcW w:w="2220" w:type="dxa"/>
            <w:vAlign w:val="bottom"/>
          </w:tcPr>
          <w:p>
            <w:pPr>
              <w:jc w:val="right"/>
              <w:spacing w:after="0"/>
              <w:rPr>
                <w:sz w:val="20"/>
                <w:szCs w:val="20"/>
                <w:color w:val="auto"/>
              </w:rPr>
            </w:pPr>
            <w:r>
              <w:rPr>
                <w:rFonts w:ascii="Arial" w:cs="Arial" w:eastAsia="Arial" w:hAnsi="Arial"/>
                <w:sz w:val="18"/>
                <w:szCs w:val="18"/>
                <w:color w:val="auto"/>
              </w:rPr>
              <w:t>5.161 %</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0.26161 %</w:t>
            </w:r>
          </w:p>
        </w:tc>
        <w:tc>
          <w:tcPr>
            <w:tcW w:w="1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Three-month SOFR</w:t>
            </w:r>
          </w:p>
        </w:tc>
        <w:tc>
          <w:tcPr>
            <w:tcW w:w="20" w:type="dxa"/>
            <w:vAlign w:val="bottom"/>
          </w:tcPr>
          <w:p>
            <w:pPr>
              <w:spacing w:after="0"/>
              <w:rPr>
                <w:sz w:val="20"/>
                <w:szCs w:val="20"/>
                <w:color w:val="auto"/>
              </w:rPr>
            </w:pPr>
          </w:p>
        </w:tc>
      </w:tr>
      <w:tr>
        <w:trPr>
          <w:trHeight w:val="863"/>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jc w:val="right"/>
              <w:ind w:right="9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Energy Transfer Preferred Units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distribution and redemption rights associated with the Energy Transfer Preferred Units is included in Note 9 in “Item 1.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Subsidiaries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Partnership’s consolidated financial statements include Sunoco LP and USAC, both of which are master limited partnerships, as well as other non-wholly-owned consolidated joint ventures. The following sections describe cash distributions made by our publicly traded subsidiaries, Sunoco LP and USAC, both of which are required by their respective partnership agreements to distribute all cash on hand (less appropriate reserves determined by the boards of directors of their respective general partners) subsequent to the end of each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Paid by Sunoco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Sunoco LP’s common units declared and/or paid by Sunoco LP subsequent to December 31, 2022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ind w:left="840"/>
              <w:spacing w:after="0"/>
              <w:rPr>
                <w:sz w:val="20"/>
                <w:szCs w:val="20"/>
                <w:color w:val="auto"/>
              </w:rPr>
            </w:pPr>
            <w:r>
              <w:rPr>
                <w:rFonts w:ascii="Arial" w:cs="Arial" w:eastAsia="Arial" w:hAnsi="Arial"/>
                <w:sz w:val="18"/>
                <w:szCs w:val="18"/>
                <w:color w:val="auto"/>
              </w:rPr>
              <w:t>Quarter Ended</w:t>
            </w:r>
          </w:p>
        </w:tc>
        <w:tc>
          <w:tcPr>
            <w:tcW w:w="2840" w:type="dxa"/>
            <w:vAlign w:val="bottom"/>
            <w:gridSpan w:val="2"/>
          </w:tcPr>
          <w:p>
            <w:pPr>
              <w:ind w:left="900"/>
              <w:spacing w:after="0"/>
              <w:rPr>
                <w:sz w:val="20"/>
                <w:szCs w:val="20"/>
                <w:color w:val="auto"/>
              </w:rPr>
            </w:pPr>
            <w:r>
              <w:rPr>
                <w:rFonts w:ascii="Arial" w:cs="Arial" w:eastAsia="Arial" w:hAnsi="Arial"/>
                <w:sz w:val="18"/>
                <w:szCs w:val="18"/>
                <w:color w:val="auto"/>
              </w:rPr>
              <w:t>Record Date</w:t>
            </w:r>
          </w:p>
        </w:tc>
        <w:tc>
          <w:tcPr>
            <w:tcW w:w="2820" w:type="dxa"/>
            <w:vAlign w:val="bottom"/>
            <w:gridSpan w:val="2"/>
          </w:tcPr>
          <w:p>
            <w:pPr>
              <w:ind w:left="840"/>
              <w:spacing w:after="0"/>
              <w:rPr>
                <w:sz w:val="20"/>
                <w:szCs w:val="20"/>
                <w:color w:val="auto"/>
              </w:rPr>
            </w:pPr>
            <w:r>
              <w:rPr>
                <w:rFonts w:ascii="Arial" w:cs="Arial" w:eastAsia="Arial" w:hAnsi="Arial"/>
                <w:sz w:val="18"/>
                <w:szCs w:val="18"/>
                <w:color w:val="auto"/>
              </w:rPr>
              <w:t>Payment Date</w:t>
            </w:r>
          </w:p>
        </w:tc>
        <w:tc>
          <w:tcPr>
            <w:tcW w:w="660" w:type="dxa"/>
            <w:vAlign w:val="bottom"/>
          </w:tcPr>
          <w:p>
            <w:pPr>
              <w:spacing w:after="0"/>
              <w:rPr>
                <w:sz w:val="20"/>
                <w:szCs w:val="20"/>
                <w:color w:val="auto"/>
              </w:rPr>
            </w:pPr>
          </w:p>
        </w:tc>
        <w:tc>
          <w:tcPr>
            <w:tcW w:w="2080" w:type="dxa"/>
            <w:vAlign w:val="bottom"/>
          </w:tcPr>
          <w:p>
            <w:pPr>
              <w:jc w:val="right"/>
              <w:ind w:right="1110"/>
              <w:spacing w:after="0"/>
              <w:rPr>
                <w:sz w:val="20"/>
                <w:szCs w:val="20"/>
                <w:color w:val="auto"/>
              </w:rPr>
            </w:pPr>
            <w:r>
              <w:rPr>
                <w:rFonts w:ascii="Arial" w:cs="Arial" w:eastAsia="Arial" w:hAnsi="Arial"/>
                <w:sz w:val="18"/>
                <w:szCs w:val="18"/>
                <w:color w:val="auto"/>
              </w:rPr>
              <w:t>Rate</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7, 2023</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21, 2023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8, 2023</w:t>
            </w:r>
          </w:p>
        </w:tc>
        <w:tc>
          <w:tcPr>
            <w:tcW w:w="2820" w:type="dxa"/>
            <w:vAlign w:val="bottom"/>
            <w:gridSpan w:val="2"/>
          </w:tcPr>
          <w:p>
            <w:pPr>
              <w:spacing w:after="0"/>
              <w:rPr>
                <w:sz w:val="20"/>
                <w:szCs w:val="20"/>
                <w:color w:val="auto"/>
              </w:rPr>
            </w:pPr>
            <w:r>
              <w:rPr>
                <w:rFonts w:ascii="Arial" w:cs="Arial" w:eastAsia="Arial" w:hAnsi="Arial"/>
                <w:sz w:val="18"/>
                <w:szCs w:val="18"/>
                <w:color w:val="auto"/>
              </w:rPr>
              <w:t>May 22, 2023</w:t>
            </w:r>
          </w:p>
        </w:tc>
        <w:tc>
          <w:tcPr>
            <w:tcW w:w="6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0.8420</w:t>
            </w: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14, 2023</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21, 2023</w:t>
            </w: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0.8420</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October 30, 2023</w:t>
            </w:r>
          </w:p>
        </w:tc>
        <w:tc>
          <w:tcPr>
            <w:tcW w:w="2820" w:type="dxa"/>
            <w:vAlign w:val="bottom"/>
            <w:gridSpan w:val="2"/>
          </w:tcPr>
          <w:p>
            <w:pPr>
              <w:spacing w:after="0"/>
              <w:rPr>
                <w:sz w:val="20"/>
                <w:szCs w:val="20"/>
                <w:color w:val="auto"/>
              </w:rPr>
            </w:pPr>
            <w:r>
              <w:rPr>
                <w:rFonts w:ascii="Arial" w:cs="Arial" w:eastAsia="Arial" w:hAnsi="Arial"/>
                <w:sz w:val="18"/>
                <w:szCs w:val="18"/>
                <w:color w:val="auto"/>
              </w:rPr>
              <w:t>November 20, 2023</w:t>
            </w:r>
          </w:p>
        </w:tc>
        <w:tc>
          <w:tcPr>
            <w:tcW w:w="6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0.8420</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Paid by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USAC’s common units declared and/or paid by USAC subsequent to December 31, 2022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ind w:left="840"/>
              <w:spacing w:after="0"/>
              <w:rPr>
                <w:sz w:val="20"/>
                <w:szCs w:val="20"/>
                <w:color w:val="auto"/>
              </w:rPr>
            </w:pPr>
            <w:r>
              <w:rPr>
                <w:rFonts w:ascii="Arial" w:cs="Arial" w:eastAsia="Arial" w:hAnsi="Arial"/>
                <w:sz w:val="18"/>
                <w:szCs w:val="18"/>
                <w:color w:val="auto"/>
              </w:rPr>
              <w:t>Quarter Ended</w:t>
            </w:r>
          </w:p>
        </w:tc>
        <w:tc>
          <w:tcPr>
            <w:tcW w:w="2840" w:type="dxa"/>
            <w:vAlign w:val="bottom"/>
            <w:gridSpan w:val="2"/>
          </w:tcPr>
          <w:p>
            <w:pPr>
              <w:ind w:left="920"/>
              <w:spacing w:after="0"/>
              <w:rPr>
                <w:sz w:val="20"/>
                <w:szCs w:val="20"/>
                <w:color w:val="auto"/>
              </w:rPr>
            </w:pPr>
            <w:r>
              <w:rPr>
                <w:rFonts w:ascii="Arial" w:cs="Arial" w:eastAsia="Arial" w:hAnsi="Arial"/>
                <w:sz w:val="18"/>
                <w:szCs w:val="18"/>
                <w:color w:val="auto"/>
              </w:rPr>
              <w:t>Record Date</w:t>
            </w:r>
          </w:p>
        </w:tc>
        <w:tc>
          <w:tcPr>
            <w:tcW w:w="2820" w:type="dxa"/>
            <w:vAlign w:val="bottom"/>
            <w:gridSpan w:val="2"/>
          </w:tcPr>
          <w:p>
            <w:pPr>
              <w:ind w:left="840"/>
              <w:spacing w:after="0"/>
              <w:rPr>
                <w:sz w:val="20"/>
                <w:szCs w:val="20"/>
                <w:color w:val="auto"/>
              </w:rPr>
            </w:pPr>
            <w:r>
              <w:rPr>
                <w:rFonts w:ascii="Arial" w:cs="Arial" w:eastAsia="Arial" w:hAnsi="Arial"/>
                <w:sz w:val="18"/>
                <w:szCs w:val="18"/>
                <w:color w:val="auto"/>
              </w:rPr>
              <w:t>Payment Date</w:t>
            </w:r>
          </w:p>
        </w:tc>
        <w:tc>
          <w:tcPr>
            <w:tcW w:w="660" w:type="dxa"/>
            <w:vAlign w:val="bottom"/>
          </w:tcPr>
          <w:p>
            <w:pPr>
              <w:spacing w:after="0"/>
              <w:rPr>
                <w:sz w:val="20"/>
                <w:szCs w:val="20"/>
                <w:color w:val="auto"/>
              </w:rPr>
            </w:pPr>
          </w:p>
        </w:tc>
        <w:tc>
          <w:tcPr>
            <w:tcW w:w="2080" w:type="dxa"/>
            <w:vAlign w:val="bottom"/>
          </w:tcPr>
          <w:p>
            <w:pPr>
              <w:jc w:val="right"/>
              <w:ind w:right="1110"/>
              <w:spacing w:after="0"/>
              <w:rPr>
                <w:sz w:val="20"/>
                <w:szCs w:val="20"/>
                <w:color w:val="auto"/>
              </w:rPr>
            </w:pPr>
            <w:r>
              <w:rPr>
                <w:rFonts w:ascii="Arial" w:cs="Arial" w:eastAsia="Arial" w:hAnsi="Arial"/>
                <w:sz w:val="18"/>
                <w:szCs w:val="18"/>
                <w:color w:val="auto"/>
              </w:rPr>
              <w:t>Rate</w:t>
            </w: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23, 2023</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3, 2023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April 24, 2023</w:t>
            </w:r>
          </w:p>
        </w:tc>
        <w:tc>
          <w:tcPr>
            <w:tcW w:w="2820" w:type="dxa"/>
            <w:vAlign w:val="bottom"/>
            <w:gridSpan w:val="2"/>
          </w:tcPr>
          <w:p>
            <w:pPr>
              <w:spacing w:after="0"/>
              <w:rPr>
                <w:sz w:val="20"/>
                <w:szCs w:val="20"/>
                <w:color w:val="auto"/>
              </w:rPr>
            </w:pPr>
            <w:r>
              <w:rPr>
                <w:rFonts w:ascii="Arial" w:cs="Arial" w:eastAsia="Arial" w:hAnsi="Arial"/>
                <w:sz w:val="18"/>
                <w:szCs w:val="18"/>
                <w:color w:val="auto"/>
              </w:rPr>
              <w:t>May 5, 2023</w:t>
            </w:r>
          </w:p>
        </w:tc>
        <w:tc>
          <w:tcPr>
            <w:tcW w:w="6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24, 2023</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2023</w:t>
            </w: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October 23, 2023</w:t>
            </w:r>
          </w:p>
        </w:tc>
        <w:tc>
          <w:tcPr>
            <w:tcW w:w="2820" w:type="dxa"/>
            <w:vAlign w:val="bottom"/>
            <w:gridSpan w:val="2"/>
          </w:tcPr>
          <w:p>
            <w:pPr>
              <w:spacing w:after="0"/>
              <w:rPr>
                <w:sz w:val="20"/>
                <w:szCs w:val="20"/>
                <w:color w:val="auto"/>
              </w:rPr>
            </w:pPr>
            <w:r>
              <w:rPr>
                <w:rFonts w:ascii="Arial" w:cs="Arial" w:eastAsia="Arial" w:hAnsi="Arial"/>
                <w:sz w:val="18"/>
                <w:szCs w:val="18"/>
                <w:color w:val="auto"/>
              </w:rPr>
              <w:t>November 3, 2023</w:t>
            </w:r>
          </w:p>
        </w:tc>
        <w:tc>
          <w:tcPr>
            <w:tcW w:w="6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0.525</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Partnership’s critical accounting estimates are described in its Annual Report on Form 10-K filed with the SEC on February 17, 2023. We have not made any changes to the accounting policies involving critical accounting estimates subsequent to the Form 10-K filing. Changes to any of the related estimate amounts are discussed in the notes to consolidated financial statements included in “Item 1. Financial Statements” in this quarterly report on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quarterly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73"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color w:val="212529"/>
        </w:rPr>
      </w:pPr>
      <w:r>
        <w:rPr>
          <w:rFonts w:ascii="Arial" w:cs="Arial" w:eastAsia="Arial" w:hAnsi="Arial"/>
          <w:sz w:val="16"/>
          <w:szCs w:val="16"/>
          <w:color w:val="auto"/>
        </w:rPr>
        <w:t>the ability of our subsidiaries to make cash distributions to us, which is dependent on their results of operations, cash flows and financial condition;</w:t>
      </w:r>
    </w:p>
    <w:p>
      <w:pPr>
        <w:spacing w:after="0" w:line="140" w:lineRule="exact"/>
        <w:rPr>
          <w:rFonts w:ascii="Arial" w:cs="Arial" w:eastAsia="Arial" w:hAnsi="Arial"/>
          <w:sz w:val="16"/>
          <w:szCs w:val="16"/>
          <w:color w:val="212529"/>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actual amount of cash distributions by our subsidiaries to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volumes transported on our subsidiaries’ pipelines and gathering systems;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throughput in our subsidiaries’ processing and treating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fees our subsidiaries charge and the margins they realize for their gathering, treating, processing, storage and transportation services;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prices and market demand for, and the relationship between,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energy prices generally;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impacts of world health events;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possibility of cyber and malware attacks;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prices of natural gas and NGLs compared to the price of alternative and competing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general level of petroleum product demand and the availability and price of NGL supplies;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domestic oil, natural gas and NGL production;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imported oil,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actions taken by foreign oil and gas producing nations;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political and economic stability of petroleum producing nations;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of weather conditions on demand for oil,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availability of local, intrastate and interstate transportation systems;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continued ability to find and contract for new sources of natural gas supply;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availability and marketing of competitive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energy efficiencies and technological trends;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governmental regulation and taxation;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to, and the application of, regulation of tariff rates and operational requirements related to our subsidiaries’ interstate and intrastate pipelines;</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hazards or operating risks incidental to the gathering, treating, processing and transporting of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competition from other midstream companies and interstate pipeline companies;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key natural gas producers or the providers of fractionation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reductions in the capacity or allocations of third-party pipelines that connect with our subsidiaries pipelines and facilities;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effectiveness of risk-management policies and procedures and the ability of our subsidiaries liquids marketing counterparties to satisfy their financial commitments;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nonpayment or nonperformance by our subsidiaries’ customers;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related to the development of new infrastructure projects or other growth projects, including failure to make sufficient progress to justify continued development, delays in obtaining customers, increased costs of financing and regulatory, environmental, political and legal uncertainties that may affect the timing and cost of these projects;</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and cost of capital and our subsidiaries’ ability to access certain capital sources;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deterioration of the credit and capital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associated with the assets and operations of entities in which our subsidiaries own a noncontrolling interests, including risks related to management actions at such entities that our subsidiaries may not be able to control or exert influence;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successfully identify and consummate strategic acquisitions at purchase prices that are accretive to our financial results and to successfully integrate acquired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and regulations to which we are subject, including tax, environmental, transportation and employment regulations or new interpretations by regulatory agencies concerning such laws and regulations;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effects of legal and administrative proceedings;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risks associated with a potential failure to successfully combine our business with that of Crestwood.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You should not put undue reliance on any forward-looking statements. When considering forward-looking statements, please review the risks described under “Part I - Item 1A. Risk Factors” of our Annual Report on Form 10-K for the year ended December 31, 2022 filed with the SEC on February 17, 2023, “Part II — Item 1A. Risk Factors” of our Quarterly Report on Form 10-Q for the quarter ended June 30, 2023 filed with the SEC on August 3, 2023 and in this Quarterly Report on Form 10-Q. Any forward-looking statement made by us in this Quarterly Report on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contained in Item 3 updates, and should be read in conjunction with, information set forth in Part II - Item 7A included in the Partnership’s Annual Report on Form 10-K for the year ended December 31, 2022 filed with the SEC on February 17, 2023, in addition to the accompanying notes and management’s discussion and analysis of financial condition and results of operations presented in Items 1 and 2 of this Quarterly Report on Form 10-Q. Our quantitative and qualitative disclosures about market risk are consistent with those discussed in our Annual Report on Form 10-K for the year ended December 31, 2022. Since December 31, 2022, there have been no material changes to our primary market risk exposures or how those exposures are managed.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our commodity-related financial derivative instruments and fair values, including derivatives related to our consolidated subsidiaries, as well as the effect of an assumed hypothetical 10% change in the underlying price of the commodity. Dollar amounts are presented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color w:val="auto"/>
                <w:w w:val="88"/>
              </w:rPr>
              <w:t>September 30, 2023</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color w:val="auto"/>
                <w:w w:val="89"/>
              </w:rPr>
              <w:t>December 31, 2022</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240"/>
              <w:spacing w:after="0"/>
              <w:rPr>
                <w:sz w:val="20"/>
                <w:szCs w:val="20"/>
                <w:color w:val="auto"/>
              </w:rPr>
            </w:pPr>
            <w:r>
              <w:rPr>
                <w:rFonts w:ascii="Arial" w:cs="Arial" w:eastAsia="Arial" w:hAnsi="Arial"/>
                <w:sz w:val="16"/>
                <w:szCs w:val="16"/>
                <w:color w:val="auto"/>
                <w:w w:val="91"/>
              </w:rPr>
              <w:t>Fair Value Asset</w:t>
            </w:r>
          </w:p>
        </w:tc>
        <w:tc>
          <w:tcPr>
            <w:tcW w:w="1180" w:type="dxa"/>
            <w:vAlign w:val="bottom"/>
            <w:gridSpan w:val="2"/>
          </w:tcPr>
          <w:p>
            <w:pPr>
              <w:jc w:val="center"/>
              <w:ind w:right="260"/>
              <w:spacing w:after="0" w:line="159" w:lineRule="exact"/>
              <w:rPr>
                <w:sz w:val="20"/>
                <w:szCs w:val="20"/>
                <w:color w:val="auto"/>
              </w:rPr>
            </w:pPr>
            <w:r>
              <w:rPr>
                <w:rFonts w:ascii="Arial" w:cs="Arial" w:eastAsia="Arial" w:hAnsi="Arial"/>
                <w:sz w:val="16"/>
                <w:szCs w:val="16"/>
                <w:color w:val="auto"/>
                <w:w w:val="95"/>
              </w:rPr>
              <w:t>Effect of</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240"/>
              <w:spacing w:after="0"/>
              <w:rPr>
                <w:sz w:val="20"/>
                <w:szCs w:val="20"/>
                <w:color w:val="auto"/>
              </w:rPr>
            </w:pPr>
            <w:r>
              <w:rPr>
                <w:rFonts w:ascii="Arial" w:cs="Arial" w:eastAsia="Arial" w:hAnsi="Arial"/>
                <w:sz w:val="16"/>
                <w:szCs w:val="16"/>
                <w:color w:val="auto"/>
                <w:w w:val="91"/>
              </w:rPr>
              <w:t>Fair Value Asset</w:t>
            </w:r>
          </w:p>
        </w:tc>
        <w:tc>
          <w:tcPr>
            <w:tcW w:w="1060" w:type="dxa"/>
            <w:vAlign w:val="bottom"/>
          </w:tcPr>
          <w:p>
            <w:pPr>
              <w:jc w:val="right"/>
              <w:ind w:right="232"/>
              <w:spacing w:after="0" w:line="159" w:lineRule="exact"/>
              <w:rPr>
                <w:sz w:val="20"/>
                <w:szCs w:val="20"/>
                <w:color w:val="auto"/>
              </w:rPr>
            </w:pPr>
            <w:r>
              <w:rPr>
                <w:rFonts w:ascii="Arial" w:cs="Arial" w:eastAsia="Arial" w:hAnsi="Arial"/>
                <w:sz w:val="16"/>
                <w:szCs w:val="16"/>
                <w:color w:val="auto"/>
              </w:rPr>
              <w:t>Effect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w w:val="95"/>
              </w:rPr>
              <w:t>Notional Volume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5"/>
              </w:rPr>
              <w:t>Hypothetical</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w w:val="95"/>
              </w:rPr>
              <w:t>Notional Volume</w:t>
            </w:r>
          </w:p>
        </w:tc>
        <w:tc>
          <w:tcPr>
            <w:tcW w:w="10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060" w:type="dxa"/>
            <w:vAlign w:val="bottom"/>
          </w:tcPr>
          <w:p>
            <w:pPr>
              <w:jc w:val="right"/>
              <w:ind w:right="92"/>
              <w:spacing w:after="0" w:line="162" w:lineRule="exact"/>
              <w:rPr>
                <w:sz w:val="20"/>
                <w:szCs w:val="20"/>
                <w:color w:val="auto"/>
              </w:rPr>
            </w:pPr>
            <w:r>
              <w:rPr>
                <w:rFonts w:ascii="Arial" w:cs="Arial" w:eastAsia="Arial" w:hAnsi="Arial"/>
                <w:sz w:val="16"/>
                <w:szCs w:val="16"/>
                <w:color w:val="auto"/>
                <w:w w:val="97"/>
              </w:rPr>
              <w:t>Hypothetical</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6"/>
                <w:szCs w:val="16"/>
                <w:color w:val="auto"/>
              </w:rPr>
              <w:t>(Liability)</w:t>
            </w: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10% Change</w:t>
            </w: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6"/>
                <w:szCs w:val="16"/>
                <w:color w:val="auto"/>
              </w:rPr>
              <w:t>(Liability)</w:t>
            </w:r>
          </w:p>
        </w:tc>
        <w:tc>
          <w:tcPr>
            <w:tcW w:w="1060" w:type="dxa"/>
            <w:vAlign w:val="bottom"/>
          </w:tcPr>
          <w:p>
            <w:pPr>
              <w:jc w:val="right"/>
              <w:ind w:right="92"/>
              <w:spacing w:after="0"/>
              <w:rPr>
                <w:sz w:val="20"/>
                <w:szCs w:val="20"/>
                <w:color w:val="auto"/>
              </w:rPr>
            </w:pPr>
            <w:r>
              <w:rPr>
                <w:rFonts w:ascii="Arial" w:cs="Arial" w:eastAsia="Arial" w:hAnsi="Arial"/>
                <w:sz w:val="16"/>
                <w:szCs w:val="16"/>
                <w:color w:val="auto"/>
                <w:w w:val="92"/>
              </w:rPr>
              <w:t>10% Change</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Swaps/Futures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Basis Swaps IFERC/NYMEX </w:t>
            </w:r>
            <w:r>
              <w:rPr>
                <w:rFonts w:ascii="Arial" w:cs="Arial" w:eastAsia="Arial" w:hAnsi="Arial"/>
                <w:sz w:val="23"/>
                <w:szCs w:val="23"/>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(44,800)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Forwards</w:t>
            </w:r>
          </w:p>
        </w:tc>
        <w:tc>
          <w:tcPr>
            <w:tcW w:w="1160" w:type="dxa"/>
            <w:vAlign w:val="bottom"/>
          </w:tcPr>
          <w:p>
            <w:pPr>
              <w:jc w:val="right"/>
              <w:spacing w:after="0"/>
              <w:rPr>
                <w:sz w:val="20"/>
                <w:szCs w:val="20"/>
                <w:color w:val="auto"/>
              </w:rPr>
            </w:pPr>
            <w:r>
              <w:rPr>
                <w:rFonts w:ascii="Arial" w:cs="Arial" w:eastAsia="Arial" w:hAnsi="Arial"/>
                <w:sz w:val="18"/>
                <w:szCs w:val="18"/>
                <w:color w:val="auto"/>
              </w:rPr>
              <w:t>171,600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Options – Puts</w:t>
            </w:r>
          </w:p>
        </w:tc>
        <w:tc>
          <w:tcPr>
            <w:tcW w:w="1160" w:type="dxa"/>
            <w:vAlign w:val="bottom"/>
          </w:tcPr>
          <w:p>
            <w:pPr>
              <w:jc w:val="right"/>
              <w:spacing w:after="0"/>
              <w:rPr>
                <w:sz w:val="20"/>
                <w:szCs w:val="20"/>
                <w:color w:val="auto"/>
              </w:rPr>
            </w:pPr>
            <w:r>
              <w:rPr>
                <w:rFonts w:ascii="Arial" w:cs="Arial" w:eastAsia="Arial" w:hAnsi="Arial"/>
                <w:sz w:val="18"/>
                <w:szCs w:val="18"/>
                <w:color w:val="auto"/>
              </w:rPr>
              <w:t>68,800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Basis Swaps IFERC/NYMEX</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Swing Swaps IFERC</w:t>
            </w:r>
          </w:p>
        </w:tc>
        <w:tc>
          <w:tcPr>
            <w:tcW w:w="1160" w:type="dxa"/>
            <w:vAlign w:val="bottom"/>
          </w:tcPr>
          <w:p>
            <w:pPr>
              <w:jc w:val="right"/>
              <w:spacing w:after="0"/>
              <w:rPr>
                <w:sz w:val="20"/>
                <w:szCs w:val="20"/>
                <w:color w:val="auto"/>
              </w:rPr>
            </w:pPr>
            <w:r>
              <w:rPr>
                <w:rFonts w:ascii="Arial" w:cs="Arial" w:eastAsia="Arial" w:hAnsi="Arial"/>
                <w:sz w:val="18"/>
                <w:szCs w:val="18"/>
                <w:color w:val="auto"/>
              </w:rPr>
              <w:t>(72,220)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Swaps/Futures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Forward Physical Contracts</w:t>
            </w:r>
          </w:p>
        </w:tc>
        <w:tc>
          <w:tcPr>
            <w:tcW w:w="1160" w:type="dxa"/>
            <w:vAlign w:val="bottom"/>
          </w:tcPr>
          <w:p>
            <w:pPr>
              <w:jc w:val="right"/>
              <w:spacing w:after="0"/>
              <w:rPr>
                <w:sz w:val="20"/>
                <w:szCs w:val="20"/>
                <w:color w:val="auto"/>
              </w:rPr>
            </w:pPr>
            <w:r>
              <w:rPr>
                <w:rFonts w:ascii="Arial" w:cs="Arial" w:eastAsia="Arial" w:hAnsi="Arial"/>
                <w:sz w:val="18"/>
                <w:szCs w:val="18"/>
                <w:color w:val="auto"/>
              </w:rPr>
              <w:t>(2,145)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NGLs (MBbls) – Forwards/Swaps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Crude (MBbls) – Forwards/Swaps</w:t>
            </w:r>
          </w:p>
        </w:tc>
        <w:tc>
          <w:tcPr>
            <w:tcW w:w="1160" w:type="dxa"/>
            <w:vAlign w:val="bottom"/>
          </w:tcPr>
          <w:p>
            <w:pPr>
              <w:jc w:val="right"/>
              <w:spacing w:after="0"/>
              <w:rPr>
                <w:sz w:val="20"/>
                <w:szCs w:val="20"/>
                <w:color w:val="auto"/>
              </w:rPr>
            </w:pPr>
            <w:r>
              <w:rPr>
                <w:rFonts w:ascii="Arial" w:cs="Arial" w:eastAsia="Arial" w:hAnsi="Arial"/>
                <w:sz w:val="18"/>
                <w:szCs w:val="18"/>
                <w:color w:val="auto"/>
              </w:rPr>
              <w:t>(7,660)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(MBbls) – Futures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Basis Swaps IFERC/NYMEX</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Fixed Swaps/Futures</w:t>
            </w:r>
          </w:p>
        </w:tc>
        <w:tc>
          <w:tcPr>
            <w:tcW w:w="1160" w:type="dxa"/>
            <w:vAlign w:val="bottom"/>
          </w:tcPr>
          <w:p>
            <w:pPr>
              <w:jc w:val="right"/>
              <w:spacing w:after="0"/>
              <w:rPr>
                <w:sz w:val="20"/>
                <w:szCs w:val="20"/>
                <w:color w:val="auto"/>
              </w:rPr>
            </w:pPr>
            <w:r>
              <w:rPr>
                <w:rFonts w:ascii="Arial" w:cs="Arial" w:eastAsia="Arial" w:hAnsi="Arial"/>
                <w:sz w:val="18"/>
                <w:szCs w:val="18"/>
                <w:color w:val="auto"/>
              </w:rPr>
              <w:t>(43,745)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line="227" w:lineRule="auto"/>
        <w:tabs>
          <w:tab w:leader="none" w:pos="328"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 settles and the location to which the financial instrument is tied (i.e., basis swaps) and the relationship between prompt month and forward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we and our subsidiaries had $4.91 billion of floating rate debt outstanding. A hypothetical change of 100 basis points would result in a maximum potential change to interest expense of $49 million annually. However, our actual change in interest expense may be less in a given period due to interest rate floors included in our variable rate debt instruments. We manage a portion of our interest rate exposure by utilizing interest rate swaps, including forward-starting interest rate swaps to lock-in the rate on a portion of anticipated debt issuances.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interest rate swaps outstanding (including USAC’s), none of which are designated as hedges for accounting purposes (dollar amounts presented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Notional Amount Outstanding</w:t>
            </w: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360" w:type="dxa"/>
            <w:vAlign w:val="bottom"/>
            <w:gridSpan w:val="2"/>
            <w:vMerge w:val="restart"/>
          </w:tcPr>
          <w:p>
            <w:pPr>
              <w:ind w:left="20"/>
              <w:spacing w:after="0"/>
              <w:rPr>
                <w:sz w:val="20"/>
                <w:szCs w:val="20"/>
                <w:color w:val="auto"/>
              </w:rPr>
            </w:pPr>
            <w:r>
              <w:rPr>
                <w:rFonts w:ascii="Arial" w:cs="Arial" w:eastAsia="Arial" w:hAnsi="Arial"/>
                <w:sz w:val="18"/>
                <w:szCs w:val="18"/>
                <w:color w:val="auto"/>
              </w:rPr>
              <w:t>Type</w:t>
            </w:r>
            <w:r>
              <w:rPr>
                <w:rFonts w:ascii="Arial" w:cs="Arial" w:eastAsia="Arial" w:hAnsi="Arial"/>
                <w:sz w:val="23"/>
                <w:szCs w:val="23"/>
                <w:color w:val="auto"/>
                <w:vertAlign w:val="superscript"/>
              </w:rPr>
              <w:t>(1)</w:t>
            </w:r>
          </w:p>
        </w:tc>
        <w:tc>
          <w:tcPr>
            <w:tcW w:w="160" w:type="dxa"/>
            <w:vAlign w:val="bottom"/>
          </w:tcPr>
          <w:p>
            <w:pPr>
              <w:spacing w:after="0"/>
              <w:rPr>
                <w:sz w:val="14"/>
                <w:szCs w:val="14"/>
                <w:color w:val="auto"/>
              </w:rPr>
            </w:pPr>
          </w:p>
        </w:tc>
        <w:tc>
          <w:tcPr>
            <w:tcW w:w="1540" w:type="dxa"/>
            <w:vAlign w:val="bottom"/>
            <w:gridSpan w:val="3"/>
          </w:tcPr>
          <w:p>
            <w:pPr>
              <w:jc w:val="center"/>
              <w:ind w:right="420"/>
              <w:spacing w:after="0" w:line="169" w:lineRule="exact"/>
              <w:rPr>
                <w:sz w:val="20"/>
                <w:szCs w:val="20"/>
                <w:color w:val="auto"/>
              </w:rPr>
            </w:pPr>
            <w:r>
              <w:rPr>
                <w:rFonts w:ascii="Arial" w:cs="Arial" w:eastAsia="Arial" w:hAnsi="Arial"/>
                <w:sz w:val="18"/>
                <w:szCs w:val="18"/>
                <w:color w:val="auto"/>
                <w:w w:val="88"/>
              </w:rPr>
              <w:t>September 30,</w:t>
            </w:r>
          </w:p>
        </w:tc>
        <w:tc>
          <w:tcPr>
            <w:tcW w:w="128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3"/>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63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Energy Transfer:</w:t>
            </w:r>
          </w:p>
        </w:tc>
        <w:tc>
          <w:tcPr>
            <w:tcW w:w="120" w:type="dxa"/>
            <w:vAlign w:val="bottom"/>
            <w:tcBorders>
              <w:top w:val="single" w:sz="8" w:color="CCEEFF"/>
            </w:tcBorders>
            <w:shd w:val="clear" w:color="auto" w:fill="CCEEFF"/>
          </w:tcPr>
          <w:p>
            <w:pPr>
              <w:spacing w:after="0"/>
              <w:rPr>
                <w:sz w:val="19"/>
                <w:szCs w:val="19"/>
                <w:color w:val="auto"/>
              </w:rPr>
            </w:pPr>
          </w:p>
        </w:tc>
        <w:tc>
          <w:tcPr>
            <w:tcW w:w="6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July 2024</w:t>
            </w:r>
            <w:r>
              <w:rPr>
                <w:rFonts w:ascii="Arial" w:cs="Arial" w:eastAsia="Arial" w:hAnsi="Arial"/>
                <w:sz w:val="23"/>
                <w:szCs w:val="23"/>
                <w:color w:val="auto"/>
                <w:vertAlign w:val="superscript"/>
              </w:rPr>
              <w:t>(2)</w:t>
            </w:r>
          </w:p>
        </w:tc>
        <w:tc>
          <w:tcPr>
            <w:tcW w:w="6360" w:type="dxa"/>
            <w:vAlign w:val="bottom"/>
            <w:gridSpan w:val="2"/>
          </w:tcPr>
          <w:p>
            <w:pPr>
              <w:ind w:left="20"/>
              <w:spacing w:after="0"/>
              <w:rPr>
                <w:sz w:val="20"/>
                <w:szCs w:val="20"/>
                <w:color w:val="auto"/>
              </w:rPr>
            </w:pPr>
            <w:r>
              <w:rPr>
                <w:rFonts w:ascii="Arial" w:cs="Arial" w:eastAsia="Arial" w:hAnsi="Arial"/>
                <w:sz w:val="18"/>
                <w:szCs w:val="18"/>
                <w:color w:val="auto"/>
                <w:w w:val="96"/>
              </w:rPr>
              <w:t>Forward-starting to pay an average fixed rate of 3.388% and receive a floating rate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USAC:</w:t>
            </w:r>
          </w:p>
        </w:tc>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April 2025</w:t>
            </w:r>
            <w:r>
              <w:rPr>
                <w:rFonts w:ascii="Arial" w:cs="Arial" w:eastAsia="Arial" w:hAnsi="Arial"/>
                <w:sz w:val="23"/>
                <w:szCs w:val="23"/>
                <w:color w:val="auto"/>
                <w:vertAlign w:val="superscript"/>
              </w:rPr>
              <w:t>(3)</w:t>
            </w:r>
          </w:p>
        </w:tc>
        <w:tc>
          <w:tcPr>
            <w:tcW w:w="6360" w:type="dxa"/>
            <w:vAlign w:val="bottom"/>
            <w:gridSpan w:val="2"/>
          </w:tcPr>
          <w:p>
            <w:pPr>
              <w:ind w:left="20"/>
              <w:spacing w:after="0"/>
              <w:rPr>
                <w:sz w:val="20"/>
                <w:szCs w:val="20"/>
                <w:color w:val="auto"/>
              </w:rPr>
            </w:pPr>
            <w:r>
              <w:rPr>
                <w:rFonts w:ascii="Arial" w:cs="Arial" w:eastAsia="Arial" w:hAnsi="Arial"/>
                <w:sz w:val="18"/>
                <w:szCs w:val="18"/>
                <w:color w:val="auto"/>
              </w:rPr>
              <w:t>Pay a fixed rate of 3.785% and receive a floating rate (effective April 2023)</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SOFR.</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The July 2024 interest rate swaps were terminated and settled in August 2023.</w:t>
      </w:r>
    </w:p>
    <w:p>
      <w:pPr>
        <w:spacing w:after="0" w:line="94"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In October 2023, USAC modified its April 2025 interest rate swap. The termination date was extended from April 1, 2025 to December 31, 2025. Under the modified interest rate swap, USAC pays a fixed interest rate of 3.9725% and continues to receive floating interest rate payments that are indexed to the one-month SOFR.</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hypothetical change of 100 basis points in interest rates for USAC’s interest rate swap would result in a net change in the fair value of interest rate derivatives and earnings (recognized in gains and losses on interest rate derivatives) of $11 million as of September 30, 2023. For the forward-starting interest rate swaps, a hypothetical change of 100 basis points in interest rates would not affect cash flows until the swaps are settled.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Partnership also has outstanding Series A Preferred Units, Series C Preferred Units and Series D Preferred Units with aggregate liquidation preferences of $950 million, $ 450 million and $445 million, respectively, for which distributions are based on a floating rate beginning February 15, 2023 and May 15, 2023, respectively. A hypothetical change of 100 basis points in interest rates would result in a net change in preferred unit distributions of $18 million annually for the Series A Preferred Units, Series C Preferred Units and Series D Preferred Units in the aggregate.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 Partnership had $600 million of Floating Rate Junior Subordinated Notes outstanding, as well as the Series A Preferred Units, Series C Preferred Units and Series D Preferred Units, the floating rates for each of which were based on the three-month SOFR rate plus a 0.26161% tenor spread adjustment. Such tenor spread adjustment will be in addition to the applicable spread for each series of Preferred Units and Floating Rate Junior Subordinated Notes.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established disclosure controls and procedures to ensure that information required to be disclosed by us, including our consolidated entities, in the reports that we file or submit under the Exchange Act is recorded, processed, summarized and reported within the time periods specified in the SEC’s rules and forms.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supervision and with the participation of senior management, including the Co-Chief Executive Officers (Co-Principal Executive Officers) and the Chief Financial Officer (Principal Financial Officer) of our General Partner, we evaluated our disclosure controls and procedures, as such term is defined under Rule 13a–15(e) promulgated under the Exchange Act. Based on this evaluation, the Co-Principal Executive Officers and the Principal Financial Officer of our General Partner concluded that our disclosure controls and procedures were effective as of September 30, 2023 to ensure that information required to be disclosed by us in the reports we file or submit under the Exchange Act (1) is recorded, processed, summarized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reported within the time periods specified in the SEC’s rules and forms, and (2) is accumulated and communicated to management, including the Co-Principal Executive Officers and Principal Financial Officer of our General Partner, to allow timely decisions regarding required disclosure.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 2023, Energy Transfer acquired Lotus Midstream Operations, LLC (“Lotus Midstream”), and during the three months ended September 30, 2023, certain of Lotus Midstream’s internal controls over financial reporting were impacted by changes made to conform to the existing controls and procedures of Energy Transfer.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None of the changes resulting from the Lotus Midstream acquisition were in response to any identified deficiency or weakness in our internal control over financial reporting. Other than changes resulting from the Lotus Midstream acquisition, there have been </w:t>
      </w:r>
      <w:r>
        <w:rPr>
          <w:rFonts w:ascii="Arial" w:cs="Arial" w:eastAsia="Arial" w:hAnsi="Arial"/>
          <w:sz w:val="18"/>
          <w:szCs w:val="18"/>
          <w:color w:val="212529"/>
        </w:rPr>
        <w:t>no changes in our internal control over financial</w:t>
      </w:r>
      <w:r>
        <w:rPr>
          <w:rFonts w:ascii="Arial" w:cs="Arial" w:eastAsia="Arial" w:hAnsi="Arial"/>
          <w:sz w:val="18"/>
          <w:szCs w:val="18"/>
          <w:color w:val="auto"/>
        </w:rPr>
        <w:t xml:space="preserve"> </w:t>
      </w:r>
      <w:r>
        <w:rPr>
          <w:rFonts w:ascii="Arial" w:cs="Arial" w:eastAsia="Arial" w:hAnsi="Arial"/>
          <w:sz w:val="18"/>
          <w:szCs w:val="18"/>
          <w:color w:val="212529"/>
        </w:rPr>
        <w:t xml:space="preserve">reporting (as defined in Rule 13(a)-15(f) or Rule 15d-15(f) of the Exchange Act) during the </w:t>
      </w:r>
      <w:r>
        <w:rPr>
          <w:rFonts w:ascii="Arial" w:cs="Arial" w:eastAsia="Arial" w:hAnsi="Arial"/>
          <w:sz w:val="18"/>
          <w:szCs w:val="18"/>
          <w:color w:val="000000"/>
        </w:rPr>
        <w:t>three months ended September 30, 2023</w:t>
      </w:r>
      <w:r>
        <w:rPr>
          <w:rFonts w:ascii="Arial" w:cs="Arial" w:eastAsia="Arial" w:hAnsi="Arial"/>
          <w:sz w:val="18"/>
          <w:szCs w:val="18"/>
          <w:color w:val="212529"/>
        </w:rPr>
        <w:t xml:space="preserve"> that have materially affected, or are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legal proceedings, see our Annual Report on Form 10-K filed with the SEC on February 17, 2023 and Note 10 in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 this Quarterly Report on Form 10-Q for the quarter ended September 30, 2023.</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following environmental proceedings were decided against us, it would not be material to our financial position, results of operations or cash flows, we are required to report governmental proceedings if we reasonably believe that such proceedings reasonably could result in monetary sanctions in excess of $0.3 million.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2023, PHMSA issued a Notice of Probable Violation, Proposed Civil Penalty, and Proposed Compliance Order (collectively “NOPV”), CPF 4-2023-011-NOPV, identifying three probable violations with compliance order actions associated with two of them and civil penalties proposed in an amount totaling $2,473,912. The NOPV related to a PHMSA Accident Investigation Division investigation of a pigging incident which occurred on March 26, 2020 at the Partnership’s Borcher Station in Kansas and resulted in a fatality. The Partnership challenged PHMSA’s alleged violations and related civil penalties and compliance order actions contained in the NOPV, and requested an administrative hearing, which is set for April 24, 2024 before a PHMSA Presiding Official.</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31, 2023, the United States Department of Justice filed suit in the District Court for the Southern District of Texas (Corpus Christi Division) captioned as United States v. Energy Transfer (R&amp;M), LLC et al. Civil Action No. 2:23-cv-214, against Sunoco and two other parties seeking to recover past CERCLA response costs allegedly incurred by U.S. EPA in excess of $500,000 and certain declaratory relief related to compliance. Suntide Refining Company (Sunoco as successor) is alleged to have arranged for the transport and disposal of refinery wastes containing hazardous substances at the Brine Service Company Superfund Site in Corpus Christi, Nueces County, TX. At this time, we cannot determine the likelihood of any liability in this matter; however, Sunoco intends to defend and dispute the allegations of the lawsuit, including but not limited to the joint and several liability determination sought. This lawsuit is included among the matters described in our discussion of our other environmental remediation matters. Please see “Part I. Item 1. Note 10. Regulatory Matters, Commitments, Contingencies and Environmental Liabilities - Environmental Matters – Environmental Remediation”.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instructions to Form 10-Q, matters disclosed in this Part II - Item 1 include any reportable legal proceeding (i) that has been terminated during the period covered by this report, (ii) that became a reportable event during the period covered by this report, or (iii) for which there has been a material development during the period covered by this report.</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additional information required in this Item, see disclosure under the headings “Litigation and Contingencies” and “Environmental Matters” in Note 10 to our consolidated financial statements in “Item 1. Financial Statements,” which information is incorporated by reference into this Item.</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risk factor should be read in conjunction with our risk factors described in “Part I – Item 1A. Risk Factors” in the Partnership’s Annual Report on Form 10-K for the year ended December 31, 2022 filed with the SEC on February 17, 2023 and from the risk factor described in “Part II – Item 1A. Risk Factors” in the Partnership’s Quarterly Report on Form 10-Q for the quarter ended June 30, 2023 filed with the SEC on August 3, 2023.</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Crestwood acquisition may not be consummated, and, even if consummated, we may fail to successfully combine our businesses, which could have an adverse impact on our future results.</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Crestwood acquisition is expected to close in the fourth quarter of 2023 but is subject to the satisfaction of a number of conditions beyond our control that may prevent, delay or otherwise materially adversely affect the completion of the acquisition. We cannot predict with certainty whether and when these conditions will be satisfied. Any delay in completing the acquisition could cause us not to realize, or delay the realization of, some or all of the benefits that we expect to achieve from the acquisition. Furthermore, if the transaction is consummated, we may not be able to integrate Crestwood’s business successfully into ours or to achieve anticipated synergies and value creation from the transaction, which could have an adverse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gridSpan w:val="26"/>
          </w:tcPr>
          <w:p>
            <w:pPr>
              <w:ind w:left="620"/>
              <w:spacing w:after="0"/>
              <w:rPr>
                <w:sz w:val="20"/>
                <w:szCs w:val="20"/>
                <w:color w:val="auto"/>
              </w:rPr>
            </w:pPr>
            <w:r>
              <w:rPr>
                <w:rFonts w:ascii="Arial" w:cs="Arial" w:eastAsia="Arial" w:hAnsi="Arial"/>
                <w:sz w:val="18"/>
                <w:szCs w:val="18"/>
                <w:b w:val="1"/>
                <w:bCs w:val="1"/>
                <w:color w:val="auto"/>
              </w:rPr>
              <w:t>ITEM 6. EXHIBITS</w:t>
            </w:r>
          </w:p>
        </w:tc>
      </w:tr>
      <w:tr>
        <w:trPr>
          <w:trHeight w:val="378"/>
        </w:trPr>
        <w:tc>
          <w:tcPr>
            <w:tcW w:w="11400" w:type="dxa"/>
            <w:vAlign w:val="bottom"/>
            <w:gridSpan w:val="34"/>
          </w:tcPr>
          <w:p>
            <w:pPr>
              <w:spacing w:after="0"/>
              <w:rPr>
                <w:sz w:val="20"/>
                <w:szCs w:val="20"/>
                <w:color w:val="auto"/>
              </w:rPr>
            </w:pPr>
            <w:r>
              <w:rPr>
                <w:rFonts w:ascii="Arial" w:cs="Arial" w:eastAsia="Arial" w:hAnsi="Arial"/>
                <w:sz w:val="18"/>
                <w:szCs w:val="18"/>
                <w:color w:val="auto"/>
              </w:rPr>
              <w:t>The exhibits listed on the following exhibit index are filed or furnished, as indicated, as part of this report:</w:t>
            </w:r>
          </w:p>
        </w:tc>
      </w:tr>
      <w:tr>
        <w:trPr>
          <w:trHeight w:val="510"/>
        </w:trPr>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24"/>
                <w:szCs w:val="24"/>
                <w:color w:val="auto"/>
              </w:rPr>
            </w:pPr>
          </w:p>
        </w:tc>
        <w:tc>
          <w:tcPr>
            <w:tcW w:w="9760" w:type="dxa"/>
            <w:vAlign w:val="bottom"/>
            <w:gridSpan w:val="31"/>
          </w:tcPr>
          <w:p>
            <w:pPr>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152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760" w:type="dxa"/>
            <w:vAlign w:val="bottom"/>
            <w:tcBorders>
              <w:top w:val="single" w:sz="8" w:color="auto"/>
            </w:tcBorders>
            <w:gridSpan w:val="31"/>
          </w:tcPr>
          <w:p>
            <w:pPr>
              <w:spacing w:after="0" w:line="172" w:lineRule="exact"/>
              <w:rPr>
                <w:rFonts w:ascii="Arial" w:cs="Arial" w:eastAsia="Arial" w:hAnsi="Arial"/>
                <w:sz w:val="16"/>
                <w:szCs w:val="16"/>
                <w:color w:val="0000FF"/>
                <w:w w:val="98"/>
              </w:rPr>
            </w:pPr>
            <w:hyperlink r:id="rId107">
              <w:r>
                <w:rPr>
                  <w:rFonts w:ascii="Arial" w:cs="Arial" w:eastAsia="Arial" w:hAnsi="Arial"/>
                  <w:sz w:val="16"/>
                  <w:szCs w:val="16"/>
                  <w:color w:val="0000FF"/>
                  <w:w w:val="98"/>
                </w:rPr>
                <w:t>Certificate of Limited Partnership of Energy Transfer Equity, L.P. (incorporated by reference to Exhibit 3.2 of Form S-1 (File No. 333-128097)</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1"/>
              </w:rPr>
            </w:pPr>
            <w:hyperlink r:id="rId107">
              <w:r>
                <w:rPr>
                  <w:rFonts w:ascii="Arial" w:cs="Arial" w:eastAsia="Arial" w:hAnsi="Arial"/>
                  <w:sz w:val="16"/>
                  <w:szCs w:val="16"/>
                  <w:color w:val="0000FF"/>
                  <w:w w:val="91"/>
                </w:rPr>
                <w:t>filed September 2, 2005)</w:t>
              </w:r>
            </w:hyperlink>
          </w:p>
        </w:tc>
        <w:tc>
          <w:tcPr>
            <w:tcW w:w="79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7"/>
              </w:rPr>
            </w:pPr>
            <w:hyperlink r:id="rId108">
              <w:r>
                <w:rPr>
                  <w:rFonts w:ascii="Arial" w:cs="Arial" w:eastAsia="Arial" w:hAnsi="Arial"/>
                  <w:sz w:val="16"/>
                  <w:szCs w:val="16"/>
                  <w:color w:val="0000FF"/>
                  <w:w w:val="97"/>
                </w:rPr>
                <w:t>Certificate of Amendment of Certificate of Limited Partnership of Energy Transfer Equity, L.P., dated as of October 19, 2018 (incorporated by</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3"/>
              </w:rPr>
            </w:pPr>
            <w:hyperlink r:id="rId108">
              <w:r>
                <w:rPr>
                  <w:rFonts w:ascii="Arial" w:cs="Arial" w:eastAsia="Arial" w:hAnsi="Arial"/>
                  <w:sz w:val="16"/>
                  <w:szCs w:val="16"/>
                  <w:color w:val="0000FF"/>
                  <w:w w:val="93"/>
                </w:rPr>
                <w:t>reference to Exhibit 3.1 of Form 8-K (File No. 1-32740) filed October 19, 2018)</w:t>
              </w:r>
            </w:hyperlink>
          </w:p>
        </w:tc>
        <w:tc>
          <w:tcPr>
            <w:tcW w:w="44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4"/>
              </w:rPr>
            </w:pPr>
            <w:hyperlink r:id="rId109">
              <w:r>
                <w:rPr>
                  <w:rFonts w:ascii="Arial" w:cs="Arial" w:eastAsia="Arial" w:hAnsi="Arial"/>
                  <w:sz w:val="16"/>
                  <w:szCs w:val="16"/>
                  <w:color w:val="0000FF"/>
                  <w:w w:val="94"/>
                </w:rPr>
                <w:t>Third Amended Restated Agreement of Limited Partnership of Energy Transfer Equity, L.P., dated February 8, 2006 (incorporated by reference to</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Exhibit 3.1 of Form 8-K (File No. 1-32740) filed February 14, 2006)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6"/>
              </w:rPr>
            </w:pPr>
            <w:hyperlink r:id="rId110">
              <w:r>
                <w:rPr>
                  <w:rFonts w:ascii="Arial" w:cs="Arial" w:eastAsia="Arial" w:hAnsi="Arial"/>
                  <w:sz w:val="16"/>
                  <w:szCs w:val="16"/>
                  <w:color w:val="0000FF"/>
                  <w:w w:val="96"/>
                </w:rPr>
                <w:t>Amendment No. 1 to Third Amended and Restated Agreement of Limited Partnership of Energy Transfer Equity, L.P., dated November 1, 2006</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3"/>
              </w:rPr>
            </w:pPr>
            <w:hyperlink r:id="rId110">
              <w:r>
                <w:rPr>
                  <w:rFonts w:ascii="Arial" w:cs="Arial" w:eastAsia="Arial" w:hAnsi="Arial"/>
                  <w:sz w:val="16"/>
                  <w:szCs w:val="16"/>
                  <w:color w:val="0000FF"/>
                  <w:w w:val="93"/>
                </w:rPr>
                <w:t>(incorporated by reference to Exhibit 3.3.1 of Form 10-K (File No. 1-32740) filed November 29, 2006)</w:t>
              </w:r>
            </w:hyperlink>
          </w:p>
        </w:tc>
        <w:tc>
          <w:tcPr>
            <w:tcW w:w="282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6"/>
              </w:rPr>
            </w:pPr>
            <w:hyperlink r:id="rId111">
              <w:r>
                <w:rPr>
                  <w:rFonts w:ascii="Arial" w:cs="Arial" w:eastAsia="Arial" w:hAnsi="Arial"/>
                  <w:sz w:val="16"/>
                  <w:szCs w:val="16"/>
                  <w:color w:val="0000FF"/>
                  <w:w w:val="96"/>
                </w:rPr>
                <w:t>Amendment No. 2 to Third Amended and Restated Agreement of Limited Partnership of Energy Transfer Equity, L.P., dated November 9, 2007</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2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3"/>
              </w:rPr>
            </w:pPr>
            <w:hyperlink r:id="rId111">
              <w:r>
                <w:rPr>
                  <w:rFonts w:ascii="Arial" w:cs="Arial" w:eastAsia="Arial" w:hAnsi="Arial"/>
                  <w:sz w:val="16"/>
                  <w:szCs w:val="16"/>
                  <w:color w:val="0000FF"/>
                  <w:w w:val="93"/>
                </w:rPr>
                <w:t>(incorporated by reference to Exhibit 3.3.2 of Form 8-K (File No. 1-32740) filed November 13, 2007)</w:t>
              </w:r>
            </w:hyperlink>
          </w:p>
        </w:tc>
        <w:tc>
          <w:tcPr>
            <w:tcW w:w="29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9"/>
              </w:rPr>
            </w:pPr>
            <w:hyperlink r:id="rId112">
              <w:r>
                <w:rPr>
                  <w:rFonts w:ascii="Arial" w:cs="Arial" w:eastAsia="Arial" w:hAnsi="Arial"/>
                  <w:sz w:val="16"/>
                  <w:szCs w:val="16"/>
                  <w:color w:val="0000FF"/>
                  <w:w w:val="99"/>
                </w:rPr>
                <w:t>Amendment No. 3 to Third Amended and Restated Agreement of Limited Partnership of Energy Transfer Equity, L.P., dated May 26, 2010</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(incorporated by reference to Exhibit 3.1 of Form 8-K (File No. 1-32740) filed June 2,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5"/>
              </w:rPr>
            </w:pPr>
            <w:hyperlink r:id="rId113">
              <w:r>
                <w:rPr>
                  <w:rFonts w:ascii="Arial" w:cs="Arial" w:eastAsia="Arial" w:hAnsi="Arial"/>
                  <w:sz w:val="16"/>
                  <w:szCs w:val="16"/>
                  <w:color w:val="0000FF"/>
                  <w:w w:val="95"/>
                </w:rPr>
                <w:t>Amendment No. 4 to Third Amended and Restated Agreement of Limited Partnership of Energy Transfer Equity, L.P., dated December 23, 2013</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3"/>
              </w:rPr>
            </w:pPr>
            <w:hyperlink r:id="rId113">
              <w:r>
                <w:rPr>
                  <w:rFonts w:ascii="Arial" w:cs="Arial" w:eastAsia="Arial" w:hAnsi="Arial"/>
                  <w:sz w:val="16"/>
                  <w:szCs w:val="16"/>
                  <w:color w:val="0000FF"/>
                  <w:w w:val="93"/>
                </w:rPr>
                <w:t>(incorporated by reference to Exhibit 3.1 of Form 8-K (File No. 1-32740) filed December 27, 2013)</w:t>
              </w:r>
            </w:hyperlink>
          </w:p>
        </w:tc>
        <w:tc>
          <w:tcPr>
            <w:tcW w:w="32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9"/>
              </w:rPr>
            </w:pPr>
            <w:hyperlink r:id="rId114">
              <w:r>
                <w:rPr>
                  <w:rFonts w:ascii="Arial" w:cs="Arial" w:eastAsia="Arial" w:hAnsi="Arial"/>
                  <w:sz w:val="16"/>
                  <w:szCs w:val="16"/>
                  <w:color w:val="0000FF"/>
                  <w:w w:val="99"/>
                </w:rPr>
                <w:t>Amendment No. 5 to Third Amended and Restated Agreement of Limited Partnership of Energy Transfer Equity, L.P., dated March 8, 2016</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4"/>
              </w:rPr>
            </w:pPr>
            <w:hyperlink r:id="rId114">
              <w:r>
                <w:rPr>
                  <w:rFonts w:ascii="Arial" w:cs="Arial" w:eastAsia="Arial" w:hAnsi="Arial"/>
                  <w:sz w:val="16"/>
                  <w:szCs w:val="16"/>
                  <w:color w:val="0000FF"/>
                  <w:w w:val="94"/>
                </w:rPr>
                <w:t>(incorporated by reference to Exhibit 3.1 of Form 8-K (File No. 1-32740) filed March 9, 2016)</w:t>
              </w:r>
            </w:hyperlink>
          </w:p>
        </w:tc>
        <w:tc>
          <w:tcPr>
            <w:tcW w:w="35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7"/>
              </w:rPr>
            </w:pPr>
            <w:hyperlink r:id="rId115">
              <w:r>
                <w:rPr>
                  <w:rFonts w:ascii="Arial" w:cs="Arial" w:eastAsia="Arial" w:hAnsi="Arial"/>
                  <w:sz w:val="16"/>
                  <w:szCs w:val="16"/>
                  <w:color w:val="0000FF"/>
                  <w:w w:val="97"/>
                </w:rPr>
                <w:t>Amendment No. 6 to Third Amended and Restated Agreement of Limited Partnership of Energy Transfer Equity, L.P., dated October 19, 2018</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3"/>
              </w:rPr>
            </w:pPr>
            <w:hyperlink r:id="rId115">
              <w:r>
                <w:rPr>
                  <w:rFonts w:ascii="Arial" w:cs="Arial" w:eastAsia="Arial" w:hAnsi="Arial"/>
                  <w:sz w:val="16"/>
                  <w:szCs w:val="16"/>
                  <w:color w:val="0000FF"/>
                  <w:w w:val="93"/>
                </w:rPr>
                <w:t>(incorporated by reference to Exhibit 3.9 of Form 10-Q (File No. 1-32740) filed November 8, 2018)</w:t>
              </w:r>
            </w:hyperlink>
          </w:p>
        </w:tc>
        <w:tc>
          <w:tcPr>
            <w:tcW w:w="30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5"/>
              </w:rPr>
            </w:pPr>
            <w:hyperlink r:id="rId116">
              <w:r>
                <w:rPr>
                  <w:rFonts w:ascii="Arial" w:cs="Arial" w:eastAsia="Arial" w:hAnsi="Arial"/>
                  <w:sz w:val="16"/>
                  <w:szCs w:val="16"/>
                  <w:color w:val="0000FF"/>
                  <w:w w:val="95"/>
                </w:rPr>
                <w:t>Amendment No. 7 to Third Amended and Restated Agreement of Limited Partnership of Energy Transfer LP, dated August 6, 2019 (incorporated</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by reference to Exhibit 3.10 of Form 10-Q (File No. 1-32740) filed August 8, 2019)</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4"/>
              </w:rPr>
            </w:pPr>
            <w:hyperlink r:id="rId117">
              <w:r>
                <w:rPr>
                  <w:rFonts w:ascii="Arial" w:cs="Arial" w:eastAsia="Arial" w:hAnsi="Arial"/>
                  <w:sz w:val="16"/>
                  <w:szCs w:val="16"/>
                  <w:color w:val="0000FF"/>
                  <w:w w:val="94"/>
                </w:rPr>
                <w:t>Amendment No. 8 to Third Amended and Restated Agreement of Limited Partnership of Energy Transfer LP, dated April 1, 2021 (incorporated by</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4"/>
              </w:rPr>
            </w:pPr>
            <w:hyperlink r:id="rId117">
              <w:r>
                <w:rPr>
                  <w:rFonts w:ascii="Arial" w:cs="Arial" w:eastAsia="Arial" w:hAnsi="Arial"/>
                  <w:sz w:val="16"/>
                  <w:szCs w:val="16"/>
                  <w:color w:val="0000FF"/>
                  <w:w w:val="94"/>
                </w:rPr>
                <w:t>reference to Exhibit 3.1 of Form 8-K (File No. 1-32740) filed April 1, 2021)</w:t>
              </w:r>
            </w:hyperlink>
          </w:p>
        </w:tc>
        <w:tc>
          <w:tcPr>
            <w:tcW w:w="4580" w:type="dxa"/>
            <w:vAlign w:val="bottom"/>
            <w:tcBorders>
              <w:top w:val="single" w:sz="8" w:color="0000FF"/>
            </w:tcBorders>
            <w:gridSpan w:val="13"/>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5"/>
              </w:rPr>
            </w:pPr>
            <w:hyperlink r:id="rId118">
              <w:r>
                <w:rPr>
                  <w:rFonts w:ascii="Arial" w:cs="Arial" w:eastAsia="Arial" w:hAnsi="Arial"/>
                  <w:sz w:val="16"/>
                  <w:szCs w:val="16"/>
                  <w:color w:val="0000FF"/>
                  <w:w w:val="95"/>
                </w:rPr>
                <w:t>Amendment No. 9 to Third Amended and Restated Agreement of Limited Partnership of Energy Transfer LP, dated June 15, 2021 (incorporated</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3"/>
              </w:rPr>
            </w:pPr>
            <w:hyperlink r:id="rId118">
              <w:r>
                <w:rPr>
                  <w:rFonts w:ascii="Arial" w:cs="Arial" w:eastAsia="Arial" w:hAnsi="Arial"/>
                  <w:sz w:val="16"/>
                  <w:szCs w:val="16"/>
                  <w:color w:val="0000FF"/>
                  <w:w w:val="93"/>
                </w:rPr>
                <w:t>by reference to Exhibit 3.1 of Form 8-K (File No. 1-32740) filed June 15, 2021)</w:t>
              </w:r>
            </w:hyperlink>
          </w:p>
        </w:tc>
        <w:tc>
          <w:tcPr>
            <w:tcW w:w="452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rFonts w:ascii="Arial" w:cs="Arial" w:eastAsia="Arial" w:hAnsi="Arial"/>
                <w:sz w:val="16"/>
                <w:szCs w:val="16"/>
                <w:color w:val="0000FF"/>
                <w:w w:val="95"/>
              </w:rPr>
            </w:pPr>
            <w:hyperlink r:id="rId119">
              <w:r>
                <w:rPr>
                  <w:rFonts w:ascii="Arial" w:cs="Arial" w:eastAsia="Arial" w:hAnsi="Arial"/>
                  <w:sz w:val="16"/>
                  <w:szCs w:val="16"/>
                  <w:color w:val="0000FF"/>
                  <w:w w:val="95"/>
                </w:rPr>
                <w:t>Second Supplemental Indenture, dated as of October 13, 2023, between Energy Transfer LP, as issuer, and U.S. Bank Trust Company, National</w:t>
              </w:r>
            </w:hyperlink>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Association, as trustee (incorporated by reference to Exhibit 4.2 of Form 8-K (File No. 1-32740) filed October 13, 2023)</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40" w:type="dxa"/>
            <w:vAlign w:val="bottom"/>
            <w:gridSpan w:val="1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18"/>
          </w:tcPr>
          <w:p>
            <w:pPr>
              <w:spacing w:after="0"/>
              <w:rPr>
                <w:rFonts w:ascii="Arial" w:cs="Arial" w:eastAsia="Arial" w:hAnsi="Arial"/>
                <w:sz w:val="16"/>
                <w:szCs w:val="16"/>
                <w:color w:val="0000FF"/>
                <w:w w:val="92"/>
              </w:rPr>
            </w:pPr>
            <w:hyperlink r:id="rId120">
              <w:r>
                <w:rPr>
                  <w:rFonts w:ascii="Arial" w:cs="Arial" w:eastAsia="Arial" w:hAnsi="Arial"/>
                  <w:sz w:val="16"/>
                  <w:szCs w:val="16"/>
                  <w:color w:val="0000FF"/>
                  <w:w w:val="92"/>
                </w:rPr>
                <w:t>Issuers and Guarantors of Registered Securities (incorporated by reference to Exhibit 22.1 of Form 10-Q (File No. 1-32740) filed August 5, 2021)</w:t>
              </w:r>
            </w:hyperlink>
          </w:p>
        </w:tc>
        <w:tc>
          <w:tcPr>
            <w:tcW w:w="280" w:type="dxa"/>
            <w:vAlign w:val="bottom"/>
            <w:gridSpan w:val="13"/>
          </w:tcPr>
          <w:p>
            <w:pPr>
              <w:spacing w:after="0"/>
              <w:rPr>
                <w:sz w:val="17"/>
                <w:szCs w:val="17"/>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sz w:val="20"/>
                <w:szCs w:val="20"/>
                <w:color w:val="auto"/>
              </w:rPr>
            </w:pPr>
            <w:r>
              <w:rPr>
                <w:rFonts w:ascii="Arial" w:cs="Arial" w:eastAsia="Arial" w:hAnsi="Arial"/>
                <w:sz w:val="16"/>
                <w:szCs w:val="16"/>
                <w:color w:val="0000FF"/>
                <w:w w:val="96"/>
              </w:rPr>
              <w:t>Certification of Co-Chief Executive Officer pursuant to Rule 13a-14(a) or 15d-14(a) of the Securities Exchange Act of 1934 pursuant to Section</w:t>
            </w:r>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w w:val="92"/>
              </w:rPr>
              <w:t>302 of the Sarbanes-Oxley Act of 2002</w:t>
            </w:r>
          </w:p>
        </w:tc>
        <w:tc>
          <w:tcPr>
            <w:tcW w:w="716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sz w:val="20"/>
                <w:szCs w:val="20"/>
                <w:color w:val="auto"/>
              </w:rPr>
            </w:pPr>
            <w:r>
              <w:rPr>
                <w:rFonts w:ascii="Arial" w:cs="Arial" w:eastAsia="Arial" w:hAnsi="Arial"/>
                <w:sz w:val="16"/>
                <w:szCs w:val="16"/>
                <w:color w:val="0000FF"/>
                <w:w w:val="96"/>
              </w:rPr>
              <w:t>Certification of Co-Chief Executive Officer pursuant to Rule 13a-14(a) or 15d-14(a) of the Securities Exchange Act of 1934 pursuant to Section</w:t>
            </w:r>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2"/>
              </w:rPr>
              <w:t>302 of the Sarbanes-Oxley Act of 2002</w:t>
            </w:r>
          </w:p>
        </w:tc>
        <w:tc>
          <w:tcPr>
            <w:tcW w:w="718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sz w:val="20"/>
                <w:szCs w:val="20"/>
                <w:color w:val="auto"/>
              </w:rPr>
            </w:pPr>
            <w:r>
              <w:rPr>
                <w:rFonts w:ascii="Arial" w:cs="Arial" w:eastAsia="Arial" w:hAnsi="Arial"/>
                <w:sz w:val="16"/>
                <w:szCs w:val="16"/>
                <w:color w:val="0000FF"/>
                <w:w w:val="95"/>
              </w:rPr>
              <w:t>Certification of Chief Financial Officer pursuant to Rule 13a-14(a) or 15d-14(a) of the Securities Exchange Act of 1934 pursuant to Section 302 of</w:t>
            </w:r>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1"/>
              </w:rPr>
              <w:t>the Sarbanes-Oxley Act of 2002</w:t>
            </w:r>
          </w:p>
        </w:tc>
        <w:tc>
          <w:tcPr>
            <w:tcW w:w="7520" w:type="dxa"/>
            <w:vAlign w:val="bottom"/>
            <w:tcBorders>
              <w:top w:val="single" w:sz="8" w:color="0000FF"/>
            </w:tcBorders>
            <w:gridSpan w:val="21"/>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sz w:val="20"/>
                <w:szCs w:val="20"/>
                <w:color w:val="auto"/>
              </w:rPr>
            </w:pPr>
            <w:r>
              <w:rPr>
                <w:rFonts w:ascii="Arial" w:cs="Arial" w:eastAsia="Arial" w:hAnsi="Arial"/>
                <w:sz w:val="16"/>
                <w:szCs w:val="16"/>
                <w:color w:val="0000FF"/>
                <w:w w:val="95"/>
              </w:rPr>
              <w:t>Certification of Co-Chief Executive Officer pursuant to 18 U.S.C. Section 1350, as adopted pursuant to Section 906 of the Sarbanes-Oxley Act of</w:t>
            </w:r>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89"/>
              </w:rPr>
              <w:t>2002</w:t>
            </w:r>
          </w:p>
        </w:tc>
        <w:tc>
          <w:tcPr>
            <w:tcW w:w="12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52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rPr>
                <w:sz w:val="20"/>
                <w:szCs w:val="20"/>
                <w:color w:val="auto"/>
              </w:rPr>
            </w:pPr>
            <w:r>
              <w:rPr>
                <w:rFonts w:ascii="Arial" w:cs="Arial" w:eastAsia="Arial" w:hAnsi="Arial"/>
                <w:sz w:val="16"/>
                <w:szCs w:val="16"/>
                <w:color w:val="0000FF"/>
                <w:w w:val="95"/>
              </w:rPr>
              <w:t>Certification of Co-Chief Executive Officer pursuant to 18 U.S.C. Section 1350, as adopted pursuant to Section 906 of the Sarbanes-Oxley Act of</w:t>
            </w:r>
          </w:p>
        </w:tc>
      </w:tr>
      <w:tr>
        <w:trPr>
          <w:trHeight w:val="142"/>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89"/>
              </w:rPr>
              <w:t>2002</w:t>
            </w:r>
          </w:p>
        </w:tc>
        <w:tc>
          <w:tcPr>
            <w:tcW w:w="12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31" w:lineRule="exact"/>
        <w:rPr>
          <w:sz w:val="20"/>
          <w:szCs w:val="20"/>
          <w:color w:val="auto"/>
        </w:rPr>
      </w:pPr>
    </w:p>
    <w:p>
      <w:pPr>
        <w:sectPr>
          <w:pgSz w:w="11900" w:h="16838" w:orient="portrait"/>
          <w:cols w:equalWidth="0" w:num="1">
            <w:col w:w="11200"/>
          </w:cols>
          <w:pgMar w:left="320" w:top="233" w:right="379" w:bottom="1440" w:gutter="0" w:footer="0" w:header="0"/>
        </w:sectPr>
      </w:pPr>
    </w:p>
    <w:p>
      <w:pPr>
        <w:ind w:left="20"/>
        <w:spacing w:after="0"/>
        <w:rPr>
          <w:sz w:val="20"/>
          <w:szCs w:val="20"/>
          <w:color w:val="auto"/>
        </w:rPr>
      </w:pPr>
      <w:r>
        <w:rPr>
          <w:rFonts w:ascii="Arial" w:cs="Arial" w:eastAsia="Arial" w:hAnsi="Arial"/>
          <w:sz w:val="16"/>
          <w:szCs w:val="16"/>
          <w:color w:val="auto"/>
        </w:rPr>
        <w:t>32.3**</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u w:val="single" w:color="auto"/>
          <w:color w:val="0000FF"/>
        </w:rPr>
        <w:t>Certification of Chief Financial Officer pursuant to 18 U.S.C. Section 1350, as adopted pursuant to Section 906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Interactive data files pursuant to Rule 405 of Regulation S-T: (i) our Consolidated Balance Sheets; (ii) our Consolidated Statements of Operations;</w:t>
      </w:r>
    </w:p>
    <w:p>
      <w:pPr>
        <w:spacing w:after="0" w:line="15" w:lineRule="exact"/>
        <w:rPr>
          <w:sz w:val="20"/>
          <w:szCs w:val="20"/>
          <w:color w:val="auto"/>
        </w:rPr>
      </w:pPr>
    </w:p>
    <w:p>
      <w:pPr>
        <w:ind w:right="20" w:firstLine="6"/>
        <w:spacing w:after="0" w:line="231" w:lineRule="auto"/>
        <w:tabs>
          <w:tab w:leader="none" w:pos="2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Consolidated Statements of Comprehensive Income; (iv) our Consolidated Statements of Equity; (v) our Consolidated Statements of Cash Flows; and (vi) the notes to our Consolidated Financial Statements</w:t>
      </w:r>
    </w:p>
    <w:p>
      <w:pPr>
        <w:spacing w:after="0" w:line="50" w:lineRule="exact"/>
        <w:rPr>
          <w:sz w:val="20"/>
          <w:szCs w:val="20"/>
          <w:color w:val="auto"/>
        </w:rPr>
      </w:pPr>
    </w:p>
    <w:p>
      <w:pPr>
        <w:sectPr>
          <w:pgSz w:w="11900" w:h="16838" w:orient="portrait"/>
          <w:cols w:equalWidth="0" w:num="2">
            <w:col w:w="920" w:space="720"/>
            <w:col w:w="9560"/>
          </w:cols>
          <w:pgMar w:left="320" w:top="233" w:right="379" w:bottom="1440" w:gutter="0" w:footer="0" w:header="0"/>
          <w:type w:val="continuous"/>
        </w:sectPr>
      </w:pPr>
    </w:p>
    <w:p>
      <w:pPr>
        <w:ind w:left="20"/>
        <w:spacing w:after="0"/>
        <w:tabs>
          <w:tab w:leader="none" w:pos="16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55"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Filed herewith</w:t>
      </w:r>
    </w:p>
    <w:p>
      <w:pPr>
        <w:spacing w:after="0" w:line="32"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7740" w:type="dxa"/>
            <w:vAlign w:val="bottom"/>
            <w:gridSpan w:val="2"/>
          </w:tcPr>
          <w:p>
            <w:pPr>
              <w:ind w:left="1420"/>
              <w:spacing w:after="0"/>
              <w:rPr>
                <w:sz w:val="20"/>
                <w:szCs w:val="20"/>
                <w:color w:val="auto"/>
              </w:rPr>
            </w:pPr>
            <w:r>
              <w:rPr>
                <w:rFonts w:ascii="Arial" w:cs="Arial" w:eastAsia="Arial" w:hAnsi="Arial"/>
                <w:sz w:val="18"/>
                <w:szCs w:val="18"/>
                <w:color w:val="auto"/>
              </w:rPr>
              <w:t>ENERGY TRANSFER LP</w:t>
            </w:r>
          </w:p>
        </w:tc>
      </w:tr>
      <w:tr>
        <w:trPr>
          <w:trHeight w:val="500"/>
        </w:trPr>
        <w:tc>
          <w:tcPr>
            <w:tcW w:w="3220" w:type="dxa"/>
            <w:vAlign w:val="bottom"/>
          </w:tcPr>
          <w:p>
            <w:pPr>
              <w:spacing w:after="0"/>
              <w:rPr>
                <w:sz w:val="24"/>
                <w:szCs w:val="24"/>
                <w:color w:val="auto"/>
              </w:rPr>
            </w:pPr>
          </w:p>
        </w:tc>
        <w:tc>
          <w:tcPr>
            <w:tcW w:w="7740" w:type="dxa"/>
            <w:vAlign w:val="bottom"/>
            <w:gridSpan w:val="2"/>
          </w:tcPr>
          <w:p>
            <w:pPr>
              <w:ind w:left="1680"/>
              <w:spacing w:after="0"/>
              <w:rPr>
                <w:sz w:val="20"/>
                <w:szCs w:val="20"/>
                <w:color w:val="auto"/>
              </w:rPr>
            </w:pPr>
            <w:r>
              <w:rPr>
                <w:rFonts w:ascii="Arial" w:cs="Arial" w:eastAsia="Arial" w:hAnsi="Arial"/>
                <w:sz w:val="18"/>
                <w:szCs w:val="18"/>
                <w:color w:val="auto"/>
              </w:rPr>
              <w:t>By:  LE GP, LLC, its general partner</w:t>
            </w:r>
          </w:p>
        </w:tc>
      </w:tr>
      <w:tr>
        <w:trPr>
          <w:trHeight w:val="499"/>
        </w:trPr>
        <w:tc>
          <w:tcPr>
            <w:tcW w:w="3220" w:type="dxa"/>
            <w:vAlign w:val="bottom"/>
          </w:tcPr>
          <w:p>
            <w:pPr>
              <w:spacing w:after="0"/>
              <w:rPr>
                <w:sz w:val="20"/>
                <w:szCs w:val="20"/>
                <w:color w:val="auto"/>
              </w:rPr>
            </w:pPr>
            <w:r>
              <w:rPr>
                <w:rFonts w:ascii="Arial" w:cs="Arial" w:eastAsia="Arial" w:hAnsi="Arial"/>
                <w:sz w:val="18"/>
                <w:szCs w:val="18"/>
                <w:color w:val="auto"/>
              </w:rPr>
              <w:t>Date: November 2, 2023</w:t>
            </w:r>
          </w:p>
        </w:tc>
        <w:tc>
          <w:tcPr>
            <w:tcW w:w="7740" w:type="dxa"/>
            <w:vAlign w:val="bottom"/>
            <w:gridSpan w:val="2"/>
          </w:tcPr>
          <w:p>
            <w:pPr>
              <w:ind w:left="1680"/>
              <w:spacing w:after="0"/>
              <w:rPr>
                <w:sz w:val="20"/>
                <w:szCs w:val="20"/>
                <w:color w:val="auto"/>
              </w:rPr>
            </w:pPr>
            <w:r>
              <w:rPr>
                <w:rFonts w:ascii="Arial" w:cs="Arial" w:eastAsia="Arial" w:hAnsi="Arial"/>
                <w:sz w:val="18"/>
                <w:szCs w:val="18"/>
                <w:color w:val="auto"/>
              </w:rPr>
              <w:t>By:  /s/ A. Troy Sturrock</w:t>
            </w:r>
          </w:p>
        </w:tc>
      </w:tr>
      <w:tr>
        <w:trPr>
          <w:trHeight w:val="222"/>
        </w:trPr>
        <w:tc>
          <w:tcPr>
            <w:tcW w:w="3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 Troy Sturrock</w:t>
            </w:r>
          </w:p>
        </w:tc>
      </w:tr>
      <w:tr>
        <w:trPr>
          <w:trHeight w:val="230"/>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w w:val="97"/>
              </w:rPr>
              <w:t>Group Senior Vice President, Controller and Principal Accounting Officer</w:t>
            </w:r>
          </w:p>
        </w:tc>
      </w:tr>
      <w:tr>
        <w:trPr>
          <w:trHeight w:val="850"/>
        </w:trPr>
        <w:tc>
          <w:tcPr>
            <w:tcW w:w="3220" w:type="dxa"/>
            <w:vAlign w:val="bottom"/>
          </w:tcPr>
          <w:p>
            <w:pPr>
              <w:spacing w:after="0"/>
              <w:rPr>
                <w:sz w:val="24"/>
                <w:szCs w:val="24"/>
                <w:color w:val="auto"/>
              </w:rPr>
            </w:pPr>
          </w:p>
        </w:tc>
        <w:tc>
          <w:tcPr>
            <w:tcW w:w="7740" w:type="dxa"/>
            <w:vAlign w:val="bottom"/>
            <w:gridSpan w:val="2"/>
          </w:tcPr>
          <w:p>
            <w:pPr>
              <w:ind w:left="208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240"/>
          </w:cols>
          <w:pgMar w:left="320" w:top="23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Marshall S. McCrea, III, certify that:</w:t>
      </w:r>
    </w:p>
    <w:p>
      <w:pPr>
        <w:spacing w:after="0" w:line="117" w:lineRule="exact"/>
        <w:rPr>
          <w:sz w:val="20"/>
          <w:szCs w:val="20"/>
          <w:color w:val="auto"/>
        </w:rPr>
      </w:pPr>
    </w:p>
    <w:p>
      <w:pPr>
        <w:ind w:left="820" w:hanging="812"/>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Energy Transfer LP;</w:t>
      </w:r>
    </w:p>
    <w:p>
      <w:pPr>
        <w:spacing w:after="0" w:line="117" w:lineRule="exact"/>
        <w:rPr>
          <w:rFonts w:ascii="Arial" w:cs="Arial" w:eastAsia="Arial" w:hAnsi="Arial"/>
          <w:sz w:val="18"/>
          <w:szCs w:val="18"/>
          <w:color w:val="auto"/>
        </w:rPr>
      </w:pPr>
    </w:p>
    <w:p>
      <w:pPr>
        <w:jc w:val="both"/>
        <w:ind w:left="820" w:hanging="812"/>
        <w:spacing w:after="0" w:line="263"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91"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460" w:hanging="642"/>
        <w:spacing w:after="0" w:line="263" w:lineRule="auto"/>
        <w:tabs>
          <w:tab w:leader="none" w:pos="145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642"/>
        <w:spacing w:after="0" w:line="263" w:lineRule="auto"/>
        <w:tabs>
          <w:tab w:leader="none" w:pos="14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642"/>
        <w:spacing w:after="0" w:line="342" w:lineRule="auto"/>
        <w:tabs>
          <w:tab w:leader="none" w:pos="1450" w:val="left"/>
        </w:tabs>
        <w:numPr>
          <w:ilvl w:val="2"/>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642"/>
        <w:spacing w:after="0" w:line="263" w:lineRule="auto"/>
        <w:tabs>
          <w:tab w:leader="none" w:pos="14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820" w:hanging="650"/>
        <w:spacing w:after="0" w:line="342" w:lineRule="auto"/>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hanging="642"/>
        <w:spacing w:after="0" w:line="308" w:lineRule="auto"/>
        <w:tabs>
          <w:tab w:leader="none" w:pos="1450" w:val="left"/>
        </w:tabs>
        <w:numPr>
          <w:ilvl w:val="2"/>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642"/>
        <w:spacing w:after="0" w:line="277" w:lineRule="auto"/>
        <w:tabs>
          <w:tab w:leader="none" w:pos="14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33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E. Long, certify that:</w:t>
      </w:r>
    </w:p>
    <w:p>
      <w:pPr>
        <w:spacing w:after="0" w:line="117" w:lineRule="exact"/>
        <w:rPr>
          <w:sz w:val="20"/>
          <w:szCs w:val="20"/>
          <w:color w:val="auto"/>
        </w:rPr>
      </w:pPr>
    </w:p>
    <w:p>
      <w:pPr>
        <w:ind w:left="820" w:hanging="812"/>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Energy Transfer LP;</w:t>
      </w:r>
    </w:p>
    <w:p>
      <w:pPr>
        <w:spacing w:after="0" w:line="117" w:lineRule="exact"/>
        <w:rPr>
          <w:rFonts w:ascii="Arial" w:cs="Arial" w:eastAsia="Arial" w:hAnsi="Arial"/>
          <w:sz w:val="18"/>
          <w:szCs w:val="18"/>
          <w:color w:val="auto"/>
        </w:rPr>
      </w:pPr>
    </w:p>
    <w:p>
      <w:pPr>
        <w:jc w:val="both"/>
        <w:ind w:left="820" w:hanging="812"/>
        <w:spacing w:after="0" w:line="263"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91" w:lineRule="auto"/>
        <w:tabs>
          <w:tab w:leader="none" w:pos="8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460" w:hanging="642"/>
        <w:spacing w:after="0" w:line="263" w:lineRule="auto"/>
        <w:tabs>
          <w:tab w:leader="none" w:pos="145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642"/>
        <w:spacing w:after="0" w:line="263"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642"/>
        <w:spacing w:after="0" w:line="342" w:lineRule="auto"/>
        <w:tabs>
          <w:tab w:leader="none" w:pos="1450" w:val="left"/>
        </w:tabs>
        <w:numPr>
          <w:ilvl w:val="2"/>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642"/>
        <w:spacing w:after="0" w:line="263"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820" w:hanging="650"/>
        <w:spacing w:after="0" w:line="342" w:lineRule="auto"/>
        <w:tabs>
          <w:tab w:leader="none" w:pos="8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hanging="642"/>
        <w:spacing w:after="0" w:line="308" w:lineRule="auto"/>
        <w:tabs>
          <w:tab w:leader="none" w:pos="1450" w:val="left"/>
        </w:tabs>
        <w:numPr>
          <w:ilvl w:val="2"/>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642"/>
        <w:spacing w:after="0" w:line="277"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33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Dylan A. Bramhall, certify that:</w:t>
      </w:r>
    </w:p>
    <w:p>
      <w:pPr>
        <w:spacing w:after="0" w:line="117" w:lineRule="exact"/>
        <w:rPr>
          <w:sz w:val="20"/>
          <w:szCs w:val="20"/>
          <w:color w:val="auto"/>
        </w:rPr>
      </w:pPr>
    </w:p>
    <w:p>
      <w:pPr>
        <w:ind w:left="820" w:hanging="812"/>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Energy Transfer LP;</w:t>
      </w:r>
    </w:p>
    <w:p>
      <w:pPr>
        <w:spacing w:after="0" w:line="117" w:lineRule="exact"/>
        <w:rPr>
          <w:rFonts w:ascii="Arial" w:cs="Arial" w:eastAsia="Arial" w:hAnsi="Arial"/>
          <w:sz w:val="18"/>
          <w:szCs w:val="18"/>
          <w:color w:val="auto"/>
        </w:rPr>
      </w:pPr>
    </w:p>
    <w:p>
      <w:pPr>
        <w:jc w:val="both"/>
        <w:ind w:left="820" w:hanging="812"/>
        <w:spacing w:after="0" w:line="263"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91" w:lineRule="auto"/>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460" w:hanging="642"/>
        <w:spacing w:after="0" w:line="263" w:lineRule="auto"/>
        <w:tabs>
          <w:tab w:leader="none" w:pos="145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642"/>
        <w:spacing w:after="0" w:line="263" w:lineRule="auto"/>
        <w:tabs>
          <w:tab w:leader="none" w:pos="14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642"/>
        <w:spacing w:after="0" w:line="342" w:lineRule="auto"/>
        <w:tabs>
          <w:tab w:leader="none" w:pos="1450" w:val="left"/>
        </w:tabs>
        <w:numPr>
          <w:ilvl w:val="2"/>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642"/>
        <w:spacing w:after="0" w:line="263" w:lineRule="auto"/>
        <w:tabs>
          <w:tab w:leader="none" w:pos="14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820" w:hanging="650"/>
        <w:spacing w:after="0" w:line="342" w:lineRule="auto"/>
        <w:tabs>
          <w:tab w:leader="none" w:pos="8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hanging="642"/>
        <w:spacing w:after="0" w:line="308" w:lineRule="auto"/>
        <w:tabs>
          <w:tab w:leader="none" w:pos="145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642"/>
        <w:spacing w:after="0" w:line="277" w:lineRule="auto"/>
        <w:tabs>
          <w:tab w:leader="none" w:pos="14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33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Dylan A. Bramhall</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Group Chief Financial Officer</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Energy Transfer LP (the “Partnership”) on Form 10-Q for the quarter ended September 30, 2023,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980" w:hanging="648"/>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80" w:hanging="648"/>
        <w:spacing w:after="0" w:line="277" w:lineRule="auto"/>
        <w:tabs>
          <w:tab w:leader="none" w:pos="9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5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Energy Transfer LP (the “Partnership”) on Form 10-Q for the quarter ended September 30, 2023,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71" w:lineRule="exact"/>
        <w:rPr>
          <w:sz w:val="20"/>
          <w:szCs w:val="20"/>
          <w:color w:val="auto"/>
        </w:rPr>
      </w:pPr>
    </w:p>
    <w:p>
      <w:pPr>
        <w:ind w:left="980" w:hanging="648"/>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80" w:hanging="648"/>
        <w:spacing w:after="0" w:line="277" w:lineRule="auto"/>
        <w:tabs>
          <w:tab w:leader="none" w:pos="9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5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Energy Transfer LP (the “Partnership”) on Form 10-Q for the quarter ended September 30, 2023, as filed with the Securities and Exchange Commission on the date hereof (the “Report”), I, Dylan A. Bramhall, Chief Financial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980" w:hanging="648"/>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80" w:hanging="648"/>
        <w:spacing w:after="0" w:line="277" w:lineRule="auto"/>
        <w:tabs>
          <w:tab w:leader="none" w:pos="97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5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Dylan A. Bramhall</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Group Chief Financial Officer</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3"/>
    </w:lvl>
  </w:abstractNum>
  <w:abstractNum w:abstractNumId="4">
    <w:nsid w:val="1E7FF521"/>
    <w:multiLevelType w:val="hybridMultilevel"/>
    <w:lvl w:ilvl="0">
      <w:lvlJc w:val="left"/>
      <w:lvlText w:val="%1."/>
      <w:numFmt w:val="decimal"/>
      <w:start w:val="5"/>
    </w:lvl>
  </w:abstractNum>
  <w:abstractNum w:abstractNumId="5">
    <w:nsid w:val="7C3DBD3D"/>
    <w:multiLevelType w:val="hybridMultilevel"/>
    <w:lvl w:ilvl="0">
      <w:lvlJc w:val="left"/>
      <w:lvlText w:val="%1."/>
      <w:numFmt w:val="decimal"/>
      <w:start w:val="6"/>
    </w:lvl>
  </w:abstractNum>
  <w:abstractNum w:abstractNumId="6">
    <w:nsid w:val="737B8DDC"/>
    <w:multiLevelType w:val="hybridMultilevel"/>
    <w:lvl w:ilvl="0">
      <w:lvlJc w:val="left"/>
      <w:lvlText w:val="%1"/>
      <w:numFmt w:val="decimal"/>
      <w:start w:val="1"/>
    </w:lvl>
    <w:lvl w:ilvl="1">
      <w:lvlJc w:val="left"/>
      <w:lvlText w:val="(%2)"/>
      <w:numFmt w:val="decimal"/>
      <w:start w:val="1"/>
    </w:lvl>
  </w:abstractNum>
  <w:abstractNum w:abstractNumId="7">
    <w:nsid w:val="6CEAF087"/>
    <w:multiLevelType w:val="hybridMultilevel"/>
    <w:lvl w:ilvl="0">
      <w:lvlJc w:val="left"/>
      <w:lvlText w:val="%1."/>
      <w:numFmt w:val="decimal"/>
      <w:start w:val="7"/>
    </w:lvl>
    <w:lvl w:ilvl="1">
      <w:lvlJc w:val="left"/>
      <w:lvlText w:val="%2"/>
      <w:numFmt w:val="decimal"/>
      <w:start w:val="1"/>
    </w:lvl>
  </w:abstractNum>
  <w:abstractNum w:abstractNumId="8">
    <w:nsid w:val="22221A70"/>
    <w:multiLevelType w:val="hybridMultilevel"/>
    <w:lvl w:ilvl="0">
      <w:lvlJc w:val="left"/>
      <w:lvlText w:val="%1."/>
      <w:numFmt w:val="decimal"/>
      <w:start w:val="8"/>
    </w:lvl>
  </w:abstractNum>
  <w:abstractNum w:abstractNumId="9">
    <w:nsid w:val="4516DDE9"/>
    <w:multiLevelType w:val="hybridMultilevel"/>
    <w:lvl w:ilvl="0">
      <w:lvlJc w:val="left"/>
      <w:lvlText w:val="%1."/>
      <w:numFmt w:val="decimal"/>
      <w:start w:val="9"/>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0"/>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1"/>
    </w:lvl>
  </w:abstractNum>
  <w:abstractNum w:abstractNumId="14">
    <w:nsid w:val="440BADFC"/>
    <w:multiLevelType w:val="hybridMultilevel"/>
    <w:lvl w:ilvl="0">
      <w:lvlJc w:val="left"/>
      <w:lvlText w:val="%1."/>
      <w:numFmt w:val="decimal"/>
      <w:start w:val="12"/>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3"/>
    </w:lvl>
  </w:abstractNum>
  <w:abstractNum w:abstractNumId="18">
    <w:nsid w:val="7724C67E"/>
    <w:multiLevelType w:val="hybridMultilevel"/>
    <w:lvl w:ilvl="0">
      <w:lvlJc w:val="left"/>
      <w:lvlText w:val="%1."/>
      <w:numFmt w:val="decimal"/>
      <w:start w:val="13"/>
    </w:lvl>
    <w:lvl w:ilvl="1">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lowerRoman"/>
      <w:start w:val="3"/>
    </w:lvl>
  </w:abstractNum>
  <w:abstractNum w:abstractNumId="50">
    <w:nsid w:val="520EEDD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1">
    <w:nsid w:val="374A3FE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2">
    <w:nsid w:val="4F4EF0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07" Type="http://schemas.openxmlformats.org/officeDocument/2006/relationships/hyperlink" Target="http://www.sec.gov/Archives/edgar/data/1276187/000119312505179978/dex32.htm" TargetMode="External"/><Relationship Id="rId108" Type="http://schemas.openxmlformats.org/officeDocument/2006/relationships/hyperlink" Target="http://www.sec.gov/Archives/edgar/data/1276187/000119312518303169/d639079dex31.htm" TargetMode="External"/><Relationship Id="rId109" Type="http://schemas.openxmlformats.org/officeDocument/2006/relationships/hyperlink" Target="http://www.sec.gov/Archives/edgar/data/1276187/000119312506031657/dex31.htm" TargetMode="External"/><Relationship Id="rId110" Type="http://schemas.openxmlformats.org/officeDocument/2006/relationships/hyperlink" Target="http://www.sec.gov/Archives/edgar/data/1276187/000119312506243515/dex331.htm" TargetMode="External"/><Relationship Id="rId111" Type="http://schemas.openxmlformats.org/officeDocument/2006/relationships/hyperlink" Target="http://www.sec.gov/Archives/edgar/data/1276187/000095012907005609/h51447exv3w3w2.htm" TargetMode="External"/><Relationship Id="rId112" Type="http://schemas.openxmlformats.org/officeDocument/2006/relationships/hyperlink" Target="http://www.sec.gov/Archives/edgar/data/1276187/000095012310055206/h73441exv3w1.htm" TargetMode="External"/><Relationship Id="rId113" Type="http://schemas.openxmlformats.org/officeDocument/2006/relationships/hyperlink" Target="http://www.sec.gov/Archives/edgar/data/1276187/000119312513486360/d650558dex31.htm" TargetMode="External"/><Relationship Id="rId114" Type="http://schemas.openxmlformats.org/officeDocument/2006/relationships/hyperlink" Target="http://www.sec.gov/Archives/edgar/data/1276187/000119312516498562/d138318dex31.htm" TargetMode="External"/><Relationship Id="rId115" Type="http://schemas.openxmlformats.org/officeDocument/2006/relationships/hyperlink" Target="http://www.sec.gov/Archives/edgar/data/1276187/000127618718000066/ex39amendmentno6.htm" TargetMode="External"/><Relationship Id="rId116" Type="http://schemas.openxmlformats.org/officeDocument/2006/relationships/hyperlink" Target="http://www.sec.gov/Archives/edgar/data/1276187/000127618719000034/etex310amendmentno7.htm" TargetMode="External"/><Relationship Id="rId117" Type="http://schemas.openxmlformats.org/officeDocument/2006/relationships/hyperlink" Target="https://www.sec.gov/Archives/edgar/data/1276187/000119312521104908/d123645dex31.htm" TargetMode="External"/><Relationship Id="rId118" Type="http://schemas.openxmlformats.org/officeDocument/2006/relationships/hyperlink" Target="https://www.sec.gov/Archives/edgar/data/1276187/000119312521191260/d142709dex31.htm" TargetMode="External"/><Relationship Id="rId119" Type="http://schemas.openxmlformats.org/officeDocument/2006/relationships/hyperlink" Target="https://www.sec.gov/Archives/edgar/data/1276187/000119312523256129/d306991dex42.htm" TargetMode="External"/><Relationship Id="rId120" Type="http://schemas.openxmlformats.org/officeDocument/2006/relationships/hyperlink" Target="https://www.sec.gov/Archives/edgar/data/1276187/000127618721000067/et06-30x2021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2023-11-02T10:32:08Z</dcterms:created>
  <dcterms:modified xsi:type="dcterms:W3CDTF">2023-11-02T10:32:08Z</dcterms:modified>
</cp:coreProperties>
</file>