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18"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Registration No. 333-279982</w:t>
      </w:r>
    </w:p>
    <w:p>
      <w:pPr>
        <w:spacing w:after="0" w:line="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ind w:left="340"/>
        <w:spacing w:after="0"/>
        <w:rPr>
          <w:sz w:val="20"/>
          <w:szCs w:val="20"/>
          <w:color w:val="auto"/>
        </w:rPr>
      </w:pPr>
      <w:r>
        <w:rPr>
          <w:rFonts w:ascii="Times New Roman" w:cs="Times New Roman" w:eastAsia="Times New Roman" w:hAnsi="Times New Roman"/>
          <w:sz w:val="11"/>
          <w:szCs w:val="11"/>
          <w:b w:val="1"/>
          <w:bCs w:val="1"/>
          <w:color w:val="auto"/>
        </w:rPr>
        <w:t>(To prospectus dated 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111125</wp:posOffset>
            </wp:positionV>
            <wp:extent cx="1148080" cy="349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080" cy="349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Energy Transfer LP</w:t>
      </w:r>
    </w:p>
    <w:p>
      <w:pPr>
        <w:spacing w:after="0" w:line="7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$1,000,000,000 4.550% Senior Notes due 2031</w:t>
      </w:r>
    </w:p>
    <w:p>
      <w:pPr>
        <w:spacing w:after="0" w:line="5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$1,000,000,000 5.350% Senior Notes due 2036</w:t>
      </w:r>
    </w:p>
    <w:p>
      <w:pPr>
        <w:spacing w:after="0" w:line="5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$1,000,000,000 6.300% Senior Notes due 2056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109220</wp:posOffset>
            </wp:positionV>
            <wp:extent cx="1108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1" w:lineRule="exact"/>
        <w:rPr>
          <w:sz w:val="24"/>
          <w:szCs w:val="24"/>
          <w:color w:val="auto"/>
        </w:rPr>
      </w:pPr>
    </w:p>
    <w:p>
      <w:pPr>
        <w:jc w:val="both"/>
        <w:ind w:left="340" w:right="459" w:firstLine="333"/>
        <w:spacing w:after="0" w:line="228" w:lineRule="auto"/>
        <w:rPr>
          <w:sz w:val="20"/>
          <w:szCs w:val="20"/>
          <w:color w:val="auto"/>
        </w:rPr>
      </w:pPr>
      <w:r>
        <w:rPr>
          <w:rFonts w:ascii="Times New Roman" w:cs="Times New Roman" w:eastAsia="Times New Roman" w:hAnsi="Times New Roman"/>
          <w:sz w:val="12"/>
          <w:szCs w:val="12"/>
          <w:color w:val="auto"/>
        </w:rPr>
        <w:t>We are offering $3,000,000,000 aggregate principal amount of notes of the following series: $1,000,000,000 aggregate principal amount of our 4.550% Senior Notes due 2031 (the “2031 notes”), $1,000,000,000 aggregate principal amount of our 5.350% Senior Notes due 2036 (the “2036 notes”) and $1,000,000,000 aggregate principal amount of our 6.300% Senior Notes due 2056 (the “2056 notes”). We refer to the 2031 notes, the 2036 notes and the 2056 notes, collectively, as the “notes.”</w:t>
      </w:r>
    </w:p>
    <w:p>
      <w:pPr>
        <w:spacing w:after="0" w:line="25" w:lineRule="exact"/>
        <w:rPr>
          <w:sz w:val="24"/>
          <w:szCs w:val="24"/>
          <w:color w:val="auto"/>
        </w:rPr>
      </w:pPr>
    </w:p>
    <w:p>
      <w:pPr>
        <w:ind w:left="340" w:right="399" w:firstLine="333"/>
        <w:spacing w:after="0" w:line="319" w:lineRule="auto"/>
        <w:rPr>
          <w:sz w:val="20"/>
          <w:szCs w:val="20"/>
          <w:color w:val="auto"/>
        </w:rPr>
      </w:pPr>
      <w:r>
        <w:rPr>
          <w:rFonts w:ascii="Times New Roman" w:cs="Times New Roman" w:eastAsia="Times New Roman" w:hAnsi="Times New Roman"/>
          <w:sz w:val="10"/>
          <w:szCs w:val="10"/>
          <w:color w:val="auto"/>
        </w:rPr>
        <w:t>Interest on each series of notes will accrue from January 27, 2026. Interest on the notes will be payable semi-annually on January 15 and July 15 of each year, beginning on July 15, 2026. The 2031 notes will mature on January 15, 2031, the 2036 notes will mature on January 15, 2036 and the 2056 notes will mature on January 15, 2056.</w:t>
      </w:r>
    </w:p>
    <w:p>
      <w:pPr>
        <w:spacing w:after="0" w:line="1" w:lineRule="exact"/>
        <w:rPr>
          <w:sz w:val="24"/>
          <w:szCs w:val="24"/>
          <w:color w:val="auto"/>
        </w:rPr>
      </w:pPr>
    </w:p>
    <w:p>
      <w:pPr>
        <w:ind w:left="340" w:right="379" w:firstLine="333"/>
        <w:spacing w:after="0" w:line="266" w:lineRule="auto"/>
        <w:rPr>
          <w:sz w:val="20"/>
          <w:szCs w:val="20"/>
          <w:color w:val="auto"/>
        </w:rPr>
      </w:pPr>
      <w:r>
        <w:rPr>
          <w:rFonts w:ascii="Times New Roman" w:cs="Times New Roman" w:eastAsia="Times New Roman" w:hAnsi="Times New Roman"/>
          <w:sz w:val="10"/>
          <w:szCs w:val="10"/>
          <w:color w:val="auto"/>
        </w:rPr>
        <w:t>We may redeem some or all of the 2031 notes at any time prior to December 15, 2030 (the “2031 Notes Par Call Date”) (the date that is one month prior to the maturity of the 2031 notes), the 2036 notes at any time prior to October 15, 2035 (the “2036 Notes Par Call Date”) (the date that is three months prior to the maturity date of the 2036 notes) and the 2056 notes at any time prior to July 15, 2055 (the “2056 Notes Par Call Date”) (the date that is six months prior to the maturity date of the 2056 notes). Any such redemption of the notes will be at a redemption price equal to the greater of 100% of the principal amount of the notes to be redeemed and a “make-whole” redemption price, plus, in each case, accrued and unpaid interest, if any, to but not including the redemption date. On or after the 2031 Notes Par Call Date (in the case of the 2031 notes), the 2036 Notes Par Call Date (in the case of the 2036 notes) and the 2056 Notes Par Call Date (in the case of the 2056 notes), we may redeem some or all of such notes at a redemption price equal to 100% of the principal amount of the notes to be redeemed, plus accrued and unpaid interest, if any, to but not including the redemption date. Please read the section entitled “</w:t>
      </w:r>
      <w:r>
        <w:rPr>
          <w:rFonts w:ascii="Times New Roman" w:cs="Times New Roman" w:eastAsia="Times New Roman" w:hAnsi="Times New Roman"/>
          <w:sz w:val="10"/>
          <w:szCs w:val="10"/>
          <w:i w:val="1"/>
          <w:iCs w:val="1"/>
          <w:color w:val="auto"/>
        </w:rPr>
        <w:t>Description of the Notes—Optional Redemption</w:t>
      </w:r>
      <w:r>
        <w:rPr>
          <w:rFonts w:ascii="Times New Roman" w:cs="Times New Roman" w:eastAsia="Times New Roman" w:hAnsi="Times New Roman"/>
          <w:sz w:val="10"/>
          <w:szCs w:val="10"/>
          <w:color w:val="auto"/>
        </w:rPr>
        <w:t>.” The notes will not be entitled to the benefit of any sinking fund payment.</w:t>
      </w:r>
    </w:p>
    <w:p>
      <w:pPr>
        <w:spacing w:after="0" w:line="139" w:lineRule="exact"/>
        <w:rPr>
          <w:sz w:val="24"/>
          <w:szCs w:val="24"/>
          <w:color w:val="auto"/>
        </w:rPr>
      </w:pPr>
    </w:p>
    <w:p>
      <w:pPr>
        <w:ind w:left="340" w:right="479" w:firstLine="333"/>
        <w:spacing w:after="0" w:line="224" w:lineRule="auto"/>
        <w:rPr>
          <w:sz w:val="20"/>
          <w:szCs w:val="20"/>
          <w:color w:val="auto"/>
        </w:rPr>
      </w:pPr>
      <w:r>
        <w:rPr>
          <w:rFonts w:ascii="Times New Roman" w:cs="Times New Roman" w:eastAsia="Times New Roman" w:hAnsi="Times New Roman"/>
          <w:sz w:val="12"/>
          <w:szCs w:val="12"/>
          <w:color w:val="auto"/>
        </w:rPr>
        <w:t>The notes will be our senior unsecured obligations. If we default, your right to payment under the notes will rank equally with the right to payment of the holders of our other existing and future unsecured senior debt, including debt under our revolving credit facility and our existing senior notes, and senior in right of payment to our existing and future subordinated debt. None of our subsidiaries will guarantee the notes upon their issuance. Any of our subsidiaries that in the future become guarantors or co-issuers of our long-term debt must guarantee the notes.</w:t>
      </w:r>
    </w:p>
    <w:p>
      <w:pPr>
        <w:spacing w:after="0" w:line="26" w:lineRule="exact"/>
        <w:rPr>
          <w:sz w:val="24"/>
          <w:szCs w:val="24"/>
          <w:color w:val="auto"/>
        </w:rPr>
      </w:pPr>
    </w:p>
    <w:p>
      <w:pPr>
        <w:ind w:left="340" w:right="499" w:firstLine="333"/>
        <w:spacing w:after="0" w:line="236" w:lineRule="auto"/>
        <w:rPr>
          <w:sz w:val="20"/>
          <w:szCs w:val="20"/>
          <w:color w:val="auto"/>
        </w:rPr>
      </w:pPr>
      <w:r>
        <w:rPr>
          <w:rFonts w:ascii="Times New Roman" w:cs="Times New Roman" w:eastAsia="Times New Roman" w:hAnsi="Times New Roman"/>
          <w:sz w:val="12"/>
          <w:szCs w:val="12"/>
          <w:color w:val="auto"/>
        </w:rPr>
        <w:t>Each series of notes is a new issue of securities with no established trading market. We do not intend to apply for the listing of the notes on any securities exchange or for the quotation of the notes on any automated dealer quotation system.</w:t>
      </w:r>
    </w:p>
    <w:p>
      <w:pPr>
        <w:spacing w:after="0" w:line="33" w:lineRule="exact"/>
        <w:rPr>
          <w:sz w:val="24"/>
          <w:szCs w:val="24"/>
          <w:color w:val="auto"/>
        </w:rPr>
      </w:pPr>
    </w:p>
    <w:p>
      <w:pPr>
        <w:ind w:left="340" w:right="419" w:firstLine="333"/>
        <w:spacing w:after="0" w:line="237"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2" w:lineRule="exact"/>
        <w:rPr>
          <w:sz w:val="24"/>
          <w:szCs w:val="24"/>
          <w:color w:val="auto"/>
        </w:rPr>
      </w:pPr>
    </w:p>
    <w:p>
      <w:pPr>
        <w:ind w:left="340" w:right="599" w:firstLine="333"/>
        <w:spacing w:after="0" w:line="239" w:lineRule="auto"/>
        <w:rPr>
          <w:sz w:val="20"/>
          <w:szCs w:val="20"/>
          <w:color w:val="auto"/>
        </w:rPr>
      </w:pPr>
      <w:r>
        <w:rPr>
          <w:rFonts w:ascii="Times New Roman" w:cs="Times New Roman" w:eastAsia="Times New Roman" w:hAnsi="Times New Roman"/>
          <w:sz w:val="12"/>
          <w:szCs w:val="12"/>
          <w:b w:val="1"/>
          <w:bCs w:val="1"/>
          <w:color w:val="auto"/>
        </w:rPr>
        <w:t>Investing in the notes involves risks. Please read “</w:t>
      </w:r>
      <w:r>
        <w:rPr>
          <w:rFonts w:ascii="Times New Roman" w:cs="Times New Roman" w:eastAsia="Times New Roman" w:hAnsi="Times New Roman"/>
          <w:sz w:val="12"/>
          <w:szCs w:val="12"/>
          <w:b w:val="1"/>
          <w:bCs w:val="1"/>
          <w:i w:val="1"/>
          <w:iCs w:val="1"/>
          <w:u w:val="single" w:color="auto"/>
          <w:color w:val="0000EE"/>
        </w:rPr>
        <w:t>Risk Factors</w:t>
      </w:r>
      <w:r>
        <w:rPr>
          <w:rFonts w:ascii="Times New Roman" w:cs="Times New Roman" w:eastAsia="Times New Roman" w:hAnsi="Times New Roman"/>
          <w:sz w:val="12"/>
          <w:szCs w:val="12"/>
          <w:b w:val="1"/>
          <w:bCs w:val="1"/>
          <w:color w:val="auto"/>
        </w:rPr>
        <w:t>” beginning on page S-5 of this prospectus supplement and on page 7 of the accompanying base prospectus.</w:t>
      </w:r>
    </w:p>
    <w:p>
      <w:pPr>
        <w:spacing w:after="0" w:line="15" w:lineRule="exact"/>
        <w:rPr>
          <w:sz w:val="24"/>
          <w:szCs w:val="24"/>
          <w:color w:val="auto"/>
        </w:rPr>
      </w:pPr>
    </w:p>
    <w:tbl>
      <w:tblPr>
        <w:tblLayout w:type="fixed"/>
        <w:tblInd w:w="34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1540" w:type="dxa"/>
            <w:vAlign w:val="bottom"/>
            <w:gridSpan w:val="3"/>
          </w:tcPr>
          <w:p>
            <w:pPr>
              <w:jc w:val="center"/>
              <w:ind w:left="763"/>
              <w:spacing w:after="0"/>
              <w:rPr>
                <w:sz w:val="20"/>
                <w:szCs w:val="20"/>
                <w:color w:val="auto"/>
              </w:rPr>
            </w:pPr>
            <w:r>
              <w:rPr>
                <w:rFonts w:ascii="Times New Roman" w:cs="Times New Roman" w:eastAsia="Times New Roman" w:hAnsi="Times New Roman"/>
                <w:sz w:val="11"/>
                <w:szCs w:val="11"/>
                <w:b w:val="1"/>
                <w:bCs w:val="1"/>
                <w:color w:val="auto"/>
                <w:w w:val="96"/>
              </w:rPr>
              <w:t>Per 2031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96"/>
              </w:rPr>
              <w:t>Total 2031</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 2036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96"/>
              </w:rPr>
              <w:t>Total 2036</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 2056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2056</w:t>
            </w:r>
          </w:p>
        </w:tc>
      </w:tr>
      <w:tr>
        <w:trPr>
          <w:trHeight w:val="131"/>
        </w:trPr>
        <w:tc>
          <w:tcPr>
            <w:tcW w:w="330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notes</w:t>
            </w:r>
          </w:p>
        </w:tc>
        <w:tc>
          <w:tcPr>
            <w:tcW w:w="40" w:type="dxa"/>
            <w:vAlign w:val="bottom"/>
            <w:tcBorders>
              <w:bottom w:val="single" w:sz="8" w:color="CCEEFF"/>
            </w:tcBorders>
          </w:tcPr>
          <w:p>
            <w:pPr>
              <w:spacing w:after="0"/>
              <w:rPr>
                <w:sz w:val="11"/>
                <w:szCs w:val="11"/>
                <w:color w:val="auto"/>
              </w:rPr>
            </w:pPr>
          </w:p>
        </w:tc>
      </w:tr>
      <w:tr>
        <w:trPr>
          <w:trHeight w:val="113"/>
        </w:trPr>
        <w:tc>
          <w:tcPr>
            <w:tcW w:w="3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Public offering price</w:t>
            </w:r>
            <w:r>
              <w:rPr>
                <w:rFonts w:ascii="Times New Roman" w:cs="Times New Roman" w:eastAsia="Times New Roman" w:hAnsi="Times New Roman"/>
                <w:sz w:val="8"/>
                <w:szCs w:val="8"/>
                <w:color w:val="auto"/>
              </w:rPr>
              <w:t>(1)</w:t>
            </w:r>
          </w:p>
        </w:tc>
        <w:tc>
          <w:tcPr>
            <w:tcW w:w="9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2"/>
                <w:szCs w:val="12"/>
                <w:color w:val="auto"/>
              </w:rPr>
              <w:t>99.830%</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w w:val="93"/>
              </w:rPr>
              <w:t>998,300,000</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2"/>
                <w:szCs w:val="12"/>
                <w:color w:val="auto"/>
              </w:rPr>
              <w:t>99.933%</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w w:val="93"/>
              </w:rPr>
              <w:t>999,330,000</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2"/>
                <w:szCs w:val="12"/>
                <w:color w:val="auto"/>
              </w:rPr>
              <w:t>99.842%</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w w:val="93"/>
              </w:rPr>
              <w:t>998,420,000</w:t>
            </w:r>
          </w:p>
        </w:tc>
        <w:tc>
          <w:tcPr>
            <w:tcW w:w="40" w:type="dxa"/>
            <w:vAlign w:val="bottom"/>
            <w:shd w:val="clear" w:color="auto" w:fill="CCEEFF"/>
          </w:tcPr>
          <w:p>
            <w:pPr>
              <w:spacing w:after="0"/>
              <w:rPr>
                <w:sz w:val="9"/>
                <w:szCs w:val="9"/>
                <w:color w:val="auto"/>
              </w:rPr>
            </w:pPr>
          </w:p>
        </w:tc>
      </w:tr>
      <w:tr>
        <w:trPr>
          <w:trHeight w:val="123"/>
        </w:trPr>
        <w:tc>
          <w:tcPr>
            <w:tcW w:w="330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Underwriting discount</w:t>
            </w:r>
          </w:p>
        </w:tc>
        <w:tc>
          <w:tcPr>
            <w:tcW w:w="154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0.600%</w:t>
            </w:r>
          </w:p>
        </w:tc>
        <w:tc>
          <w:tcPr>
            <w:tcW w:w="1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6,000,000</w:t>
            </w:r>
          </w:p>
        </w:tc>
        <w:tc>
          <w:tcPr>
            <w:tcW w:w="68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0.650%</w:t>
            </w:r>
          </w:p>
        </w:tc>
        <w:tc>
          <w:tcPr>
            <w:tcW w:w="1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6,500,000</w:t>
            </w:r>
          </w:p>
        </w:tc>
        <w:tc>
          <w:tcPr>
            <w:tcW w:w="68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0.875%</w:t>
            </w:r>
          </w:p>
        </w:tc>
        <w:tc>
          <w:tcPr>
            <w:tcW w:w="1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8,750,000</w:t>
            </w:r>
          </w:p>
        </w:tc>
        <w:tc>
          <w:tcPr>
            <w:tcW w:w="40" w:type="dxa"/>
            <w:vAlign w:val="bottom"/>
          </w:tcPr>
          <w:p>
            <w:pPr>
              <w:spacing w:after="0"/>
              <w:rPr>
                <w:sz w:val="10"/>
                <w:szCs w:val="10"/>
                <w:color w:val="auto"/>
              </w:rPr>
            </w:pPr>
          </w:p>
        </w:tc>
      </w:tr>
      <w:tr>
        <w:trPr>
          <w:trHeight w:val="123"/>
        </w:trPr>
        <w:tc>
          <w:tcPr>
            <w:tcW w:w="33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2"/>
                <w:szCs w:val="12"/>
                <w:color w:val="auto"/>
              </w:rPr>
              <w:t>Proceeds to Energy Transfer LP (before expenses)</w:t>
            </w:r>
          </w:p>
        </w:tc>
        <w:tc>
          <w:tcPr>
            <w:tcW w:w="1540" w:type="dxa"/>
            <w:vAlign w:val="bottom"/>
            <w:gridSpan w:val="3"/>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99.230%</w:t>
            </w:r>
          </w:p>
        </w:tc>
        <w:tc>
          <w:tcPr>
            <w:tcW w:w="120" w:type="dxa"/>
            <w:vAlign w:val="bottom"/>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w w:val="93"/>
              </w:rPr>
              <w:t>992,300,000</w:t>
            </w:r>
          </w:p>
        </w:tc>
        <w:tc>
          <w:tcPr>
            <w:tcW w:w="680" w:type="dxa"/>
            <w:vAlign w:val="bottom"/>
            <w:gridSpan w:val="3"/>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99.283%</w:t>
            </w:r>
          </w:p>
        </w:tc>
        <w:tc>
          <w:tcPr>
            <w:tcW w:w="120" w:type="dxa"/>
            <w:vAlign w:val="bottom"/>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w w:val="93"/>
              </w:rPr>
              <w:t>992,830,000</w:t>
            </w:r>
          </w:p>
        </w:tc>
        <w:tc>
          <w:tcPr>
            <w:tcW w:w="680" w:type="dxa"/>
            <w:vAlign w:val="bottom"/>
            <w:gridSpan w:val="3"/>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2"/>
                <w:szCs w:val="12"/>
                <w:color w:val="auto"/>
              </w:rPr>
              <w:t>98.967%</w:t>
            </w:r>
          </w:p>
        </w:tc>
        <w:tc>
          <w:tcPr>
            <w:tcW w:w="120" w:type="dxa"/>
            <w:vAlign w:val="bottom"/>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w w:val="93"/>
              </w:rPr>
              <w:t>989,670,000</w:t>
            </w:r>
          </w:p>
        </w:tc>
        <w:tc>
          <w:tcPr>
            <w:tcW w:w="40" w:type="dxa"/>
            <w:vAlign w:val="bottom"/>
            <w:shd w:val="clear" w:color="auto" w:fill="CCEEFF"/>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71120</wp:posOffset>
            </wp:positionV>
            <wp:extent cx="5772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10" w:lineRule="exact"/>
        <w:rPr>
          <w:sz w:val="24"/>
          <w:szCs w:val="24"/>
          <w:color w:val="auto"/>
        </w:rPr>
      </w:pPr>
    </w:p>
    <w:p>
      <w:pPr>
        <w:ind w:left="660" w:hanging="323"/>
        <w:spacing w:after="0"/>
        <w:tabs>
          <w:tab w:leader="none" w:pos="66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accrued interest from January 27, 2026, if any.</w:t>
      </w:r>
    </w:p>
    <w:p>
      <w:pPr>
        <w:spacing w:after="0" w:line="40" w:lineRule="exact"/>
        <w:rPr>
          <w:sz w:val="24"/>
          <w:szCs w:val="24"/>
          <w:color w:val="auto"/>
        </w:rPr>
      </w:pPr>
    </w:p>
    <w:p>
      <w:pPr>
        <w:ind w:left="340" w:right="679" w:firstLine="333"/>
        <w:spacing w:after="0" w:line="244" w:lineRule="auto"/>
        <w:rPr>
          <w:sz w:val="20"/>
          <w:szCs w:val="20"/>
          <w:color w:val="auto"/>
        </w:rPr>
      </w:pPr>
      <w:r>
        <w:rPr>
          <w:rFonts w:ascii="Times New Roman" w:cs="Times New Roman" w:eastAsia="Times New Roman" w:hAnsi="Times New Roman"/>
          <w:sz w:val="11"/>
          <w:szCs w:val="11"/>
          <w:color w:val="auto"/>
        </w:rPr>
        <w:t xml:space="preserve">The underwriters expect to deliver the notes in registered book-entry form only through the facilities of The Depository Trust Company, including Clearstream Banking, </w:t>
      </w:r>
      <w:r>
        <w:rPr>
          <w:rFonts w:ascii="Times New Roman" w:cs="Times New Roman" w:eastAsia="Times New Roman" w:hAnsi="Times New Roman"/>
          <w:sz w:val="11"/>
          <w:szCs w:val="11"/>
          <w:i w:val="1"/>
          <w:iCs w:val="1"/>
          <w:color w:val="auto"/>
        </w:rPr>
        <w:t>société</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anonyme</w:t>
      </w:r>
      <w:r>
        <w:rPr>
          <w:rFonts w:ascii="Times New Roman" w:cs="Times New Roman" w:eastAsia="Times New Roman" w:hAnsi="Times New Roman"/>
          <w:sz w:val="11"/>
          <w:szCs w:val="11"/>
          <w:color w:val="auto"/>
        </w:rPr>
        <w:t>, Luxembourg and Euroclear Bank NV/SA, on or about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82550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52" w:lineRule="exact"/>
        <w:rPr>
          <w:sz w:val="24"/>
          <w:szCs w:val="24"/>
          <w:color w:val="auto"/>
        </w:rPr>
      </w:pPr>
    </w:p>
    <w:tbl>
      <w:tblPr>
        <w:tblLayout w:type="fixed"/>
        <w:tblInd w:w="340" w:type="dxa"/>
        <w:tblCellMar>
          <w:top w:w="0" w:type="dxa"/>
          <w:left w:w="0" w:type="dxa"/>
          <w:bottom w:w="0" w:type="dxa"/>
          <w:right w:w="0" w:type="dxa"/>
        </w:tblCellMar>
      </w:tblPr>
      <w:tr>
        <w:trPr>
          <w:trHeight w:val="143"/>
        </w:trPr>
        <w:tc>
          <w:tcPr>
            <w:tcW w:w="1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Joint Book-Running Managers</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98"/>
        </w:trPr>
        <w:tc>
          <w:tcPr>
            <w:tcW w:w="1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BofA Securities</w:t>
            </w:r>
          </w:p>
        </w:tc>
        <w:tc>
          <w:tcPr>
            <w:tcW w:w="20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rPr>
              <w:t>Deutsche Bank Securities</w:t>
            </w:r>
          </w:p>
        </w:tc>
        <w:tc>
          <w:tcPr>
            <w:tcW w:w="188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Mizuho</w:t>
            </w:r>
          </w:p>
        </w:tc>
        <w:tc>
          <w:tcPr>
            <w:tcW w:w="174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MUFG</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SMBC Nikko</w:t>
            </w:r>
          </w:p>
        </w:tc>
      </w:t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Barclays</w:t>
            </w:r>
          </w:p>
        </w:tc>
        <w:tc>
          <w:tcPr>
            <w:tcW w:w="2000" w:type="dxa"/>
            <w:vAlign w:val="bottom"/>
          </w:tcPr>
          <w:p>
            <w:pPr>
              <w:ind w:left="540"/>
              <w:spacing w:after="0"/>
              <w:rPr>
                <w:sz w:val="20"/>
                <w:szCs w:val="20"/>
                <w:color w:val="auto"/>
              </w:rPr>
            </w:pPr>
            <w:r>
              <w:rPr>
                <w:rFonts w:ascii="Times New Roman" w:cs="Times New Roman" w:eastAsia="Times New Roman" w:hAnsi="Times New Roman"/>
                <w:sz w:val="12"/>
                <w:szCs w:val="12"/>
                <w:b w:val="1"/>
                <w:bCs w:val="1"/>
                <w:color w:val="auto"/>
              </w:rPr>
              <w:t>BBVA</w:t>
            </w:r>
          </w:p>
        </w:tc>
        <w:tc>
          <w:tcPr>
            <w:tcW w:w="188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BMO Capital Markets</w:t>
            </w:r>
          </w:p>
        </w:tc>
        <w:tc>
          <w:tcPr>
            <w:tcW w:w="1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CIBC Capital Markets</w:t>
            </w:r>
          </w:p>
        </w:tc>
      </w:t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Citigroup</w:t>
            </w:r>
          </w:p>
        </w:tc>
        <w:tc>
          <w:tcPr>
            <w:tcW w:w="2000" w:type="dxa"/>
            <w:vAlign w:val="bottom"/>
          </w:tcPr>
          <w:p>
            <w:pPr>
              <w:ind w:left="720"/>
              <w:spacing w:after="0"/>
              <w:rPr>
                <w:sz w:val="20"/>
                <w:szCs w:val="20"/>
                <w:color w:val="auto"/>
              </w:rPr>
            </w:pPr>
            <w:r>
              <w:rPr>
                <w:rFonts w:ascii="Times New Roman" w:cs="Times New Roman" w:eastAsia="Times New Roman" w:hAnsi="Times New Roman"/>
                <w:sz w:val="12"/>
                <w:szCs w:val="12"/>
                <w:b w:val="1"/>
                <w:bCs w:val="1"/>
                <w:color w:val="auto"/>
              </w:rPr>
              <w:t>Credit Agricole CIB</w:t>
            </w:r>
          </w:p>
        </w:tc>
        <w:tc>
          <w:tcPr>
            <w:tcW w:w="3620" w:type="dxa"/>
            <w:vAlign w:val="bottom"/>
            <w:gridSpan w:val="2"/>
          </w:tcPr>
          <w:p>
            <w:pPr>
              <w:ind w:left="1460"/>
              <w:spacing w:after="0"/>
              <w:rPr>
                <w:sz w:val="20"/>
                <w:szCs w:val="20"/>
                <w:color w:val="auto"/>
              </w:rPr>
            </w:pPr>
            <w:r>
              <w:rPr>
                <w:rFonts w:ascii="Times New Roman" w:cs="Times New Roman" w:eastAsia="Times New Roman" w:hAnsi="Times New Roman"/>
                <w:sz w:val="12"/>
                <w:szCs w:val="12"/>
                <w:b w:val="1"/>
                <w:bCs w:val="1"/>
                <w:color w:val="auto"/>
              </w:rPr>
              <w:t>Fifth Third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J.P. Morgan</w:t>
            </w:r>
          </w:p>
        </w:tc>
      </w:t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Morgan Stanley</w:t>
            </w:r>
          </w:p>
        </w:tc>
        <w:tc>
          <w:tcPr>
            <w:tcW w:w="200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PNC Capital Markets LLC</w:t>
            </w:r>
          </w:p>
        </w:tc>
        <w:tc>
          <w:tcPr>
            <w:tcW w:w="188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RBC Capital Markets</w:t>
            </w:r>
          </w:p>
        </w:tc>
        <w:tc>
          <w:tcPr>
            <w:tcW w:w="1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Regions Securities LLC</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Scotiabank</w:t>
            </w:r>
          </w:p>
        </w:tc>
      </w:t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SOCIETE GENERALE</w:t>
            </w:r>
          </w:p>
        </w:tc>
        <w:tc>
          <w:tcPr>
            <w:tcW w:w="200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TD Securities</w:t>
            </w:r>
          </w:p>
        </w:tc>
        <w:tc>
          <w:tcPr>
            <w:tcW w:w="188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Truist Securities</w:t>
            </w:r>
          </w:p>
        </w:tc>
        <w:tc>
          <w:tcPr>
            <w:tcW w:w="17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US Bancorp</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Wells Fargo Securities</w:t>
            </w:r>
          </w:p>
        </w:tc>
      </w:tr>
    </w:tbl>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date of this prospectus supplement is January 12, 2026.</w:t>
      </w:r>
    </w:p>
    <w:p>
      <w:pPr>
        <w:sectPr>
          <w:pgSz w:w="11900" w:h="16838" w:orient="portrait"/>
          <w:cols w:equalWidth="0" w:num="1">
            <w:col w:w="9019"/>
          </w:cols>
          <w:pgMar w:left="1440" w:top="317" w:right="1440" w:bottom="1440" w:gutter="0" w:footer="0" w:header="0"/>
        </w:sectPr>
      </w:pPr>
    </w:p>
    <w:bookmarkStart w:id="1" w:name="page2"/>
    <w:bookmarkEnd w:id="1"/>
    <w:tbl>
      <w:tblPr>
        <w:tblLayout w:type="fixed"/>
        <w:tblInd w:w="34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gridSpan w:val="3"/>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3220" w:type="dxa"/>
            <w:vAlign w:val="bottom"/>
          </w:tcPr>
          <w:p>
            <w:pPr>
              <w:spacing w:after="0"/>
              <w:rPr>
                <w:sz w:val="15"/>
                <w:szCs w:val="15"/>
                <w:color w:val="auto"/>
              </w:rPr>
            </w:pPr>
          </w:p>
        </w:tc>
      </w:tr>
      <w:tr>
        <w:trPr>
          <w:trHeight w:val="327"/>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3"/>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6"/>
              </w:rPr>
              <w:t>Prospectus Supplement</w:t>
            </w:r>
          </w:p>
        </w:tc>
        <w:tc>
          <w:tcPr>
            <w:tcW w:w="3220" w:type="dxa"/>
            <w:vAlign w:val="bottom"/>
          </w:tcPr>
          <w:p>
            <w:pPr>
              <w:spacing w:after="0"/>
              <w:rPr>
                <w:sz w:val="24"/>
                <w:szCs w:val="24"/>
                <w:color w:val="auto"/>
              </w:rPr>
            </w:pPr>
          </w:p>
        </w:tc>
      </w:tr>
      <w:tr>
        <w:trPr>
          <w:trHeight w:val="317"/>
        </w:trPr>
        <w:tc>
          <w:tcPr>
            <w:tcW w:w="22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4"/>
              </w:rPr>
              <w:t>FORWARD-LOOKING STATEMENTS</w:t>
            </w:r>
          </w:p>
        </w:tc>
        <w:tc>
          <w:tcPr>
            <w:tcW w:w="2860" w:type="dxa"/>
            <w:vAlign w:val="bottom"/>
            <w:gridSpan w:val="5"/>
          </w:tcPr>
          <w:p>
            <w:pPr>
              <w:spacing w:after="0"/>
              <w:rPr>
                <w:sz w:val="24"/>
                <w:szCs w:val="24"/>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143"/>
        </w:trPr>
        <w:tc>
          <w:tcPr>
            <w:tcW w:w="70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3"/>
              </w:rPr>
              <w:t>SUMMARY</w:t>
            </w:r>
          </w:p>
        </w:tc>
        <w:tc>
          <w:tcPr>
            <w:tcW w:w="4380" w:type="dxa"/>
            <w:vAlign w:val="bottom"/>
            <w:gridSpan w:val="19"/>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THE OFFERING</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S-2</w:t>
            </w:r>
          </w:p>
        </w:tc>
      </w:tr>
      <w:tr>
        <w:trPr>
          <w:trHeight w:val="143"/>
        </w:trPr>
        <w:tc>
          <w:tcPr>
            <w:tcW w:w="960" w:type="dxa"/>
            <w:vAlign w:val="bottom"/>
            <w:tcBorders>
              <w:top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RISK FACTORS</w:t>
            </w:r>
          </w:p>
        </w:tc>
        <w:tc>
          <w:tcPr>
            <w:tcW w:w="4120" w:type="dxa"/>
            <w:vAlign w:val="bottom"/>
            <w:gridSpan w:val="17"/>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120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3880" w:type="dxa"/>
            <w:vAlign w:val="bottom"/>
            <w:gridSpan w:val="13"/>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S-8</w:t>
            </w:r>
          </w:p>
        </w:tc>
      </w:tr>
      <w:tr>
        <w:trPr>
          <w:trHeight w:val="143"/>
        </w:trPr>
        <w:tc>
          <w:tcPr>
            <w:tcW w:w="1120" w:type="dxa"/>
            <w:vAlign w:val="bottom"/>
            <w:tcBorders>
              <w:bottom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4"/>
              </w:rPr>
              <w:t>CAPITALIZATION</w:t>
            </w:r>
          </w:p>
        </w:tc>
        <w:tc>
          <w:tcPr>
            <w:tcW w:w="3960" w:type="dxa"/>
            <w:vAlign w:val="bottom"/>
            <w:gridSpan w:val="14"/>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S-9</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DESCRIPTION OF THE NOTES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S-10</w:t>
            </w: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CERTAIN U.S. FEDERAL INCOME TAX CONSIDERATIONS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S-27</w:t>
            </w:r>
          </w:p>
        </w:tc>
      </w:tr>
      <w:tr>
        <w:trPr>
          <w:trHeight w:val="143"/>
        </w:trPr>
        <w:tc>
          <w:tcPr>
            <w:tcW w:w="3560" w:type="dxa"/>
            <w:vAlign w:val="bottom"/>
            <w:tcBorders>
              <w:top w:val="single" w:sz="8" w:color="0000EE"/>
            </w:tcBorders>
            <w:gridSpan w:val="19"/>
          </w:tcPr>
          <w:p>
            <w:pPr>
              <w:spacing w:after="0" w:line="143" w:lineRule="exact"/>
              <w:rPr>
                <w:sz w:val="20"/>
                <w:szCs w:val="20"/>
                <w:color w:val="auto"/>
              </w:rPr>
            </w:pPr>
            <w:r>
              <w:rPr>
                <w:rFonts w:ascii="Times New Roman" w:cs="Times New Roman" w:eastAsia="Times New Roman" w:hAnsi="Times New Roman"/>
                <w:sz w:val="14"/>
                <w:szCs w:val="14"/>
                <w:color w:val="0000EE"/>
              </w:rPr>
              <w:t>UNDERWRITING</w:t>
            </w:r>
          </w:p>
        </w:tc>
        <w:tc>
          <w:tcPr>
            <w:tcW w:w="1520" w:type="dxa"/>
            <w:vAlign w:val="bottom"/>
            <w:gridSpan w:val="2"/>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S-32</w:t>
            </w: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110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3980" w:type="dxa"/>
            <w:vAlign w:val="bottom"/>
            <w:gridSpan w:val="15"/>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S-39</w:t>
            </w:r>
          </w:p>
        </w:tc>
      </w:tr>
      <w:tr>
        <w:trPr>
          <w:trHeight w:val="143"/>
        </w:trPr>
        <w:tc>
          <w:tcPr>
            <w:tcW w:w="58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4500" w:type="dxa"/>
            <w:vAlign w:val="bottom"/>
            <w:gridSpan w:val="20"/>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S-39</w:t>
            </w:r>
          </w:p>
        </w:tc>
      </w:tr>
      <w:tr>
        <w:trPr>
          <w:trHeight w:val="143"/>
        </w:trPr>
        <w:tc>
          <w:tcPr>
            <w:tcW w:w="5080" w:type="dxa"/>
            <w:vAlign w:val="bottom"/>
            <w:tcBorders>
              <w:bottom w:val="single" w:sz="8" w:color="0000EE"/>
            </w:tcBorders>
            <w:gridSpan w:val="21"/>
          </w:tcPr>
          <w:p>
            <w:pPr>
              <w:spacing w:after="0" w:line="143" w:lineRule="exact"/>
              <w:rPr>
                <w:sz w:val="20"/>
                <w:szCs w:val="20"/>
                <w:color w:val="auto"/>
              </w:rPr>
            </w:pPr>
            <w:r>
              <w:rPr>
                <w:rFonts w:ascii="Times New Roman" w:cs="Times New Roman" w:eastAsia="Times New Roman" w:hAnsi="Times New Roman"/>
                <w:sz w:val="14"/>
                <w:szCs w:val="14"/>
                <w:color w:val="0000EE"/>
                <w:w w:val="96"/>
              </w:rPr>
              <w:t>WHERE YOU CAN FIND MORE INFORMATION; INCORPORATION BY REFERENCE</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S-40</w:t>
            </w:r>
          </w:p>
        </w:tc>
      </w:tr>
      <w:tr>
        <w:trPr>
          <w:trHeight w:val="337"/>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3220" w:type="dxa"/>
            <w:vAlign w:val="bottom"/>
          </w:tcPr>
          <w:p>
            <w:pPr>
              <w:spacing w:after="0"/>
              <w:rPr>
                <w:sz w:val="24"/>
                <w:szCs w:val="24"/>
                <w:color w:val="auto"/>
              </w:rPr>
            </w:pPr>
          </w:p>
        </w:tc>
      </w:tr>
      <w:tr>
        <w:trPr>
          <w:trHeight w:val="317"/>
        </w:trPr>
        <w:tc>
          <w:tcPr>
            <w:tcW w:w="508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120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5080" w:type="dxa"/>
            <w:vAlign w:val="bottom"/>
            <w:tcBorders>
              <w:bottom w:val="single" w:sz="8" w:color="0000EE"/>
            </w:tcBorders>
            <w:gridSpan w:val="21"/>
          </w:tcPr>
          <w:p>
            <w:pPr>
              <w:spacing w:after="0" w:line="143" w:lineRule="exact"/>
              <w:rPr>
                <w:sz w:val="20"/>
                <w:szCs w:val="20"/>
                <w:color w:val="auto"/>
              </w:rPr>
            </w:pPr>
            <w:r>
              <w:rPr>
                <w:rFonts w:ascii="Times New Roman" w:cs="Times New Roman" w:eastAsia="Times New Roman" w:hAnsi="Times New Roman"/>
                <w:sz w:val="14"/>
                <w:szCs w:val="14"/>
                <w:color w:val="0000EE"/>
                <w:w w:val="96"/>
              </w:rPr>
              <w:t>WHERE YOU CAN FIND MORE INFORMATION; INCORPORATION BY REFERENCE</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143"/>
        </w:trPr>
        <w:tc>
          <w:tcPr>
            <w:tcW w:w="2220" w:type="dxa"/>
            <w:vAlign w:val="bottom"/>
            <w:tcBorders>
              <w:bottom w:val="single" w:sz="8" w:color="0000EE"/>
            </w:tcBorders>
            <w:gridSpan w:val="16"/>
          </w:tcPr>
          <w:p>
            <w:pPr>
              <w:spacing w:after="0" w:line="143" w:lineRule="exact"/>
              <w:rPr>
                <w:sz w:val="20"/>
                <w:szCs w:val="20"/>
                <w:color w:val="auto"/>
              </w:rPr>
            </w:pPr>
            <w:r>
              <w:rPr>
                <w:rFonts w:ascii="Times New Roman" w:cs="Times New Roman" w:eastAsia="Times New Roman" w:hAnsi="Times New Roman"/>
                <w:sz w:val="14"/>
                <w:szCs w:val="14"/>
                <w:color w:val="0000EE"/>
                <w:w w:val="94"/>
              </w:rPr>
              <w:t>FORWARD-LOOKING STATEMENTS</w:t>
            </w:r>
          </w:p>
        </w:tc>
        <w:tc>
          <w:tcPr>
            <w:tcW w:w="2860" w:type="dxa"/>
            <w:vAlign w:val="bottom"/>
            <w:gridSpan w:val="5"/>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148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ENERGY TRANSFER LP</w:t>
            </w:r>
          </w:p>
        </w:tc>
        <w:tc>
          <w:tcPr>
            <w:tcW w:w="3600" w:type="dxa"/>
            <w:vAlign w:val="bottom"/>
            <w:gridSpan w:val="11"/>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120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3880" w:type="dxa"/>
            <w:vAlign w:val="bottom"/>
            <w:gridSpan w:val="13"/>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DESCRIPTION OF COMMON UNITS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3"/>
        </w:trPr>
        <w:tc>
          <w:tcPr>
            <w:tcW w:w="2180" w:type="dxa"/>
            <w:vAlign w:val="bottom"/>
            <w:tcBorders>
              <w:top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w w:val="99"/>
              </w:rPr>
              <w:t>OUR PARTNERSHIP AGREEMENT</w:t>
            </w:r>
          </w:p>
        </w:tc>
        <w:tc>
          <w:tcPr>
            <w:tcW w:w="2900" w:type="dxa"/>
            <w:vAlign w:val="bottom"/>
            <w:gridSpan w:val="6"/>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r>
      <w:tr>
        <w:trPr>
          <w:trHeight w:val="143"/>
        </w:trPr>
        <w:tc>
          <w:tcPr>
            <w:tcW w:w="1480" w:type="dxa"/>
            <w:vAlign w:val="bottom"/>
            <w:tcBorders>
              <w:top w:val="single" w:sz="8" w:color="0000EE"/>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5"/>
              </w:rPr>
              <w:t>DISTRIBUTION POLICY</w:t>
            </w:r>
          </w:p>
        </w:tc>
        <w:tc>
          <w:tcPr>
            <w:tcW w:w="600" w:type="dxa"/>
            <w:vAlign w:val="bottom"/>
            <w:tcBorders>
              <w:top w:val="single" w:sz="8" w:color="0000EE"/>
            </w:tcBorders>
            <w:gridSpan w:val="4"/>
          </w:tcPr>
          <w:p>
            <w:pPr>
              <w:spacing w:after="0"/>
              <w:rPr>
                <w:sz w:val="12"/>
                <w:szCs w:val="12"/>
                <w:color w:val="auto"/>
              </w:rPr>
            </w:pPr>
          </w:p>
        </w:tc>
        <w:tc>
          <w:tcPr>
            <w:tcW w:w="3000" w:type="dxa"/>
            <w:vAlign w:val="bottom"/>
            <w:gridSpan w:val="7"/>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w:t>
            </w:r>
          </w:p>
        </w:tc>
      </w:tr>
      <w:tr>
        <w:trPr>
          <w:trHeight w:val="143"/>
        </w:trPr>
        <w:tc>
          <w:tcPr>
            <w:tcW w:w="2340" w:type="dxa"/>
            <w:vAlign w:val="bottom"/>
            <w:tcBorders>
              <w:bottom w:val="single" w:sz="8" w:color="0000EE"/>
            </w:tcBorders>
            <w:gridSpan w:val="18"/>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PREFERRED UNITS</w:t>
            </w:r>
          </w:p>
        </w:tc>
        <w:tc>
          <w:tcPr>
            <w:tcW w:w="2740" w:type="dxa"/>
            <w:vAlign w:val="bottom"/>
            <w:gridSpan w:val="3"/>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w:t>
            </w:r>
          </w:p>
        </w:tc>
      </w:tr>
      <w:tr>
        <w:trPr>
          <w:trHeight w:val="143"/>
        </w:trPr>
        <w:tc>
          <w:tcPr>
            <w:tcW w:w="1360" w:type="dxa"/>
            <w:vAlign w:val="bottom"/>
            <w:tcBorders>
              <w:top w:val="single" w:sz="8" w:color="0000EE"/>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5"/>
              </w:rPr>
              <w:t>GLOBAL SECURITIES</w:t>
            </w:r>
          </w:p>
        </w:tc>
        <w:tc>
          <w:tcPr>
            <w:tcW w:w="920" w:type="dxa"/>
            <w:vAlign w:val="bottom"/>
            <w:tcBorders>
              <w:top w:val="single" w:sz="8" w:color="0000EE"/>
            </w:tcBorders>
            <w:gridSpan w:val="8"/>
          </w:tcPr>
          <w:p>
            <w:pPr>
              <w:spacing w:after="0"/>
              <w:rPr>
                <w:sz w:val="12"/>
                <w:szCs w:val="12"/>
                <w:color w:val="auto"/>
              </w:rPr>
            </w:pPr>
          </w:p>
        </w:tc>
        <w:tc>
          <w:tcPr>
            <w:tcW w:w="2800" w:type="dxa"/>
            <w:vAlign w:val="bottom"/>
            <w:gridSpan w:val="4"/>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w:t>
            </w:r>
          </w:p>
        </w:tc>
      </w:tr>
      <w:tr>
        <w:trPr>
          <w:trHeight w:val="20"/>
        </w:trPr>
        <w:tc>
          <w:tcPr>
            <w:tcW w:w="1540" w:type="dxa"/>
            <w:vAlign w:val="bottom"/>
            <w:gridSpan w:val="11"/>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3"/>
        </w:trPr>
        <w:tc>
          <w:tcPr>
            <w:tcW w:w="5080" w:type="dxa"/>
            <w:vAlign w:val="bottom"/>
            <w:gridSpan w:val="21"/>
          </w:tcPr>
          <w:p>
            <w:pPr>
              <w:spacing w:after="0" w:line="143" w:lineRule="exact"/>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39</w:t>
            </w:r>
          </w:p>
        </w:tc>
      </w:tr>
      <w:tr>
        <w:trPr>
          <w:trHeight w:val="143"/>
        </w:trPr>
        <w:tc>
          <w:tcPr>
            <w:tcW w:w="1100" w:type="dxa"/>
            <w:vAlign w:val="bottom"/>
            <w:tcBorders>
              <w:top w:val="single" w:sz="8" w:color="0000EE"/>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480" w:type="dxa"/>
            <w:vAlign w:val="bottom"/>
            <w:tcBorders>
              <w:top w:val="single" w:sz="8" w:color="0000EE"/>
            </w:tcBorders>
            <w:gridSpan w:val="14"/>
          </w:tcPr>
          <w:p>
            <w:pPr>
              <w:spacing w:after="0"/>
              <w:rPr>
                <w:sz w:val="12"/>
                <w:szCs w:val="12"/>
                <w:color w:val="auto"/>
              </w:rPr>
            </w:pPr>
          </w:p>
        </w:tc>
        <w:tc>
          <w:tcPr>
            <w:tcW w:w="1500" w:type="dxa"/>
            <w:vAlign w:val="bottom"/>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r>
      <w:tr>
        <w:trPr>
          <w:trHeight w:val="143"/>
        </w:trPr>
        <w:tc>
          <w:tcPr>
            <w:tcW w:w="58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4500" w:type="dxa"/>
            <w:vAlign w:val="bottom"/>
            <w:gridSpan w:val="20"/>
          </w:tcPr>
          <w:p>
            <w:pPr>
              <w:spacing w:after="0"/>
              <w:rPr>
                <w:sz w:val="12"/>
                <w:szCs w:val="12"/>
                <w:color w:val="auto"/>
              </w:rPr>
            </w:pPr>
          </w:p>
        </w:tc>
        <w:tc>
          <w:tcPr>
            <w:tcW w:w="3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FORWARD-LOOKING STATEMENTS</w:t>
      </w:r>
    </w:p>
    <w:p>
      <w:pPr>
        <w:spacing w:after="0" w:line="170"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This prospectus supplement, the accompanying base prospectus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supplement, the accompanying base prospectus and the documents we incorporate by reference herein or therein,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82" w:lineRule="exact"/>
        <w:rPr>
          <w:sz w:val="20"/>
          <w:szCs w:val="20"/>
          <w:color w:val="auto"/>
        </w:rPr>
      </w:pPr>
    </w:p>
    <w:p>
      <w:pPr>
        <w:ind w:left="1080" w:right="499" w:hanging="334"/>
        <w:spacing w:after="0" w:line="26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subsidiaries to make cash distributions to us, which is dependent on their results of operations, cash flows and financial condition;</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distributions by our subsidiaries to us;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transported on our subsidiaries’ pipelines and gathering systems;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throughput in our subsidiaries’ processing and treating facilities;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our subsidiaries charge and the margins they realize for their gathering, treating, processing, storage and transportation services;</w:t>
      </w:r>
    </w:p>
    <w:p>
      <w:pPr>
        <w:spacing w:after="0" w:line="1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and market demand for, and the relationship between,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prices generally;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world health events;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cyber and malware attacks;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of natural gas and NGLs compared to the price of alternative and competing fuels;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level of petroleum product demand and the availability and price of NGL supplies;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domestic oil, natural gas and NGL production;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imported oil,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foreign oil and gas producing nations;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and economic stability of petroleum producing nations;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weather conditions on demand for oil,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local, intrastate and interstate transportation systems;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ability to find and contract for new sources of natural gas supply;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marketing of competitive fuels;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energy conservation efforts;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efficiencies and technological trends;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foreign governmental regulation, taxation and tariffs;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macroeconomic, regulatory or other potential effects of a prolonged U.S. government shutdown;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5" w:right="1440" w:bottom="1440" w:gutter="0" w:footer="0" w:header="0"/>
        </w:sectPr>
      </w:pPr>
    </w:p>
    <w:bookmarkStart w:id="3" w:name="page4"/>
    <w:bookmarkEnd w:id="3"/>
    <w:p>
      <w:pPr>
        <w:ind w:left="1080" w:right="35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changes to, the application of, and regulation of tariff rates and operational requirements related to our subsidiaries’ interstate and intrastate pipelines;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or operating risks incidental to the gathering, treating, processing and transporting of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midstream companies and interstate pipeline companies;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natural gas producers or the providers of fractionation services;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the capacity or allocations of third-party pipelines that connect with our subsidiaries’ pipelines and facilities;</w:t>
      </w:r>
    </w:p>
    <w:p>
      <w:pPr>
        <w:spacing w:after="0" w:line="9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risk-management policies and procedures and the ability of our subsidiaries’ liquids marketing counterparties to satisfy their financial commitments;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nonpayment or nonperformance by our subsidiaries’ customers;</w:t>
      </w:r>
    </w:p>
    <w:p>
      <w:pPr>
        <w:spacing w:after="0" w:line="94" w:lineRule="exact"/>
        <w:rPr>
          <w:rFonts w:ascii="Times New Roman" w:cs="Times New Roman" w:eastAsia="Times New Roman" w:hAnsi="Times New Roman"/>
          <w:sz w:val="14"/>
          <w:szCs w:val="14"/>
          <w:color w:val="auto"/>
        </w:rPr>
      </w:pPr>
    </w:p>
    <w:p>
      <w:pPr>
        <w:ind w:left="1080" w:right="599" w:hanging="334"/>
        <w:spacing w:after="0" w:line="25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w:t>
      </w:r>
    </w:p>
    <w:p>
      <w:pPr>
        <w:spacing w:after="0" w:line="70" w:lineRule="exact"/>
        <w:rPr>
          <w:rFonts w:ascii="Times New Roman" w:cs="Times New Roman" w:eastAsia="Times New Roman" w:hAnsi="Times New Roman"/>
          <w:sz w:val="14"/>
          <w:szCs w:val="14"/>
          <w:color w:val="auto"/>
        </w:rPr>
      </w:pPr>
    </w:p>
    <w:p>
      <w:pPr>
        <w:ind w:left="1080" w:right="399" w:hanging="334"/>
        <w:spacing w:after="0" w:line="25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capital and our subsidiaries’ ability to access certain capital sources;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of the credit and capital markets;</w:t>
      </w:r>
    </w:p>
    <w:p>
      <w:pPr>
        <w:spacing w:after="0" w:line="94" w:lineRule="exact"/>
        <w:rPr>
          <w:rFonts w:ascii="Times New Roman" w:cs="Times New Roman" w:eastAsia="Times New Roman" w:hAnsi="Times New Roman"/>
          <w:sz w:val="14"/>
          <w:szCs w:val="14"/>
          <w:color w:val="auto"/>
        </w:rPr>
      </w:pPr>
    </w:p>
    <w:p>
      <w:pPr>
        <w:ind w:left="1080" w:right="45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assets and operations of entities in which our subsidiaries own noncontrolling interests, including risks related to management actions at such entities that our subsidiaries may not be able to control or exert influence;</w:t>
      </w:r>
    </w:p>
    <w:p>
      <w:pPr>
        <w:spacing w:after="0" w:line="6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successfully identify and consummate strategic acquisitions at purchase prices that are accretive to our financial results and to successfully integrate acquired businesses;</w:t>
      </w:r>
    </w:p>
    <w:p>
      <w:pPr>
        <w:spacing w:after="0" w:line="64" w:lineRule="exact"/>
        <w:rPr>
          <w:rFonts w:ascii="Times New Roman" w:cs="Times New Roman" w:eastAsia="Times New Roman" w:hAnsi="Times New Roman"/>
          <w:sz w:val="14"/>
          <w:szCs w:val="14"/>
          <w:color w:val="auto"/>
        </w:rPr>
      </w:pPr>
    </w:p>
    <w:p>
      <w:pPr>
        <w:ind w:left="1080" w:right="43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to which we are subject, including tax, environmental, transportation and employment regulations or new interpretations by regulatory agencies concerning such laws and regulations;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effects of legal and administrative proceedings.</w:t>
      </w:r>
    </w:p>
    <w:p>
      <w:pPr>
        <w:spacing w:after="0" w:line="166" w:lineRule="exact"/>
        <w:rPr>
          <w:sz w:val="20"/>
          <w:szCs w:val="20"/>
          <w:color w:val="auto"/>
        </w:rPr>
      </w:pPr>
    </w:p>
    <w:p>
      <w:pPr>
        <w:ind w:left="340" w:right="359" w:firstLine="333"/>
        <w:spacing w:after="0" w:line="293" w:lineRule="auto"/>
        <w:rPr>
          <w:sz w:val="20"/>
          <w:szCs w:val="20"/>
          <w:color w:val="auto"/>
        </w:rPr>
      </w:pPr>
      <w:r>
        <w:rPr>
          <w:rFonts w:ascii="Times New Roman" w:cs="Times New Roman" w:eastAsia="Times New Roman" w:hAnsi="Times New Roman"/>
          <w:sz w:val="12"/>
          <w:szCs w:val="12"/>
          <w:color w:val="auto"/>
        </w:rPr>
        <w:t>You should not put undue reliance on any forward-looking statements. When considering forward-looking statements, please review the risks described under “</w:t>
      </w:r>
      <w:r>
        <w:rPr>
          <w:rFonts w:ascii="Times New Roman" w:cs="Times New Roman" w:eastAsia="Times New Roman" w:hAnsi="Times New Roman"/>
          <w:sz w:val="12"/>
          <w:szCs w:val="12"/>
          <w:i w:val="1"/>
          <w:iCs w:val="1"/>
          <w:color w:val="auto"/>
        </w:rPr>
        <w:t>Part I—Item 1A. Risk Factors</w:t>
      </w:r>
      <w:r>
        <w:rPr>
          <w:rFonts w:ascii="Times New Roman" w:cs="Times New Roman" w:eastAsia="Times New Roman" w:hAnsi="Times New Roman"/>
          <w:sz w:val="12"/>
          <w:szCs w:val="12"/>
          <w:color w:val="auto"/>
        </w:rPr>
        <w:t>” of our Annual Report on Form 10-K for the year ended December 31, 2024 filed with the SEC on February 14, 2025, as amended on Form 10-K/A filed with the SEC on March 13, 2025, under “</w:t>
      </w:r>
      <w:r>
        <w:rPr>
          <w:rFonts w:ascii="Times New Roman" w:cs="Times New Roman" w:eastAsia="Times New Roman" w:hAnsi="Times New Roman"/>
          <w:sz w:val="12"/>
          <w:szCs w:val="12"/>
          <w:i w:val="1"/>
          <w:iCs w:val="1"/>
          <w:color w:val="auto"/>
        </w:rPr>
        <w:t>Part II—Item 1A. Risk Factors</w:t>
      </w:r>
      <w:r>
        <w:rPr>
          <w:rFonts w:ascii="Times New Roman" w:cs="Times New Roman" w:eastAsia="Times New Roman" w:hAnsi="Times New Roman"/>
          <w:sz w:val="12"/>
          <w:szCs w:val="12"/>
          <w:color w:val="auto"/>
        </w:rPr>
        <w:t>” in our Quarterly Report on Form 10-Q for the quarter ended March 31, 2025 filed with the SEC on May 8, 2025, under “</w:t>
      </w:r>
      <w:r>
        <w:rPr>
          <w:rFonts w:ascii="Times New Roman" w:cs="Times New Roman" w:eastAsia="Times New Roman" w:hAnsi="Times New Roman"/>
          <w:sz w:val="12"/>
          <w:szCs w:val="12"/>
          <w:i w:val="1"/>
          <w:iCs w:val="1"/>
          <w:color w:val="auto"/>
        </w:rPr>
        <w:t>Part II—Item 1A. Risk Factors</w:t>
      </w:r>
      <w:r>
        <w:rPr>
          <w:rFonts w:ascii="Times New Roman" w:cs="Times New Roman" w:eastAsia="Times New Roman" w:hAnsi="Times New Roman"/>
          <w:sz w:val="12"/>
          <w:szCs w:val="12"/>
          <w:color w:val="auto"/>
        </w:rPr>
        <w:t>” in our Quarterly Report on Form 10-Q for the quarter ended September 30, 2025 filed with the SEC on November 6, 2025, or referenced in this prospectus supplement and page 7 of the accompanying base prospectus. Any forward-looking statement made by us in this prospectus supplement, the accompanying base prospectus and the documents we incorporate by reference herein or therein is based only on information currently available to us and speaks only as of the date on which it is made. Except as required by applicable law, we undertake no obligation to publicly update any forward-looking statement, whether written or oral, that may be made from time to time, whether as a result of new information, future developments or otherwise.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3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881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3881120"/>
                    </a:xfrm>
                    <a:prstGeom prst="rect">
                      <a:avLst/>
                    </a:prstGeom>
                    <a:noFill/>
                  </pic:spPr>
                </pic:pic>
              </a:graphicData>
            </a:graphic>
          </wp:anchor>
        </w:drawing>
        <w:t>SUMMARY</w:t>
      </w:r>
    </w:p>
    <w:p>
      <w:pPr>
        <w:spacing w:after="0" w:line="168" w:lineRule="exact"/>
        <w:rPr>
          <w:sz w:val="20"/>
          <w:szCs w:val="20"/>
          <w:color w:val="auto"/>
        </w:rPr>
      </w:pPr>
    </w:p>
    <w:p>
      <w:pPr>
        <w:ind w:left="480" w:right="559" w:firstLine="322"/>
        <w:spacing w:after="0" w:line="249"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S-5 of this prospectus supplement and page 7 of the accompanying base prospectus for more information about important risks that you should consider before investing in the notes.</w:t>
      </w:r>
    </w:p>
    <w:p>
      <w:pPr>
        <w:spacing w:after="0" w:line="145" w:lineRule="exact"/>
        <w:rPr>
          <w:sz w:val="20"/>
          <w:szCs w:val="20"/>
          <w:color w:val="auto"/>
        </w:rPr>
      </w:pPr>
    </w:p>
    <w:p>
      <w:pPr>
        <w:ind w:left="480" w:right="879" w:firstLine="322"/>
        <w:spacing w:after="0" w:line="352" w:lineRule="auto"/>
        <w:rPr>
          <w:sz w:val="20"/>
          <w:szCs w:val="20"/>
          <w:color w:val="auto"/>
        </w:rPr>
      </w:pPr>
      <w:r>
        <w:rPr>
          <w:rFonts w:ascii="Times New Roman" w:cs="Times New Roman" w:eastAsia="Times New Roman" w:hAnsi="Times New Roman"/>
          <w:sz w:val="12"/>
          <w:szCs w:val="12"/>
          <w:i w:val="1"/>
          <w:iCs w:val="1"/>
          <w:color w:val="auto"/>
        </w:rPr>
        <w:t>When we refer to “Energy Transfer,” “ET,” “we,” “our,” “us” and the “Partnership” in this prospectus supplement, we mean Energy Transfer LP and its consolidated subsidiaries, unless otherwise specified. When we refer to “our general partner,” we mean LE GP, LLC.</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Energy Transfer LP</w:t>
      </w:r>
    </w:p>
    <w:p>
      <w:pPr>
        <w:spacing w:after="0" w:line="88" w:lineRule="exact"/>
        <w:rPr>
          <w:sz w:val="20"/>
          <w:szCs w:val="20"/>
          <w:color w:val="auto"/>
        </w:rPr>
      </w:pPr>
    </w:p>
    <w:p>
      <w:pPr>
        <w:ind w:left="480" w:right="499" w:firstLine="322"/>
        <w:spacing w:after="0" w:line="248" w:lineRule="auto"/>
        <w:rPr>
          <w:sz w:val="20"/>
          <w:szCs w:val="20"/>
          <w:color w:val="auto"/>
        </w:rPr>
      </w:pPr>
      <w:r>
        <w:rPr>
          <w:rFonts w:ascii="Times New Roman" w:cs="Times New Roman" w:eastAsia="Times New Roman" w:hAnsi="Times New Roman"/>
          <w:sz w:val="14"/>
          <w:szCs w:val="14"/>
          <w:color w:val="auto"/>
        </w:rPr>
        <w:t>We are a publicly traded limited partnership that owns and operates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the limited partner interests and the general partner interests of publicly traded master limited partnerships Sunoco LP (NYSE: SUN) and USA Compression Partners, LP (NYSE: USAC).</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8" w:lineRule="exact"/>
        <w:rPr>
          <w:sz w:val="20"/>
          <w:szCs w:val="20"/>
          <w:color w:val="auto"/>
        </w:rPr>
      </w:pPr>
    </w:p>
    <w:p>
      <w:pPr>
        <w:ind w:left="480" w:right="659" w:firstLine="322"/>
        <w:spacing w:after="0" w:line="250" w:lineRule="auto"/>
        <w:rPr>
          <w:sz w:val="20"/>
          <w:szCs w:val="20"/>
          <w:color w:val="auto"/>
        </w:rPr>
      </w:pPr>
      <w:r>
        <w:rPr>
          <w:rFonts w:ascii="Times New Roman" w:cs="Times New Roman" w:eastAsia="Times New Roman" w:hAnsi="Times New Roman"/>
          <w:sz w:val="14"/>
          <w:szCs w:val="14"/>
          <w:color w:val="auto"/>
        </w:rPr>
        <w:t>On December 18, 2025, we announced an increase in the transportation capacity of Transwestern Pipeline’s planned Desert Southwest expansion project to meet additional customer demand. While the ultimate capacity of the Desert Southwest expansion project will be based on market demand, the project’s mainline pipeline diameter will be upsized from 42 inches to 48 inches, which we expect will increase the project’s capacity to up to 2.3 billion cubic feet per day, depending on final compression configuration.</w:t>
      </w:r>
    </w:p>
    <w:p>
      <w:pPr>
        <w:spacing w:after="0" w:line="146" w:lineRule="exact"/>
        <w:rPr>
          <w:sz w:val="20"/>
          <w:szCs w:val="20"/>
          <w:color w:val="auto"/>
        </w:rPr>
      </w:pPr>
    </w:p>
    <w:p>
      <w:pPr>
        <w:ind w:left="480" w:right="679" w:firstLine="322"/>
        <w:spacing w:after="0" w:line="264" w:lineRule="auto"/>
        <w:rPr>
          <w:sz w:val="20"/>
          <w:szCs w:val="20"/>
          <w:color w:val="auto"/>
        </w:rPr>
      </w:pPr>
      <w:r>
        <w:rPr>
          <w:rFonts w:ascii="Times New Roman" w:cs="Times New Roman" w:eastAsia="Times New Roman" w:hAnsi="Times New Roman"/>
          <w:sz w:val="14"/>
          <w:szCs w:val="14"/>
          <w:color w:val="auto"/>
        </w:rPr>
        <w:t>Also on December 18, 2025, we announced the suspension of development of the Lake Charles LNG project to redirect capital toward our substantial backlog of natural gas pipeline infrastructure projects, which we believe offers more attractive risk-adjusted returns.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Our Principal Executive Offices</w:t>
      </w:r>
    </w:p>
    <w:p>
      <w:pPr>
        <w:spacing w:after="0" w:line="88" w:lineRule="exact"/>
        <w:rPr>
          <w:sz w:val="20"/>
          <w:szCs w:val="20"/>
          <w:color w:val="auto"/>
        </w:rPr>
      </w:pPr>
    </w:p>
    <w:p>
      <w:pPr>
        <w:ind w:left="480" w:right="519" w:firstLine="322"/>
        <w:spacing w:after="0" w:line="250" w:lineRule="auto"/>
        <w:rPr>
          <w:sz w:val="20"/>
          <w:szCs w:val="20"/>
          <w:color w:val="auto"/>
        </w:rPr>
      </w:pPr>
      <w:r>
        <w:rPr>
          <w:rFonts w:ascii="Times New Roman" w:cs="Times New Roman" w:eastAsia="Times New Roman" w:hAnsi="Times New Roman"/>
          <w:sz w:val="14"/>
          <w:szCs w:val="14"/>
          <w:color w:val="auto"/>
        </w:rPr>
        <w:t>We are a limited partnership formed under the laws of the State of Delaware. Our principal executive offices are located at 8111 Westchester Drive, Suite 600, Dallas, Texas 75225, and our telephone number at that location is (214) 981-0700. We maintain a website at http://www.energytransfer.com that provides information about our business and operations. Information contained on this website, however, is not incorporated into or otherwise a part of this prospectus supplement or the accompanying base prospectus.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78"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775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4775835"/>
                    </a:xfrm>
                    <a:prstGeom prst="rect">
                      <a:avLst/>
                    </a:prstGeom>
                    <a:noFill/>
                  </pic:spPr>
                </pic:pic>
              </a:graphicData>
            </a:graphic>
          </wp:anchor>
        </w:drawing>
        <w:t>THE OFFERING</w:t>
      </w:r>
    </w:p>
    <w:p>
      <w:pPr>
        <w:spacing w:after="0" w:line="170" w:lineRule="exact"/>
        <w:rPr>
          <w:sz w:val="20"/>
          <w:szCs w:val="20"/>
          <w:color w:val="auto"/>
        </w:rPr>
      </w:pPr>
    </w:p>
    <w:p>
      <w:pPr>
        <w:jc w:val="both"/>
        <w:ind w:left="480" w:right="639" w:firstLine="322"/>
        <w:spacing w:after="0" w:line="250" w:lineRule="auto"/>
        <w:rPr>
          <w:sz w:val="20"/>
          <w:szCs w:val="20"/>
          <w:color w:val="auto"/>
        </w:rPr>
      </w:pPr>
      <w:r>
        <w:rPr>
          <w:rFonts w:ascii="Times New Roman" w:cs="Times New Roman" w:eastAsia="Times New Roman" w:hAnsi="Times New Roman"/>
          <w:sz w:val="14"/>
          <w:szCs w:val="14"/>
          <w:color w:val="auto"/>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w:t>
      </w:r>
      <w:r>
        <w:rPr>
          <w:rFonts w:ascii="Times New Roman" w:cs="Times New Roman" w:eastAsia="Times New Roman" w:hAnsi="Times New Roman"/>
          <w:sz w:val="14"/>
          <w:szCs w:val="14"/>
          <w:i w:val="1"/>
          <w:iCs w:val="1"/>
          <w:color w:val="auto"/>
        </w:rPr>
        <w:t>Description of the Notes</w:t>
      </w:r>
      <w:r>
        <w:rPr>
          <w:rFonts w:ascii="Times New Roman" w:cs="Times New Roman" w:eastAsia="Times New Roman" w:hAnsi="Times New Roman"/>
          <w:sz w:val="14"/>
          <w:szCs w:val="14"/>
          <w:color w:val="auto"/>
        </w:rPr>
        <w:t xml:space="preserve">” in this prospectus supplement and the section entitled </w:t>
      </w:r>
      <w:r>
        <w:rPr>
          <w:rFonts w:ascii="Times New Roman" w:cs="Times New Roman" w:eastAsia="Times New Roman" w:hAnsi="Times New Roman"/>
          <w:sz w:val="14"/>
          <w:szCs w:val="14"/>
          <w:i w:val="1"/>
          <w:iCs w:val="1"/>
          <w:color w:val="auto"/>
        </w:rPr>
        <w:t>“Description of Debt Securities</w:t>
      </w:r>
      <w:r>
        <w:rPr>
          <w:rFonts w:ascii="Times New Roman" w:cs="Times New Roman" w:eastAsia="Times New Roman" w:hAnsi="Times New Roman"/>
          <w:sz w:val="14"/>
          <w:szCs w:val="14"/>
          <w:color w:val="auto"/>
        </w:rPr>
        <w:t>” in the accompanying base prospectus.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Issuer</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Energy Transfer LP</w:t>
            </w:r>
          </w:p>
        </w:tc>
      </w:tr>
      <w:tr>
        <w:trPr>
          <w:trHeight w:val="34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Offered</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We are offering $3,000,000,000 aggregate principal amount of notes of the following</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series:</w:t>
            </w:r>
          </w:p>
        </w:tc>
      </w:tr>
      <w:tr>
        <w:trPr>
          <w:trHeight w:val="255"/>
        </w:trPr>
        <w:tc>
          <w:tcPr>
            <w:tcW w:w="2320" w:type="dxa"/>
            <w:vAlign w:val="bottom"/>
          </w:tcPr>
          <w:p>
            <w:pPr>
              <w:spacing w:after="0"/>
              <w:rPr>
                <w:sz w:val="22"/>
                <w:szCs w:val="22"/>
                <w:color w:val="auto"/>
              </w:rPr>
            </w:pPr>
          </w:p>
        </w:tc>
        <w:tc>
          <w:tcPr>
            <w:tcW w:w="60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   $1,000,000,000 4.550% Senior Notes due 2031;</w:t>
            </w:r>
          </w:p>
        </w:tc>
      </w:tr>
      <w:tr>
        <w:trPr>
          <w:trHeight w:val="255"/>
        </w:trPr>
        <w:tc>
          <w:tcPr>
            <w:tcW w:w="2320" w:type="dxa"/>
            <w:vAlign w:val="bottom"/>
          </w:tcPr>
          <w:p>
            <w:pPr>
              <w:spacing w:after="0"/>
              <w:rPr>
                <w:sz w:val="22"/>
                <w:szCs w:val="22"/>
                <w:color w:val="auto"/>
              </w:rPr>
            </w:pPr>
          </w:p>
        </w:tc>
        <w:tc>
          <w:tcPr>
            <w:tcW w:w="60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   $1,000,000,000 5.350% Senior Notes due 2036; and</w:t>
            </w:r>
          </w:p>
        </w:tc>
      </w:tr>
      <w:tr>
        <w:trPr>
          <w:trHeight w:val="255"/>
        </w:trPr>
        <w:tc>
          <w:tcPr>
            <w:tcW w:w="2320" w:type="dxa"/>
            <w:vAlign w:val="bottom"/>
          </w:tcPr>
          <w:p>
            <w:pPr>
              <w:spacing w:after="0"/>
              <w:rPr>
                <w:sz w:val="22"/>
                <w:szCs w:val="22"/>
                <w:color w:val="auto"/>
              </w:rPr>
            </w:pPr>
          </w:p>
        </w:tc>
        <w:tc>
          <w:tcPr>
            <w:tcW w:w="60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   $1,000,000,000 6.300% Senior Notes due 2056.</w:t>
            </w:r>
          </w:p>
        </w:tc>
      </w:tr>
      <w:tr>
        <w:trPr>
          <w:trHeight w:val="33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Maturity Date</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Unless redeemed prior to maturity as described below, (i) the 2031 notes will mature on</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January 15, 2031, (ii) the 2036 notes will mature on January 15, 2036 and (iii) the 2056</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will mature on January 15, 2056.</w:t>
            </w:r>
          </w:p>
        </w:tc>
      </w:tr>
      <w:tr>
        <w:trPr>
          <w:trHeight w:val="33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Interest on the 2031 notes will accrue at the per annum rate of 4.550%, interest on the 2036</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will accrue at the per annum rate of 5.350% and interest on the 2056 notes will</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accrue at the per annum rate of 6.300%.</w:t>
            </w:r>
          </w:p>
        </w:tc>
      </w:tr>
      <w:tr>
        <w:trPr>
          <w:trHeight w:val="33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Payment Dates</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Interest is payable semi-annually for the notes on January 15 and July 15 of each year,</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beginning on July 15, 2026.</w:t>
            </w:r>
          </w:p>
        </w:tc>
      </w:tr>
      <w:tr>
        <w:trPr>
          <w:trHeight w:val="33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Mandatory Redemption</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We will not be required to make any mandatory redemption or sinking fund payments on</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notes or to repurchase the notes at the option of the holders.</w:t>
            </w:r>
          </w:p>
        </w:tc>
      </w:tr>
      <w:tr>
        <w:trPr>
          <w:trHeight w:val="33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Optional Redemption</w:t>
            </w: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We may redeem some or all of the 2031 notes at any time prior to December 15, 2030 (the</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“2031 Notes Par Call Date”) (the date that is one month prior to the maturity of the 2031</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the 2036 notes at any time prior to October 15, 2035 (the “2036 Notes Par Call</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(the date that is three months prior to the maturity date of the 2036 notes) and the</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2056 notes at any time prior to July 15, 2055 (the “2056 Notes Par Call Date”) (the date</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that is six months prior to the maturity date of the 2056 notes). Any such redemption of the</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will be at a redemption price equal to the greater of 100% of the principal amount of</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notes to be redeemed and a “make-whole” redemption price, plus, in each case, accrued</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and unpaid interest, if any, to but not including the redemption date. On or after the 2031</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Par Call Date (in the case of the 2031 notes), 2036 Notes Par Call Date (in the case</w:t>
            </w:r>
          </w:p>
        </w:tc>
      </w:tr>
      <w:tr>
        <w:trPr>
          <w:trHeight w:val="163"/>
        </w:trPr>
        <w:tc>
          <w:tcPr>
            <w:tcW w:w="2320" w:type="dxa"/>
            <w:vAlign w:val="bottom"/>
          </w:tcPr>
          <w:p>
            <w:pPr>
              <w:spacing w:after="0"/>
              <w:rPr>
                <w:sz w:val="14"/>
                <w:szCs w:val="14"/>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of the 2036 notes) or the 2056 Notes Par Call Date (in the case of the 2056 notes), we may</w:t>
            </w:r>
          </w:p>
        </w:tc>
      </w:tr>
      <w:tr>
        <w:trPr>
          <w:trHeight w:val="175"/>
        </w:trPr>
        <w:tc>
          <w:tcPr>
            <w:tcW w:w="2320" w:type="dxa"/>
            <w:vAlign w:val="bottom"/>
          </w:tcPr>
          <w:p>
            <w:pPr>
              <w:spacing w:after="0"/>
              <w:rPr>
                <w:sz w:val="15"/>
                <w:szCs w:val="15"/>
                <w:color w:val="auto"/>
              </w:rPr>
            </w:pPr>
          </w:p>
        </w:tc>
        <w:tc>
          <w:tcPr>
            <w:tcW w:w="60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redeem some or all of such notes at a redemption price equal to 100% of the principal</w:t>
            </w:r>
          </w:p>
        </w:tc>
      </w:tr>
      <w:tr>
        <w:trPr>
          <w:trHeight w:val="119"/>
        </w:trPr>
        <w:tc>
          <w:tcPr>
            <w:tcW w:w="2320" w:type="dxa"/>
            <w:vAlign w:val="bottom"/>
            <w:tcBorders>
              <w:bottom w:val="single" w:sz="8" w:color="auto"/>
            </w:tcBorders>
          </w:tcPr>
          <w:p>
            <w:pPr>
              <w:spacing w:after="0"/>
              <w:rPr>
                <w:sz w:val="10"/>
                <w:szCs w:val="10"/>
                <w:color w:val="auto"/>
              </w:rPr>
            </w:pPr>
          </w:p>
        </w:tc>
        <w:tc>
          <w:tcPr>
            <w:tcW w:w="6020" w:type="dxa"/>
            <w:vAlign w:val="bottom"/>
            <w:tcBorders>
              <w:bottom w:val="single" w:sz="8" w:color="auto"/>
            </w:tcBorders>
          </w:tcPr>
          <w:p>
            <w:pPr>
              <w:spacing w:after="0"/>
              <w:rPr>
                <w:sz w:val="10"/>
                <w:szCs w:val="10"/>
                <w:color w:val="auto"/>
              </w:rPr>
            </w:pPr>
          </w:p>
        </w:tc>
      </w:tr>
      <w:tr>
        <w:trPr>
          <w:trHeight w:val="270"/>
        </w:trPr>
        <w:tc>
          <w:tcPr>
            <w:tcW w:w="2320" w:type="dxa"/>
            <w:vAlign w:val="bottom"/>
          </w:tcPr>
          <w:p>
            <w:pPr>
              <w:spacing w:after="0"/>
              <w:rPr>
                <w:sz w:val="23"/>
                <w:szCs w:val="23"/>
                <w:color w:val="auto"/>
              </w:rPr>
            </w:pPr>
          </w:p>
        </w:tc>
        <w:tc>
          <w:tcPr>
            <w:tcW w:w="602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S-2</w:t>
            </w:r>
          </w:p>
        </w:tc>
      </w:tr>
    </w:tbl>
    <w:p>
      <w:pPr>
        <w:sectPr>
          <w:pgSz w:w="11900" w:h="16838" w:orient="portrait"/>
          <w:cols w:equalWidth="0" w:num="1">
            <w:col w:w="9019"/>
          </w:cols>
          <w:pgMar w:left="1440" w:top="378"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tbl>
      <w:tblPr>
        <w:tblLayout w:type="fixed"/>
        <w:tblInd w:w="350" w:type="dxa"/>
        <w:tblCellMar>
          <w:top w:w="0" w:type="dxa"/>
          <w:left w:w="0" w:type="dxa"/>
          <w:bottom w:w="0" w:type="dxa"/>
          <w:right w:w="0" w:type="dxa"/>
        </w:tblCellMar>
      </w:tblPr>
      <w:tr>
        <w:trPr>
          <w:trHeight w:val="299"/>
        </w:trPr>
        <w:tc>
          <w:tcPr>
            <w:tcW w:w="2280" w:type="dxa"/>
            <w:vAlign w:val="bottom"/>
            <w:tcBorders>
              <w:top w:val="single" w:sz="8" w:color="auto"/>
              <w:left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amount of the notes to be redeemed, plus accrued and unpaid interest, if any, to but not</w:t>
            </w:r>
          </w:p>
        </w:tc>
      </w:tr>
      <w:tr>
        <w:trPr>
          <w:trHeight w:val="161"/>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including the redemption date. The notes will not be entitled to the benefit of any sinking</w:t>
            </w:r>
          </w:p>
        </w:tc>
      </w:tr>
      <w:tr>
        <w:trPr>
          <w:trHeight w:val="177"/>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fund payment. Please read “</w:t>
            </w:r>
            <w:r>
              <w:rPr>
                <w:rFonts w:ascii="Times New Roman" w:cs="Times New Roman" w:eastAsia="Times New Roman" w:hAnsi="Times New Roman"/>
                <w:sz w:val="14"/>
                <w:szCs w:val="14"/>
                <w:i w:val="1"/>
                <w:iCs w:val="1"/>
                <w:color w:val="auto"/>
              </w:rPr>
              <w:t>Description of the Notes—Optional Redemption</w:t>
            </w:r>
            <w:r>
              <w:rPr>
                <w:rFonts w:ascii="Times New Roman" w:cs="Times New Roman" w:eastAsia="Times New Roman" w:hAnsi="Times New Roman"/>
                <w:sz w:val="14"/>
                <w:szCs w:val="14"/>
                <w:color w:val="auto"/>
              </w:rPr>
              <w:t>.”</w:t>
            </w:r>
          </w:p>
        </w:tc>
      </w:tr>
      <w:tr>
        <w:trPr>
          <w:trHeight w:val="346"/>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Subsidiary Guarantees</w:t>
            </w: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The notes will initially not be guaranteed by any of our subsidiaries. Any of our</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subsidiaries that in the future become guarantors or co-issuers of our long-term debt must</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guarantee the notes.</w:t>
            </w:r>
          </w:p>
        </w:tc>
      </w:tr>
      <w:tr>
        <w:trPr>
          <w:trHeight w:val="335"/>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Ranking</w:t>
            </w: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The notes will be our general unsecured obligations. The notes will rank equally in right of</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payment with all our existing and future senior debt, including debt under our revolving</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credit facility and our existing senior notes, senior in right of payment to our existing and</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future subordinated debt and junior to the indebtedness and other obligations, including</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trade payables, of our subsidiaries that do not guarantee the notes. As of September 30,</w:t>
            </w:r>
          </w:p>
        </w:tc>
      </w:tr>
      <w:tr>
        <w:trPr>
          <w:trHeight w:val="161"/>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2025, after giving effect to this offering and the application of the net proceeds as set forth</w:t>
            </w:r>
          </w:p>
        </w:tc>
      </w:tr>
      <w:tr>
        <w:trPr>
          <w:trHeight w:val="165"/>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under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we would have had total senior debt of $51.9 billion, total junior</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subordinated debt of $3.8 billion, and we would have been able to incur an additional $5.0</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billion of debt under our revolving credit facility. In addition, as of September 30, 2025,</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our subsidiaries had an aggregate of approximately $13 billion of indebtedness</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outstanding. We do not expect any change to our subsidiaries’ indebtedness in connection</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with the planned use of proceeds from this offering.</w:t>
            </w:r>
          </w:p>
        </w:tc>
      </w:tr>
      <w:tr>
        <w:trPr>
          <w:trHeight w:val="347"/>
        </w:trPr>
        <w:tc>
          <w:tcPr>
            <w:tcW w:w="228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We do not have any secured debt outstanding.</w:t>
            </w:r>
          </w:p>
        </w:tc>
      </w:tr>
      <w:tr>
        <w:trPr>
          <w:trHeight w:val="335"/>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Certain Covenants</w:t>
            </w: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The indenture governing the notes limits our ability and the ability of our subsidiaries to,</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among other things:</w:t>
            </w:r>
          </w:p>
        </w:tc>
      </w:tr>
      <w:tr>
        <w:trPr>
          <w:trHeight w:val="255"/>
        </w:trPr>
        <w:tc>
          <w:tcPr>
            <w:tcW w:w="2280" w:type="dxa"/>
            <w:vAlign w:val="bottom"/>
            <w:tcBorders>
              <w:left w:val="single" w:sz="8" w:color="auto"/>
            </w:tcBorders>
          </w:tcPr>
          <w:p>
            <w:pPr>
              <w:spacing w:after="0"/>
              <w:rPr>
                <w:sz w:val="22"/>
                <w:szCs w:val="22"/>
                <w:color w:val="auto"/>
              </w:rPr>
            </w:pPr>
          </w:p>
        </w:tc>
        <w:tc>
          <w:tcPr>
            <w:tcW w:w="60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   create liens without equally and ratably securing the notes; and</w:t>
            </w:r>
          </w:p>
        </w:tc>
      </w:tr>
      <w:tr>
        <w:trPr>
          <w:trHeight w:val="255"/>
        </w:trPr>
        <w:tc>
          <w:tcPr>
            <w:tcW w:w="2280" w:type="dxa"/>
            <w:vAlign w:val="bottom"/>
            <w:tcBorders>
              <w:left w:val="single" w:sz="8" w:color="auto"/>
            </w:tcBorders>
          </w:tcPr>
          <w:p>
            <w:pPr>
              <w:spacing w:after="0"/>
              <w:rPr>
                <w:sz w:val="22"/>
                <w:szCs w:val="22"/>
                <w:color w:val="auto"/>
              </w:rPr>
            </w:pPr>
          </w:p>
        </w:tc>
        <w:tc>
          <w:tcPr>
            <w:tcW w:w="60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   engage in certain sale and leaseback transactions.</w:t>
            </w:r>
          </w:p>
        </w:tc>
      </w:tr>
      <w:tr>
        <w:trPr>
          <w:trHeight w:val="335"/>
        </w:trPr>
        <w:tc>
          <w:tcPr>
            <w:tcW w:w="228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The indenture also limits our ability to engage in mergers, consolidations and certain sales</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of assets.</w:t>
            </w:r>
          </w:p>
        </w:tc>
      </w:tr>
      <w:tr>
        <w:trPr>
          <w:trHeight w:val="333"/>
        </w:trPr>
        <w:tc>
          <w:tcPr>
            <w:tcW w:w="228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These covenants are subject to important exceptions and qualifications, as described under</w:t>
            </w:r>
          </w:p>
        </w:tc>
      </w:tr>
      <w:tr>
        <w:trPr>
          <w:trHeight w:val="177"/>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the Notes—Certain Covenants</w:t>
            </w:r>
            <w:r>
              <w:rPr>
                <w:rFonts w:ascii="Times New Roman" w:cs="Times New Roman" w:eastAsia="Times New Roman" w:hAnsi="Times New Roman"/>
                <w:sz w:val="14"/>
                <w:szCs w:val="14"/>
                <w:color w:val="auto"/>
              </w:rPr>
              <w:t>.”</w:t>
            </w:r>
          </w:p>
        </w:tc>
      </w:tr>
      <w:tr>
        <w:trPr>
          <w:trHeight w:val="335"/>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We expect to receive net proceeds of approximately $2.97 billion from this offering, after</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deducting the underwriting discounts and offering expenses. We expect to use the net</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proceeds from this offering to refinance existing indebtedness, including to repay</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commercial paper and borrowings under our revolving credit facility, and for general</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partnership purposes.</w:t>
            </w:r>
          </w:p>
        </w:tc>
      </w:tr>
      <w:tr>
        <w:trPr>
          <w:trHeight w:val="335"/>
        </w:trPr>
        <w:tc>
          <w:tcPr>
            <w:tcW w:w="228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Affiliates of each of the underwriters are lenders under our revolving credit facility.</w:t>
            </w:r>
          </w:p>
        </w:tc>
      </w:tr>
      <w:tr>
        <w:trPr>
          <w:trHeight w:val="163"/>
        </w:trPr>
        <w:tc>
          <w:tcPr>
            <w:tcW w:w="228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Accordingly, each of the underwriters and their affiliates may receive a portion of the net</w:t>
            </w:r>
          </w:p>
        </w:tc>
      </w:tr>
      <w:tr>
        <w:trPr>
          <w:trHeight w:val="175"/>
        </w:trPr>
        <w:tc>
          <w:tcPr>
            <w:tcW w:w="228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proceeds from this offering</w:t>
            </w:r>
          </w:p>
        </w:tc>
      </w:tr>
      <w:tr>
        <w:trPr>
          <w:trHeight w:val="119"/>
        </w:trPr>
        <w:tc>
          <w:tcPr>
            <w:tcW w:w="2280" w:type="dxa"/>
            <w:vAlign w:val="bottom"/>
            <w:tcBorders>
              <w:left w:val="single" w:sz="8" w:color="auto"/>
              <w:bottom w:val="single" w:sz="8" w:color="auto"/>
            </w:tcBorders>
          </w:tcPr>
          <w:p>
            <w:pPr>
              <w:spacing w:after="0"/>
              <w:rPr>
                <w:sz w:val="10"/>
                <w:szCs w:val="10"/>
                <w:color w:val="auto"/>
              </w:rPr>
            </w:pPr>
          </w:p>
        </w:tc>
        <w:tc>
          <w:tcPr>
            <w:tcW w:w="6060" w:type="dxa"/>
            <w:vAlign w:val="bottom"/>
            <w:tcBorders>
              <w:bottom w:val="single" w:sz="8" w:color="auto"/>
              <w:right w:val="single" w:sz="8" w:color="auto"/>
            </w:tcBorders>
          </w:tcPr>
          <w:p>
            <w:pPr>
              <w:spacing w:after="0"/>
              <w:rPr>
                <w:sz w:val="10"/>
                <w:szCs w:val="10"/>
                <w:color w:val="auto"/>
              </w:rPr>
            </w:pPr>
          </w:p>
        </w:tc>
      </w:tr>
      <w:tr>
        <w:trPr>
          <w:trHeight w:val="270"/>
        </w:trPr>
        <w:tc>
          <w:tcPr>
            <w:tcW w:w="2280" w:type="dxa"/>
            <w:vAlign w:val="bottom"/>
          </w:tcPr>
          <w:p>
            <w:pPr>
              <w:spacing w:after="0"/>
              <w:rPr>
                <w:sz w:val="23"/>
                <w:szCs w:val="23"/>
                <w:color w:val="auto"/>
              </w:rPr>
            </w:pPr>
          </w:p>
        </w:tc>
        <w:tc>
          <w:tcPr>
            <w:tcW w:w="60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S-3</w:t>
            </w:r>
          </w:p>
        </w:tc>
      </w:tr>
    </w:tbl>
    <w:p>
      <w:pPr>
        <w:sectPr>
          <w:pgSz w:w="11900" w:h="16838" w:orient="portrait"/>
          <w:cols w:equalWidth="0" w:num="1">
            <w:col w:w="9019"/>
          </w:cols>
          <w:pgMar w:left="1440" w:top="227" w:right="144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tbl>
      <w:tblPr>
        <w:tblLayout w:type="fixed"/>
        <w:tblInd w:w="350" w:type="dxa"/>
        <w:tblCellMar>
          <w:top w:w="0" w:type="dxa"/>
          <w:left w:w="0" w:type="dxa"/>
          <w:bottom w:w="0" w:type="dxa"/>
          <w:right w:w="0" w:type="dxa"/>
        </w:tblCellMar>
      </w:tblPr>
      <w:tr>
        <w:trPr>
          <w:trHeight w:val="299"/>
        </w:trPr>
        <w:tc>
          <w:tcPr>
            <w:tcW w:w="21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through any repayment of borrowings under such revolving credit facility. Additionally,</w:t>
            </w:r>
          </w:p>
        </w:tc>
      </w:tr>
      <w:tr>
        <w:trPr>
          <w:trHeight w:val="163"/>
        </w:trPr>
        <w:tc>
          <w:tcPr>
            <w:tcW w:w="2100" w:type="dxa"/>
            <w:vAlign w:val="bottom"/>
            <w:tcBorders>
              <w:left w:val="single" w:sz="8" w:color="auto"/>
            </w:tcBorders>
          </w:tcPr>
          <w:p>
            <w:pPr>
              <w:spacing w:after="0"/>
              <w:rPr>
                <w:sz w:val="14"/>
                <w:szCs w:val="14"/>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certain of the underwriters or their affiliates are dealers on our commercial paper program</w:t>
            </w:r>
          </w:p>
        </w:tc>
      </w:tr>
      <w:tr>
        <w:trPr>
          <w:trHeight w:val="163"/>
        </w:trPr>
        <w:tc>
          <w:tcPr>
            <w:tcW w:w="2100" w:type="dxa"/>
            <w:vAlign w:val="bottom"/>
            <w:tcBorders>
              <w:left w:val="single" w:sz="8" w:color="auto"/>
            </w:tcBorders>
          </w:tcPr>
          <w:p>
            <w:pPr>
              <w:spacing w:after="0"/>
              <w:rPr>
                <w:sz w:val="14"/>
                <w:szCs w:val="14"/>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and may receive a portion of the net proceeds from this offering through any repayment of</w:t>
            </w:r>
          </w:p>
        </w:tc>
      </w:tr>
      <w:tr>
        <w:trPr>
          <w:trHeight w:val="161"/>
        </w:trPr>
        <w:tc>
          <w:tcPr>
            <w:tcW w:w="2100" w:type="dxa"/>
            <w:vAlign w:val="bottom"/>
            <w:tcBorders>
              <w:left w:val="single" w:sz="8" w:color="auto"/>
            </w:tcBorders>
          </w:tcPr>
          <w:p>
            <w:pPr>
              <w:spacing w:after="0"/>
              <w:rPr>
                <w:sz w:val="14"/>
                <w:szCs w:val="14"/>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borrowings under such commercial paper program, to the extent they are holding any of</w:t>
            </w:r>
          </w:p>
        </w:tc>
      </w:tr>
      <w:tr>
        <w:trPr>
          <w:trHeight w:val="177"/>
        </w:trPr>
        <w:tc>
          <w:tcPr>
            <w:tcW w:w="2100" w:type="dxa"/>
            <w:vAlign w:val="bottom"/>
            <w:tcBorders>
              <w:left w:val="single" w:sz="8" w:color="auto"/>
            </w:tcBorders>
          </w:tcPr>
          <w:p>
            <w:pPr>
              <w:spacing w:after="0"/>
              <w:rPr>
                <w:sz w:val="15"/>
                <w:szCs w:val="15"/>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our commercial paper.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tc>
      </w:tr>
      <w:tr>
        <w:trPr>
          <w:trHeight w:val="357"/>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Trustee</w:t>
            </w: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r>
      <w:tr>
        <w:trPr>
          <w:trHeight w:val="357"/>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Governing Law</w:t>
            </w: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The notes and the indenture will be governed by the laws of the State of New York.</w:t>
            </w:r>
          </w:p>
        </w:tc>
      </w:tr>
      <w:tr>
        <w:trPr>
          <w:trHeight w:val="346"/>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Please read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S-5 of this prospectus supplement and on</w:t>
            </w:r>
          </w:p>
        </w:tc>
      </w:tr>
      <w:tr>
        <w:trPr>
          <w:trHeight w:val="163"/>
        </w:trPr>
        <w:tc>
          <w:tcPr>
            <w:tcW w:w="2100" w:type="dxa"/>
            <w:vAlign w:val="bottom"/>
            <w:tcBorders>
              <w:left w:val="single" w:sz="8" w:color="auto"/>
            </w:tcBorders>
          </w:tcPr>
          <w:p>
            <w:pPr>
              <w:spacing w:after="0"/>
              <w:rPr>
                <w:sz w:val="14"/>
                <w:szCs w:val="14"/>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page 7 of the accompanying base prospectus for a discussion of factors you should</w:t>
            </w:r>
          </w:p>
        </w:tc>
      </w:tr>
      <w:tr>
        <w:trPr>
          <w:trHeight w:val="175"/>
        </w:trPr>
        <w:tc>
          <w:tcPr>
            <w:tcW w:w="2100" w:type="dxa"/>
            <w:vAlign w:val="bottom"/>
            <w:tcBorders>
              <w:left w:val="single" w:sz="8" w:color="auto"/>
            </w:tcBorders>
          </w:tcPr>
          <w:p>
            <w:pPr>
              <w:spacing w:after="0"/>
              <w:rPr>
                <w:sz w:val="15"/>
                <w:szCs w:val="15"/>
                <w:color w:val="auto"/>
              </w:rPr>
            </w:pPr>
          </w:p>
        </w:tc>
        <w:tc>
          <w:tcPr>
            <w:tcW w:w="62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carefully consider before investing in the notes.</w:t>
            </w:r>
          </w:p>
        </w:tc>
      </w:tr>
      <w:tr>
        <w:trPr>
          <w:trHeight w:val="119"/>
        </w:trPr>
        <w:tc>
          <w:tcPr>
            <w:tcW w:w="2100" w:type="dxa"/>
            <w:vAlign w:val="bottom"/>
            <w:tcBorders>
              <w:left w:val="single" w:sz="8" w:color="auto"/>
              <w:bottom w:val="single" w:sz="8" w:color="auto"/>
            </w:tcBorders>
          </w:tcPr>
          <w:p>
            <w:pPr>
              <w:spacing w:after="0"/>
              <w:rPr>
                <w:sz w:val="10"/>
                <w:szCs w:val="10"/>
                <w:color w:val="auto"/>
              </w:rPr>
            </w:pPr>
          </w:p>
        </w:tc>
        <w:tc>
          <w:tcPr>
            <w:tcW w:w="6240" w:type="dxa"/>
            <w:vAlign w:val="bottom"/>
            <w:tcBorders>
              <w:bottom w:val="single" w:sz="8" w:color="auto"/>
              <w:right w:val="single" w:sz="8" w:color="auto"/>
            </w:tcBorders>
          </w:tcPr>
          <w:p>
            <w:pPr>
              <w:spacing w:after="0"/>
              <w:rPr>
                <w:sz w:val="10"/>
                <w:szCs w:val="10"/>
                <w:color w:val="auto"/>
              </w:rPr>
            </w:pPr>
          </w:p>
        </w:tc>
      </w:tr>
      <w:tr>
        <w:trPr>
          <w:trHeight w:val="270"/>
        </w:trPr>
        <w:tc>
          <w:tcPr>
            <w:tcW w:w="2100" w:type="dxa"/>
            <w:vAlign w:val="bottom"/>
          </w:tcPr>
          <w:p>
            <w:pPr>
              <w:spacing w:after="0"/>
              <w:rPr>
                <w:sz w:val="23"/>
                <w:szCs w:val="23"/>
                <w:color w:val="auto"/>
              </w:rPr>
            </w:pPr>
          </w:p>
        </w:tc>
        <w:tc>
          <w:tcPr>
            <w:tcW w:w="624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9019"/>
          </w:cols>
          <w:pgMar w:left="1440" w:top="22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RISK FACTORS</w:t>
      </w:r>
    </w:p>
    <w:p>
      <w:pPr>
        <w:spacing w:after="0" w:line="168" w:lineRule="exact"/>
        <w:rPr>
          <w:sz w:val="20"/>
          <w:szCs w:val="20"/>
          <w:color w:val="auto"/>
        </w:rPr>
      </w:pPr>
    </w:p>
    <w:p>
      <w:pPr>
        <w:ind w:left="340" w:right="459" w:firstLine="333"/>
        <w:spacing w:after="0" w:line="246" w:lineRule="auto"/>
        <w:rPr>
          <w:sz w:val="20"/>
          <w:szCs w:val="20"/>
          <w:color w:val="auto"/>
        </w:rPr>
      </w:pPr>
      <w:r>
        <w:rPr>
          <w:rFonts w:ascii="Times New Roman" w:cs="Times New Roman" w:eastAsia="Times New Roman" w:hAnsi="Times New Roman"/>
          <w:sz w:val="14"/>
          <w:szCs w:val="14"/>
          <w:i w:val="1"/>
          <w:iCs w:val="1"/>
          <w:color w:val="auto"/>
        </w:rPr>
        <w:t>An investment in the notes involves risks. You should carefully consider all of the information contained in this prospectus supplement, the accompanying base prospectus and the documents incorporated by reference as provided under “Incorporation by Reference,” including our Annual Report on Form 10-K for the year ended December 31, 2024, as amended, and our Quarterly Reports on Form 10-Q for the quarters ended March 31, 2025, June 30, 2025 and September 30, 2025,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84" w:lineRule="exact"/>
        <w:rPr>
          <w:sz w:val="20"/>
          <w:szCs w:val="20"/>
          <w:color w:val="auto"/>
        </w:rPr>
      </w:pPr>
    </w:p>
    <w:p>
      <w:pPr>
        <w:ind w:left="340" w:right="3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Each series of notes will be effectively subordinated to any secured debt of ours, and, in the event of our bankruptcy or liquidation, holders of the notes will be paid from any assets remaining after payments to any holders of any secured debt we may have. In addition, each series of notes will be structurally subordinated to any debt of our subsidiaries.</w:t>
      </w:r>
    </w:p>
    <w:p>
      <w:pPr>
        <w:spacing w:after="0" w:line="59"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Each series of notes will be our general unsecured senior obligations, and effectively subordinated to any secured debt that we may have, to the extent of the value of the assets securing that debt. The indenture will permit us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w:t>
      </w:r>
    </w:p>
    <w:p>
      <w:pPr>
        <w:spacing w:after="0" w:line="149"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None of our subsidiaries will guarantee the notes initially, and as a result, each series of notes will be structurally subordinated to the claims of all creditors, including unsecured indebtedness, trade creditors and tort claimants, of those subsidiaries. In the event of the insolvency, bankruptcy, liquidation, reorganization, dissolution or winding up of the business of any of our subsidiaries, creditors of such subsidiaries would generally have the right to be paid in full before any distribution is made to us or the holders of the notes. As of September 30, 2025, our subsidiaries had an aggregate of approximately $13 billion of indebtedness outstanding. We do not expect any change to our subsidiaries’ indebtedness in connection with the planned use of proceeds from this offering.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We will make only limited covenants in the indenture that will govern the notes and these limited covenants may not protect your investment.</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indenture that will govern the notes will not:</w:t>
      </w:r>
    </w:p>
    <w:p>
      <w:pPr>
        <w:spacing w:after="0" w:line="94" w:lineRule="exact"/>
        <w:rPr>
          <w:sz w:val="20"/>
          <w:szCs w:val="20"/>
          <w:color w:val="auto"/>
        </w:rPr>
      </w:pPr>
    </w:p>
    <w:p>
      <w:pPr>
        <w:ind w:left="1080" w:right="459" w:hanging="334"/>
        <w:spacing w:after="0" w:line="254"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subsidiaries’ ability to incur indebtedness which would structurally rank senior to the notes;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incur indebtedness that is equal in right of payment to the notes; or</w:t>
      </w:r>
    </w:p>
    <w:p>
      <w:pPr>
        <w:spacing w:after="0" w:line="94" w:lineRule="exact"/>
        <w:rPr>
          <w:rFonts w:ascii="Times New Roman" w:cs="Times New Roman" w:eastAsia="Times New Roman" w:hAnsi="Times New Roman"/>
          <w:sz w:val="14"/>
          <w:szCs w:val="14"/>
          <w:color w:val="auto"/>
        </w:rPr>
      </w:pPr>
    </w:p>
    <w:p>
      <w:pPr>
        <w:ind w:left="1080" w:right="499" w:hanging="334"/>
        <w:spacing w:after="0" w:line="264"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pay distributions or make other payments in respect of our common units or other securities ranking junior to the notes.</w:t>
      </w:r>
    </w:p>
    <w:p>
      <w:pPr>
        <w:spacing w:after="0" w:line="136"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The indenture also will permit us and our subsidiaries to incur additional indebtedness, including secured indebtedness, that could effectively rank senior to the notes, and to engage in leaseback arrangements, subject to</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5" w:right="1440"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certain limitations. Any of these actions could adversely affect our ability to make principal and interest payments on the notes.</w:t>
      </w:r>
    </w:p>
    <w:p>
      <w:pPr>
        <w:spacing w:after="0" w:line="244" w:lineRule="exact"/>
        <w:rPr>
          <w:sz w:val="20"/>
          <w:szCs w:val="20"/>
          <w:color w:val="auto"/>
        </w:rPr>
      </w:pPr>
    </w:p>
    <w:p>
      <w:pPr>
        <w:ind w:left="340" w:right="6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do not have the same flexibility as other types of organizations to accumulate cash, which may limit cash available to service the notes or to repay them at maturity.</w:t>
      </w:r>
    </w:p>
    <w:p>
      <w:pPr>
        <w:spacing w:after="0" w:line="50" w:lineRule="exact"/>
        <w:rPr>
          <w:sz w:val="20"/>
          <w:szCs w:val="20"/>
          <w:color w:val="auto"/>
        </w:rPr>
      </w:pPr>
    </w:p>
    <w:p>
      <w:pPr>
        <w:ind w:left="340" w:right="339" w:firstLine="333"/>
        <w:spacing w:after="0" w:line="248" w:lineRule="auto"/>
        <w:rPr>
          <w:sz w:val="20"/>
          <w:szCs w:val="20"/>
          <w:color w:val="auto"/>
        </w:rPr>
      </w:pPr>
      <w:r>
        <w:rPr>
          <w:rFonts w:ascii="Times New Roman" w:cs="Times New Roman" w:eastAsia="Times New Roman" w:hAnsi="Times New Roman"/>
          <w:sz w:val="14"/>
          <w:szCs w:val="14"/>
          <w:color w:val="auto"/>
        </w:rPr>
        <w:t>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77" w:lineRule="exact"/>
        <w:rPr>
          <w:sz w:val="20"/>
          <w:szCs w:val="20"/>
          <w:color w:val="auto"/>
        </w:rPr>
      </w:pPr>
    </w:p>
    <w:p>
      <w:pPr>
        <w:ind w:left="1080" w:right="639" w:hanging="334"/>
        <w:spacing w:after="0" w:line="264"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proper conduct of our business and the businesses of our operating subsidiaries (including reserves for future capital expenditures and for our anticipated future credit needs);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funds for distributions to our unitholders and our general partner for any one or more of the next four calendar quarters;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applicable law or any of our loan or other agreements.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The notes have no established trading market or history, and liquidity of trading markets for the notes may be limited.</w:t>
      </w:r>
    </w:p>
    <w:p>
      <w:pPr>
        <w:spacing w:after="0" w:line="88" w:lineRule="exact"/>
        <w:rPr>
          <w:sz w:val="20"/>
          <w:szCs w:val="20"/>
          <w:color w:val="auto"/>
        </w:rPr>
      </w:pPr>
    </w:p>
    <w:p>
      <w:pPr>
        <w:ind w:left="340" w:right="399" w:firstLine="333"/>
        <w:spacing w:after="0" w:line="246" w:lineRule="auto"/>
        <w:rPr>
          <w:sz w:val="20"/>
          <w:szCs w:val="20"/>
          <w:color w:val="auto"/>
        </w:rPr>
      </w:pPr>
      <w:r>
        <w:rPr>
          <w:rFonts w:ascii="Times New Roman" w:cs="Times New Roman" w:eastAsia="Times New Roman" w:hAnsi="Times New Roman"/>
          <w:sz w:val="14"/>
          <w:szCs w:val="14"/>
          <w:color w:val="auto"/>
        </w:rPr>
        <w:t>Each series of notes will constitute a new issue of securities with no established trading market. Although the underwriters have indicated that they intend to make a market in the notes, they are not obligated to do so and any of their market-making activities may be terminated or limited at any time. In addition, we do not intend to apply for a listing of the notes on any securities exchange or interdealer quotation system. As a result, there can be no assurance as to the liquidity of markets that may develop for the notes, the ability of noteholders to sell their notes or the prices at which notes could be sold. The notes may trade at prices that are lower than their respective public offering price depending on many factors, including prevailing interest rates and the markets for similar securities. The liquidity of trading markets for the notes may also be adversely affected by general declines or disruptions in the markets for debt securities. Those market declines or disruptions could adversely affect the liquidity of and market for the notes independent of our financial performance or prospects.</w:t>
      </w:r>
    </w:p>
    <w:p>
      <w:pPr>
        <w:spacing w:after="0" w:line="228" w:lineRule="exact"/>
        <w:rPr>
          <w:sz w:val="20"/>
          <w:szCs w:val="20"/>
          <w:color w:val="auto"/>
        </w:rPr>
      </w:pPr>
    </w:p>
    <w:p>
      <w:pPr>
        <w:ind w:left="340" w:right="4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Because we have a holding company structure in which our subsidiaries conduct our operations and own our operating assets, our ability to service our debt is largely dependent on our receipt of distributions or other payments from our subsidiaries.</w:t>
      </w:r>
    </w:p>
    <w:p>
      <w:pPr>
        <w:spacing w:after="0" w:line="50" w:lineRule="exact"/>
        <w:rPr>
          <w:sz w:val="20"/>
          <w:szCs w:val="20"/>
          <w:color w:val="auto"/>
        </w:rPr>
      </w:pPr>
    </w:p>
    <w:p>
      <w:pPr>
        <w:ind w:left="340" w:right="399" w:firstLine="333"/>
        <w:spacing w:after="0" w:line="297" w:lineRule="auto"/>
        <w:rPr>
          <w:sz w:val="20"/>
          <w:szCs w:val="20"/>
          <w:color w:val="auto"/>
        </w:rPr>
      </w:pPr>
      <w:r>
        <w:rPr>
          <w:rFonts w:ascii="Times New Roman" w:cs="Times New Roman" w:eastAsia="Times New Roman" w:hAnsi="Times New Roman"/>
          <w:sz w:val="12"/>
          <w:szCs w:val="12"/>
          <w:color w:val="auto"/>
        </w:rPr>
        <w:t>We are a partnership holding company, and our subsidiaries conduct all of our operations and own all of our operating assets. We do not have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instruments, applicable state business organization laws and other laws and regulations. If we are unable to obtain the funds necessary to pay all the principal and interest on the notes when due, we may be required to adopt one or more alternatives, such as a refinancing of the notes. We cannot assure you that we would be able to refinance the notes on terms that are acceptable to us, or at all.</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An increase in market interest rates could result in a decrease in the market value of the notes.</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continue fluctuating into the future, which could have an adverse effect on the market price of the notes. In general, as market interest rates rise, debt securities bearing interest at fixed rates of interest decline in value. Consequently, if you purchase notes bearing interest at fixed rates of interest and market interest rates increase, the market value of those notes may decline. We cannot predict the future level of market interest rates.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9" w:right="1440"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We may redeem the notes before they mature, which could occur when prevailing interest rates are relatively low.</w:t>
      </w:r>
    </w:p>
    <w:p>
      <w:pPr>
        <w:spacing w:after="0" w:line="86" w:lineRule="exact"/>
        <w:rPr>
          <w:sz w:val="20"/>
          <w:szCs w:val="20"/>
          <w:color w:val="auto"/>
        </w:rPr>
      </w:pPr>
    </w:p>
    <w:p>
      <w:pPr>
        <w:ind w:left="340" w:right="439" w:firstLine="333"/>
        <w:spacing w:after="0" w:line="297" w:lineRule="auto"/>
        <w:rPr>
          <w:sz w:val="20"/>
          <w:szCs w:val="20"/>
          <w:color w:val="auto"/>
        </w:rPr>
      </w:pPr>
      <w:r>
        <w:rPr>
          <w:rFonts w:ascii="Times New Roman" w:cs="Times New Roman" w:eastAsia="Times New Roman" w:hAnsi="Times New Roman"/>
          <w:sz w:val="12"/>
          <w:szCs w:val="12"/>
          <w:color w:val="auto"/>
        </w:rPr>
        <w:t>We may redeem all or any portion of the notes at our option as described under “</w:t>
      </w:r>
      <w:r>
        <w:rPr>
          <w:rFonts w:ascii="Times New Roman" w:cs="Times New Roman" w:eastAsia="Times New Roman" w:hAnsi="Times New Roman"/>
          <w:sz w:val="12"/>
          <w:szCs w:val="12"/>
          <w:i w:val="1"/>
          <w:iCs w:val="1"/>
          <w:color w:val="auto"/>
        </w:rPr>
        <w:t>Description of the Notes—Optional Redemption</w:t>
      </w:r>
      <w:r>
        <w:rPr>
          <w:rFonts w:ascii="Times New Roman" w:cs="Times New Roman" w:eastAsia="Times New Roman" w:hAnsi="Times New Roman"/>
          <w:sz w:val="12"/>
          <w:szCs w:val="12"/>
          <w:color w:val="auto"/>
        </w:rPr>
        <w:t>.” Any such redemption may occur when prevailing interest rates are lower than the rates borne by the notes. These redemption rights may, depending on prevailing market conditions at the time, create reinvestment risk for the noteholders in that they may be unable to find a suitable replacement investment with a comparable return to those notes. If prevailing rates are lower at the time of redemption, noteholders may not be able to reinvest the redemption proceeds in a comparable security at an effective interest rate as high as the interest rate on the notes being redeemed. The redemption of the notes also may adversely affect noteholders’ ability to sell the notes if and at any time after the notes are called for partial or full redemption.</w:t>
      </w:r>
    </w:p>
    <w:p>
      <w:pPr>
        <w:spacing w:after="0" w:line="199" w:lineRule="exact"/>
        <w:rPr>
          <w:sz w:val="20"/>
          <w:szCs w:val="20"/>
          <w:color w:val="auto"/>
        </w:rPr>
      </w:pPr>
    </w:p>
    <w:p>
      <w:pPr>
        <w:ind w:left="340" w:right="4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Changes in our credit rating or outlook or in the rating assigned by a rating agency to the notes could adversely affect the market price or liquidity of the notes.</w:t>
      </w:r>
    </w:p>
    <w:p>
      <w:pPr>
        <w:spacing w:after="0" w:line="50"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market value of the notes.</w:t>
      </w:r>
    </w:p>
    <w:p>
      <w:pPr>
        <w:spacing w:after="0" w:line="146"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5"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USE OF PROCEEDS</w:t>
      </w:r>
    </w:p>
    <w:p>
      <w:pPr>
        <w:spacing w:after="0" w:line="170"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We expect to receive net proceeds of approximately $2.97 billion from the sale of the notes offered hereby after deducting the underwriting discounts and offering expenses. We intend to use the net proceeds from this offering to refinance existing indebtedness, including to repay commercial paper and borrowings under our revolving credit facility, and for general partnership purposes.</w:t>
      </w:r>
    </w:p>
    <w:p>
      <w:pPr>
        <w:spacing w:after="0" w:line="142" w:lineRule="exact"/>
        <w:rPr>
          <w:sz w:val="20"/>
          <w:szCs w:val="20"/>
          <w:color w:val="auto"/>
        </w:rPr>
      </w:pPr>
    </w:p>
    <w:p>
      <w:pPr>
        <w:ind w:left="340" w:right="619" w:firstLine="333"/>
        <w:spacing w:after="0" w:line="254" w:lineRule="auto"/>
        <w:rPr>
          <w:sz w:val="20"/>
          <w:szCs w:val="20"/>
          <w:color w:val="auto"/>
        </w:rPr>
      </w:pPr>
      <w:r>
        <w:rPr>
          <w:rFonts w:ascii="Times New Roman" w:cs="Times New Roman" w:eastAsia="Times New Roman" w:hAnsi="Times New Roman"/>
          <w:sz w:val="14"/>
          <w:szCs w:val="14"/>
          <w:color w:val="auto"/>
        </w:rPr>
        <w:t>As of September 30, 2025, after giving effect to this offering and the application of the net proceeds as set forth above, we would have had no outstanding borrowings under our revolving credit facility. Our revolving credit facility matures on April 11, 2029. As of September 30, 2025, the weighted average interest rate under our revolving credit facility was 4.33%.</w:t>
      </w:r>
    </w:p>
    <w:p>
      <w:pPr>
        <w:spacing w:after="0" w:line="142"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Affiliates of each of the underwriters are lenders under our revolving credit facility. Accordingly, each of the underwriters and their affiliates may receive a portion of the net proceeds from this offering through any repayment of borrowings under our revolving credit facility.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Please read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5"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CAPITALIZATION</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total capitalization as of September 30, 2025, on an:</w:t>
      </w:r>
    </w:p>
    <w:p>
      <w:pPr>
        <w:spacing w:after="0" w:line="94" w:lineRule="exact"/>
        <w:rPr>
          <w:sz w:val="20"/>
          <w:szCs w:val="20"/>
          <w:color w:val="auto"/>
        </w:rPr>
      </w:pPr>
    </w:p>
    <w:p>
      <w:pPr>
        <w:ind w:left="1080" w:hanging="334"/>
        <w:spacing w:after="0"/>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basis; and</w:t>
      </w:r>
    </w:p>
    <w:p>
      <w:pPr>
        <w:spacing w:after="0" w:line="94" w:lineRule="exact"/>
        <w:rPr>
          <w:rFonts w:ascii="Times New Roman" w:cs="Times New Roman" w:eastAsia="Times New Roman" w:hAnsi="Times New Roman"/>
          <w:sz w:val="14"/>
          <w:szCs w:val="14"/>
          <w:color w:val="auto"/>
        </w:rPr>
      </w:pPr>
    </w:p>
    <w:p>
      <w:pPr>
        <w:ind w:left="1080" w:right="859" w:hanging="334"/>
        <w:spacing w:after="0" w:line="264"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to give effect to the issuance of the notes offered by this prospectus supplement and the application of the net proceeds therefrom in the manner described under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340" w:right="859" w:firstLine="333"/>
        <w:spacing w:after="0" w:line="264" w:lineRule="auto"/>
        <w:rPr>
          <w:sz w:val="20"/>
          <w:szCs w:val="20"/>
          <w:color w:val="auto"/>
        </w:rPr>
      </w:pPr>
      <w:r>
        <w:rPr>
          <w:rFonts w:ascii="Times New Roman" w:cs="Times New Roman" w:eastAsia="Times New Roman" w:hAnsi="Times New Roman"/>
          <w:sz w:val="14"/>
          <w:szCs w:val="14"/>
          <w:color w:val="auto"/>
        </w:rPr>
        <w:t>This table should be read together with our historical financial statements and the accompanying notes incorporated by reference into this prospectus supplement and the accompanying base prospectus.</w:t>
      </w:r>
    </w:p>
    <w:p>
      <w:pPr>
        <w:spacing w:after="0" w:line="150" w:lineRule="exact"/>
        <w:rPr>
          <w:sz w:val="20"/>
          <w:szCs w:val="20"/>
          <w:color w:val="auto"/>
        </w:rPr>
      </w:pPr>
    </w:p>
    <w:tbl>
      <w:tblPr>
        <w:tblLayout w:type="fixed"/>
        <w:tblInd w:w="1340" w:type="dxa"/>
        <w:tblCellMar>
          <w:top w:w="0" w:type="dxa"/>
          <w:left w:w="0" w:type="dxa"/>
          <w:bottom w:w="0" w:type="dxa"/>
          <w:right w:w="0" w:type="dxa"/>
        </w:tblCellMar>
      </w:tblPr>
      <w:tr>
        <w:trPr>
          <w:trHeight w:val="131"/>
        </w:trPr>
        <w:tc>
          <w:tcPr>
            <w:tcW w:w="4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8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0" w:type="dxa"/>
            <w:vAlign w:val="bottom"/>
          </w:tcPr>
          <w:p>
            <w:pPr>
              <w:spacing w:after="0"/>
              <w:rPr>
                <w:sz w:val="1"/>
                <w:szCs w:val="1"/>
                <w:color w:val="auto"/>
              </w:rPr>
            </w:pPr>
          </w:p>
        </w:tc>
      </w:tr>
      <w:tr>
        <w:trPr>
          <w:trHeight w:val="103"/>
        </w:trPr>
        <w:tc>
          <w:tcPr>
            <w:tcW w:w="4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4"/>
          </w:tcPr>
          <w:p>
            <w:pPr>
              <w:ind w:left="420"/>
              <w:spacing w:after="0" w:line="103" w:lineRule="exact"/>
              <w:rPr>
                <w:sz w:val="20"/>
                <w:szCs w:val="20"/>
                <w:color w:val="auto"/>
              </w:rPr>
            </w:pPr>
            <w:r>
              <w:rPr>
                <w:rFonts w:ascii="Times New Roman" w:cs="Times New Roman" w:eastAsia="Times New Roman" w:hAnsi="Times New Roman"/>
                <w:sz w:val="11"/>
                <w:szCs w:val="11"/>
                <w:b w:val="1"/>
                <w:bCs w:val="1"/>
                <w:color w:val="auto"/>
                <w:w w:val="98"/>
              </w:rPr>
              <w:t>(in millions)</w:t>
            </w: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2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Credit Facilities</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Our revolving credit facility</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Subsidiaries’ revolving credit facilities</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Senior Notes and Other Debt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Our senior notes and other debt, including junior subordinated debt</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Subsidiaries’ senior notes and other debt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Unamortized premiums, discounts and fair value adjustments, net</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63,104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Limited Partners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Preferred Unitholders</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Common Unitholders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Partner</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3"/>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capitalization</w:t>
            </w:r>
          </w:p>
        </w:tc>
        <w:tc>
          <w:tcPr>
            <w:tcW w:w="4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110,248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111,672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S-9</w:t>
            </w: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THE NOTES</w:t>
      </w:r>
    </w:p>
    <w:p>
      <w:pPr>
        <w:spacing w:after="0" w:line="168" w:lineRule="exact"/>
        <w:rPr>
          <w:sz w:val="20"/>
          <w:szCs w:val="20"/>
          <w:color w:val="auto"/>
        </w:rPr>
      </w:pPr>
    </w:p>
    <w:p>
      <w:pPr>
        <w:ind w:left="340" w:right="39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Energy Transfer will issue the notes under a base indenture, dated as of December 14, 2022, between itself and U.S. Bank Trust Company, National Association, as trustee, as supplemented by the tenth supplemental indenture creating the notes and setting forth the specific terms of the notes (as so supplemented, the “indenture”).</w:t>
      </w:r>
    </w:p>
    <w:p>
      <w:pPr>
        <w:spacing w:after="0" w:line="140" w:lineRule="exact"/>
        <w:rPr>
          <w:sz w:val="20"/>
          <w:szCs w:val="20"/>
          <w:color w:val="auto"/>
        </w:rPr>
      </w:pPr>
    </w:p>
    <w:p>
      <w:pPr>
        <w:jc w:val="both"/>
        <w:ind w:left="340" w:right="57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This description is a summary of the material provisions of the notes and the indenture. This description does not restate those agreements and instruments in their entirety. You should refer to the notes and the indenture, forms of which are available as set forth below under “Where You Can Find More Information; Incorporation by Reference,” for a complete description of our obligations and your rights.</w:t>
      </w:r>
    </w:p>
    <w:p>
      <w:pPr>
        <w:spacing w:after="0" w:line="140" w:lineRule="exact"/>
        <w:rPr>
          <w:sz w:val="20"/>
          <w:szCs w:val="20"/>
          <w:color w:val="auto"/>
        </w:rPr>
      </w:pPr>
    </w:p>
    <w:p>
      <w:pPr>
        <w:ind w:left="340" w:right="45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You can find the definitions of various terms used in this description under “—Certain Definitions” below. In this description, the terms “Energy Transfer,” “the Partnership,” “we,” “us” and “our” refer only to Energy Transfer LP and not to any of its Subsidiaries.</w:t>
      </w:r>
    </w:p>
    <w:p>
      <w:pPr>
        <w:spacing w:after="0" w:line="132" w:lineRule="exact"/>
        <w:rPr>
          <w:sz w:val="20"/>
          <w:szCs w:val="20"/>
          <w:color w:val="auto"/>
        </w:rPr>
      </w:pPr>
    </w:p>
    <w:p>
      <w:pPr>
        <w:ind w:left="340" w:right="83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The registered holder of a note will be treated as the owner of the note for all purposes. Only registered holders will have rights under the Indenture.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notes:</w:t>
      </w:r>
    </w:p>
    <w:p>
      <w:pPr>
        <w:spacing w:after="0" w:line="94" w:lineRule="exact"/>
        <w:rPr>
          <w:sz w:val="20"/>
          <w:szCs w:val="20"/>
          <w:color w:val="auto"/>
        </w:rPr>
      </w:pPr>
    </w:p>
    <w:p>
      <w:pPr>
        <w:ind w:left="1080" w:right="899" w:hanging="334"/>
        <w:spacing w:after="0" w:line="264"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general unsecured, senior obligations of Energy Transfer, ranking equally with all other existing and future unsecured and unsubordinated indebtedness of Energy Transfer, including our revolving credit facility;</w:t>
      </w:r>
    </w:p>
    <w:p>
      <w:pPr>
        <w:spacing w:after="0" w:line="64" w:lineRule="exact"/>
        <w:rPr>
          <w:rFonts w:ascii="Times New Roman" w:cs="Times New Roman" w:eastAsia="Times New Roman" w:hAnsi="Times New Roman"/>
          <w:sz w:val="14"/>
          <w:szCs w:val="14"/>
          <w:color w:val="auto"/>
        </w:rPr>
      </w:pPr>
    </w:p>
    <w:p>
      <w:pPr>
        <w:ind w:left="1080" w:right="459" w:hanging="334"/>
        <w:spacing w:after="0" w:line="264"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initially be issued in an aggregate principal amount of $1,000,000,000 with respect to the 2031 notes, $1,000,000,000 with respect to the 2036 notes and an aggregate principal amount of $1,000,000,000 with respect to the 2056 notes;</w:t>
      </w:r>
    </w:p>
    <w:p>
      <w:pPr>
        <w:spacing w:after="0" w:line="6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mature on January 15, 2031 with respect to the 2031 notes, January 15, 2036 with respect to the 2036 notes and January 15, 2056 with respect to the 2056 notes;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denominations of $2,000 and integral multiples of $1,000 in excess thereof;</w:t>
      </w:r>
    </w:p>
    <w:p>
      <w:pPr>
        <w:spacing w:after="0" w:line="94" w:lineRule="exact"/>
        <w:rPr>
          <w:rFonts w:ascii="Times New Roman" w:cs="Times New Roman" w:eastAsia="Times New Roman" w:hAnsi="Times New Roman"/>
          <w:sz w:val="14"/>
          <w:szCs w:val="14"/>
          <w:color w:val="auto"/>
        </w:rPr>
      </w:pPr>
    </w:p>
    <w:p>
      <w:pPr>
        <w:ind w:left="1080" w:right="359" w:hanging="334"/>
        <w:spacing w:after="0" w:line="264"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bear interest at an annual rate of 4.550% with respect to the 2031 notes, an annual rate of 5.350% with respect to the 2036 notes and an annual rate of 6.300% with respect to the 2056 notes; and</w:t>
      </w:r>
    </w:p>
    <w:p>
      <w:pPr>
        <w:spacing w:after="0" w:line="62"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redeemable at any time at our option at the applicable redemption prices described below under “—</w:t>
      </w:r>
      <w:r>
        <w:rPr>
          <w:rFonts w:ascii="Times New Roman" w:cs="Times New Roman" w:eastAsia="Times New Roman" w:hAnsi="Times New Roman"/>
          <w:sz w:val="14"/>
          <w:szCs w:val="14"/>
          <w:i w:val="1"/>
          <w:iCs w:val="1"/>
          <w:color w:val="auto"/>
        </w:rPr>
        <w:t>Optional Redemption</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The 2031 notes, 2036 notes and 2056 notes each constitute a separate series of debt securities under the indenture. The indenture does not limit the amount of debt securities we may issue under the indenture from time to time in one or more series.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may in the future issue additional debt securities under the indenture in addition to the notes.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88" w:lineRule="exact"/>
        <w:rPr>
          <w:sz w:val="20"/>
          <w:szCs w:val="20"/>
          <w:color w:val="auto"/>
        </w:rPr>
      </w:pPr>
    </w:p>
    <w:p>
      <w:pPr>
        <w:ind w:left="340" w:right="559" w:firstLine="333"/>
        <w:spacing w:after="0" w:line="264" w:lineRule="auto"/>
        <w:rPr>
          <w:sz w:val="20"/>
          <w:szCs w:val="20"/>
          <w:color w:val="auto"/>
        </w:rPr>
      </w:pPr>
      <w:r>
        <w:rPr>
          <w:rFonts w:ascii="Times New Roman" w:cs="Times New Roman" w:eastAsia="Times New Roman" w:hAnsi="Times New Roman"/>
          <w:sz w:val="14"/>
          <w:szCs w:val="14"/>
          <w:color w:val="auto"/>
        </w:rPr>
        <w:t>Interest on each series of notes will accrue from and including January 27, 2026 or from and including the most recent interest payment date to which interest has been paid or provided for.</w:t>
      </w:r>
    </w:p>
    <w:p>
      <w:pPr>
        <w:spacing w:after="0" w:line="136"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We will pay interest on the notes on January 15 and July 15 of each year, beginning on July 15, 2026 (each, an “interest payment date”). We will make interest payments on the notes to the persons in whose names the notes are registered at the close of business on January 1 and July 1, as applicable, before the next interest payment date.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5" w:right="1440" w:bottom="1440" w:gutter="0" w:footer="0" w:header="0"/>
        </w:sectPr>
      </w:pPr>
    </w:p>
    <w:bookmarkStart w:id="14" w:name="page15"/>
    <w:bookmarkEnd w:id="14"/>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Interest will be computed on the basis of a 360-day year consisting of twelve 30-day months. If any interest payment date falls on a day that is not a business day, the payment will be made on the next business day, and no interest will accrue on the amount of interest due on that interest payment date for the period from and after the interest payment date to the date of payment. Under the indenture, a business day is a day that is not a Saturday, a Sunday or a day on which banking institutions in the City of New York, New York or a place of payment are authorized or obligated by law, regulation or executive order to remain closed.</w:t>
      </w:r>
    </w:p>
    <w:p>
      <w:pPr>
        <w:spacing w:after="0" w:line="149"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Payments of principal of, premium, if any, on, and interest due on the notes representing book-entry notes on any interest payment date or on the maturity date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interest payment date for the period from and after such interest payment date and the date of payment. As soon as possible thereafter, the trustee will make such payments to the depositary.</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the notes, create and issue additional notes having the same terms as each of the series of notes offered by this prospectus supplement and accompanying base prospectus, except for issue date, issue price and in some cases, the first interest payment date. Additional notes issued in this manner will form a single series with the previously issued and outstanding notes of such series.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jc w:val="both"/>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Prior to December 15, 2030 (one month prior to their maturity date) (the “2031 Notes Par Call Date”) with respect to the 2031 notes, October 15, 2035 (three months prior to their maturity date) (the “2036 Notes Par Call Date”) with respect to the 2036 notes and July 15, 2055 (six months prior to their maturity date) (the “2056 Notes Par Call Date”) with respect to the 2056 notes, the Partnership may redeem the applicable notes, in each case, at its option, in whole or in part, at any time and from time to time, at a redemption price (expressed as a percentage of principal amount and rounded to three decimal places) equal to the greater of:</w:t>
      </w:r>
    </w:p>
    <w:p>
      <w:pPr>
        <w:spacing w:after="0" w:line="149" w:lineRule="exact"/>
        <w:rPr>
          <w:sz w:val="20"/>
          <w:szCs w:val="20"/>
          <w:color w:val="auto"/>
        </w:rPr>
      </w:pPr>
    </w:p>
    <w:p>
      <w:pPr>
        <w:ind w:left="340" w:right="439" w:firstLine="331"/>
        <w:spacing w:after="0" w:line="247" w:lineRule="auto"/>
        <w:tabs>
          <w:tab w:leader="none" w:pos="86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2031 notes matured on the 2031 Notes Par Call Date, in the case of a redemption of the 2031 notes, the 2036 notes matured on the 2036 Notes Par Call Date, in the case of a redemption of the 2036 notes or the 2056 notes matured on the 2056 Notes Par Call Date, in the case of a redemption of the 2056 notes) on a semi-annual basis (assuming a 360-day year consisting of twelve 30-day months) at the Treasury Rate plus 15 basis points (in the case of the 2031 notes), 20 basis points (in the case of the 2036 notes) or 25 basis points (in the case of the 2056 notes), less (b) interest accrued to the date of redemption, and</w:t>
      </w:r>
    </w:p>
    <w:p>
      <w:pPr>
        <w:spacing w:after="0" w:line="149" w:lineRule="exact"/>
        <w:rPr>
          <w:rFonts w:ascii="Times New Roman" w:cs="Times New Roman" w:eastAsia="Times New Roman" w:hAnsi="Times New Roman"/>
          <w:sz w:val="14"/>
          <w:szCs w:val="14"/>
          <w:color w:val="auto"/>
        </w:rPr>
      </w:pPr>
    </w:p>
    <w:p>
      <w:pPr>
        <w:ind w:left="340" w:right="799" w:firstLine="331"/>
        <w:spacing w:after="0" w:line="264" w:lineRule="auto"/>
        <w:tabs>
          <w:tab w:leader="none" w:pos="86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of such series to be redeemed, plus, in either case, accrued and unpaid interest thereon to the redemption date.</w:t>
      </w:r>
    </w:p>
    <w:p>
      <w:pPr>
        <w:spacing w:after="0" w:line="136" w:lineRule="exact"/>
        <w:rPr>
          <w:sz w:val="20"/>
          <w:szCs w:val="20"/>
          <w:color w:val="auto"/>
        </w:rPr>
      </w:pPr>
    </w:p>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t>On or after the 2031 Notes Par Call Date (in the case of the 2031 notes), the 2036 Notes Par Call Date (in the case of the 2036 notes) or the 2056 Notes Par Call Date (in the case of the 2056 notes), the Partnership may redeem the notes of such series,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left="340" w:right="799" w:firstLine="333"/>
        <w:spacing w:after="0" w:line="264" w:lineRule="auto"/>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the Partnership in accordance with the following two paragraphs.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5" w:name="page16"/>
    <w:bookmarkEnd w:id="15"/>
    <w:p>
      <w:pPr>
        <w:jc w:val="both"/>
        <w:ind w:left="340" w:right="419" w:firstLine="333"/>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Treasury Rate shall be determined by the Partnership after 4:15 p.m., New York City time (or after such time as yields on U.S. government securities are posted daily by the Board of Governors of the Federal Reserve System), on the third business day preceding the notice of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w:t>
      </w:r>
    </w:p>
    <w:p>
      <w:pPr>
        <w:spacing w:after="0" w:line="1" w:lineRule="exact"/>
        <w:rPr>
          <w:sz w:val="20"/>
          <w:szCs w:val="20"/>
          <w:color w:val="auto"/>
        </w:rPr>
      </w:pPr>
    </w:p>
    <w:p>
      <w:pPr>
        <w:ind w:left="340" w:right="359"/>
        <w:spacing w:after="0" w:line="243" w:lineRule="auto"/>
        <w:rPr>
          <w:sz w:val="20"/>
          <w:szCs w:val="20"/>
          <w:color w:val="auto"/>
        </w:rPr>
      </w:pPr>
      <w:r>
        <w:rPr>
          <w:rFonts w:ascii="Times New Roman" w:cs="Times New Roman" w:eastAsia="Times New Roman" w:hAnsi="Times New Roman"/>
          <w:sz w:val="14"/>
          <w:szCs w:val="14"/>
          <w:color w:val="auto"/>
        </w:rPr>
        <w:t>In determining the Treasury Rate, the Partnership shall select, as applicable: (1) the yield for the Treasury constant maturity on H.15 exactly equal to the period (the “Remaining Life”) from the redemption date to the 2031 Notes Par Call Date (in the case of the 2031 notes), 2036 Notes Par Call Date (in the case of the 2036 notes) or the 2056 Notes Par Call Date (in the case of the 2056 notes); or (2) if there is no such Treasury constant maturity on H.15 exactly equal to the Remaining Life, the two yields—one yield corresponding to the Treasury constant maturity on H.15 immediately shorter than the Remaining Life and one yield corresponding to the Treasury constant maturity on H.15 immediately longer than the Remaining Life—and shall interpolate to the 2031 Notes Par Call Date (in the case of the 2031 notes), the 2036 Notes Par Call Date (in the case of the 2036 notes) or the 2056 Notes Par Call Date (in the case of the 2056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6" w:lineRule="exact"/>
        <w:rPr>
          <w:sz w:val="20"/>
          <w:szCs w:val="20"/>
          <w:color w:val="auto"/>
        </w:rPr>
      </w:pPr>
    </w:p>
    <w:p>
      <w:pPr>
        <w:ind w:left="340" w:right="419" w:firstLine="333"/>
        <w:spacing w:after="0" w:line="286" w:lineRule="auto"/>
        <w:rPr>
          <w:sz w:val="20"/>
          <w:szCs w:val="20"/>
          <w:color w:val="auto"/>
        </w:rPr>
      </w:pPr>
      <w:r>
        <w:rPr>
          <w:rFonts w:ascii="Times New Roman" w:cs="Times New Roman" w:eastAsia="Times New Roman" w:hAnsi="Times New Roman"/>
          <w:sz w:val="12"/>
          <w:szCs w:val="12"/>
          <w:color w:val="auto"/>
        </w:rPr>
        <w:t>If on the third business day preceding the notice of the redemption date, H.15 TCM or any successor designation or publication is no longer published, the Partnership shall calculate the Treasury Rate based on the rate per annum equal to the semi-annual equivalent yield to maturity at 11:00 a.m., New York City time, on the second business day preceding the notice of such redemption date of the United States Treasury security maturing on, or with a maturity that is closest to, the 2031 Notes Par Call Date (in the case of the 2031 notes), the 2036 Notes Par Call Date (in the case of the 2036 notes) or the 2056 Notes Par Call Date (in the case of the 2056 notes), as applicable. If there is no United States Treasury security maturing on the 2031 Notes Par Call Date (in the case of the 2031 notes), the 2036 Notes Par Call Date (in the case of the 2036 notes) or the 2056 Notes Par Call Date (in the case of the 2056 notes), but there are two or more United States Treasury securities with a maturity date equally distant from the 2031 Notes Par Call Date (in the case of the 2031 notes), the 2036 Notes Par Call Date (in the case of the 2036 notes) or the 2056 Notes Par Call Date (in the case of the</w:t>
      </w:r>
    </w:p>
    <w:p>
      <w:pPr>
        <w:spacing w:after="0" w:line="4" w:lineRule="exact"/>
        <w:rPr>
          <w:sz w:val="20"/>
          <w:szCs w:val="20"/>
          <w:color w:val="auto"/>
        </w:rPr>
      </w:pPr>
    </w:p>
    <w:p>
      <w:pPr>
        <w:ind w:left="340" w:right="359"/>
        <w:spacing w:after="0" w:line="243" w:lineRule="auto"/>
        <w:rPr>
          <w:sz w:val="20"/>
          <w:szCs w:val="20"/>
          <w:color w:val="auto"/>
        </w:rPr>
      </w:pPr>
      <w:r>
        <w:rPr>
          <w:rFonts w:ascii="Times New Roman" w:cs="Times New Roman" w:eastAsia="Times New Roman" w:hAnsi="Times New Roman"/>
          <w:sz w:val="14"/>
          <w:szCs w:val="14"/>
          <w:color w:val="auto"/>
        </w:rPr>
        <w:t>2056 notes), one with a maturity date preceding the 2031 Notes Par Call Date (in the case of the 2031 notes), the 2036 Notes Par Call Date (in the case of the 2036 notes) or the 2056 Notes Par Call Date (in the case of the 2056 notes) and one with a maturity date following the 2031 Notes Par Call Date (in the case of the 2031 notes), the 2036 Notes Par Call Date (in the case of the 2036 notes) or the 2056 Notes Par Call Date (in the case of the 2056 notes), the Partnership shall select the United States Treasury security with a maturity date preceding the 2031 Notes Par Call Date (in the case of the 2031 notes), the 2036 Notes Par Call Date (in the case of the 2036 notes) or the 2056 Notes Par Call Date (in the case of the 2056 notes). If there are two or more United States Treasury securities maturing on the 2031 Notes Par Call Date (in the case of the 2031 notes), the 2036 Notes Par Call Date (in the case of the 2036 notes) or the 2056 Notes Par Call Date (in the case of the 2056 notes), or two or more United States Treasury securities meeting the criteria of the preceding sentence, the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Partnership’s actions and determinations in determining the redemption price shall be conclusive and binding for all purposes, absent manifest</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error.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39" w:right="1440" w:bottom="1440" w:gutter="0" w:footer="0" w:header="0"/>
        </w:sectPr>
      </w:pPr>
    </w:p>
    <w:bookmarkStart w:id="16" w:name="page17"/>
    <w:bookmarkEnd w:id="16"/>
    <w:p>
      <w:pPr>
        <w:ind w:left="340" w:right="519" w:firstLine="33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Notwithstanding the foregoing, if the redemption date falls after a record date and on or prior to the corresponding interest payment date, the Partnership will pay the full amount of accrued and unpaid interest, if any (plus additional interest, if applicable), on such interest payment date to the holder of record at the close of business on the corresponding record date (instead of the holder surrendering its notes for redemption).</w:t>
      </w:r>
    </w:p>
    <w:p>
      <w:pPr>
        <w:spacing w:after="0" w:line="142" w:lineRule="exact"/>
        <w:rPr>
          <w:sz w:val="20"/>
          <w:szCs w:val="20"/>
          <w:color w:val="auto"/>
        </w:rPr>
      </w:pPr>
    </w:p>
    <w:p>
      <w:pPr>
        <w:ind w:left="340" w:right="379" w:firstLine="333"/>
        <w:spacing w:after="0" w:line="245" w:lineRule="auto"/>
        <w:rPr>
          <w:sz w:val="20"/>
          <w:szCs w:val="20"/>
          <w:color w:val="auto"/>
        </w:rPr>
      </w:pPr>
      <w:r>
        <w:rPr>
          <w:rFonts w:ascii="Times New Roman" w:cs="Times New Roman" w:eastAsia="Times New Roman" w:hAnsi="Times New Roman"/>
          <w:sz w:val="14"/>
          <w:szCs w:val="14"/>
          <w:color w:val="auto"/>
        </w:rPr>
        <w:t>Notes called for redemption become due on the redemption date. Notices of redemption will be delivered at least 10 but not more than 60 days before the redemption date to each holder of the notes to be redeemed at its registered address or otherwise in accordance with the applicable procedures of The Depository Trust Company. Redemption notices may be sent more than 60 days prior to a Redemption Date if the notice is issued in connection with a defeasance of a series of notes or satisfaction or discharge of the Indenture with respect to a series of the notes. The notice of redemption for any series of the notes will state, among other things, the amount of notes to be redeemed, the redemption date, the method of calculating the redemption price and each place that payment will be made upon presentation and surrender of notes to be redeemed. Unless we default in payment of the redemption price, interest will cease to accrue on any notes that have been called for redemption on the redemption date. 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Depository Trust Company.</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Open Market Purchases; No Mandatory Redemption or Sinking Fund</w:t>
      </w:r>
    </w:p>
    <w:p>
      <w:pPr>
        <w:spacing w:after="0" w:line="88" w:lineRule="exact"/>
        <w:rPr>
          <w:sz w:val="20"/>
          <w:szCs w:val="20"/>
          <w:color w:val="auto"/>
        </w:rPr>
      </w:pPr>
    </w:p>
    <w:p>
      <w:pPr>
        <w:ind w:left="340" w:right="879" w:firstLine="333"/>
        <w:spacing w:after="0" w:line="264" w:lineRule="auto"/>
        <w:rPr>
          <w:sz w:val="20"/>
          <w:szCs w:val="20"/>
          <w:color w:val="auto"/>
        </w:rPr>
      </w:pPr>
      <w:r>
        <w:rPr>
          <w:rFonts w:ascii="Times New Roman" w:cs="Times New Roman" w:eastAsia="Times New Roman" w:hAnsi="Times New Roman"/>
          <w:sz w:val="14"/>
          <w:szCs w:val="14"/>
          <w:color w:val="auto"/>
        </w:rPr>
        <w:t>We may at any time and from time to time purchase notes in the open market or otherwise, in each case, without any restriction under the indenture. We are not required to make mandatory redemption or sinking fund payments with respect to any of the notes.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Subsidiary Guarantees</w:t>
      </w:r>
    </w:p>
    <w:p>
      <w:pPr>
        <w:spacing w:after="0" w:line="88"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None of our Subsidiaries will guarantee the notes upon their issuance; however, if at any time following the issuance of the notes, any Subsidiary of Energy Transfer guarantees, becomes a co-obligor with respect to or otherwise provides direct credit support for any obligations of Energy Transfer or any of its other Subsidiaries under the Credit Agreement, then Energy Transfer will cause such Subsidiary to promptly execute and deliver to the trustee a supplemental indenture in substantially the form attached to the tenth supplemental indenture pursuant to which such Subsidiary guarantees Energy Transfer’s obligations with respect to the notes on the terms provided for in the indenture.</w:t>
      </w:r>
    </w:p>
    <w:p>
      <w:pPr>
        <w:spacing w:after="0" w:line="149"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guarantee of any Subsidiary Guarantor may be released under certain circumstances. If we exercise our legal or covenant defeasance option with respect to the notes as described below under “—</w:t>
      </w:r>
      <w:r>
        <w:rPr>
          <w:rFonts w:ascii="Times New Roman" w:cs="Times New Roman" w:eastAsia="Times New Roman" w:hAnsi="Times New Roman"/>
          <w:sz w:val="14"/>
          <w:szCs w:val="14"/>
          <w:i w:val="1"/>
          <w:iCs w:val="1"/>
          <w:color w:val="auto"/>
        </w:rPr>
        <w:t>Defeasance and Discharge</w:t>
      </w:r>
      <w:r>
        <w:rPr>
          <w:rFonts w:ascii="Times New Roman" w:cs="Times New Roman" w:eastAsia="Times New Roman" w:hAnsi="Times New Roman"/>
          <w:sz w:val="14"/>
          <w:szCs w:val="14"/>
          <w:color w:val="auto"/>
        </w:rPr>
        <w:t>,” then any Subsidiary Guarantor will be released. Further, if no default has occurred and is continuing under the indenture, and to the extent not otherwise prohibited by the indenture, a Subsidiary Guarantor will be unconditionally released and discharged from its guarantee:</w:t>
      </w:r>
    </w:p>
    <w:p>
      <w:pPr>
        <w:spacing w:after="0" w:line="75" w:lineRule="exact"/>
        <w:rPr>
          <w:sz w:val="20"/>
          <w:szCs w:val="20"/>
          <w:color w:val="auto"/>
        </w:rPr>
      </w:pPr>
    </w:p>
    <w:p>
      <w:pPr>
        <w:ind w:left="1080" w:right="479" w:hanging="334"/>
        <w:spacing w:after="0" w:line="264" w:lineRule="auto"/>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upon any sale, exchange or transfer, whether by way of merger or otherwise, to any Person that is not our affiliate, of all of our direct or indirect limited partnership or other equity interests in the Subsidiary Guarantor;</w:t>
      </w:r>
    </w:p>
    <w:p>
      <w:pPr>
        <w:spacing w:after="0" w:line="64" w:lineRule="exact"/>
        <w:rPr>
          <w:rFonts w:ascii="Times New Roman" w:cs="Times New Roman" w:eastAsia="Times New Roman" w:hAnsi="Times New Roman"/>
          <w:sz w:val="14"/>
          <w:szCs w:val="14"/>
          <w:color w:val="auto"/>
        </w:rPr>
      </w:pPr>
    </w:p>
    <w:p>
      <w:pPr>
        <w:ind w:left="1080" w:right="459" w:hanging="334"/>
        <w:spacing w:after="0" w:line="264" w:lineRule="auto"/>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upon the merger of the Subsidiary Guarantor into us or any other Subsidiary Guarantor or the liquidation and dissolution of the Subsidiary Guarantor; or</w:t>
      </w:r>
    </w:p>
    <w:p>
      <w:pPr>
        <w:spacing w:after="0" w:line="64" w:lineRule="exact"/>
        <w:rPr>
          <w:rFonts w:ascii="Times New Roman" w:cs="Times New Roman" w:eastAsia="Times New Roman" w:hAnsi="Times New Roman"/>
          <w:sz w:val="14"/>
          <w:szCs w:val="14"/>
          <w:color w:val="auto"/>
        </w:rPr>
      </w:pPr>
    </w:p>
    <w:p>
      <w:pPr>
        <w:ind w:left="1080" w:right="899" w:hanging="334"/>
        <w:spacing w:after="0" w:line="349" w:lineRule="auto"/>
        <w:tabs>
          <w:tab w:leader="none" w:pos="1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delivery of a written notice by us to the trustee, upon the release of all guarantees or other obligations of the Subsidiary Guarantor with respect to the obligations of Energy Transfer or any of its Subsidiaries under the Credit Agreement.</w:t>
      </w:r>
    </w:p>
    <w:p>
      <w:pPr>
        <w:spacing w:after="0" w:line="89"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If at any time following any release of a Subsidiary Guarantor from its guarantee of the notes pursuant to the third bullet point in the preceding paragraph, the Subsidiary Guarantor again guarantees, becomes a co-obligor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9" w:right="1440" w:bottom="1440" w:gutter="0" w:footer="0" w:header="0"/>
        </w:sectPr>
      </w:pPr>
    </w:p>
    <w:bookmarkStart w:id="17" w:name="page18"/>
    <w:bookmarkEnd w:id="17"/>
    <w:p>
      <w:pPr>
        <w:ind w:left="340" w:right="4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with respect to or otherwise provides direct credit support for any obligations of Energy Transfer or any of its Subsidiaries under the Credit Agreement, then Energy Transfer will cause the Subsidiary Guarantor to again guarantee the notes in accordance with the indenture.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88" w:lineRule="exact"/>
        <w:rPr>
          <w:sz w:val="20"/>
          <w:szCs w:val="20"/>
          <w:color w:val="auto"/>
        </w:rPr>
      </w:pPr>
    </w:p>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t xml:space="preserve">The notes will be unsecured, unless we are required to secure them pursuant to the limitations on liens covenant described below under “— </w:t>
      </w:r>
      <w:r>
        <w:rPr>
          <w:rFonts w:ascii="Times New Roman" w:cs="Times New Roman" w:eastAsia="Times New Roman" w:hAnsi="Times New Roman"/>
          <w:sz w:val="14"/>
          <w:szCs w:val="14"/>
          <w:i w:val="1"/>
          <w:iCs w:val="1"/>
          <w:color w:val="auto"/>
        </w:rPr>
        <w:t>Certain Covenants—Limitations on Liens</w:t>
      </w:r>
      <w:r>
        <w:rPr>
          <w:rFonts w:ascii="Times New Roman" w:cs="Times New Roman" w:eastAsia="Times New Roman" w:hAnsi="Times New Roman"/>
          <w:sz w:val="14"/>
          <w:szCs w:val="14"/>
          <w:color w:val="auto"/>
        </w:rPr>
        <w:t>.” The notes will also be the unsubordinated obligations of Energy Transfer and will rank equally with all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existing and future unsubordinated indebtedness of Energy Transfer. Any guarantee of the notes by any Subsidiary Guarantor will be an unsecured and unsubordinated obligation of the applicable Subsidiary Guarantor and will rank equally with all other existing and future unsubordinated indebtedness of the applicable Subsidiary Guarantor. The notes and each guarantee, if any, will effectively rank junior to any future indebtedness of Energy Transfer or any applicable Subsidiary Guarantor that is both secured and unsubordinated to the extent of the value of the assets securing such indebtedness, and the notes will structurally rank junior to all indebtedness and other liabilities of Energy Transfer’s existing and future Subsidiaries that are not Subsidiary Guarantors.</w:t>
      </w:r>
    </w:p>
    <w:p>
      <w:pPr>
        <w:spacing w:after="0" w:line="148"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As of September 30, 2025, after giving effect to this offering and the application of the net proceeds as set forth under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Energy Transfer would have had total senior debt of $51.9 billion, including the notes offered hereby, and we would have been able to incur an additional $5.0 billion of debt under our revolving credit facility. Additionally, as of September 30, 2025, we and our Subsidiaries would have had total junior subordinated debt of $3.8 billion. Initially, none of Energy Transfer’s Subsidiaries will guarantee the notes. As of September 30, 2025, the notes would have been structurally subordinated to approximately $13 billion of indebtedness of Energy Transfer’s Subsidiaries. We do not expect any change to our subsidiaries’ indebtedness in connection with the planned use of proceeds from this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 Sinking Fund</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are not required to make any mandatory redemption or sinking fund payments with respect to the notes.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88" w:lineRule="exact"/>
        <w:rPr>
          <w:sz w:val="20"/>
          <w:szCs w:val="20"/>
          <w:color w:val="auto"/>
        </w:rPr>
      </w:pPr>
    </w:p>
    <w:p>
      <w:pPr>
        <w:ind w:left="340" w:right="359" w:firstLine="333"/>
        <w:spacing w:after="0" w:line="300" w:lineRule="auto"/>
        <w:rPr>
          <w:sz w:val="20"/>
          <w:szCs w:val="20"/>
          <w:color w:val="auto"/>
        </w:rPr>
      </w:pPr>
      <w:r>
        <w:rPr>
          <w:rFonts w:ascii="Times New Roman" w:cs="Times New Roman" w:eastAsia="Times New Roman" w:hAnsi="Times New Roman"/>
          <w:sz w:val="12"/>
          <w:szCs w:val="12"/>
          <w:color w:val="auto"/>
        </w:rPr>
        <w:t>Except as set forth below, neither Energy Transfer nor any of its Subsidiaries is restricted by the indenture from incurring any type of indebtedness or other obligation, from paying dividends or making distributions on its partnership or other equity interests or from purchasing or redeeming its partnership or other equity interests. The indenture does not require the maintenance of any financial ratios or specified levels of net worth or liquidity. In addition, the indenture does not contain any provisions that would require Energy Transfer to repurchase or redeem or otherwise modify the terms of the notes upon a change in control or other events involving Energy Transfer that could adversely affect the creditworthiness of Energy Transfer.</w:t>
      </w:r>
    </w:p>
    <w:p>
      <w:pPr>
        <w:spacing w:after="0" w:line="114"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Limitations on Liens</w:t>
      </w:r>
      <w:r>
        <w:rPr>
          <w:rFonts w:ascii="Times New Roman" w:cs="Times New Roman" w:eastAsia="Times New Roman" w:hAnsi="Times New Roman"/>
          <w:sz w:val="14"/>
          <w:szCs w:val="14"/>
          <w:color w:val="auto"/>
        </w:rPr>
        <w:t>. Energy Transfer will not, nor will it permit any of its Subsidiaries to, create, assume, incur or suffer to exist any mortgage,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lien, security interest, pledge, charge or other encumbrance (“liens”) upon any Principal Property or upon any capital stock of any Restricted Subsidiary, whether owned on the date of the supplemental indenture creating the notes or thereafter acquired, to secure any Indebtedness of Energy Transfer or any other Person (other than the notes), without in any such case making effective provisions whereby all of the outstanding notes are secured equally and ratably with, or prior to, such Indebtedness so long as such Indebtedness is so secured.</w:t>
      </w:r>
    </w:p>
    <w:p>
      <w:pPr>
        <w:spacing w:after="0" w:line="146" w:lineRule="exact"/>
        <w:rPr>
          <w:sz w:val="20"/>
          <w:szCs w:val="20"/>
          <w:color w:val="auto"/>
        </w:rPr>
      </w:pPr>
    </w:p>
    <w:p>
      <w:pPr>
        <w:ind w:left="340" w:right="499" w:firstLine="333"/>
        <w:spacing w:after="0" w:line="316" w:lineRule="auto"/>
        <w:rPr>
          <w:sz w:val="20"/>
          <w:szCs w:val="20"/>
          <w:color w:val="auto"/>
        </w:rPr>
      </w:pPr>
      <w:r>
        <w:rPr>
          <w:rFonts w:ascii="Times New Roman" w:cs="Times New Roman" w:eastAsia="Times New Roman" w:hAnsi="Times New Roman"/>
          <w:sz w:val="12"/>
          <w:szCs w:val="12"/>
          <w:color w:val="auto"/>
        </w:rPr>
        <w:t>Notwithstanding the foregoing, under the indenture, Energy Transfer may, and may permit any of its Subsidiaries to, create, assume, incur, or suffer to exist without securing the notes (a) any Permitted Lien, (b) any lien upon any Principal Property or capital stock of a Restricted Subsidiary to secure Indebtedness of Energy Transfer or any other Person, provided that the aggregate principal amount of all Indebtedness then outstanding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9" w:right="1440" w:bottom="1440" w:gutter="0" w:footer="0" w:header="0"/>
        </w:sectPr>
      </w:pPr>
    </w:p>
    <w:bookmarkStart w:id="18" w:name="page19"/>
    <w:bookmarkEnd w:id="18"/>
    <w:p>
      <w:pPr>
        <w:ind w:left="340" w:right="39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secured by such lien and all similar liens under this clause (b), together with all Attributable Indebtedness from Sale-Leaseback Transactions (excluding Sale- Leaseback Transactions permitted by clauses (1) through (4), inclusive, of the first paragraph of the restriction on sale-leasebacks covenant described below), does not exceed 10% of Consolidated Net Tangible Assets or (c) any lien upon (i) any Principal Property that was not owned by Energy Transfer or any of its Subsidiaries on the date of the supplemental indenture creating the notes or (ii) the capital stock of any Restricted Subsidiary that owns no Principal Property that was owned by Energy Transfer or any of its Subsidiaries on the date of the supplemental indenture creating the notes, in each case, owned by a Subsidiary of Energy Transfer (an “Excluded Subsidiary”) that (A) is not, and is not required to be, a Subsidiary Guarantor and (B) has not granted any liens on any of its property securing Indebtedness with recourse to Energy Transfer or any Subsidiary of Energy Transfer other than such Excluded Subsidiary or any other Excluded Subsidiary.</w:t>
      </w:r>
    </w:p>
    <w:p>
      <w:pPr>
        <w:spacing w:after="0" w:line="146" w:lineRule="exact"/>
        <w:rPr>
          <w:sz w:val="20"/>
          <w:szCs w:val="20"/>
          <w:color w:val="auto"/>
        </w:rPr>
      </w:pPr>
    </w:p>
    <w:p>
      <w:pPr>
        <w:ind w:left="340" w:right="379" w:firstLine="333"/>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Restriction on Sale-Leasebacks</w:t>
      </w:r>
      <w:r>
        <w:rPr>
          <w:rFonts w:ascii="Times New Roman" w:cs="Times New Roman" w:eastAsia="Times New Roman" w:hAnsi="Times New Roman"/>
          <w:sz w:val="14"/>
          <w:szCs w:val="14"/>
          <w:color w:val="auto"/>
        </w:rPr>
        <w:t>. Energy Transfer will not, and will not permit any Subsidiary to, engage in the sale or transfer by Energy Transfer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any of its Subsidiaries of any Principal Property to a Person (other than Energy Transfer or a Subsidiary) and the taking back by Energy Transfer or its Subsidiary, as the case may be, of a lease of such Principal Property (a “Sale-Leaseback Transaction”), unless:</w:t>
      </w:r>
    </w:p>
    <w:p>
      <w:pPr>
        <w:spacing w:after="0" w:line="140" w:lineRule="exact"/>
        <w:rPr>
          <w:sz w:val="20"/>
          <w:szCs w:val="20"/>
          <w:color w:val="auto"/>
        </w:rPr>
      </w:pPr>
    </w:p>
    <w:p>
      <w:pPr>
        <w:ind w:left="340" w:right="559" w:firstLine="331"/>
        <w:spacing w:after="0" w:line="254" w:lineRule="auto"/>
        <w:tabs>
          <w:tab w:leader="none" w:pos="8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42"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Sale-Leaseback Transaction involves a lease for a period, including renewals, of not more than three years;</w:t>
      </w:r>
    </w:p>
    <w:p>
      <w:pPr>
        <w:spacing w:after="0" w:line="165" w:lineRule="exact"/>
        <w:rPr>
          <w:rFonts w:ascii="Times New Roman" w:cs="Times New Roman" w:eastAsia="Times New Roman" w:hAnsi="Times New Roman"/>
          <w:sz w:val="14"/>
          <w:szCs w:val="14"/>
          <w:color w:val="auto"/>
        </w:rPr>
      </w:pPr>
    </w:p>
    <w:p>
      <w:pPr>
        <w:ind w:left="340" w:right="559" w:firstLine="331"/>
        <w:spacing w:after="0" w:line="254" w:lineRule="auto"/>
        <w:tabs>
          <w:tab w:leader="none" w:pos="8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Transfer or such Subsidiary would be entitled to incur Indebtedness secured by a lien on the Principal Property subject thereto in a principal amount equal to or exceeding the Attributable Indebtedness from such Sale-Leaseback Transaction without equally and ratably securing the notes; or</w:t>
      </w:r>
    </w:p>
    <w:p>
      <w:pPr>
        <w:spacing w:after="0" w:line="142" w:lineRule="exact"/>
        <w:rPr>
          <w:rFonts w:ascii="Times New Roman" w:cs="Times New Roman" w:eastAsia="Times New Roman" w:hAnsi="Times New Roman"/>
          <w:sz w:val="14"/>
          <w:szCs w:val="14"/>
          <w:color w:val="auto"/>
        </w:rPr>
      </w:pPr>
    </w:p>
    <w:p>
      <w:pPr>
        <w:jc w:val="both"/>
        <w:ind w:left="340" w:right="359" w:firstLine="331"/>
        <w:spacing w:after="0" w:line="305" w:lineRule="auto"/>
        <w:tabs>
          <w:tab w:leader="none" w:pos="86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Energy Transfer or such Subsidiary, within a one-year period after such Sale-Leaseback Transaction, applies or causes to be applied an amount not less than the Attributable Indebtedness from such Sale-Leaseback Transaction to (a) the prepayment, repayment, redemption, reduction or retirement of any Indebtedness of Energy Transfer or any of its Subsidiaries that is not expressly subordinated to the notes or any guarantee, or (b) the expenditure or expenditures for Principal Property used or to be used in the ordinary course of business of Energy Transfer or its Subsidiaries.</w:t>
      </w:r>
    </w:p>
    <w:p>
      <w:pPr>
        <w:spacing w:after="0" w:line="11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Notwithstanding the foregoing, Energy Transfer may, and may permit any Subsidiary to, effect any Sale-Leaseback Transaction that is not excepted by clauses (1) through (4), inclusive, of the preceding paragraph provided that the Attributable Indebtedness from such Sale-Leaseback Transaction, together with the aggregate principal amount of outstanding Indebtedness (other than the notes) secured by liens other than Permitted Liens upon Principal Properties, does not exceed 10% of Consolidated Net Tangible Assets.</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Reports</w:t>
      </w:r>
      <w:r>
        <w:rPr>
          <w:rFonts w:ascii="Times New Roman" w:cs="Times New Roman" w:eastAsia="Times New Roman" w:hAnsi="Times New Roman"/>
          <w:sz w:val="14"/>
          <w:szCs w:val="14"/>
          <w:color w:val="auto"/>
        </w:rPr>
        <w:t>. So long as any notes are outstanding, Energy Transfer will:</w:t>
      </w:r>
    </w:p>
    <w:p>
      <w:pPr>
        <w:spacing w:after="0" w:line="98" w:lineRule="exact"/>
        <w:rPr>
          <w:sz w:val="20"/>
          <w:szCs w:val="20"/>
          <w:color w:val="auto"/>
        </w:rPr>
      </w:pPr>
    </w:p>
    <w:p>
      <w:pPr>
        <w:ind w:left="1080" w:right="539" w:hanging="334"/>
        <w:spacing w:after="0" w:line="254" w:lineRule="auto"/>
        <w:tabs>
          <w:tab w:leader="none" w:pos="1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as long as it is required to file information with the SEC pursuant to the Exchange Act, file with the trustee, within 15 days after it is required to file the same with the SEC, copies of the annual reports and of the information, documents and other reports which it is required to file with the SEC pursuant to the Exchange Act;</w:t>
      </w:r>
    </w:p>
    <w:p>
      <w:pPr>
        <w:spacing w:after="0" w:line="70" w:lineRule="exact"/>
        <w:rPr>
          <w:rFonts w:ascii="Times New Roman" w:cs="Times New Roman" w:eastAsia="Times New Roman" w:hAnsi="Times New Roman"/>
          <w:sz w:val="14"/>
          <w:szCs w:val="14"/>
          <w:color w:val="auto"/>
        </w:rPr>
      </w:pPr>
    </w:p>
    <w:p>
      <w:pPr>
        <w:ind w:left="1080" w:right="419" w:hanging="334"/>
        <w:spacing w:after="0" w:line="305" w:lineRule="auto"/>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not required to file reports with the SEC pursuant to the Exchange Act, file with the trustee, within 15 days after it would have been required to file with the SEC, financial statements (and with respect to annual reports, an auditors’ report by a firm of established national reputation) and a Management’s Discussion and Analysis of Financial Condition and Results of Operations, both comparable to what it would have been required to file with the SEC had it been subject to the reporting requirements of the Exchange Act; and</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9" w:right="1440" w:bottom="1440" w:gutter="0" w:footer="0" w:header="0"/>
        </w:sectPr>
      </w:pPr>
    </w:p>
    <w:bookmarkStart w:id="19" w:name="page20"/>
    <w:bookmarkEnd w:id="19"/>
    <w:p>
      <w:pPr>
        <w:ind w:left="1080" w:hanging="334"/>
        <w:spacing w:after="0"/>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it is required to furnish annual or quarterly reports to its equity holders pursuant to the Exchange Act, file these reports with the trustee.</w:t>
      </w:r>
    </w:p>
    <w:p>
      <w:pPr>
        <w:spacing w:after="0" w:line="189" w:lineRule="exact"/>
        <w:rPr>
          <w:sz w:val="20"/>
          <w:szCs w:val="20"/>
          <w:color w:val="auto"/>
        </w:rPr>
      </w:pPr>
    </w:p>
    <w:p>
      <w:pPr>
        <w:ind w:left="340" w:right="659" w:firstLine="333"/>
        <w:spacing w:after="0" w:line="264" w:lineRule="auto"/>
        <w:rPr>
          <w:sz w:val="20"/>
          <w:szCs w:val="20"/>
          <w:color w:val="auto"/>
        </w:rPr>
      </w:pPr>
      <w:r>
        <w:rPr>
          <w:rFonts w:ascii="Times New Roman" w:cs="Times New Roman" w:eastAsia="Times New Roman" w:hAnsi="Times New Roman"/>
          <w:sz w:val="14"/>
          <w:szCs w:val="14"/>
          <w:color w:val="auto"/>
        </w:rPr>
        <w:t>The Partnership will be deemed to have furnished such reports to the trustee if it has filed such reports with the SEC using the EDGAR filing system and such reports are publicly available.</w:t>
      </w:r>
    </w:p>
    <w:p>
      <w:pPr>
        <w:spacing w:after="0" w:line="1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b w:val="1"/>
          <w:bCs w:val="1"/>
          <w:i w:val="1"/>
          <w:iCs w:val="1"/>
          <w:color w:val="auto"/>
        </w:rPr>
        <w:t>Merger, Consolidation or Sale of Assets</w:t>
      </w:r>
      <w:r>
        <w:rPr>
          <w:rFonts w:ascii="Times New Roman" w:cs="Times New Roman" w:eastAsia="Times New Roman" w:hAnsi="Times New Roman"/>
          <w:sz w:val="12"/>
          <w:szCs w:val="12"/>
          <w:color w:val="auto"/>
        </w:rPr>
        <w:t>. Energy Transfer shall not, in a transaction or series of transactions, consolidate with or merge into any</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Person or sell, lease, convey, transfer or otherwise dispose of all or substantially all of its assets to any Person unless:</w:t>
      </w:r>
    </w:p>
    <w:p>
      <w:pPr>
        <w:spacing w:after="0" w:line="154" w:lineRule="exact"/>
        <w:rPr>
          <w:sz w:val="20"/>
          <w:szCs w:val="20"/>
          <w:color w:val="auto"/>
        </w:rPr>
      </w:pPr>
    </w:p>
    <w:p>
      <w:pPr>
        <w:ind w:left="340" w:right="399" w:firstLine="331"/>
        <w:spacing w:after="0" w:line="254" w:lineRule="auto"/>
        <w:tabs>
          <w:tab w:leader="none" w:pos="86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resulting from any such consolidation or merger or to which such assets have been sold, leased, conveyed, transferred or otherwise disposed of (the “successor”) is Energy Transfer or expressly assumes by supplemental indenture all of Energy Transfer’s obligations and liabilities under the indenture and the notes;</w:t>
      </w:r>
    </w:p>
    <w:p>
      <w:pPr>
        <w:spacing w:after="0" w:line="142"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is organized under the laws of the United States, any state thereof or the District of Columbia;</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the transaction or series of transactions, no Default or Event of Default has occurred and is continuing; and</w:t>
      </w:r>
    </w:p>
    <w:p>
      <w:pPr>
        <w:spacing w:after="0" w:line="188" w:lineRule="exact"/>
        <w:rPr>
          <w:rFonts w:ascii="Times New Roman" w:cs="Times New Roman" w:eastAsia="Times New Roman" w:hAnsi="Times New Roman"/>
          <w:sz w:val="12"/>
          <w:szCs w:val="12"/>
          <w:color w:val="auto"/>
        </w:rPr>
      </w:pPr>
    </w:p>
    <w:p>
      <w:pPr>
        <w:ind w:left="340" w:right="499" w:firstLine="331"/>
        <w:spacing w:after="0" w:line="264" w:lineRule="auto"/>
        <w:tabs>
          <w:tab w:leader="none" w:pos="86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Transfer has delivered to the trustee an officers’ certificate and an opinion of counsel, each stating that such consolidation, merger or transfer complies with the indenture.</w:t>
      </w:r>
    </w:p>
    <w:p>
      <w:pPr>
        <w:spacing w:after="0" w:line="136" w:lineRule="exact"/>
        <w:rPr>
          <w:sz w:val="20"/>
          <w:szCs w:val="20"/>
          <w:color w:val="auto"/>
        </w:rPr>
      </w:pPr>
    </w:p>
    <w:p>
      <w:pPr>
        <w:ind w:left="340" w:right="579" w:firstLine="333"/>
        <w:spacing w:after="0" w:line="250" w:lineRule="auto"/>
        <w:rPr>
          <w:sz w:val="20"/>
          <w:szCs w:val="20"/>
          <w:color w:val="auto"/>
        </w:rPr>
      </w:pPr>
      <w:r>
        <w:rPr>
          <w:rFonts w:ascii="Times New Roman" w:cs="Times New Roman" w:eastAsia="Times New Roman" w:hAnsi="Times New Roman"/>
          <w:sz w:val="14"/>
          <w:szCs w:val="14"/>
          <w:color w:val="auto"/>
        </w:rPr>
        <w:t>The successor will be substituted for Energy Transfer in the indenture with the same effect as if it had been an original party to the indenture. Thereafter, the successor may exercise the rights and powers of Energy Transfer under the indenture. If Energy Transfer conveys or transfers all or substantially all of its assets, it will be released from all liabilities and obligations under the indenture and under the notes except that no such release will occur in the case of a lease of all or substantially all of its assets.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Each of the following is an “Event of Default” under the indenture with respect to the notes of each series:</w:t>
      </w:r>
    </w:p>
    <w:p>
      <w:pPr>
        <w:spacing w:after="0" w:line="166" w:lineRule="exact"/>
        <w:rPr>
          <w:sz w:val="20"/>
          <w:szCs w:val="20"/>
          <w:color w:val="auto"/>
        </w:rPr>
      </w:pPr>
    </w:p>
    <w:p>
      <w:pPr>
        <w:ind w:left="860" w:hanging="189"/>
        <w:spacing w:after="0"/>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any payment of interest on such notes when due that continues for 30 days;</w:t>
      </w:r>
    </w:p>
    <w:p>
      <w:pPr>
        <w:spacing w:after="0" w:line="165" w:lineRule="exact"/>
        <w:rPr>
          <w:rFonts w:ascii="Times New Roman" w:cs="Times New Roman" w:eastAsia="Times New Roman" w:hAnsi="Times New Roman"/>
          <w:sz w:val="14"/>
          <w:szCs w:val="14"/>
          <w:color w:val="auto"/>
        </w:rPr>
      </w:pPr>
    </w:p>
    <w:p>
      <w:pPr>
        <w:ind w:left="340" w:right="479" w:firstLine="331"/>
        <w:spacing w:after="0" w:line="264" w:lineRule="auto"/>
        <w:tabs>
          <w:tab w:leader="none" w:pos="86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principal of or premium, if any, on such notes when due at their stated maturity, upon redemption, by declaration, upon required repurchase or otherwise;</w:t>
      </w:r>
    </w:p>
    <w:p>
      <w:pPr>
        <w:spacing w:after="0" w:line="136" w:lineRule="exact"/>
        <w:rPr>
          <w:rFonts w:ascii="Times New Roman" w:cs="Times New Roman" w:eastAsia="Times New Roman" w:hAnsi="Times New Roman"/>
          <w:sz w:val="14"/>
          <w:szCs w:val="14"/>
          <w:color w:val="auto"/>
        </w:rPr>
      </w:pPr>
    </w:p>
    <w:p>
      <w:pPr>
        <w:ind w:left="340" w:right="459" w:firstLine="331"/>
        <w:spacing w:after="0" w:line="349" w:lineRule="auto"/>
        <w:tabs>
          <w:tab w:leader="none" w:pos="8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by Energy Transfer or any Subsidiary Guarantor to comply with its other covenants or agreements in the indenture continuing for 60 days after written notice of default given by the trustee or the holders of at least 25% in aggregate principal amount of the outstanding notes;</w:t>
      </w:r>
    </w:p>
    <w:p>
      <w:pPr>
        <w:spacing w:after="0" w:line="88" w:lineRule="exact"/>
        <w:rPr>
          <w:rFonts w:ascii="Times New Roman" w:cs="Times New Roman" w:eastAsia="Times New Roman" w:hAnsi="Times New Roman"/>
          <w:sz w:val="12"/>
          <w:szCs w:val="12"/>
          <w:color w:val="auto"/>
        </w:rPr>
      </w:pPr>
    </w:p>
    <w:p>
      <w:pPr>
        <w:ind w:left="340" w:right="699" w:firstLine="331"/>
        <w:spacing w:after="0" w:line="264" w:lineRule="auto"/>
        <w:tabs>
          <w:tab w:leader="none" w:pos="86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Energy Transfer or any Subsidiary Guarantor as more fully described in the indenture (the “bankruptcy provisions”); or</w:t>
      </w:r>
    </w:p>
    <w:p>
      <w:pPr>
        <w:spacing w:after="0" w:line="136" w:lineRule="exact"/>
        <w:rPr>
          <w:rFonts w:ascii="Times New Roman" w:cs="Times New Roman" w:eastAsia="Times New Roman" w:hAnsi="Times New Roman"/>
          <w:sz w:val="14"/>
          <w:szCs w:val="14"/>
          <w:color w:val="auto"/>
        </w:rPr>
      </w:pPr>
    </w:p>
    <w:p>
      <w:pPr>
        <w:ind w:left="340" w:right="599" w:firstLine="331"/>
        <w:spacing w:after="0" w:line="264" w:lineRule="auto"/>
        <w:tabs>
          <w:tab w:leader="none" w:pos="86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 of a Subsidiary Guarantor ceases to be in full force and effect, is declared null and void or is found to be invalid in a judicial proceeding or any Subsidiary Guarantor denies or disaffirms its obligations under the indenture or its guarantee.</w:t>
      </w:r>
    </w:p>
    <w:p>
      <w:pPr>
        <w:spacing w:after="0" w:line="136" w:lineRule="exact"/>
        <w:rPr>
          <w:sz w:val="20"/>
          <w:szCs w:val="20"/>
          <w:color w:val="auto"/>
        </w:rPr>
      </w:pPr>
    </w:p>
    <w:p>
      <w:pPr>
        <w:jc w:val="both"/>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An Event of Default for a series of the notes will not necessarily constitute an Event of Default for any other series of debt securities issued under the indenture, and an Event of Default for any such other series of debt securities will not necessarily constitute an Event of Default for any series of the notes. Further, an Event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9" w:right="1440" w:bottom="1440" w:gutter="0" w:footer="0" w:header="0"/>
        </w:sectPr>
      </w:pPr>
    </w:p>
    <w:bookmarkStart w:id="20" w:name="page21"/>
    <w:bookmarkEnd w:id="20"/>
    <w:p>
      <w:pPr>
        <w:ind w:left="340" w:right="399"/>
        <w:spacing w:after="0" w:line="29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Default under other indebtedness of Energy Transfer or its Subsidiaries will not necessarily constitute a Default or an Event of Default for the notes. If an Event of Default (other than an Event of Default described in clause (4) above) with respect to the notes of any series occurs and is continuing, the trustee by notice to Energy Transfer, or the holders of at least 25% in principal amount of the outstanding notes of such series by notice to Energy Transfer and the trustee, may, and the trustee at the request of such holders shall, declare the principal of, premium, if any, and accrued and unpaid interest, if any, on all the notes of such series to be due and payable. Upon such a declaration, such principal, premium and accrued and unpaid interest will be due and payable immediately. The indenture provides that if an Event of Default described in clause (4) above occurs, the principal of, premium, if any, and accrued and unpaid interest on the notes will become and be immediately due and payable without any declaration of acceleration, notice or other act on the part of the trustee or any holders. However, the effect of such provision may be limited by applicable law.</w:t>
      </w:r>
    </w:p>
    <w:p>
      <w:pPr>
        <w:spacing w:after="0" w:line="287"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notes of the applicable series may, by written notice to the trustee, rescind any acceleration with respect to the notes of such series and annul its consequences if rescission would not conflict with any judgment or decree of a court of competent jurisdiction and all existing Events of Default with respect to the notes of such series, other than the nonpayment of the principal of, premium, if any, and interest on the notes that have become due solely by such acceleration, have been cured or waived.</w:t>
      </w:r>
    </w:p>
    <w:p>
      <w:pPr>
        <w:spacing w:after="0" w:line="146" w:lineRule="exact"/>
        <w:rPr>
          <w:sz w:val="20"/>
          <w:szCs w:val="20"/>
          <w:color w:val="auto"/>
        </w:rPr>
      </w:pPr>
    </w:p>
    <w:p>
      <w:pPr>
        <w:ind w:left="340" w:right="339" w:firstLine="333"/>
        <w:spacing w:after="0" w:line="305" w:lineRule="auto"/>
        <w:rPr>
          <w:sz w:val="20"/>
          <w:szCs w:val="20"/>
          <w:color w:val="auto"/>
        </w:rPr>
      </w:pPr>
      <w:r>
        <w:rPr>
          <w:rFonts w:ascii="Times New Roman" w:cs="Times New Roman" w:eastAsia="Times New Roman" w:hAnsi="Times New Roman"/>
          <w:sz w:val="12"/>
          <w:szCs w:val="12"/>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of notes, unless such holders have offered to the trustee indemnity or security satisfactory to it against any cost, liability or expense. Except to enforce the right to receive payment of principal, premium, if any, or interest when due, no holder of notes may pursue any remedy with respect to the indenture or the notes, unless:</w:t>
      </w:r>
    </w:p>
    <w:p>
      <w:pPr>
        <w:spacing w:after="0" w:line="116" w:lineRule="exact"/>
        <w:rPr>
          <w:sz w:val="20"/>
          <w:szCs w:val="20"/>
          <w:color w:val="auto"/>
        </w:rPr>
      </w:pPr>
    </w:p>
    <w:p>
      <w:pPr>
        <w:ind w:left="860" w:hanging="189"/>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the trustee notice that an Event of Default with respect to the notes is continuing;</w:t>
      </w:r>
    </w:p>
    <w:p>
      <w:pPr>
        <w:spacing w:after="0" w:line="165" w:lineRule="exact"/>
        <w:rPr>
          <w:rFonts w:ascii="Times New Roman" w:cs="Times New Roman" w:eastAsia="Times New Roman" w:hAnsi="Times New Roman"/>
          <w:sz w:val="14"/>
          <w:szCs w:val="14"/>
          <w:color w:val="auto"/>
        </w:rPr>
      </w:pPr>
    </w:p>
    <w:p>
      <w:pPr>
        <w:ind w:left="340" w:right="539" w:firstLine="331"/>
        <w:spacing w:after="0" w:line="264" w:lineRule="auto"/>
        <w:tabs>
          <w:tab w:leader="none" w:pos="86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at least 25% in principal amount of the outstanding notes of the applicable series have requested in writing that the trustee pursue the remedy;</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the trustee security or indemnity satisfactory to it against any cost, liability or expense;</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complied with such request within 60 days after the receipt of the request and the offer of security or indemnity; and</w:t>
      </w:r>
    </w:p>
    <w:p>
      <w:pPr>
        <w:spacing w:after="0" w:line="165" w:lineRule="exact"/>
        <w:rPr>
          <w:rFonts w:ascii="Times New Roman" w:cs="Times New Roman" w:eastAsia="Times New Roman" w:hAnsi="Times New Roman"/>
          <w:sz w:val="14"/>
          <w:szCs w:val="14"/>
          <w:color w:val="auto"/>
        </w:rPr>
      </w:pPr>
    </w:p>
    <w:p>
      <w:pPr>
        <w:ind w:left="340" w:right="439" w:firstLine="331"/>
        <w:spacing w:after="0" w:line="264" w:lineRule="auto"/>
        <w:tabs>
          <w:tab w:leader="none" w:pos="86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notes of the applicable series have not given the trustee a direction that, in the opinion of the trustee, is inconsistent with such request within such 60-day period.</w:t>
      </w:r>
    </w:p>
    <w:p>
      <w:pPr>
        <w:spacing w:after="0" w:line="136" w:lineRule="exact"/>
        <w:rPr>
          <w:sz w:val="20"/>
          <w:szCs w:val="20"/>
          <w:color w:val="auto"/>
        </w:rPr>
      </w:pPr>
    </w:p>
    <w:p>
      <w:pPr>
        <w:ind w:left="340" w:right="359" w:firstLine="333"/>
        <w:spacing w:after="0" w:line="305" w:lineRule="auto"/>
        <w:rPr>
          <w:sz w:val="20"/>
          <w:szCs w:val="20"/>
          <w:color w:val="auto"/>
        </w:rPr>
      </w:pPr>
      <w:r>
        <w:rPr>
          <w:rFonts w:ascii="Times New Roman" w:cs="Times New Roman" w:eastAsia="Times New Roman" w:hAnsi="Times New Roman"/>
          <w:sz w:val="12"/>
          <w:szCs w:val="12"/>
          <w:color w:val="auto"/>
        </w:rPr>
        <w:t>Subject to certain restrictions, the holders of a majority in principal amount of the outstanding notes of the applicable series have the right to direct the time, method and place of conducting any proceeding for any remedy available to the trustee or of exercising any trust or power conferred on the trustee with respect to the notes of such series. The trustee, however, may refuse to follow any direction that conflicts with law or the indenture or that the trustee determines is unduly prejudicial to the rights of any other holder of notes or that would involve the trustee in personal liability.</w:t>
      </w:r>
    </w:p>
    <w:p>
      <w:pPr>
        <w:spacing w:after="0" w:line="116" w:lineRule="exact"/>
        <w:rPr>
          <w:sz w:val="20"/>
          <w:szCs w:val="20"/>
          <w:color w:val="auto"/>
        </w:rPr>
      </w:pPr>
    </w:p>
    <w:p>
      <w:pPr>
        <w:jc w:val="both"/>
        <w:ind w:left="340" w:right="419" w:firstLine="333"/>
        <w:spacing w:after="0" w:line="316" w:lineRule="auto"/>
        <w:rPr>
          <w:sz w:val="20"/>
          <w:szCs w:val="20"/>
          <w:color w:val="auto"/>
        </w:rPr>
      </w:pPr>
      <w:r>
        <w:rPr>
          <w:rFonts w:ascii="Times New Roman" w:cs="Times New Roman" w:eastAsia="Times New Roman" w:hAnsi="Times New Roman"/>
          <w:sz w:val="12"/>
          <w:szCs w:val="12"/>
          <w:color w:val="auto"/>
        </w:rPr>
        <w:t>The indenture provides that if a Default (that is, an event that is, or after notice or the passage of time would be, an Event of Default) with respect to the notes occurs and is continuing and is known to the trustee, the trustee must send to each holder of notes notice of the Default within 90 days after it occurs. Except in the case of a Default in the payment of principal of, and premium, if any, or interest on the notes, the trustee may withhold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1" w:name="page22"/>
    <w:bookmarkEnd w:id="21"/>
    <w:p>
      <w:pPr>
        <w:ind w:left="340" w:right="39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such notice, but only if and so long as the trustee in good faith determines that withholding notice is in the interests of the holders of notes. In addition, Energy Transfer is required to deliver to the trustee, within 120 days after the end of each fiscal year, an officers’ certificate as to compliance with all covenants under the indenture and indicating whether the signers thereof know of any Default or Event of Default that occurred during the previous year. Energy Transfer also is required to deliver to the trustee, within 30 days after the occurrence thereof, an officers’ certificate specifying any Default or Event of Default, its status and what action Energy Transfer is taking or proposes to take in respect thereof.</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Amendments and Waivers</w:t>
      </w:r>
    </w:p>
    <w:p>
      <w:pPr>
        <w:spacing w:after="0" w:line="88" w:lineRule="exact"/>
        <w:rPr>
          <w:sz w:val="20"/>
          <w:szCs w:val="20"/>
          <w:color w:val="auto"/>
        </w:rPr>
      </w:pPr>
    </w:p>
    <w:p>
      <w:pPr>
        <w:ind w:left="340" w:right="479" w:firstLine="333"/>
        <w:spacing w:after="0" w:line="316" w:lineRule="auto"/>
        <w:rPr>
          <w:sz w:val="20"/>
          <w:szCs w:val="20"/>
          <w:color w:val="auto"/>
        </w:rPr>
      </w:pPr>
      <w:r>
        <w:rPr>
          <w:rFonts w:ascii="Times New Roman" w:cs="Times New Roman" w:eastAsia="Times New Roman" w:hAnsi="Times New Roman"/>
          <w:sz w:val="12"/>
          <w:szCs w:val="12"/>
          <w:color w:val="auto"/>
        </w:rPr>
        <w:t>Amendments of the indenture may be made by Energy Transfer, the Subsidiary Guarantors, if any, and the trustee with the written consent of the holders of a majority in principal amount of the then outstanding notes of the affected series (including consents obtained in connection with a tender offer or exchange offer for debt securities). However, without the consent of each holder of an affected note, no amendment may, among other things:</w:t>
      </w:r>
    </w:p>
    <w:p>
      <w:pPr>
        <w:spacing w:after="0" w:line="109" w:lineRule="exact"/>
        <w:rPr>
          <w:sz w:val="20"/>
          <w:szCs w:val="20"/>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notes whose holders must consent to an amendment;</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on any note;</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extend the stated maturity of any note;</w:t>
      </w:r>
    </w:p>
    <w:p>
      <w:pPr>
        <w:spacing w:after="0" w:line="163"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premium payable upon the redemption of any note as described above under “</w:t>
      </w:r>
      <w:r>
        <w:rPr>
          <w:rFonts w:ascii="Times New Roman" w:cs="Times New Roman" w:eastAsia="Times New Roman" w:hAnsi="Times New Roman"/>
          <w:sz w:val="14"/>
          <w:szCs w:val="14"/>
          <w:i w:val="1"/>
          <w:iCs w:val="1"/>
          <w:color w:val="auto"/>
        </w:rPr>
        <w:t>—Optional Redemption</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of Energy Transfer or any Subsidiary Guarantor to pay additional amounts with respect to any note;</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notes payable in money other than U.S. dollars;</w:t>
      </w:r>
    </w:p>
    <w:p>
      <w:pPr>
        <w:spacing w:after="0" w:line="165" w:lineRule="exact"/>
        <w:rPr>
          <w:rFonts w:ascii="Times New Roman" w:cs="Times New Roman" w:eastAsia="Times New Roman" w:hAnsi="Times New Roman"/>
          <w:sz w:val="14"/>
          <w:szCs w:val="14"/>
          <w:color w:val="auto"/>
        </w:rPr>
      </w:pPr>
    </w:p>
    <w:p>
      <w:pPr>
        <w:ind w:left="340" w:right="439" w:firstLine="331"/>
        <w:spacing w:after="0" w:line="264" w:lineRule="auto"/>
        <w:tabs>
          <w:tab w:leader="none" w:pos="86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of any holder to receive payment of the principal of and premium, if any, and interest on such holder’s note or to institute suit for the enforcement of any payment on or with respect to such holder’s note;</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a continuing Default or Event of Default in the payment of principal and premium, if any, and interest with respect to such holder’s note;</w:t>
      </w:r>
    </w:p>
    <w:p>
      <w:pPr>
        <w:spacing w:after="0" w:line="188" w:lineRule="exact"/>
        <w:rPr>
          <w:rFonts w:ascii="Times New Roman" w:cs="Times New Roman" w:eastAsia="Times New Roman" w:hAnsi="Times New Roman"/>
          <w:sz w:val="12"/>
          <w:szCs w:val="12"/>
          <w:color w:val="auto"/>
        </w:rPr>
      </w:pPr>
    </w:p>
    <w:p>
      <w:pPr>
        <w:ind w:left="860" w:hanging="189"/>
        <w:spacing w:after="0"/>
        <w:tabs>
          <w:tab w:leader="none" w:pos="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amendment provisions which require each holder’s consent or in the waiver provisions;</w:t>
      </w:r>
    </w:p>
    <w:p>
      <w:pPr>
        <w:spacing w:after="0" w:line="165" w:lineRule="exact"/>
        <w:rPr>
          <w:rFonts w:ascii="Times New Roman" w:cs="Times New Roman" w:eastAsia="Times New Roman" w:hAnsi="Times New Roman"/>
          <w:sz w:val="14"/>
          <w:szCs w:val="14"/>
          <w:color w:val="auto"/>
        </w:rPr>
      </w:pPr>
    </w:p>
    <w:p>
      <w:pPr>
        <w:ind w:left="940" w:hanging="269"/>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security that may have been granted in respect of the notes other than in accordance with the indenture; or</w:t>
      </w:r>
    </w:p>
    <w:p>
      <w:pPr>
        <w:spacing w:after="0" w:line="165" w:lineRule="exact"/>
        <w:rPr>
          <w:rFonts w:ascii="Times New Roman" w:cs="Times New Roman" w:eastAsia="Times New Roman" w:hAnsi="Times New Roman"/>
          <w:sz w:val="14"/>
          <w:szCs w:val="14"/>
          <w:color w:val="auto"/>
        </w:rPr>
      </w:pPr>
    </w:p>
    <w:p>
      <w:pPr>
        <w:ind w:left="340" w:right="419" w:firstLine="331"/>
        <w:spacing w:after="0" w:line="264" w:lineRule="auto"/>
        <w:tabs>
          <w:tab w:leader="none" w:pos="92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the guarantee of any Subsidiary Guarantor other than in accordance with the indenture or modify its guarantee in any manner adverse to the holders.</w:t>
      </w:r>
    </w:p>
    <w:p>
      <w:pPr>
        <w:spacing w:after="0" w:line="136"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notes of any series may waive compliance by Energy Transfer with certain restrictive covenants on behalf of all holders of notes of such series, including those described under “—</w:t>
      </w:r>
      <w:r>
        <w:rPr>
          <w:rFonts w:ascii="Times New Roman" w:cs="Times New Roman" w:eastAsia="Times New Roman" w:hAnsi="Times New Roman"/>
          <w:sz w:val="14"/>
          <w:szCs w:val="14"/>
          <w:i w:val="1"/>
          <w:iCs w:val="1"/>
          <w:color w:val="auto"/>
        </w:rPr>
        <w:t>Certain Covenants—Limitations on Liens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Certain Covenants—Restriction on Sale-Leasebacks</w:t>
      </w:r>
      <w:r>
        <w:rPr>
          <w:rFonts w:ascii="Times New Roman" w:cs="Times New Roman" w:eastAsia="Times New Roman" w:hAnsi="Times New Roman"/>
          <w:sz w:val="14"/>
          <w:szCs w:val="14"/>
          <w:color w:val="auto"/>
        </w:rPr>
        <w:t>.” The holders of a majority in principal amount of the outstanding notes of any series, on behalf of all such holders, may waive any past or existing default or Event of Default with respect to the notes of such series (including any such waiver obtained in connection with a tender offer or exchange offer for the notes),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9" w:right="1440" w:bottom="1440" w:gutter="0" w:footer="0" w:header="0"/>
        </w:sectPr>
      </w:pPr>
    </w:p>
    <w:bookmarkStart w:id="22" w:name="page23"/>
    <w:bookmarkEnd w:id="22"/>
    <w:p>
      <w:pPr>
        <w:ind w:left="340" w:right="419"/>
        <w:spacing w:after="0" w:line="30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except a default or Event of Default in the payment of principal, premium or interest or in respect of a provision that under the indenture cannot be modified or amended without the consent of the holder of each outstanding note affected. A waiver by the holders of notes of any series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w:t>
      </w:r>
    </w:p>
    <w:p>
      <w:pPr>
        <w:spacing w:after="0" w:line="1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Without the consent of any holder, Energy Transfer, the Subsidiary Guarantors, if any, and the trustee may amend the indenture to:</w:t>
      </w:r>
    </w:p>
    <w:p>
      <w:pPr>
        <w:spacing w:after="0" w:line="166" w:lineRule="exact"/>
        <w:rPr>
          <w:sz w:val="20"/>
          <w:szCs w:val="20"/>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omission, defect or inconsistency;</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assumption by a successor of the obligations of Energy Transfer under the indenture;</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notes in addition to or in place of certificated notes;</w:t>
      </w:r>
    </w:p>
    <w:p>
      <w:pPr>
        <w:spacing w:after="0" w:line="165" w:lineRule="exact"/>
        <w:rPr>
          <w:rFonts w:ascii="Times New Roman" w:cs="Times New Roman" w:eastAsia="Times New Roman" w:hAnsi="Times New Roman"/>
          <w:sz w:val="14"/>
          <w:szCs w:val="14"/>
          <w:color w:val="auto"/>
        </w:rPr>
      </w:pPr>
    </w:p>
    <w:p>
      <w:pPr>
        <w:ind w:left="340" w:right="619" w:firstLine="331"/>
        <w:spacing w:after="0" w:line="264" w:lineRule="auto"/>
        <w:tabs>
          <w:tab w:leader="none" w:pos="86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addition of any Subsidiary as a Subsidiary Guarantor, or to reflect the release of any Subsidiary Guarantor, in either case as provided in the indenture;</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notes or a guarantee;</w:t>
      </w:r>
    </w:p>
    <w:p>
      <w:pPr>
        <w:spacing w:after="0" w:line="165" w:lineRule="exact"/>
        <w:rPr>
          <w:rFonts w:ascii="Times New Roman" w:cs="Times New Roman" w:eastAsia="Times New Roman" w:hAnsi="Times New Roman"/>
          <w:sz w:val="14"/>
          <w:szCs w:val="14"/>
          <w:color w:val="auto"/>
        </w:rPr>
      </w:pPr>
    </w:p>
    <w:p>
      <w:pPr>
        <w:ind w:left="340" w:right="859" w:firstLine="331"/>
        <w:spacing w:after="0" w:line="264" w:lineRule="auto"/>
        <w:tabs>
          <w:tab w:leader="none" w:pos="86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any requirement in order to effect or maintain the qualification of the indenture under the Trust Indenture Act of 1939, as amended (the “Trust Indenture Act”);</w:t>
      </w:r>
    </w:p>
    <w:p>
      <w:pPr>
        <w:spacing w:after="0" w:line="136" w:lineRule="exact"/>
        <w:rPr>
          <w:rFonts w:ascii="Times New Roman" w:cs="Times New Roman" w:eastAsia="Times New Roman" w:hAnsi="Times New Roman"/>
          <w:sz w:val="14"/>
          <w:szCs w:val="14"/>
          <w:color w:val="auto"/>
        </w:rPr>
      </w:pPr>
    </w:p>
    <w:p>
      <w:pPr>
        <w:ind w:left="340" w:right="519" w:firstLine="331"/>
        <w:spacing w:after="0" w:line="264" w:lineRule="auto"/>
        <w:tabs>
          <w:tab w:leader="none" w:pos="86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the covenants of Energy Transfer or any Subsidiary Guarantor for the benefit of the holders or surrender any right or power conferred upon Energy Transfer or any Subsidiary Guarantor;</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rights under the indenture of any holder;</w:t>
      </w:r>
    </w:p>
    <w:p>
      <w:pPr>
        <w:spacing w:after="0" w:line="165" w:lineRule="exact"/>
        <w:rPr>
          <w:rFonts w:ascii="Times New Roman" w:cs="Times New Roman" w:eastAsia="Times New Roman" w:hAnsi="Times New Roman"/>
          <w:sz w:val="14"/>
          <w:szCs w:val="14"/>
          <w:color w:val="auto"/>
        </w:rPr>
      </w:pPr>
    </w:p>
    <w:p>
      <w:pPr>
        <w:ind w:left="940" w:hanging="269"/>
        <w:spacing w:after="0"/>
        <w:tabs>
          <w:tab w:leader="none" w:pos="9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supplement any of the provisions of the indenture to facilitate the defeasance and discharge of notes pursuant to the terms of the indenture;</w:t>
      </w:r>
    </w:p>
    <w:p>
      <w:pPr>
        <w:spacing w:after="0" w:line="188" w:lineRule="exact"/>
        <w:rPr>
          <w:rFonts w:ascii="Times New Roman" w:cs="Times New Roman" w:eastAsia="Times New Roman" w:hAnsi="Times New Roman"/>
          <w:sz w:val="12"/>
          <w:szCs w:val="12"/>
          <w:color w:val="auto"/>
        </w:rPr>
      </w:pPr>
    </w:p>
    <w:p>
      <w:pPr>
        <w:ind w:left="920" w:hanging="24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any requirement of the SEC in connection with the qualification of the indenture under the TIA;</w:t>
      </w:r>
    </w:p>
    <w:p>
      <w:pPr>
        <w:spacing w:after="0" w:line="163" w:lineRule="exact"/>
        <w:rPr>
          <w:rFonts w:ascii="Times New Roman" w:cs="Times New Roman" w:eastAsia="Times New Roman" w:hAnsi="Times New Roman"/>
          <w:sz w:val="14"/>
          <w:szCs w:val="14"/>
          <w:color w:val="auto"/>
        </w:rPr>
      </w:pPr>
    </w:p>
    <w:p>
      <w:pPr>
        <w:ind w:left="340" w:right="899" w:firstLine="331"/>
        <w:spacing w:after="0" w:line="267" w:lineRule="auto"/>
        <w:tabs>
          <w:tab w:leader="none" w:pos="93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text of the indenture or a guarantee to any provision of this “</w:t>
      </w:r>
      <w:r>
        <w:rPr>
          <w:rFonts w:ascii="Times New Roman" w:cs="Times New Roman" w:eastAsia="Times New Roman" w:hAnsi="Times New Roman"/>
          <w:sz w:val="14"/>
          <w:szCs w:val="14"/>
          <w:i w:val="1"/>
          <w:iCs w:val="1"/>
          <w:color w:val="auto"/>
        </w:rPr>
        <w:t>Description of the Notes</w:t>
      </w:r>
      <w:r>
        <w:rPr>
          <w:rFonts w:ascii="Times New Roman" w:cs="Times New Roman" w:eastAsia="Times New Roman" w:hAnsi="Times New Roman"/>
          <w:sz w:val="14"/>
          <w:szCs w:val="14"/>
          <w:color w:val="auto"/>
        </w:rPr>
        <w:t>” to the extent that such text of the indenture or the guarantee was intended to reflect such provision of this “</w:t>
      </w:r>
      <w:r>
        <w:rPr>
          <w:rFonts w:ascii="Times New Roman" w:cs="Times New Roman" w:eastAsia="Times New Roman" w:hAnsi="Times New Roman"/>
          <w:sz w:val="14"/>
          <w:szCs w:val="14"/>
          <w:i w:val="1"/>
          <w:iCs w:val="1"/>
          <w:color w:val="auto"/>
        </w:rPr>
        <w:t>Description of the Notes</w:t>
      </w:r>
      <w:r>
        <w:rPr>
          <w:rFonts w:ascii="Times New Roman" w:cs="Times New Roman" w:eastAsia="Times New Roman" w:hAnsi="Times New Roman"/>
          <w:sz w:val="14"/>
          <w:szCs w:val="14"/>
          <w:color w:val="auto"/>
        </w:rPr>
        <w:t>;” and</w:t>
      </w:r>
    </w:p>
    <w:p>
      <w:pPr>
        <w:spacing w:after="0" w:line="133" w:lineRule="exact"/>
        <w:rPr>
          <w:rFonts w:ascii="Times New Roman" w:cs="Times New Roman" w:eastAsia="Times New Roman" w:hAnsi="Times New Roman"/>
          <w:sz w:val="14"/>
          <w:szCs w:val="14"/>
          <w:color w:val="auto"/>
        </w:rPr>
      </w:pPr>
    </w:p>
    <w:p>
      <w:pPr>
        <w:ind w:left="940" w:hanging="269"/>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successor trustee.</w:t>
      </w:r>
    </w:p>
    <w:p>
      <w:pPr>
        <w:spacing w:after="0" w:line="16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Energy Transfer is required to send to all holders of notes a notice briefly describing such amendment. However, the failure to give such notice to all such holders, or any defect therein, will not impair or affect the validity of the amendment.</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Defeasance and Discharge</w:t>
      </w:r>
    </w:p>
    <w:p>
      <w:pPr>
        <w:spacing w:after="0" w:line="88" w:lineRule="exact"/>
        <w:rPr>
          <w:sz w:val="20"/>
          <w:szCs w:val="20"/>
          <w:color w:val="auto"/>
        </w:rPr>
      </w:pPr>
    </w:p>
    <w:p>
      <w:pPr>
        <w:ind w:left="340" w:right="639" w:firstLine="333"/>
        <w:spacing w:after="0" w:line="264" w:lineRule="auto"/>
        <w:rPr>
          <w:sz w:val="20"/>
          <w:szCs w:val="20"/>
          <w:color w:val="auto"/>
        </w:rPr>
      </w:pPr>
      <w:r>
        <w:rPr>
          <w:rFonts w:ascii="Times New Roman" w:cs="Times New Roman" w:eastAsia="Times New Roman" w:hAnsi="Times New Roman"/>
          <w:sz w:val="14"/>
          <w:szCs w:val="14"/>
          <w:color w:val="auto"/>
        </w:rPr>
        <w:t>Energy Transfer at any time may terminate all its obligations under the indenture as they relate to the notes of any series (“legal defeasance”), except for certain obligations, including those respecting the defeasance trust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9" w:right="1440" w:bottom="1440" w:gutter="0" w:footer="0" w:header="0"/>
        </w:sectPr>
      </w:pPr>
    </w:p>
    <w:bookmarkStart w:id="23" w:name="page24"/>
    <w:bookmarkEnd w:id="23"/>
    <w:p>
      <w:pPr>
        <w:jc w:val="both"/>
        <w:ind w:left="340" w:right="7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and obligations to register the transfer of or exchange the notes, to replace mutilated, destroyed, lost or stolen notes and to maintain a registrar and paying agent in respect of the notes.</w:t>
      </w:r>
    </w:p>
    <w:p>
      <w:pPr>
        <w:spacing w:after="0" w:line="134" w:lineRule="exact"/>
        <w:rPr>
          <w:sz w:val="20"/>
          <w:szCs w:val="20"/>
          <w:color w:val="auto"/>
        </w:rPr>
      </w:pPr>
    </w:p>
    <w:p>
      <w:pPr>
        <w:jc w:val="both"/>
        <w:ind w:left="340" w:right="739" w:firstLine="333"/>
        <w:spacing w:after="0" w:line="318" w:lineRule="auto"/>
        <w:rPr>
          <w:sz w:val="20"/>
          <w:szCs w:val="20"/>
          <w:color w:val="auto"/>
        </w:rPr>
      </w:pPr>
      <w:r>
        <w:rPr>
          <w:rFonts w:ascii="Times New Roman" w:cs="Times New Roman" w:eastAsia="Times New Roman" w:hAnsi="Times New Roman"/>
          <w:sz w:val="12"/>
          <w:szCs w:val="12"/>
          <w:color w:val="auto"/>
        </w:rPr>
        <w:t>Energy Transfer at any time may terminate its obligations under the covenants described under “—</w:t>
      </w:r>
      <w:r>
        <w:rPr>
          <w:rFonts w:ascii="Times New Roman" w:cs="Times New Roman" w:eastAsia="Times New Roman" w:hAnsi="Times New Roman"/>
          <w:sz w:val="12"/>
          <w:szCs w:val="12"/>
          <w:i w:val="1"/>
          <w:iCs w:val="1"/>
          <w:color w:val="auto"/>
        </w:rPr>
        <w:t>Certain Covenants</w:t>
      </w:r>
      <w:r>
        <w:rPr>
          <w:rFonts w:ascii="Times New Roman" w:cs="Times New Roman" w:eastAsia="Times New Roman" w:hAnsi="Times New Roman"/>
          <w:sz w:val="12"/>
          <w:szCs w:val="12"/>
          <w:color w:val="auto"/>
        </w:rPr>
        <w:t>” (other than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Consolidation or Sale of Assets</w:t>
      </w:r>
      <w:r>
        <w:rPr>
          <w:rFonts w:ascii="Times New Roman" w:cs="Times New Roman" w:eastAsia="Times New Roman" w:hAnsi="Times New Roman"/>
          <w:sz w:val="12"/>
          <w:szCs w:val="12"/>
          <w:color w:val="auto"/>
        </w:rPr>
        <w:t>”) and the bankruptcy provisions with respect to each Subsidiary Guarantor, the guarantee provision and the cross-acceleration provision described under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above with respect to the notes of any series (“covenant defeasance”).</w:t>
      </w:r>
    </w:p>
    <w:p>
      <w:pPr>
        <w:spacing w:after="0" w:line="107" w:lineRule="exact"/>
        <w:rPr>
          <w:sz w:val="20"/>
          <w:szCs w:val="20"/>
          <w:color w:val="auto"/>
        </w:rPr>
      </w:pPr>
    </w:p>
    <w:p>
      <w:pPr>
        <w:ind w:left="340" w:right="459" w:firstLine="333"/>
        <w:spacing w:after="0" w:line="297" w:lineRule="auto"/>
        <w:rPr>
          <w:sz w:val="20"/>
          <w:szCs w:val="20"/>
          <w:color w:val="auto"/>
        </w:rPr>
      </w:pPr>
      <w:r>
        <w:rPr>
          <w:rFonts w:ascii="Times New Roman" w:cs="Times New Roman" w:eastAsia="Times New Roman" w:hAnsi="Times New Roman"/>
          <w:sz w:val="12"/>
          <w:szCs w:val="12"/>
          <w:color w:val="auto"/>
        </w:rPr>
        <w:t>Energy Transfer may exercise its legal defeasance option notwithstanding its prior exercise of its covenant defeasance option. If Energy Transfer exercises its legal defeasance option, payment of the notes of the applicable series may not be accelerated because of an Event of Default. If Energy Transfer exercises its covenant defeasance option for a series of the notes, payment of the notes of the applicable series may not be accelerated because of an Event of Default specified in clause (3), (4) (with respect only to a Subsidiary Guarantor) or (5) under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above. If Energy Transfer exercises either its legal defeasance option or its covenant defeasance option, each guarantee will terminate with respect to the notes of the applicable series and any security that may have been granted with respect to the notes of the applicable series will be released.</w:t>
      </w:r>
    </w:p>
    <w:p>
      <w:pPr>
        <w:spacing w:after="0" w:line="119" w:lineRule="exact"/>
        <w:rPr>
          <w:sz w:val="20"/>
          <w:szCs w:val="20"/>
          <w:color w:val="auto"/>
        </w:rPr>
      </w:pPr>
    </w:p>
    <w:p>
      <w:pPr>
        <w:ind w:left="340" w:right="439" w:firstLine="333"/>
        <w:spacing w:after="0" w:line="246" w:lineRule="auto"/>
        <w:rPr>
          <w:sz w:val="20"/>
          <w:szCs w:val="20"/>
          <w:color w:val="auto"/>
        </w:rPr>
      </w:pPr>
      <w:r>
        <w:rPr>
          <w:rFonts w:ascii="Times New Roman" w:cs="Times New Roman" w:eastAsia="Times New Roman" w:hAnsi="Times New Roman"/>
          <w:sz w:val="14"/>
          <w:szCs w:val="14"/>
          <w:color w:val="auto"/>
        </w:rPr>
        <w:t>In order to exercise either defeasance option, Energy Transfer must irrevocably deposit in trust (the “defeasance trust”) with the trustee money, U.S. Government Obligations (as defined in the indenture) or a combination thereof for the payment of principal, premium, if any, and interest on the notes of the applicable series to redemption or stated maturity, as the case may be, and must comply with certain other conditions, including delivery to the trustee of an opinion of counsel (subject to customary exceptions and exclusions) to the effect that holders of the notes will not recognize income, gain or loss for United States federal income tax purposes as a result of such defeasance and will be subject to United States federal income tax on the same amounts and in the same manner and at the same times as would have been the case if such defeasance had not occurred. In the case of legal defeasance only, such opinion of counsel must be based on a ruling of the Internal Revenue Service or other change in applicable United States federal income tax law.</w:t>
      </w:r>
    </w:p>
    <w:p>
      <w:pPr>
        <w:spacing w:after="0" w:line="150"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In the event of any legal defeasance, holders of the notes of the applicable series would be entitled to look only to the defeasance trust for payment of principal of and any premium and interest on their notes until maturity.</w:t>
      </w:r>
    </w:p>
    <w:p>
      <w:pPr>
        <w:spacing w:after="0" w:line="136"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Although the amount of money and U.S. Government Obligations on deposit with the trustee would be intended to be sufficient to pay amounts due on the notes at the time of their stated maturity, if Energy Transfer exercises its covenant defeasance option for the notes and the notes are declared due and payable because of the occurrence of an Event of Default, such amount may not be sufficient to pay amounts due on the notes at the time of the acceleration resulting from such Event of Default. Energy Transfer would remain liable for such payments, however.</w:t>
      </w:r>
    </w:p>
    <w:p>
      <w:pPr>
        <w:spacing w:after="0" w:line="146" w:lineRule="exact"/>
        <w:rPr>
          <w:sz w:val="20"/>
          <w:szCs w:val="20"/>
          <w:color w:val="auto"/>
        </w:rPr>
      </w:pPr>
    </w:p>
    <w:p>
      <w:pPr>
        <w:ind w:left="340" w:right="479" w:firstLine="333"/>
        <w:spacing w:after="0" w:line="264" w:lineRule="auto"/>
        <w:rPr>
          <w:sz w:val="20"/>
          <w:szCs w:val="20"/>
          <w:color w:val="auto"/>
        </w:rPr>
      </w:pPr>
      <w:r>
        <w:rPr>
          <w:rFonts w:ascii="Times New Roman" w:cs="Times New Roman" w:eastAsia="Times New Roman" w:hAnsi="Times New Roman"/>
          <w:sz w:val="14"/>
          <w:szCs w:val="14"/>
          <w:color w:val="auto"/>
        </w:rPr>
        <w:t>In addition, Energy Transfer may discharge all its obligations under the indenture with respect to the notes of any series, other than its obligation to register the transfer of and exchange notes, provided that either:</w:t>
      </w:r>
    </w:p>
    <w:p>
      <w:pPr>
        <w:spacing w:after="0" w:line="65" w:lineRule="exact"/>
        <w:rPr>
          <w:sz w:val="20"/>
          <w:szCs w:val="20"/>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delivers all outstanding notes of such series to the trustee for cancellation; or</w:t>
      </w:r>
    </w:p>
    <w:p>
      <w:pPr>
        <w:spacing w:after="0" w:line="94" w:lineRule="exact"/>
        <w:rPr>
          <w:rFonts w:ascii="Times New Roman" w:cs="Times New Roman" w:eastAsia="Times New Roman" w:hAnsi="Times New Roman"/>
          <w:sz w:val="14"/>
          <w:szCs w:val="14"/>
          <w:color w:val="auto"/>
        </w:rPr>
      </w:pPr>
    </w:p>
    <w:p>
      <w:pPr>
        <w:ind w:left="1080" w:right="379" w:hanging="334"/>
        <w:spacing w:after="0" w:line="250" w:lineRule="auto"/>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notes not so delivered for cancellation have either become due and payable or will become due and payable at their stated maturity within one year or are called for redemption within one year, and in the case of this bullet point, it has deposited with the trustee in trust an amount of cash sufficient to pay the entire indebtedness of such notes, including interest to the stated maturity or applicable redemption date.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39" w:right="1440"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Book-Entry System</w:t>
      </w:r>
    </w:p>
    <w:p>
      <w:pPr>
        <w:spacing w:after="0" w:line="88" w:lineRule="exact"/>
        <w:rPr>
          <w:sz w:val="20"/>
          <w:szCs w:val="20"/>
          <w:color w:val="auto"/>
        </w:rPr>
      </w:pPr>
    </w:p>
    <w:p>
      <w:pPr>
        <w:jc w:val="both"/>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We have obtained the information in this section concerning The Depository Trust Company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w:t>
      </w:r>
    </w:p>
    <w:p>
      <w:pPr>
        <w:spacing w:after="0" w:line="142" w:lineRule="exact"/>
        <w:rPr>
          <w:sz w:val="20"/>
          <w:szCs w:val="20"/>
          <w:color w:val="auto"/>
        </w:rPr>
      </w:pPr>
    </w:p>
    <w:p>
      <w:pPr>
        <w:jc w:val="both"/>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w:t>
      </w:r>
    </w:p>
    <w:p>
      <w:pPr>
        <w:spacing w:after="0" w:line="142"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w:t>
      </w:r>
    </w:p>
    <w:p>
      <w:pPr>
        <w:spacing w:after="0" w:line="143" w:lineRule="exact"/>
        <w:rPr>
          <w:sz w:val="20"/>
          <w:szCs w:val="20"/>
          <w:color w:val="auto"/>
        </w:rPr>
      </w:pPr>
    </w:p>
    <w:p>
      <w:pPr>
        <w:ind w:left="340" w:right="37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Depository Trust Company</w:t>
      </w:r>
      <w:r>
        <w:rPr>
          <w:rFonts w:ascii="Times New Roman" w:cs="Times New Roman" w:eastAsia="Times New Roman" w:hAnsi="Times New Roman"/>
          <w:sz w:val="14"/>
          <w:szCs w:val="14"/>
          <w:color w:val="auto"/>
        </w:rPr>
        <w:t>. DTC will act as securities depositary for the notes. The notes will be issued as fully registered notes registered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name of Cede &amp; Co. DTC has advised us as follows: DTC is:</w:t>
      </w:r>
    </w:p>
    <w:p>
      <w:pPr>
        <w:spacing w:after="0" w:line="60" w:lineRule="exact"/>
        <w:rPr>
          <w:sz w:val="20"/>
          <w:szCs w:val="20"/>
          <w:color w:val="auto"/>
        </w:rPr>
      </w:pPr>
    </w:p>
    <w:p>
      <w:pPr>
        <w:ind w:left="1080" w:hanging="334"/>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66"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spacing w:after="0" w:line="142" w:lineRule="exact"/>
        <w:rPr>
          <w:sz w:val="20"/>
          <w:szCs w:val="20"/>
          <w:color w:val="auto"/>
        </w:rPr>
      </w:pPr>
    </w:p>
    <w:p>
      <w:pPr>
        <w:ind w:left="340" w:right="459" w:firstLine="333"/>
        <w:spacing w:after="0" w:line="316" w:lineRule="auto"/>
        <w:rPr>
          <w:sz w:val="20"/>
          <w:szCs w:val="20"/>
          <w:color w:val="auto"/>
        </w:rPr>
      </w:pPr>
      <w:r>
        <w:rPr>
          <w:rFonts w:ascii="Times New Roman" w:cs="Times New Roman" w:eastAsia="Times New Roman" w:hAnsi="Times New Roman"/>
          <w:sz w:val="12"/>
          <w:szCs w:val="12"/>
          <w:color w:val="auto"/>
        </w:rPr>
        <w:t>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w:t>
      </w:r>
    </w:p>
    <w:p>
      <w:pPr>
        <w:spacing w:after="0" w:line="109" w:lineRule="exact"/>
        <w:rPr>
          <w:sz w:val="20"/>
          <w:szCs w:val="20"/>
          <w:color w:val="auto"/>
        </w:rPr>
      </w:pPr>
    </w:p>
    <w:p>
      <w:pPr>
        <w:jc w:val="both"/>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w:t>
      </w:r>
    </w:p>
    <w:p>
      <w:pPr>
        <w:spacing w:after="0" w:line="146"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5" w:right="1440" w:bottom="1440" w:gutter="0" w:footer="0" w:header="0"/>
        </w:sectPr>
      </w:pPr>
    </w:p>
    <w:bookmarkStart w:id="25" w:name="page26"/>
    <w:bookmarkEnd w:id="25"/>
    <w:p>
      <w:pPr>
        <w:ind w:left="340" w:right="47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w:t>
      </w:r>
    </w:p>
    <w:p>
      <w:pPr>
        <w:spacing w:after="0" w:line="149"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affect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49" w:lineRule="exact"/>
        <w:rPr>
          <w:sz w:val="20"/>
          <w:szCs w:val="20"/>
          <w:color w:val="auto"/>
        </w:rPr>
      </w:pPr>
    </w:p>
    <w:p>
      <w:pPr>
        <w:ind w:left="340" w:right="779" w:firstLine="333"/>
        <w:spacing w:after="0" w:line="254"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38" w:lineRule="exact"/>
        <w:rPr>
          <w:sz w:val="20"/>
          <w:szCs w:val="20"/>
          <w:color w:val="auto"/>
        </w:rPr>
      </w:pPr>
    </w:p>
    <w:p>
      <w:pPr>
        <w:ind w:left="340" w:right="359" w:firstLine="333"/>
        <w:spacing w:after="0" w:line="288" w:lineRule="auto"/>
        <w:rPr>
          <w:sz w:val="20"/>
          <w:szCs w:val="20"/>
          <w:color w:val="auto"/>
        </w:rPr>
      </w:pPr>
      <w:r>
        <w:rPr>
          <w:rFonts w:ascii="Times New Roman" w:cs="Times New Roman" w:eastAsia="Times New Roman" w:hAnsi="Times New Roman"/>
          <w:sz w:val="12"/>
          <w:szCs w:val="12"/>
          <w:b w:val="1"/>
          <w:bCs w:val="1"/>
          <w:i w:val="1"/>
          <w:iCs w:val="1"/>
          <w:color w:val="auto"/>
        </w:rPr>
        <w:t>Euroclear and Clearstream</w:t>
      </w:r>
      <w:r>
        <w:rPr>
          <w:rFonts w:ascii="Times New Roman" w:cs="Times New Roman" w:eastAsia="Times New Roman" w:hAnsi="Times New Roman"/>
          <w:sz w:val="12"/>
          <w:szCs w:val="12"/>
          <w:color w:val="auto"/>
        </w:rPr>
        <w:t>. If the depositary for a global debt security is DTC, you may hold interests in the global debt security through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Clearstream Banking, société anonyme, which we refer to as “Clearstream,” or Euroclear Bank SA/ 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 Payments, deliveries, transfers, exchanges, notices and other matters relating to the debt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 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We have obtained the foregoing information concerning Euroclear and Clearstream from sources we believe to be reliable, but we take no responsibility for the accuracy of this information.</w:t>
      </w:r>
    </w:p>
    <w:p>
      <w:pPr>
        <w:spacing w:after="0" w:line="200" w:lineRule="exact"/>
        <w:rPr>
          <w:sz w:val="20"/>
          <w:szCs w:val="20"/>
          <w:color w:val="auto"/>
        </w:rPr>
      </w:pPr>
    </w:p>
    <w:p>
      <w:pPr>
        <w:spacing w:after="0" w:line="255" w:lineRule="exact"/>
        <w:rPr>
          <w:sz w:val="20"/>
          <w:szCs w:val="20"/>
          <w:color w:val="auto"/>
        </w:rPr>
      </w:pPr>
    </w:p>
    <w:p>
      <w:pPr>
        <w:ind w:left="340" w:right="399" w:firstLine="333"/>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Book-Entry Format</w:t>
      </w:r>
      <w:r>
        <w:rPr>
          <w:rFonts w:ascii="Times New Roman" w:cs="Times New Roman" w:eastAsia="Times New Roman" w:hAnsi="Times New Roman"/>
          <w:sz w:val="14"/>
          <w:szCs w:val="14"/>
          <w:color w:val="auto"/>
        </w:rPr>
        <w:t>. Under the book-entry format, the trustee will pay interest or principal payments to Cede &amp; Co., as nominee of DTC. DTC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9" w:right="1440" w:bottom="1440" w:gutter="0" w:footer="0" w:header="0"/>
        </w:sectPr>
      </w:pPr>
    </w:p>
    <w:bookmarkStart w:id="26" w:name="page27"/>
    <w:bookmarkEnd w:id="26"/>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beneficial ownership interests in the notes or for maintaining, supervising or reviewing any records relating to such beneficial ownership interests. We also do not supervise these systems in any way.</w:t>
      </w:r>
    </w:p>
    <w:p>
      <w:pPr>
        <w:spacing w:after="0" w:line="147"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w:t>
      </w:r>
    </w:p>
    <w:p>
      <w:pPr>
        <w:spacing w:after="0" w:line="149"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46" w:lineRule="exact"/>
        <w:rPr>
          <w:sz w:val="20"/>
          <w:szCs w:val="20"/>
          <w:color w:val="auto"/>
        </w:rPr>
      </w:pPr>
    </w:p>
    <w:p>
      <w:pPr>
        <w:ind w:left="340" w:right="879" w:firstLine="333"/>
        <w:spacing w:after="0" w:line="264" w:lineRule="auto"/>
        <w:rPr>
          <w:sz w:val="20"/>
          <w:szCs w:val="20"/>
          <w:color w:val="auto"/>
        </w:rPr>
      </w:pPr>
      <w:r>
        <w:rPr>
          <w:rFonts w:ascii="Times New Roman" w:cs="Times New Roman" w:eastAsia="Times New Roman" w:hAnsi="Times New Roman"/>
          <w:sz w:val="14"/>
          <w:szCs w:val="14"/>
          <w:color w:val="auto"/>
        </w:rPr>
        <w:t>DTC has agreed to the foregoing procedures in order to facilitate transfers of the notes among its participants. However, DTC is under no obligation to perform or continue to perform those procedures, and may discontinue those procedures at any time.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w:t>
      </w:r>
    </w:p>
    <w:p>
      <w:pPr>
        <w:spacing w:after="0" w:line="146"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If an Event of Default occurs and is not cured or waived, the trustee is required to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not be under any obligation to exercise any of its rights or powers under the indenture at the request of any of the holders of notes unless they have offered to the trustee security or indemnity satisfactory to it against the costs, expenses and liabilities it may incur.</w:t>
      </w:r>
    </w:p>
    <w:p>
      <w:pPr>
        <w:spacing w:after="0" w:line="149"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indenture and has been appointed by Energy Transfer as registrar and paying agent with regard to the notes. The trustee’s address is 1255 Corporate Drive, 6th Floor, Irving, TX 75038. The trustee and its affiliates maintain commercial banking and other relationships with Energy Transfer.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Limited Partners and Members</w:t>
      </w:r>
    </w:p>
    <w:p>
      <w:pPr>
        <w:spacing w:after="0" w:line="88"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The directors, officers, employees, limited partners and members of Energy Transfer and the General Partner will not have any personal liability for our obligations under the indenture or the notes. Each holder 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9" w:right="1440"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notes, by accepting a note, waives and releases all such liability. The waiver and release are part of the consideration for the issuance of the notes.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indenture and the notes are governed by, and will be construed in accordance with, the laws of the State of New York.</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88" w:lineRule="exact"/>
        <w:rPr>
          <w:sz w:val="20"/>
          <w:szCs w:val="20"/>
          <w:color w:val="auto"/>
        </w:rPr>
      </w:pPr>
    </w:p>
    <w:p>
      <w:pPr>
        <w:ind w:left="340" w:right="399" w:firstLine="333"/>
        <w:spacing w:after="0" w:line="293" w:lineRule="auto"/>
        <w:rPr>
          <w:sz w:val="20"/>
          <w:szCs w:val="20"/>
          <w:color w:val="auto"/>
        </w:rPr>
      </w:pPr>
      <w:r>
        <w:rPr>
          <w:rFonts w:ascii="Times New Roman" w:cs="Times New Roman" w:eastAsia="Times New Roman" w:hAnsi="Times New Roman"/>
          <w:sz w:val="12"/>
          <w:szCs w:val="12"/>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“Consolidated Net Tangible Assets” means, at any date of determination, the total amount of assets of Energy Transfer and its consolidated</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Subsidiaries after deducting therefrom:</w:t>
      </w:r>
    </w:p>
    <w:p>
      <w:pPr>
        <w:spacing w:after="0" w:line="154" w:lineRule="exact"/>
        <w:rPr>
          <w:sz w:val="20"/>
          <w:szCs w:val="20"/>
          <w:color w:val="auto"/>
        </w:rPr>
      </w:pPr>
    </w:p>
    <w:p>
      <w:pPr>
        <w:ind w:left="340" w:right="359" w:firstLine="331"/>
        <w:spacing w:after="0" w:line="349" w:lineRule="auto"/>
        <w:tabs>
          <w:tab w:leader="none" w:pos="86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w:t>
      </w:r>
    </w:p>
    <w:p>
      <w:pPr>
        <w:spacing w:after="0" w:line="88" w:lineRule="exact"/>
        <w:rPr>
          <w:rFonts w:ascii="Times New Roman" w:cs="Times New Roman" w:eastAsia="Times New Roman" w:hAnsi="Times New Roman"/>
          <w:sz w:val="12"/>
          <w:szCs w:val="12"/>
          <w:color w:val="auto"/>
        </w:rPr>
      </w:pPr>
    </w:p>
    <w:p>
      <w:pPr>
        <w:ind w:left="340" w:right="499" w:firstLine="331"/>
        <w:spacing w:after="0" w:line="250" w:lineRule="auto"/>
        <w:tabs>
          <w:tab w:leader="none" w:pos="86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(net of any applicable reserves) of all goodwill, trade names, trademarks, patents and other like intangible assets, all as set forth, or on a pro forma basis would be set forth, on the consolidated balance sheet of Energy Transfer and its consolidated Subsidiaries for Energy Transfer’s most recently completed fiscal quarter for which financial statements have been filed with the SEC, prepared in accordance with generally accepted accounting principles.</w:t>
      </w:r>
    </w:p>
    <w:p>
      <w:pPr>
        <w:spacing w:after="0" w:line="146"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“Credit Agreement” means the Amended and Restated Credit Agreement, dated as of April 11, 2022, among Energy Transfer, Wells Fargo Bank, National Association, as Administrative Agent, and the other agents and lenders party thereto, and as further amended, extended, restated, refinanced, replaced or refunded from time to time.</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 and any successor statute.</w:t>
      </w:r>
    </w:p>
    <w:p>
      <w:pPr>
        <w:spacing w:after="0" w:line="166" w:lineRule="exact"/>
        <w:rPr>
          <w:sz w:val="20"/>
          <w:szCs w:val="20"/>
          <w:color w:val="auto"/>
        </w:rPr>
      </w:pPr>
    </w:p>
    <w:p>
      <w:pPr>
        <w:ind w:left="340" w:right="819" w:firstLine="333"/>
        <w:spacing w:after="0" w:line="254" w:lineRule="auto"/>
        <w:rPr>
          <w:sz w:val="20"/>
          <w:szCs w:val="20"/>
          <w:color w:val="auto"/>
        </w:rPr>
      </w:pPr>
      <w:r>
        <w:rPr>
          <w:rFonts w:ascii="Times New Roman" w:cs="Times New Roman" w:eastAsia="Times New Roman" w:hAnsi="Times New Roman"/>
          <w:sz w:val="14"/>
          <w:szCs w:val="14"/>
          <w:color w:val="auto"/>
        </w:rPr>
        <w:t>“General Partner” means LE GP, LLC, a Delaware limited liability company, and its successors as general partner of Energy Transfer. “Indebtedness” of any Person at any date means any obligation created or assumed by such Person for the repayment of borrowed money or any guaranty thereof.</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“Permitted Liens” means:</w:t>
      </w:r>
    </w:p>
    <w:p>
      <w:pPr>
        <w:spacing w:after="0" w:line="166" w:lineRule="exact"/>
        <w:rPr>
          <w:sz w:val="20"/>
          <w:szCs w:val="20"/>
          <w:color w:val="auto"/>
        </w:rPr>
      </w:pPr>
    </w:p>
    <w:p>
      <w:pPr>
        <w:ind w:left="860" w:hanging="189"/>
        <w:spacing w:after="0"/>
        <w:tabs>
          <w:tab w:leader="none" w:pos="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rights-of-way for pipeline purposes;</w:t>
      </w:r>
    </w:p>
    <w:p>
      <w:pPr>
        <w:spacing w:after="0" w:line="165" w:lineRule="exact"/>
        <w:rPr>
          <w:rFonts w:ascii="Times New Roman" w:cs="Times New Roman" w:eastAsia="Times New Roman" w:hAnsi="Times New Roman"/>
          <w:sz w:val="14"/>
          <w:szCs w:val="14"/>
          <w:color w:val="auto"/>
        </w:rPr>
      </w:pPr>
    </w:p>
    <w:p>
      <w:pPr>
        <w:ind w:left="340" w:right="379" w:firstLine="331"/>
        <w:spacing w:after="0" w:line="264" w:lineRule="auto"/>
        <w:tabs>
          <w:tab w:leader="none" w:pos="86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rights-of-way, restrictions and other similar encumbrances incurred in the ordinary course of business and encumbrances consisting of zoning restrictions, easements, licenses, restrictions on the use of real</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9" w:right="1440" w:bottom="1440" w:gutter="0" w:footer="0" w:header="0"/>
        </w:sectPr>
      </w:pPr>
    </w:p>
    <w:bookmarkStart w:id="28" w:name="page29"/>
    <w:bookmarkEnd w:id="28"/>
    <w:p>
      <w:pPr>
        <w:ind w:left="340" w:right="6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property or minor imperfections in title thereto and which do not in the aggregate materially adversely affect the value of the properties encumbered thereby or materially impair their use in the operation of the business of Energy Transfer and its Subsidiaries;</w:t>
      </w:r>
    </w:p>
    <w:p>
      <w:pPr>
        <w:spacing w:after="0" w:line="136" w:lineRule="exact"/>
        <w:rPr>
          <w:sz w:val="20"/>
          <w:szCs w:val="20"/>
          <w:color w:val="auto"/>
        </w:rPr>
      </w:pPr>
    </w:p>
    <w:p>
      <w:pPr>
        <w:ind w:left="340" w:right="519" w:firstLine="331"/>
        <w:spacing w:after="0" w:line="254" w:lineRule="auto"/>
        <w:tabs>
          <w:tab w:leader="none" w:pos="86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reserved to or vested by any provision of law in any municipality or public authority to control or regulate any of the properties of Energy Transfer or any Subsidiary or the use thereof or the rights and interests of Energy Transfer or any Subsidiary therein, in any manner under any and all laws;</w:t>
      </w:r>
    </w:p>
    <w:p>
      <w:pPr>
        <w:spacing w:after="0" w:line="142" w:lineRule="exact"/>
        <w:rPr>
          <w:rFonts w:ascii="Times New Roman" w:cs="Times New Roman" w:eastAsia="Times New Roman" w:hAnsi="Times New Roman"/>
          <w:sz w:val="14"/>
          <w:szCs w:val="14"/>
          <w:color w:val="auto"/>
        </w:rPr>
      </w:pPr>
    </w:p>
    <w:p>
      <w:pPr>
        <w:ind w:left="340" w:right="359" w:firstLine="331"/>
        <w:spacing w:after="0" w:line="254" w:lineRule="auto"/>
        <w:tabs>
          <w:tab w:leader="none" w:pos="86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reserved to the grantors of any properties of Energy Transfer or any Subsidiary, and the restrictions, conditions, restrictive covenants and limitations, in respect thereto, pursuant to the terms, conditions and provisions of any rights-of-way agreements, contracts or other agreements therewith;</w:t>
      </w:r>
    </w:p>
    <w:p>
      <w:pPr>
        <w:spacing w:after="0" w:line="142" w:lineRule="exact"/>
        <w:rPr>
          <w:rFonts w:ascii="Times New Roman" w:cs="Times New Roman" w:eastAsia="Times New Roman" w:hAnsi="Times New Roman"/>
          <w:sz w:val="14"/>
          <w:szCs w:val="14"/>
          <w:color w:val="auto"/>
        </w:rPr>
      </w:pPr>
    </w:p>
    <w:p>
      <w:pPr>
        <w:ind w:left="340" w:right="419" w:firstLine="331"/>
        <w:spacing w:after="0" w:line="316" w:lineRule="auto"/>
        <w:tabs>
          <w:tab w:leader="none" w:pos="86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proceedings and any undetermined lien which is incidental to construction, development, improvement or repair;</w:t>
      </w:r>
    </w:p>
    <w:p>
      <w:pPr>
        <w:spacing w:after="0" w:line="108" w:lineRule="exact"/>
        <w:rPr>
          <w:rFonts w:ascii="Times New Roman" w:cs="Times New Roman" w:eastAsia="Times New Roman" w:hAnsi="Times New Roman"/>
          <w:sz w:val="12"/>
          <w:szCs w:val="12"/>
          <w:color w:val="auto"/>
        </w:rPr>
      </w:pPr>
    </w:p>
    <w:p>
      <w:pPr>
        <w:ind w:left="340" w:right="419" w:firstLine="331"/>
        <w:spacing w:after="0" w:line="264" w:lineRule="auto"/>
        <w:tabs>
          <w:tab w:leader="none" w:pos="86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reserved to, or vested in, any municipality or public authority by the terms of any right, power, franchise, grant, license, permit or by any provision of law, to purchase or recapture or to designate a purchaser of, any property;</w:t>
      </w:r>
    </w:p>
    <w:p>
      <w:pPr>
        <w:spacing w:after="0" w:line="136" w:lineRule="exact"/>
        <w:rPr>
          <w:rFonts w:ascii="Times New Roman" w:cs="Times New Roman" w:eastAsia="Times New Roman" w:hAnsi="Times New Roman"/>
          <w:sz w:val="14"/>
          <w:szCs w:val="14"/>
          <w:color w:val="auto"/>
        </w:rPr>
      </w:pPr>
    </w:p>
    <w:p>
      <w:pPr>
        <w:ind w:left="340" w:right="739" w:firstLine="331"/>
        <w:spacing w:after="0" w:line="349" w:lineRule="auto"/>
        <w:tabs>
          <w:tab w:leader="none" w:pos="86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taxes and assessments which are (a) for the then current year, (b) not at the time delinquent, or (c) delinquent but the validity or amount of which is being contested at the time by Energy Transfer or any of its Subsidiaries in good faith by appropriate proceedings;</w:t>
      </w:r>
    </w:p>
    <w:p>
      <w:pPr>
        <w:spacing w:after="0" w:line="88" w:lineRule="exact"/>
        <w:rPr>
          <w:rFonts w:ascii="Times New Roman" w:cs="Times New Roman" w:eastAsia="Times New Roman" w:hAnsi="Times New Roman"/>
          <w:sz w:val="12"/>
          <w:szCs w:val="12"/>
          <w:color w:val="auto"/>
        </w:rPr>
      </w:pPr>
    </w:p>
    <w:p>
      <w:pPr>
        <w:ind w:left="860" w:hanging="189"/>
        <w:spacing w:after="0"/>
        <w:tabs>
          <w:tab w:leader="none" w:pos="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of, or to secure performance of, leases, other than capital leases;</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in favor of Energy Transfer or any Subsidiary;</w:t>
      </w:r>
    </w:p>
    <w:p>
      <w:pPr>
        <w:spacing w:after="0" w:line="165" w:lineRule="exact"/>
        <w:rPr>
          <w:rFonts w:ascii="Times New Roman" w:cs="Times New Roman" w:eastAsia="Times New Roman" w:hAnsi="Times New Roman"/>
          <w:sz w:val="14"/>
          <w:szCs w:val="14"/>
          <w:color w:val="auto"/>
        </w:rPr>
      </w:pPr>
    </w:p>
    <w:p>
      <w:pPr>
        <w:ind w:left="940" w:hanging="269"/>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of Energy Transfer or any Subsidiary in existence on the date of the initial issuance of the notes;</w:t>
      </w:r>
    </w:p>
    <w:p>
      <w:pPr>
        <w:spacing w:after="0" w:line="165" w:lineRule="exact"/>
        <w:rPr>
          <w:rFonts w:ascii="Times New Roman" w:cs="Times New Roman" w:eastAsia="Times New Roman" w:hAnsi="Times New Roman"/>
          <w:sz w:val="14"/>
          <w:szCs w:val="14"/>
          <w:color w:val="auto"/>
        </w:rPr>
      </w:pPr>
    </w:p>
    <w:p>
      <w:pPr>
        <w:ind w:left="340" w:right="759" w:firstLine="331"/>
        <w:spacing w:after="0" w:line="349" w:lineRule="auto"/>
        <w:tabs>
          <w:tab w:leader="none" w:pos="92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spacing w:after="0" w:line="88" w:lineRule="exact"/>
        <w:rPr>
          <w:rFonts w:ascii="Times New Roman" w:cs="Times New Roman" w:eastAsia="Times New Roman" w:hAnsi="Times New Roman"/>
          <w:sz w:val="12"/>
          <w:szCs w:val="12"/>
          <w:color w:val="auto"/>
        </w:rPr>
      </w:pPr>
    </w:p>
    <w:p>
      <w:pPr>
        <w:ind w:left="340" w:right="759" w:firstLine="331"/>
        <w:spacing w:after="0" w:line="250" w:lineRule="auto"/>
        <w:tabs>
          <w:tab w:leader="none" w:pos="9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w:t>
      </w:r>
    </w:p>
    <w:p>
      <w:pPr>
        <w:spacing w:after="0" w:line="146" w:lineRule="exact"/>
        <w:rPr>
          <w:rFonts w:ascii="Times New Roman" w:cs="Times New Roman" w:eastAsia="Times New Roman" w:hAnsi="Times New Roman"/>
          <w:sz w:val="14"/>
          <w:szCs w:val="14"/>
          <w:color w:val="auto"/>
        </w:rPr>
      </w:pPr>
    </w:p>
    <w:p>
      <w:pPr>
        <w:ind w:left="340" w:right="419" w:firstLine="331"/>
        <w:spacing w:after="0" w:line="254" w:lineRule="auto"/>
        <w:tabs>
          <w:tab w:leader="none" w:pos="9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created at the time of acquisition of such property or assets by Energy Transfer or any of its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42" w:lineRule="exact"/>
        <w:rPr>
          <w:rFonts w:ascii="Times New Roman" w:cs="Times New Roman" w:eastAsia="Times New Roman" w:hAnsi="Times New Roman"/>
          <w:sz w:val="14"/>
          <w:szCs w:val="14"/>
          <w:color w:val="auto"/>
        </w:rPr>
      </w:pPr>
    </w:p>
    <w:p>
      <w:pPr>
        <w:ind w:left="340" w:right="359" w:firstLine="331"/>
        <w:spacing w:after="0" w:line="254" w:lineRule="auto"/>
        <w:tabs>
          <w:tab w:leader="none" w:pos="9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w:t>
      </w:r>
    </w:p>
    <w:p>
      <w:pPr>
        <w:spacing w:after="0" w:line="142" w:lineRule="exact"/>
        <w:rPr>
          <w:rFonts w:ascii="Times New Roman" w:cs="Times New Roman" w:eastAsia="Times New Roman" w:hAnsi="Times New Roman"/>
          <w:sz w:val="14"/>
          <w:szCs w:val="14"/>
          <w:color w:val="auto"/>
        </w:rPr>
      </w:pPr>
    </w:p>
    <w:p>
      <w:pPr>
        <w:ind w:left="340" w:right="499" w:firstLine="331"/>
        <w:spacing w:after="0" w:line="264" w:lineRule="auto"/>
        <w:tabs>
          <w:tab w:leader="none" w:pos="9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existing thereon at the time of the acquisition thereof by Energy Transfer or any of its Subsidiaries and any lien upon any property or assets of a Person existing thereon at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39" w:right="1440" w:bottom="1440" w:gutter="0" w:footer="0" w:header="0"/>
        </w:sectPr>
      </w:pPr>
    </w:p>
    <w:bookmarkStart w:id="29" w:name="page30"/>
    <w:bookmarkEnd w:id="29"/>
    <w:p>
      <w:pPr>
        <w:ind w:left="340" w:right="5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time such Person becomes a Subsidiary of Energy Transfer by acquisition, merger or otherwise; provided that, in each case, such lien only encumbers the property or assets so acquired or owned by such Person at the time such Person becomes a Subsidiary;</w:t>
      </w:r>
    </w:p>
    <w:p>
      <w:pPr>
        <w:spacing w:after="0" w:line="136" w:lineRule="exact"/>
        <w:rPr>
          <w:sz w:val="20"/>
          <w:szCs w:val="20"/>
          <w:color w:val="auto"/>
        </w:rPr>
      </w:pPr>
    </w:p>
    <w:p>
      <w:pPr>
        <w:ind w:left="340" w:right="359" w:firstLine="331"/>
        <w:spacing w:after="0" w:line="254" w:lineRule="auto"/>
        <w:tabs>
          <w:tab w:leader="none" w:pos="93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imposed by law or order as a result of any proceeding before any court or regulatory body that is being contested in good faith, and liens which secure a judgment or other court-ordered award or settlement as to which Energy Transfer or the applicable Subsidiary has not exhausted its appellate rights;</w:t>
      </w:r>
    </w:p>
    <w:p>
      <w:pPr>
        <w:spacing w:after="0" w:line="142" w:lineRule="exact"/>
        <w:rPr>
          <w:rFonts w:ascii="Times New Roman" w:cs="Times New Roman" w:eastAsia="Times New Roman" w:hAnsi="Times New Roman"/>
          <w:sz w:val="14"/>
          <w:szCs w:val="14"/>
          <w:color w:val="auto"/>
        </w:rPr>
      </w:pPr>
    </w:p>
    <w:p>
      <w:pPr>
        <w:ind w:left="340" w:right="359" w:firstLine="331"/>
        <w:spacing w:after="0" w:line="247" w:lineRule="auto"/>
        <w:tabs>
          <w:tab w:leader="none" w:pos="93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refinancing, refunding or replacement (or successive extensions, renewals, refinancing, refunding or replacements) of liens, in whole or in part, referred to in clauses (1) through (16)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Energy Transfer or its Subsidiaries (including any premium) incurred in connection with such extension, renewal, refinancing, refunding or replacement; or</w:t>
      </w:r>
    </w:p>
    <w:p>
      <w:pPr>
        <w:spacing w:after="0" w:line="149" w:lineRule="exact"/>
        <w:rPr>
          <w:rFonts w:ascii="Times New Roman" w:cs="Times New Roman" w:eastAsia="Times New Roman" w:hAnsi="Times New Roman"/>
          <w:sz w:val="14"/>
          <w:szCs w:val="14"/>
          <w:color w:val="auto"/>
        </w:rPr>
      </w:pPr>
    </w:p>
    <w:p>
      <w:pPr>
        <w:ind w:left="340" w:right="759" w:firstLine="331"/>
        <w:spacing w:after="0" w:line="264" w:lineRule="auto"/>
        <w:tabs>
          <w:tab w:leader="none" w:pos="93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resulting from the deposit of moneys or evidence of indebtedness in trust for the purpose of defeasing Indebtedness of Energy Transfer or any of its Subsidiaries.</w:t>
      </w:r>
    </w:p>
    <w:p>
      <w:pPr>
        <w:spacing w:after="0" w:line="136" w:lineRule="exact"/>
        <w:rPr>
          <w:sz w:val="20"/>
          <w:szCs w:val="20"/>
          <w:color w:val="auto"/>
        </w:rPr>
      </w:pPr>
    </w:p>
    <w:p>
      <w:pPr>
        <w:ind w:left="340" w:right="659" w:firstLine="333"/>
        <w:spacing w:after="0" w:line="349" w:lineRule="auto"/>
        <w:rPr>
          <w:sz w:val="20"/>
          <w:szCs w:val="20"/>
          <w:color w:val="auto"/>
        </w:rPr>
      </w:pPr>
      <w:r>
        <w:rPr>
          <w:rFonts w:ascii="Times New Roman" w:cs="Times New Roman" w:eastAsia="Times New Roman" w:hAnsi="Times New Roman"/>
          <w:sz w:val="12"/>
          <w:szCs w:val="12"/>
          <w:color w:val="auto"/>
        </w:rPr>
        <w:t>“Person” means any individual, corporation, partnership, limited liability company, joint venture, incorporated or unincorporated association, joint- stock company, trust, unincorporated organization, government or any agency or political subdivision thereof or any other entity.</w:t>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“Principal Property” means, whether owned or leased on the date of the initial issuance of the notes or thereafter acquired:</w:t>
      </w:r>
    </w:p>
    <w:p>
      <w:pPr>
        <w:spacing w:after="0" w:line="166" w:lineRule="exact"/>
        <w:rPr>
          <w:sz w:val="20"/>
          <w:szCs w:val="20"/>
          <w:color w:val="auto"/>
        </w:rPr>
      </w:pPr>
    </w:p>
    <w:p>
      <w:pPr>
        <w:ind w:left="340" w:right="379" w:firstLine="331"/>
        <w:spacing w:after="0" w:line="254" w:lineRule="auto"/>
        <w:tabs>
          <w:tab w:leader="none" w:pos="86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pipeline assets of Energy Transfer or any of its Subsidiaries, including any related facilities employed in the gathering, transportation, distribution, storage or marketing of natural gas, refined petroleum products, natural gas liquids and petrochemicals, that are located in the United States of America or any territory or political subdivision thereof; and</w:t>
      </w:r>
    </w:p>
    <w:p>
      <w:pPr>
        <w:spacing w:after="0" w:line="142"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processing, compression, treating, blending or manufacturing plant or terminal owned or leased by Energy Transfer or any of its</w:t>
      </w:r>
    </w:p>
    <w:p>
      <w:pPr>
        <w:spacing w:after="0" w:line="14" w:lineRule="exact"/>
        <w:rPr>
          <w:rFonts w:ascii="Times New Roman" w:cs="Times New Roman" w:eastAsia="Times New Roman" w:hAnsi="Times New Roman"/>
          <w:sz w:val="14"/>
          <w:szCs w:val="14"/>
          <w:color w:val="auto"/>
        </w:rPr>
      </w:pPr>
    </w:p>
    <w:p>
      <w:pPr>
        <w:ind w:left="340" w:right="39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 that is located in the United States or any territory or political subdivision thereof, except in the case of either of the preceding clause (1) or this clause (2):</w:t>
      </w:r>
    </w:p>
    <w:p>
      <w:pPr>
        <w:spacing w:after="0" w:line="65" w:lineRule="exact"/>
        <w:rPr>
          <w:rFonts w:ascii="Times New Roman" w:cs="Times New Roman" w:eastAsia="Times New Roman" w:hAnsi="Times New Roman"/>
          <w:sz w:val="14"/>
          <w:szCs w:val="14"/>
          <w:color w:val="auto"/>
        </w:rPr>
      </w:pPr>
    </w:p>
    <w:p>
      <w:pPr>
        <w:ind w:left="680" w:right="559" w:firstLine="310"/>
        <w:spacing w:after="0" w:line="264" w:lineRule="auto"/>
        <w:tabs>
          <w:tab w:leader="none" w:pos="118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assets consisting of inventories, furniture, office fixtures and equipment (including data processing equipment), vehicles and equipment used on, or useful with, vehicles; and</w:t>
      </w:r>
    </w:p>
    <w:p>
      <w:pPr>
        <w:spacing w:after="0" w:line="54" w:lineRule="exact"/>
        <w:rPr>
          <w:rFonts w:ascii="Times New Roman" w:cs="Times New Roman" w:eastAsia="Times New Roman" w:hAnsi="Times New Roman"/>
          <w:sz w:val="14"/>
          <w:szCs w:val="14"/>
          <w:color w:val="auto"/>
        </w:rPr>
      </w:pPr>
    </w:p>
    <w:p>
      <w:pPr>
        <w:ind w:left="680" w:right="739" w:firstLine="310"/>
        <w:spacing w:after="0" w:line="264" w:lineRule="auto"/>
        <w:tabs>
          <w:tab w:leader="none" w:pos="119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assets which, in the opinion of the board of directors of the General Partner are not material in relation to the activities of Energy Transfer and its Subsidiaries taken as a whole.</w:t>
      </w:r>
    </w:p>
    <w:p>
      <w:pPr>
        <w:spacing w:after="0" w:line="136"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“Restricted Subsidiary” means any Subsidiary owning or leasing, directly or indirectly through ownership in another Subsidiary, any Principal Property.</w:t>
      </w:r>
    </w:p>
    <w:p>
      <w:pPr>
        <w:spacing w:after="0" w:line="136" w:lineRule="exact"/>
        <w:rPr>
          <w:sz w:val="20"/>
          <w:szCs w:val="20"/>
          <w:color w:val="auto"/>
        </w:rPr>
      </w:pPr>
    </w:p>
    <w:p>
      <w:pPr>
        <w:ind w:left="340" w:right="419" w:firstLine="333"/>
        <w:spacing w:after="0" w:line="305" w:lineRule="auto"/>
        <w:rPr>
          <w:sz w:val="20"/>
          <w:szCs w:val="20"/>
          <w:color w:val="auto"/>
        </w:rPr>
      </w:pPr>
      <w:r>
        <w:rPr>
          <w:rFonts w:ascii="Times New Roman" w:cs="Times New Roman" w:eastAsia="Times New Roman" w:hAnsi="Times New Roman"/>
          <w:sz w:val="12"/>
          <w:szCs w:val="12"/>
          <w:color w:val="auto"/>
        </w:rPr>
        <w:t>“Subsidiary” means, with respect to any Person, any corporation, association or business entity of which more than 50% of the total voting power of the equity interests entitled (without regard to the occurrence of any contingency) to vote in the election of directors, managers or trustees thereof or any partnership of which more than 50% of the partners’ equity interests (considering all partners’ equity interests as a single class) is, in each case, at the time owned or controlled, directly or indirectly, by such Person or one or more Subsidiaries of such Person or a combination thereof.</w:t>
      </w:r>
    </w:p>
    <w:p>
      <w:pPr>
        <w:spacing w:after="0" w:line="11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“Subsidiary Guarantor” means each Subsidiary of Energy Transfer that guarantees the notes pursuant to the terms of the indenture but only so long as such Subsidiary is a guarantor with respect to the notes on the terms provided for in the indenture.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39"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CERTAIN U.S. FEDERAL INCOME TAX CONSIDERATIONS</w:t>
      </w:r>
    </w:p>
    <w:p>
      <w:pPr>
        <w:spacing w:after="0" w:line="168" w:lineRule="exact"/>
        <w:rPr>
          <w:sz w:val="20"/>
          <w:szCs w:val="20"/>
          <w:color w:val="auto"/>
        </w:rPr>
      </w:pPr>
    </w:p>
    <w:p>
      <w:pPr>
        <w:ind w:left="340" w:right="559" w:firstLine="333"/>
        <w:spacing w:after="0" w:line="247" w:lineRule="auto"/>
        <w:rPr>
          <w:sz w:val="20"/>
          <w:szCs w:val="20"/>
          <w:color w:val="auto"/>
        </w:rPr>
      </w:pPr>
      <w:r>
        <w:rPr>
          <w:rFonts w:ascii="Times New Roman" w:cs="Times New Roman" w:eastAsia="Times New Roman" w:hAnsi="Times New Roman"/>
          <w:sz w:val="14"/>
          <w:szCs w:val="14"/>
          <w:i w:val="1"/>
          <w:iCs w:val="1"/>
          <w:color w:val="auto"/>
        </w:rPr>
        <w:t>The following discussion summarizes certain U.S. federal income tax considerations that may be relevant to the acquisition, ownership and disposition of the notes, but does not purport to be a complete analysis of all potential tax effects. This discussion is based upon the provisions of the Internal Revenue Code of 1986, as amended (the “Code”), applicable Treasury Regulations promulgated and proposed thereunder, Internal Revenue Service (“IRS”) rulings and pronouncements, and judicial decisions, all as of the date hereof and all of which are subject to change at any time. Any such change may be applied retroactively in a manner that could adversely affect a holder of the notes. We cannot assure you that the IRS will not challenge one or more of the tax consequences described herein, and we have not obtained, nor do we intend to obtain, a ruling from the IRS with respect to the U.S. federal tax consequences of acquiring, holding or disposing of the notes.</w:t>
      </w:r>
    </w:p>
    <w:p>
      <w:pPr>
        <w:spacing w:after="0" w:line="149"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This discussion is limited to persons purchasing the notes in this offering for cash at their initial “issue price” within the meaning of Section 1273 of the Code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first price at which a substantial amount of the notes is sold to purchasers other than bond houses, brokers, or similar persons or organizations acting in the capacity of underwriters, placement agents, or wholesalers) and holding the notes as “capital assets” within the meaning of Section 1221 of the Code (generally, property held for investment). Moreover, the effects of other U.S. federal tax laws (such as estate and gift tax laws or the Medicare tax on investment income) and any applicable state, local or foreign tax laws are not discussed. In addition, this discussion does not address all of the U.S. federal income tax considerations that may be relevant to a particular holder in light of the holder’s particular circumstances or to holders subject to special rules, including, without limitation:</w:t>
      </w:r>
    </w:p>
    <w:p>
      <w:pPr>
        <w:spacing w:after="0" w:line="76" w:lineRule="exact"/>
        <w:rPr>
          <w:sz w:val="20"/>
          <w:szCs w:val="20"/>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currencies;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commodities or currencies;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herein) whose functional currency is not the U.S. dollar;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notes as part of a hedge, straddle, conversion or other risk reduction transaction;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certain former citizens or long-term residents of the United States;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and real estate investment trusts;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94" w:lineRule="exact"/>
        <w:rPr>
          <w:rFonts w:ascii="Times New Roman" w:cs="Times New Roman" w:eastAsia="Times New Roman" w:hAnsi="Times New Roman"/>
          <w:sz w:val="14"/>
          <w:szCs w:val="14"/>
          <w:color w:val="auto"/>
        </w:rPr>
      </w:pPr>
    </w:p>
    <w:p>
      <w:pPr>
        <w:ind w:left="1080" w:right="759" w:hanging="334"/>
        <w:spacing w:after="0" w:line="264" w:lineRule="auto"/>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64"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the notes being taken into account in an applicable financial statement;</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S corporations or other pass-through entities;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the notes under the constructive sale provisions of the Code.</w:t>
      </w:r>
    </w:p>
    <w:p>
      <w:pPr>
        <w:spacing w:after="0" w:line="166"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If a partnership or other entity treated as a partnership for U.S. federal income tax purposes holds the notes, the tax treatment of the partners in the partnership generally will depend on the status of the particular partner in question and the activities of the partnership. Such partners should consult their tax advisors as to the specific tax consequences to them of acquiring, holding and disposing of the notes.</w:t>
      </w:r>
    </w:p>
    <w:p>
      <w:pPr>
        <w:spacing w:after="0" w:line="138" w:lineRule="exact"/>
        <w:rPr>
          <w:sz w:val="20"/>
          <w:szCs w:val="20"/>
          <w:color w:val="auto"/>
        </w:rPr>
      </w:pPr>
    </w:p>
    <w:p>
      <w:pPr>
        <w:jc w:val="both"/>
        <w:ind w:left="340" w:right="379" w:firstLine="333"/>
        <w:spacing w:after="0" w:line="257" w:lineRule="auto"/>
        <w:rPr>
          <w:sz w:val="20"/>
          <w:szCs w:val="20"/>
          <w:color w:val="auto"/>
        </w:rPr>
      </w:pPr>
      <w:r>
        <w:rPr>
          <w:rFonts w:ascii="Times New Roman" w:cs="Times New Roman" w:eastAsia="Times New Roman" w:hAnsi="Times New Roman"/>
          <w:sz w:val="14"/>
          <w:szCs w:val="14"/>
          <w:b w:val="1"/>
          <w:bCs w:val="1"/>
          <w:color w:val="auto"/>
        </w:rPr>
        <w:t>Investors considering the purchase of notes should consult their tax advisors regarding the application of the U.S. federal income tax laws to their particular situations, as well as any tax consequences of the purchase, ownership or disposition of the notes under U.S. federal estate or gift tax laws, and the applicability and effect of state, local or foreign tax laws and tax treaties.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5" w:right="1440"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Consequences to U.S. Holders</w:t>
      </w:r>
    </w:p>
    <w:p>
      <w:pPr>
        <w:spacing w:after="0" w:line="88"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The following is a summary of certain U.S. federal income tax considerations that will apply to you if you are a “U.S. holder” of the notes. The term “U.S. holder” means a beneficial owner of a note who or which is for U.S. federal income tax purposes:</w:t>
      </w:r>
    </w:p>
    <w:p>
      <w:pPr>
        <w:spacing w:after="0" w:line="65" w:lineRule="exact"/>
        <w:rPr>
          <w:sz w:val="20"/>
          <w:szCs w:val="20"/>
          <w:color w:val="auto"/>
        </w:rPr>
      </w:pPr>
    </w:p>
    <w:p>
      <w:pPr>
        <w:ind w:left="1080" w:hanging="334"/>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4" w:lineRule="exact"/>
        <w:rPr>
          <w:rFonts w:ascii="Times New Roman" w:cs="Times New Roman" w:eastAsia="Times New Roman" w:hAnsi="Times New Roman"/>
          <w:sz w:val="14"/>
          <w:szCs w:val="14"/>
          <w:color w:val="auto"/>
        </w:rPr>
      </w:pPr>
    </w:p>
    <w:p>
      <w:pPr>
        <w:ind w:left="1080" w:right="619" w:hanging="334"/>
        <w:spacing w:after="0" w:line="264" w:lineRule="auto"/>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that is taxable as a corporation for U.S. federal income tax purposes) created or organized in or under the laws of the United States, any state thereof, or the District of Columbia;</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4" w:lineRule="exact"/>
        <w:rPr>
          <w:rFonts w:ascii="Times New Roman" w:cs="Times New Roman" w:eastAsia="Times New Roman" w:hAnsi="Times New Roman"/>
          <w:sz w:val="14"/>
          <w:szCs w:val="14"/>
          <w:color w:val="auto"/>
        </w:rPr>
      </w:pPr>
    </w:p>
    <w:p>
      <w:pPr>
        <w:ind w:left="1080" w:right="479" w:hanging="334"/>
        <w:spacing w:after="0" w:line="254" w:lineRule="auto"/>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Payments of Interest</w:t>
      </w:r>
    </w:p>
    <w:p>
      <w:pPr>
        <w:spacing w:after="0" w:line="88"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Stated interest paid or accrued on the notes generally will be taxable to you as ordinary income at the time such interest is received or accrued, in accordance with your regular method of accounting for U.S. federal income tax purposes. It is anticipated, and the following discussion assumes, that the notes will not be treated as issued with more than a de minimis amount of original issue discount.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Sale, Exchange or Disposition of Notes</w:t>
      </w:r>
    </w:p>
    <w:p>
      <w:pPr>
        <w:spacing w:after="0" w:line="88"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You will recognize taxable gain or loss on the sale, exchange, redemption, retirement or other taxable disposition of a note equal to the difference, if any, between:</w:t>
      </w:r>
    </w:p>
    <w:p>
      <w:pPr>
        <w:spacing w:after="0" w:line="65" w:lineRule="exact"/>
        <w:rPr>
          <w:sz w:val="20"/>
          <w:szCs w:val="20"/>
          <w:color w:val="auto"/>
        </w:rPr>
      </w:pPr>
    </w:p>
    <w:p>
      <w:pPr>
        <w:ind w:left="1080" w:right="479" w:hanging="334"/>
        <w:spacing w:after="0" w:line="264" w:lineRule="auto"/>
        <w:tabs>
          <w:tab w:leader="none" w:pos="10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realized upon the disposition of the note (less any amount attributable to accrued but unpaid interest, which will be taxable as interest to the extent not already included in income);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adjusted tax basis in the notes.</w:t>
      </w:r>
    </w:p>
    <w:p>
      <w:pPr>
        <w:spacing w:after="0" w:line="166"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Your adjusted tax basis in a note generally will equal the amount you paid for the note. Any gain or loss will be capital gain or loss and will be long-term capital gain or loss if at the time of the sale or other taxable disposition you have held the note for more than one year. Otherwise, such gain or loss will be short-term capital gain or loss. Long-term capital gains recognized by certain non-corporate U.S. holders, including individuals, generally will be subject to a reduced rate of tax. The deductibility of capital losses is subject to limitations.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88"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You may be subject to information reporting on payments of interest and principal on the notes and on the proceeds received upon the sale or other disposition (including a retirement or redemption) of the notes, and backup withholding also may apply to payments of such amounts. Certain U.S. holders are generally not subject to information reporting or backup withholding. You will be subject to backup withholding if you are not otherwise exempt and:</w:t>
      </w:r>
    </w:p>
    <w:p>
      <w:pPr>
        <w:spacing w:after="0" w:line="75" w:lineRule="exact"/>
        <w:rPr>
          <w:sz w:val="20"/>
          <w:szCs w:val="20"/>
          <w:color w:val="auto"/>
        </w:rPr>
      </w:pPr>
    </w:p>
    <w:p>
      <w:pPr>
        <w:ind w:left="1080" w:hanging="334"/>
        <w:spacing w:after="0"/>
        <w:tabs>
          <w:tab w:leader="none" w:pos="1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fail to furnish a taxpayer identification number (“TIN”), which, for an individual, is ordinarily his or her social security number;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furnish an incorrect TIN;</w:t>
      </w:r>
    </w:p>
    <w:p>
      <w:pPr>
        <w:spacing w:after="0" w:line="94" w:lineRule="exact"/>
        <w:rPr>
          <w:rFonts w:ascii="Times New Roman" w:cs="Times New Roman" w:eastAsia="Times New Roman" w:hAnsi="Times New Roman"/>
          <w:sz w:val="14"/>
          <w:szCs w:val="14"/>
          <w:color w:val="auto"/>
        </w:rPr>
      </w:pPr>
    </w:p>
    <w:p>
      <w:pPr>
        <w:jc w:val="center"/>
        <w:ind w:left="4380" w:right="819" w:hanging="3634"/>
        <w:spacing w:after="0" w:line="432" w:lineRule="auto"/>
        <w:tabs>
          <w:tab w:leader="none" w:pos="107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withholding agent is notified by the IRS that you have failed to properly report payments of interest or dividends; or S-28</w:t>
      </w:r>
    </w:p>
    <w:p>
      <w:pPr>
        <w:sectPr>
          <w:pgSz w:w="11900" w:h="16838" w:orient="portrait"/>
          <w:cols w:equalWidth="0" w:num="1">
            <w:col w:w="9019"/>
          </w:cols>
          <w:pgMar w:left="1440" w:top="235" w:right="1440" w:bottom="1440" w:gutter="0" w:footer="0" w:header="0"/>
        </w:sectPr>
      </w:pPr>
    </w:p>
    <w:bookmarkStart w:id="32" w:name="page33"/>
    <w:bookmarkEnd w:id="32"/>
    <w:p>
      <w:pPr>
        <w:ind w:left="1080" w:right="359" w:hanging="334"/>
        <w:spacing w:after="0" w:line="264" w:lineRule="auto"/>
        <w:tabs>
          <w:tab w:leader="none" w:pos="1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you fail to certify under penalties of perjury that you have furnished a correct TIN and that the IRS has not notified you that you are subject to backup withholding.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 holders should consult their tax advisors regarding their qualification for an exemption from backup withholding and the procedures for</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obtaining such an exemption, if applicable. Backup withholding is not an additional tax, and you may use amounts withheld as a credit against your U.S.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federal income tax liability, if any, or you may claim a refund if you timely provide certain information to the IRS.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Consequences to Non-U.S. Holders</w:t>
      </w:r>
    </w:p>
    <w:p>
      <w:pPr>
        <w:spacing w:after="0" w:line="88"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The following is a summary of certain U.S. federal income tax considerations that will apply to you if you are a “non-U.S. holder” of the notes. A “non-U.S. holder” is a beneficial owner of a note that is an individual, corporation, estate or trust that is not a U.S. holder.</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Payments of Interest</w:t>
      </w:r>
    </w:p>
    <w:p>
      <w:pPr>
        <w:spacing w:after="0" w:line="88"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Subject to the discussion of backup withholding and FATCA withholding below, interest paid on a note to you that is not effectively connected with your conduct of a U.S. trade or business generally will not be subject to U.S. federal withholding tax of 30% (or a lower rate if so specified by an applicable income tax treaty) provided that:</w:t>
      </w:r>
    </w:p>
    <w:p>
      <w:pPr>
        <w:spacing w:after="0" w:line="71" w:lineRule="exact"/>
        <w:rPr>
          <w:sz w:val="20"/>
          <w:szCs w:val="20"/>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directly, indirectly or constructively, own 10% or more of our capital or profits interests;</w:t>
      </w:r>
    </w:p>
    <w:p>
      <w:pPr>
        <w:spacing w:after="0" w:line="94" w:lineRule="exact"/>
        <w:rPr>
          <w:rFonts w:ascii="Times New Roman" w:cs="Times New Roman" w:eastAsia="Times New Roman" w:hAnsi="Times New Roman"/>
          <w:sz w:val="14"/>
          <w:szCs w:val="14"/>
          <w:color w:val="auto"/>
        </w:rPr>
      </w:pPr>
    </w:p>
    <w:p>
      <w:pPr>
        <w:ind w:left="1080" w:right="439" w:hanging="334"/>
        <w:spacing w:after="0" w:line="254" w:lineRule="auto"/>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that is related to us through actual or constructive capital or profits interest ownership and you are not a bank that received such note on an extension of credit made pursuant to a loan agreement entered into in the ordinary course of your trade or business; and</w:t>
      </w:r>
    </w:p>
    <w:p>
      <w:pPr>
        <w:spacing w:after="0" w:line="70" w:lineRule="exact"/>
        <w:rPr>
          <w:rFonts w:ascii="Times New Roman" w:cs="Times New Roman" w:eastAsia="Times New Roman" w:hAnsi="Times New Roman"/>
          <w:sz w:val="14"/>
          <w:szCs w:val="14"/>
          <w:color w:val="auto"/>
        </w:rPr>
      </w:pPr>
    </w:p>
    <w:p>
      <w:pPr>
        <w:ind w:left="1080" w:right="419" w:hanging="334"/>
        <w:spacing w:after="0" w:line="297" w:lineRule="auto"/>
        <w:tabs>
          <w:tab w:leader="none" w:pos="1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(1) you certify in a statement provided to the applicable withholding agent, under penalties of perjury, that you are not a “United States person” within the meaning of the Code and provide your name and address, (2) a securities clearing organization, bank or other financial institution that holds customers’ securities in the ordinary course of its trade or business and holds the note on your behalf certifies to the applicable withholding agent under penalties of perjury that it, or the financial institution between it and you, has received from you a statement, under penalties of perjury, that you are not a United States person and you provide the applicable withholding agent with a copy of such statement, or (3) you hold your note directly through a “qualified intermediary” and certain conditions are satisfied.</w:t>
      </w:r>
    </w:p>
    <w:p>
      <w:pPr>
        <w:spacing w:after="0" w:line="119"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Even if the above conditions are not met, you may be entitled to a reduction in or an exemption from withholding tax on interest if you provide the applicable withholding agent with a properly executed (1) IRS Form W-8BEN or W-8BEN-E (or other applicable documentation) claiming an exemption from or reduction of the withholding tax under the benefit of a tax treaty between the United States and your country of residence, or (2) IRS Form W- 8ECI stating that interest paid on a note is not subject to withholding tax because it is effectively connected with your conduct of a trade or business in the United States.</w:t>
      </w:r>
    </w:p>
    <w:p>
      <w:pPr>
        <w:spacing w:after="0" w:line="149" w:lineRule="exact"/>
        <w:rPr>
          <w:sz w:val="20"/>
          <w:szCs w:val="20"/>
          <w:color w:val="auto"/>
        </w:rPr>
      </w:pPr>
    </w:p>
    <w:p>
      <w:pPr>
        <w:ind w:left="340" w:right="519" w:firstLine="333"/>
        <w:spacing w:after="0" w:line="248" w:lineRule="auto"/>
        <w:rPr>
          <w:sz w:val="20"/>
          <w:szCs w:val="20"/>
          <w:color w:val="auto"/>
        </w:rPr>
      </w:pPr>
      <w:r>
        <w:rPr>
          <w:rFonts w:ascii="Times New Roman" w:cs="Times New Roman" w:eastAsia="Times New Roman" w:hAnsi="Times New Roman"/>
          <w:sz w:val="14"/>
          <w:szCs w:val="14"/>
          <w:color w:val="auto"/>
        </w:rPr>
        <w:t>If interest paid to you is effectively connected with your conduct of a U.S. trade or business (and, if required by an applicable income tax treaty, you also maintain a U.S. permanent establishment to which such interest is attributable), then, although exempt from U.S. federal withholding tax (provided you provide the appropriate certification), you generally will be subject to U.S. federal income tax on such interest in the same manner as if you were a U.S. holder. In addition, if you are a foreign corporation, such interest may be subject to a branch profits tax at a rate of 30% or lower applicable treaty rate.</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Sale, Exchange, or Disposition of the Notes</w:t>
      </w:r>
    </w:p>
    <w:p>
      <w:pPr>
        <w:spacing w:after="0" w:line="88"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by you on the sale, exchange, retirement, redemption or other disposition of a note generally will not be subject to U.S. federal income tax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9" w:right="1440" w:bottom="1440" w:gutter="0" w:footer="0" w:header="0"/>
        </w:sectPr>
      </w:pPr>
    </w:p>
    <w:bookmarkStart w:id="33" w:name="page34"/>
    <w:bookmarkEnd w:id="33"/>
    <w:p>
      <w:pPr>
        <w:ind w:left="340" w:right="5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(other than any amount allocable to accrued and unpaid interest, which generally will be taxable as interest and may be subject to the rules discussed above in “</w:t>
      </w:r>
      <w:r>
        <w:rPr>
          <w:rFonts w:ascii="Times New Roman" w:cs="Times New Roman" w:eastAsia="Times New Roman" w:hAnsi="Times New Roman"/>
          <w:sz w:val="14"/>
          <w:szCs w:val="14"/>
          <w:i w:val="1"/>
          <w:iCs w:val="1"/>
          <w:color w:val="auto"/>
        </w:rPr>
        <w:t>Consequences to Non-U.S. Holders—Payments of Interest</w:t>
      </w:r>
      <w:r>
        <w:rPr>
          <w:rFonts w:ascii="Times New Roman" w:cs="Times New Roman" w:eastAsia="Times New Roman" w:hAnsi="Times New Roman"/>
          <w:sz w:val="14"/>
          <w:szCs w:val="14"/>
          <w:color w:val="auto"/>
        </w:rPr>
        <w:t>”) unless:</w:t>
      </w:r>
    </w:p>
    <w:p>
      <w:pPr>
        <w:spacing w:after="0" w:line="65" w:lineRule="exact"/>
        <w:rPr>
          <w:sz w:val="20"/>
          <w:szCs w:val="20"/>
          <w:color w:val="auto"/>
        </w:rPr>
      </w:pPr>
    </w:p>
    <w:p>
      <w:pPr>
        <w:ind w:left="1080" w:right="399" w:hanging="334"/>
        <w:spacing w:after="0" w:line="26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your conduct of a trade or business in the United States (and, if required by an applicable income tax treaty, is also attributable to your permanent establishment in the United States); or</w:t>
      </w:r>
    </w:p>
    <w:p>
      <w:pPr>
        <w:spacing w:after="0" w:line="64" w:lineRule="exact"/>
        <w:rPr>
          <w:rFonts w:ascii="Times New Roman" w:cs="Times New Roman" w:eastAsia="Times New Roman" w:hAnsi="Times New Roman"/>
          <w:sz w:val="14"/>
          <w:szCs w:val="14"/>
          <w:color w:val="auto"/>
        </w:rPr>
      </w:pPr>
    </w:p>
    <w:p>
      <w:pPr>
        <w:ind w:left="1080" w:right="939" w:hanging="334"/>
        <w:spacing w:after="0" w:line="26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who is present in the United States for 183 days or more in the taxable year of disposition and certain other requirements are met.</w:t>
      </w:r>
    </w:p>
    <w:p>
      <w:pPr>
        <w:spacing w:after="0" w:line="136"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If you recognize gain described in the first bullet point above, you will be required to pay U.S. federal income tax on the net gain derived from the sale generally in the same manner as if you were a U.S. holder, and if you are a foreign corporation, you may also be required to pay an additional branch profits tax at a 30% rate (or a lower rate if so specified by an applicable income tax treaty). If you are a non-U.S. holder described in the second bullet point above, you will be subject to U.S. federal income tax at a rate of 30% (or a lower rate if so specified by an applicable income tax treaty) on the gain derived from the sale or other disposition of the note, which may be offset by certain U.S. source capital losses, even though you are not considered a resident of the United States.</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You should consult your tax advisor regarding potentially applicable income tax treaties that may provide for different rules.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88"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You generally will not be subject to backup withholding with respect to payments of interest on the notes if you have provided the statement described above under “</w:t>
      </w:r>
      <w:r>
        <w:rPr>
          <w:rFonts w:ascii="Times New Roman" w:cs="Times New Roman" w:eastAsia="Times New Roman" w:hAnsi="Times New Roman"/>
          <w:sz w:val="14"/>
          <w:szCs w:val="14"/>
          <w:i w:val="1"/>
          <w:iCs w:val="1"/>
          <w:color w:val="auto"/>
        </w:rPr>
        <w:t>Consequences to Non-U.S. Holders—Payments of Interest</w:t>
      </w:r>
      <w:r>
        <w:rPr>
          <w:rFonts w:ascii="Times New Roman" w:cs="Times New Roman" w:eastAsia="Times New Roman" w:hAnsi="Times New Roman"/>
          <w:sz w:val="14"/>
          <w:szCs w:val="14"/>
          <w:color w:val="auto"/>
        </w:rPr>
        <w:t>” and the applicable withholding agent does not have actual knowledge or reason to know that you are a “United States person,” within the meaning of the Code. However, information returns are required to be filed with the IRS in connection with any interest paid to you, regardless of whether any tax was actually withheld. In addition, you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you are a United States person or you otherwise establish an exemption. Copies of these information returns that are filed with the IRS may also be made available under the provisions of a specific treaty or agreement to the tax authorities of the country in which you reside. Proceeds of a disposition of a note paid outside the United States and conducted through a non-U.S. office of a non-U.S. broker generally will not be subject to backup withholding or information reporting.</w:t>
      </w:r>
    </w:p>
    <w:p>
      <w:pPr>
        <w:spacing w:after="0" w:line="154"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Backup withholding is not an additional tax. You generally will be entitled to credit any amounts withheld under the backup withholding rules against your U.S. federal income tax liability, if any, or you may claim a refund provided that the required information is furnished to the IRS in a timely manner.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88" w:lineRule="exact"/>
        <w:rPr>
          <w:sz w:val="20"/>
          <w:szCs w:val="20"/>
          <w:color w:val="auto"/>
        </w:rPr>
      </w:pPr>
    </w:p>
    <w:p>
      <w:pPr>
        <w:ind w:left="340" w:right="399" w:firstLine="333"/>
        <w:spacing w:after="0" w:line="297" w:lineRule="auto"/>
        <w:rPr>
          <w:sz w:val="20"/>
          <w:szCs w:val="20"/>
          <w:color w:val="auto"/>
        </w:rPr>
      </w:pPr>
      <w:r>
        <w:rPr>
          <w:rFonts w:ascii="Times New Roman" w:cs="Times New Roman" w:eastAsia="Times New Roman" w:hAnsi="Times New Roman"/>
          <w:sz w:val="12"/>
          <w:szCs w:val="12"/>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payments of interest on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39" w:right="1440" w:bottom="1440" w:gutter="0" w:footer="0" w:header="0"/>
        </w:sectPr>
      </w:pPr>
    </w:p>
    <w:bookmarkStart w:id="34" w:name="page35"/>
    <w:bookmarkEnd w:id="34"/>
    <w:p>
      <w:pPr>
        <w:ind w:left="340" w:right="4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0"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applies currently to payments of interest on a note. While withholding under FATCA would have applied also to payments of gross proceeds from the sale or other disposition of a note, proposed Treasury Regulations would eliminate FATCA withholding on payments of gross proceeds entirely. Taxpayers generally may rely on these proposed Treasury Regulations until final Treasury Regulations are issued.</w:t>
      </w:r>
    </w:p>
    <w:p>
      <w:pPr>
        <w:spacing w:after="0" w:line="146"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payments of interest on the notes.</w:t>
      </w:r>
    </w:p>
    <w:p>
      <w:pPr>
        <w:spacing w:after="0" w:line="132" w:lineRule="exact"/>
        <w:rPr>
          <w:sz w:val="20"/>
          <w:szCs w:val="20"/>
          <w:color w:val="auto"/>
        </w:rPr>
      </w:pPr>
    </w:p>
    <w:p>
      <w:pPr>
        <w:ind w:left="340" w:right="659" w:firstLine="333"/>
        <w:spacing w:after="0" w:line="320" w:lineRule="auto"/>
        <w:rPr>
          <w:sz w:val="20"/>
          <w:szCs w:val="20"/>
          <w:color w:val="auto"/>
        </w:rPr>
      </w:pPr>
      <w:r>
        <w:rPr>
          <w:rFonts w:ascii="Times New Roman" w:cs="Times New Roman" w:eastAsia="Times New Roman" w:hAnsi="Times New Roman"/>
          <w:sz w:val="12"/>
          <w:szCs w:val="12"/>
          <w:b w:val="1"/>
          <w:bCs w:val="1"/>
          <w:color w:val="auto"/>
        </w:rPr>
        <w:t>The preceding discussion of certain U.S. federal income tax considerations is for general information only and is not tax advice. Each prospective investor should consult their tax advisor regarding the particular U.S. federal, state, local and foreign tax consequences of purchasing, holding, and disposing of the notes, including the consequences of any proposed change in applicable laws</w:t>
      </w:r>
      <w:r>
        <w:rPr>
          <w:rFonts w:ascii="Times New Roman" w:cs="Times New Roman" w:eastAsia="Times New Roman" w:hAnsi="Times New Roman"/>
          <w:sz w:val="12"/>
          <w:szCs w:val="12"/>
          <w:color w:val="auto"/>
        </w:rPr>
        <w: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39"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UNDERWRITING</w:t>
      </w:r>
    </w:p>
    <w:p>
      <w:pPr>
        <w:spacing w:after="0" w:line="170" w:lineRule="exact"/>
        <w:rPr>
          <w:sz w:val="20"/>
          <w:szCs w:val="20"/>
          <w:color w:val="auto"/>
        </w:rPr>
      </w:pPr>
    </w:p>
    <w:p>
      <w:pPr>
        <w:ind w:left="340" w:right="499" w:firstLine="333"/>
        <w:spacing w:after="0" w:line="305" w:lineRule="auto"/>
        <w:rPr>
          <w:sz w:val="20"/>
          <w:szCs w:val="20"/>
          <w:color w:val="auto"/>
        </w:rPr>
      </w:pPr>
      <w:r>
        <w:rPr>
          <w:rFonts w:ascii="Times New Roman" w:cs="Times New Roman" w:eastAsia="Times New Roman" w:hAnsi="Times New Roman"/>
          <w:sz w:val="12"/>
          <w:szCs w:val="12"/>
          <w:color w:val="auto"/>
        </w:rPr>
        <w:t>Subject to the terms and conditions stated in the underwriting agreement dated the date of this prospectus supplement by and among us and the underwriters named below, for whom BofA Securities, Inc., Deutsche Bank Securities Inc., Mizuho Securities USA LLC, MUFG Securities Americas Inc. and SMBC Nikko Securities America, Inc. are acting as representatives, we have agreed to sell to each of the underwriters, and each of the underwriters has agreed, severally and not jointly, to purchase from us, the principal amount of the notes indicated in the following table:</w:t>
      </w:r>
    </w:p>
    <w:p>
      <w:pPr>
        <w:spacing w:after="0" w:line="115"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Underwriters</w:t>
            </w:r>
          </w:p>
        </w:tc>
        <w:tc>
          <w:tcPr>
            <w:tcW w:w="29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0" w:type="dxa"/>
            <w:vAlign w:val="bottom"/>
          </w:tcPr>
          <w:p>
            <w:pPr>
              <w:spacing w:after="0"/>
              <w:rPr>
                <w:sz w:val="1"/>
                <w:szCs w:val="1"/>
                <w:color w:val="auto"/>
              </w:rPr>
            </w:pPr>
          </w:p>
        </w:tc>
      </w:tr>
      <w:tr>
        <w:trPr>
          <w:trHeight w:val="141"/>
        </w:trPr>
        <w:tc>
          <w:tcPr>
            <w:tcW w:w="6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of the 2031 notes</w:t>
            </w: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of the 2036 notes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 the 2056 notes</w:t>
            </w: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BofA Securities, Inc.</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100,000,000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100,000,000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100,000,000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100,000,000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BBVA Securities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CIBC World Markets Corp.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Agricole Securities (USA)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Third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27,777,000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27,777,000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27,777,000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27,777,000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27,777,000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27,777,000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27,777,000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Regions Securities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27,777,000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27,777,000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27,777,000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SG Americas Securities,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27,778,000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27,778,000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27,778,000</w:t>
            </w:r>
          </w:p>
        </w:tc>
        <w:tc>
          <w:tcPr>
            <w:tcW w:w="0" w:type="dxa"/>
            <w:vAlign w:val="bottom"/>
          </w:tcPr>
          <w:p>
            <w:pPr>
              <w:spacing w:after="0"/>
              <w:rPr>
                <w:sz w:val="1"/>
                <w:szCs w:val="1"/>
                <w:color w:val="auto"/>
              </w:rPr>
            </w:pPr>
          </w:p>
        </w:tc>
      </w:tr>
      <w:tr>
        <w:trPr>
          <w:trHeight w:val="164"/>
        </w:trPr>
        <w:tc>
          <w:tcPr>
            <w:tcW w:w="3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Under the terms and conditions of the underwriting agreement, if the underwriters take any of the notes, then they are obligated to take and pay for all the notes. The underwriting agreement also provides that if an underwriter defaults, the purchase commitments of non-defaulting underwriters may also be increased or the underwriting agreement may be terminated.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50"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Each series of notes is a new issue of securities with no established trading market and will not be listed on any national securities exchange. The underwriters have advised us that they intend to make a market for each series of notes, but they have no obligation to do so and may discontinue market-making at any time without providing any notice. No assurance can be given as to the liquidity of any trading market for the notes. Notes of each series sold by the underwriters to the public will initially be offered at the public offering prices set forth on the cover page of this prospectus supplement.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5" w:right="1440" w:bottom="1440" w:gutter="0" w:footer="0" w:header="0"/>
        </w:sectPr>
      </w:pPr>
    </w:p>
    <w:bookmarkStart w:id="36" w:name="page37"/>
    <w:bookmarkEnd w:id="36"/>
    <w:p>
      <w:pPr>
        <w:ind w:left="340" w:right="359" w:firstLine="333"/>
        <w:spacing w:after="0" w:line="30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notes sold by the underwriters to securities dealers may be sold at a discount from the public offering price of up to 0.350% of the principal amount in the case of the 2031 notes, up to 0.400% of the principal amount in the case of the 2036 notes or up to 0.500% of the principal amount in the case of the 2056 notes. The underwriters may allow, and any such dealer may reallow, a concession not in excess of 0.250% of the principal amount in the case of the 2031 notes, 0.250% of the principal amount in the case of the 2036 notes or 0.350% of the principal amount in the case of the 2056 notes. After the initial offering of the notes to the public, the underwriters may change the offering price and other selling terms.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following table summarizes the compensation to be paid by us to the underwriters: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640" w:type="dxa"/>
            <w:vAlign w:val="bottom"/>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Per 2031</w:t>
            </w:r>
          </w:p>
        </w:tc>
        <w:tc>
          <w:tcPr>
            <w:tcW w:w="1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Total 2031</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Per 2036</w:t>
            </w:r>
          </w:p>
        </w:tc>
        <w:tc>
          <w:tcPr>
            <w:tcW w:w="1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Total 2036</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Per 2056</w:t>
            </w:r>
          </w:p>
        </w:tc>
        <w:tc>
          <w:tcPr>
            <w:tcW w:w="10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Total 2056</w:t>
            </w:r>
          </w:p>
        </w:tc>
      </w:tr>
      <w:tr>
        <w:trPr>
          <w:trHeight w:val="131"/>
        </w:trPr>
        <w:tc>
          <w:tcPr>
            <w:tcW w:w="284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notes</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notes</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notes</w:t>
            </w:r>
          </w:p>
        </w:tc>
        <w:tc>
          <w:tcPr>
            <w:tcW w:w="40" w:type="dxa"/>
            <w:vAlign w:val="bottom"/>
            <w:tcBorders>
              <w:bottom w:val="single" w:sz="8" w:color="CCEEFF"/>
            </w:tcBorders>
          </w:tcPr>
          <w:p>
            <w:pPr>
              <w:spacing w:after="0"/>
              <w:rPr>
                <w:sz w:val="11"/>
                <w:szCs w:val="11"/>
                <w:color w:val="auto"/>
              </w:rPr>
            </w:pPr>
          </w:p>
        </w:tc>
      </w:tr>
      <w:tr>
        <w:trPr>
          <w:trHeight w:val="154"/>
        </w:trPr>
        <w:tc>
          <w:tcPr>
            <w:tcW w:w="28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Underwriting discount paid by us</w:t>
            </w:r>
          </w:p>
        </w:tc>
        <w:tc>
          <w:tcPr>
            <w:tcW w:w="10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00"/>
              <w:spacing w:after="0" w:line="154" w:lineRule="exact"/>
              <w:rPr>
                <w:sz w:val="20"/>
                <w:szCs w:val="20"/>
                <w:color w:val="auto"/>
              </w:rPr>
            </w:pPr>
            <w:r>
              <w:rPr>
                <w:rFonts w:ascii="Times New Roman" w:cs="Times New Roman" w:eastAsia="Times New Roman" w:hAnsi="Times New Roman"/>
                <w:sz w:val="14"/>
                <w:szCs w:val="14"/>
                <w:color w:val="auto"/>
              </w:rPr>
              <w:t>0.600%</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8"/>
              </w:rPr>
              <w:t>$6,000,000</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00"/>
              <w:spacing w:after="0" w:line="154" w:lineRule="exact"/>
              <w:rPr>
                <w:sz w:val="20"/>
                <w:szCs w:val="20"/>
                <w:color w:val="auto"/>
              </w:rPr>
            </w:pPr>
            <w:r>
              <w:rPr>
                <w:rFonts w:ascii="Times New Roman" w:cs="Times New Roman" w:eastAsia="Times New Roman" w:hAnsi="Times New Roman"/>
                <w:sz w:val="14"/>
                <w:szCs w:val="14"/>
                <w:color w:val="auto"/>
              </w:rPr>
              <w:t>0.650%</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8"/>
              </w:rPr>
              <w:t>$6,500,000</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00"/>
              <w:spacing w:after="0" w:line="154" w:lineRule="exact"/>
              <w:rPr>
                <w:sz w:val="20"/>
                <w:szCs w:val="20"/>
                <w:color w:val="auto"/>
              </w:rPr>
            </w:pPr>
            <w:r>
              <w:rPr>
                <w:rFonts w:ascii="Times New Roman" w:cs="Times New Roman" w:eastAsia="Times New Roman" w:hAnsi="Times New Roman"/>
                <w:sz w:val="14"/>
                <w:szCs w:val="14"/>
                <w:color w:val="auto"/>
              </w:rPr>
              <w:t>0.875%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5"/>
              </w:rPr>
              <w:t>$8,750,000</w:t>
            </w:r>
          </w:p>
        </w:tc>
        <w:tc>
          <w:tcPr>
            <w:tcW w:w="40" w:type="dxa"/>
            <w:vAlign w:val="bottom"/>
            <w:shd w:val="clear" w:color="auto" w:fill="CCEEFF"/>
          </w:tcPr>
          <w:p>
            <w:pPr>
              <w:spacing w:after="0"/>
              <w:rPr>
                <w:sz w:val="13"/>
                <w:szCs w:val="13"/>
                <w:color w:val="auto"/>
              </w:rPr>
            </w:pPr>
          </w:p>
        </w:tc>
      </w:tr>
    </w:tbl>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estimate that the total expenses of this offering to be paid by us, excluding underwriting discounts, will be approximately $7.6 million.</w:t>
      </w:r>
    </w:p>
    <w:p>
      <w:pPr>
        <w:spacing w:after="0" w:line="166" w:lineRule="exact"/>
        <w:rPr>
          <w:sz w:val="20"/>
          <w:szCs w:val="20"/>
          <w:color w:val="auto"/>
        </w:rPr>
      </w:pPr>
    </w:p>
    <w:p>
      <w:pPr>
        <w:jc w:val="both"/>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(the “Securities Act”), or to contribute to payments that the underwriters may be required to make in respect of any such liabilities.</w:t>
      </w:r>
    </w:p>
    <w:p>
      <w:pPr>
        <w:spacing w:after="0" w:line="136" w:lineRule="exact"/>
        <w:rPr>
          <w:sz w:val="20"/>
          <w:szCs w:val="20"/>
          <w:color w:val="auto"/>
        </w:rPr>
      </w:pPr>
    </w:p>
    <w:p>
      <w:pPr>
        <w:jc w:val="both"/>
        <w:ind w:left="340" w:right="939" w:firstLine="333"/>
        <w:spacing w:after="0" w:line="349" w:lineRule="auto"/>
        <w:rPr>
          <w:sz w:val="20"/>
          <w:szCs w:val="20"/>
          <w:color w:val="auto"/>
        </w:rPr>
      </w:pPr>
      <w:r>
        <w:rPr>
          <w:rFonts w:ascii="Times New Roman" w:cs="Times New Roman" w:eastAsia="Times New Roman" w:hAnsi="Times New Roman"/>
          <w:sz w:val="12"/>
          <w:szCs w:val="12"/>
          <w:color w:val="auto"/>
        </w:rPr>
        <w:t>In connection with the offering, the underwriters may engage in stabilizing transactions, over-allotment transactions, syndicate covering transactions and penalty bids in accordance with Regulation M under the Securities Exchange Act of 1934, as amended (the “Exchange Act”).</w:t>
      </w:r>
    </w:p>
    <w:p>
      <w:pPr>
        <w:spacing w:after="0" w:line="17" w:lineRule="exact"/>
        <w:rPr>
          <w:sz w:val="20"/>
          <w:szCs w:val="20"/>
          <w:color w:val="auto"/>
        </w:rPr>
      </w:pPr>
    </w:p>
    <w:p>
      <w:pPr>
        <w:ind w:left="1080" w:hanging="334"/>
        <w:spacing w:after="0"/>
        <w:tabs>
          <w:tab w:leader="none" w:pos="1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Stabilizing transactions permit bids to purchase the underlying security so long as the stabilizing bids do not exceed a specified maximum.</w:t>
      </w:r>
    </w:p>
    <w:p>
      <w:pPr>
        <w:spacing w:after="0" w:line="117" w:lineRule="exact"/>
        <w:rPr>
          <w:rFonts w:ascii="Times New Roman" w:cs="Times New Roman" w:eastAsia="Times New Roman" w:hAnsi="Times New Roman"/>
          <w:sz w:val="12"/>
          <w:szCs w:val="12"/>
          <w:color w:val="auto"/>
        </w:rPr>
      </w:pPr>
    </w:p>
    <w:p>
      <w:pPr>
        <w:ind w:left="1080" w:right="699" w:hanging="334"/>
        <w:spacing w:after="0" w:line="264" w:lineRule="auto"/>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Over-allotment transactions involve sales by the underwriters of notes in excess of the principal amount of notes the underwriters are obligated to purchase, which creates a syndicate short position.</w:t>
      </w:r>
    </w:p>
    <w:p>
      <w:pPr>
        <w:spacing w:after="0" w:line="64" w:lineRule="exact"/>
        <w:rPr>
          <w:rFonts w:ascii="Times New Roman" w:cs="Times New Roman" w:eastAsia="Times New Roman" w:hAnsi="Times New Roman"/>
          <w:sz w:val="14"/>
          <w:szCs w:val="14"/>
          <w:color w:val="auto"/>
        </w:rPr>
      </w:pPr>
    </w:p>
    <w:p>
      <w:pPr>
        <w:ind w:left="1080" w:right="619" w:hanging="334"/>
        <w:spacing w:after="0" w:line="264" w:lineRule="auto"/>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Syndicate covering transactions involve purchases of the notes in the open market after the distribution has been completed in order to cover syndicate short positions.</w:t>
      </w:r>
    </w:p>
    <w:p>
      <w:pPr>
        <w:spacing w:after="0" w:line="64" w:lineRule="exact"/>
        <w:rPr>
          <w:rFonts w:ascii="Times New Roman" w:cs="Times New Roman" w:eastAsia="Times New Roman" w:hAnsi="Times New Roman"/>
          <w:sz w:val="14"/>
          <w:szCs w:val="14"/>
          <w:color w:val="auto"/>
        </w:rPr>
      </w:pPr>
    </w:p>
    <w:p>
      <w:pPr>
        <w:ind w:left="1080" w:right="799" w:hanging="334"/>
        <w:spacing w:after="0" w:line="349" w:lineRule="auto"/>
        <w:tabs>
          <w:tab w:leader="none" w:pos="1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Penalty bids permit the underwriters to reclaim a selling concession from a syndicate member when the notes originally sold by the syndicate member are purchased in a stabilizing transaction or a syndicate covering transaction to cover syndicate short positions.</w:t>
      </w:r>
    </w:p>
    <w:p>
      <w:pPr>
        <w:spacing w:after="0" w:line="89" w:lineRule="exact"/>
        <w:rPr>
          <w:sz w:val="20"/>
          <w:szCs w:val="20"/>
          <w:color w:val="auto"/>
        </w:rPr>
      </w:pPr>
    </w:p>
    <w:p>
      <w:pPr>
        <w:ind w:left="340" w:right="459" w:firstLine="333"/>
        <w:spacing w:after="0" w:line="316" w:lineRule="auto"/>
        <w:rPr>
          <w:sz w:val="20"/>
          <w:szCs w:val="20"/>
          <w:color w:val="auto"/>
        </w:rPr>
      </w:pPr>
      <w:r>
        <w:rPr>
          <w:rFonts w:ascii="Times New Roman" w:cs="Times New Roman" w:eastAsia="Times New Roman" w:hAnsi="Times New Roman"/>
          <w:sz w:val="12"/>
          <w:szCs w:val="12"/>
          <w:color w:val="auto"/>
        </w:rPr>
        <w:t>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 without notice.</w:t>
      </w:r>
    </w:p>
    <w:p>
      <w:pPr>
        <w:spacing w:after="0" w:line="109"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w:t>
      </w:r>
    </w:p>
    <w:p>
      <w:pPr>
        <w:spacing w:after="0" w:line="147" w:lineRule="exact"/>
        <w:rPr>
          <w:sz w:val="20"/>
          <w:szCs w:val="20"/>
          <w:color w:val="auto"/>
        </w:rPr>
      </w:pPr>
    </w:p>
    <w:p>
      <w:pPr>
        <w:ind w:left="340" w:right="399" w:firstLine="333"/>
        <w:spacing w:after="0" w:line="316" w:lineRule="auto"/>
        <w:rPr>
          <w:sz w:val="20"/>
          <w:szCs w:val="20"/>
          <w:color w:val="auto"/>
        </w:rPr>
      </w:pPr>
      <w:r>
        <w:rPr>
          <w:rFonts w:ascii="Times New Roman" w:cs="Times New Roman" w:eastAsia="Times New Roman" w:hAnsi="Times New Roman"/>
          <w:sz w:val="12"/>
          <w:szCs w:val="12"/>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business, the underwriters and their respective affiliates have from time to time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39" w:right="1440" w:bottom="1440" w:gutter="0" w:footer="0" w:header="0"/>
        </w:sectPr>
      </w:pPr>
    </w:p>
    <w:bookmarkStart w:id="37" w:name="page38"/>
    <w:bookmarkEnd w:id="37"/>
    <w:p>
      <w:pPr>
        <w:ind w:left="340" w:right="3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performed and may in the future perform various financial advisory, commercial banking, investment banking, asset leasing and treasury services for us and our affiliates, for which they received, or will continue to receive, customary fees or compensation. In particular, affiliates of each of the underwriters participating in this offering are lenders under our revolving credit facility. Accordingly, each of the underwriters and their affiliates may receive a portion of the net proceeds of this offering through any repayment of borrowings under such revolving credit facility.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In addition, U.S. Bancorp Investments, Inc., one of the underwriters, is an affiliate of the trustee under the indenture governing the notes.</w:t>
      </w:r>
    </w:p>
    <w:p>
      <w:pPr>
        <w:spacing w:after="0" w:line="147"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respective subsidiaries. Certain of the underwriters or their affiliates that have a lending relationship with us routinely hedge, and certain other underwriters or their affiliates that have a lending relationship with us may hedge their credit exposure to us consistent with their customary risk management policies. Typically, these underwriters or their affiliates would hedge such exposure by entering into transactions which consist of either the purchase of credit default swaps or the creation of short positions in our and our parent’s securities, including potentially the notes offered hereby. Any such credit default swaps or short positions could adversely affect future trading prices of the notes.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Member States of the European Economic Area</w:t>
      </w:r>
    </w:p>
    <w:p>
      <w:pPr>
        <w:spacing w:after="0" w:line="86"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w:t>
      </w:r>
    </w:p>
    <w:p>
      <w:pPr>
        <w:spacing w:after="0" w:line="54" w:lineRule="exact"/>
        <w:rPr>
          <w:sz w:val="20"/>
          <w:szCs w:val="20"/>
          <w:color w:val="auto"/>
        </w:rPr>
      </w:pPr>
    </w:p>
    <w:p>
      <w:pPr>
        <w:ind w:left="1160" w:hanging="170"/>
        <w:spacing w:after="0"/>
        <w:tabs>
          <w:tab w:leader="none" w:pos="1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(11) of Article 4(1) of Directive 2014/65/EU (as amended, “MiFID II”);</w:t>
      </w:r>
    </w:p>
    <w:p>
      <w:pPr>
        <w:spacing w:after="0" w:line="84" w:lineRule="exact"/>
        <w:rPr>
          <w:rFonts w:ascii="Times New Roman" w:cs="Times New Roman" w:eastAsia="Times New Roman" w:hAnsi="Times New Roman"/>
          <w:sz w:val="14"/>
          <w:szCs w:val="14"/>
          <w:color w:val="auto"/>
        </w:rPr>
      </w:pPr>
    </w:p>
    <w:p>
      <w:pPr>
        <w:ind w:left="680" w:right="499" w:firstLine="310"/>
        <w:spacing w:after="0" w:line="264" w:lineRule="auto"/>
        <w:tabs>
          <w:tab w:leader="none" w:pos="1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where that customer would not qualify as a professional client as defined in point (10) of Article 4(1) of MiFID II; or</w:t>
      </w:r>
    </w:p>
    <w:p>
      <w:pPr>
        <w:spacing w:after="0" w:line="54" w:lineRule="exact"/>
        <w:rPr>
          <w:rFonts w:ascii="Times New Roman" w:cs="Times New Roman" w:eastAsia="Times New Roman" w:hAnsi="Times New Roman"/>
          <w:sz w:val="14"/>
          <w:szCs w:val="14"/>
          <w:color w:val="auto"/>
        </w:rPr>
      </w:pPr>
    </w:p>
    <w:p>
      <w:pPr>
        <w:ind w:left="1220" w:hanging="230"/>
        <w:spacing w:after="0"/>
        <w:tabs>
          <w:tab w:leader="none" w:pos="1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Regulation (EU) 2017/1129 (as amended or superseded, the “Prospectus Regulation”).</w:t>
      </w:r>
    </w:p>
    <w:p>
      <w:pPr>
        <w:spacing w:after="0" w:line="166" w:lineRule="exact"/>
        <w:rPr>
          <w:sz w:val="20"/>
          <w:szCs w:val="20"/>
          <w:color w:val="auto"/>
        </w:rPr>
      </w:pPr>
    </w:p>
    <w:p>
      <w:pPr>
        <w:ind w:left="340" w:right="519" w:firstLine="333"/>
        <w:spacing w:after="0" w:line="247" w:lineRule="auto"/>
        <w:rPr>
          <w:sz w:val="20"/>
          <w:szCs w:val="20"/>
          <w:color w:val="auto"/>
        </w:rPr>
      </w:pPr>
      <w:r>
        <w:rPr>
          <w:rFonts w:ascii="Times New Roman" w:cs="Times New Roman" w:eastAsia="Times New Roman" w:hAnsi="Times New Roman"/>
          <w:sz w:val="14"/>
          <w:szCs w:val="14"/>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base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base prospectus are not a prospectus for the purposes of the Prospectus Regulation.</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This EEA selling restriction is in addition to any other selling restrictions set out in this prospectus supplement.</w:t>
      </w:r>
    </w:p>
    <w:p>
      <w:pPr>
        <w:spacing w:after="0" w:line="1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9019"/>
          </w:cols>
          <w:pgMar w:left="1440" w:top="239" w:right="1440"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Notice to Prospective Investors in the United Kingdom</w:t>
      </w:r>
    </w:p>
    <w:p>
      <w:pPr>
        <w:spacing w:after="0" w:line="86"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(“UK”).</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For these purposes a retail investor means a person who is one (or more) of:</w:t>
      </w:r>
    </w:p>
    <w:p>
      <w:pPr>
        <w:spacing w:after="0" w:line="84" w:lineRule="exact"/>
        <w:rPr>
          <w:sz w:val="20"/>
          <w:szCs w:val="20"/>
          <w:color w:val="auto"/>
        </w:rPr>
      </w:pPr>
    </w:p>
    <w:p>
      <w:pPr>
        <w:ind w:left="680" w:right="399" w:firstLine="310"/>
        <w:spacing w:after="0" w:line="264" w:lineRule="auto"/>
        <w:tabs>
          <w:tab w:leader="none" w:pos="116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(8) of Article 2 of Regulation (EU) 2017/565 as it forms part of domestic law by virtue of the European Union (Withdrawal) Act 2018 (as amended “EUWA”);</w:t>
      </w:r>
    </w:p>
    <w:p>
      <w:pPr>
        <w:spacing w:after="0" w:line="54" w:lineRule="exact"/>
        <w:rPr>
          <w:rFonts w:ascii="Times New Roman" w:cs="Times New Roman" w:eastAsia="Times New Roman" w:hAnsi="Times New Roman"/>
          <w:sz w:val="14"/>
          <w:szCs w:val="14"/>
          <w:color w:val="auto"/>
        </w:rPr>
      </w:pPr>
    </w:p>
    <w:p>
      <w:pPr>
        <w:ind w:left="680" w:right="459" w:firstLine="310"/>
        <w:spacing w:after="0" w:line="316" w:lineRule="auto"/>
        <w:tabs>
          <w:tab w:leader="none" w:pos="12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w:t>
      </w:r>
    </w:p>
    <w:p>
      <w:pPr>
        <w:spacing w:after="0" w:line="26" w:lineRule="exact"/>
        <w:rPr>
          <w:rFonts w:ascii="Times New Roman" w:cs="Times New Roman" w:eastAsia="Times New Roman" w:hAnsi="Times New Roman"/>
          <w:sz w:val="12"/>
          <w:szCs w:val="12"/>
          <w:color w:val="auto"/>
        </w:rPr>
      </w:pPr>
    </w:p>
    <w:p>
      <w:pPr>
        <w:ind w:left="680" w:right="679" w:firstLine="310"/>
        <w:spacing w:after="0" w:line="264" w:lineRule="auto"/>
        <w:tabs>
          <w:tab w:leader="none" w:pos="123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Regulation (EU) 2017/1129 as it forms part of domestic law by virtue of the EUWA (the “UK Prospectus Regulation”).</w:t>
      </w:r>
    </w:p>
    <w:p>
      <w:pPr>
        <w:spacing w:after="0" w:line="136" w:lineRule="exact"/>
        <w:rPr>
          <w:sz w:val="20"/>
          <w:szCs w:val="20"/>
          <w:color w:val="auto"/>
        </w:rPr>
      </w:pPr>
    </w:p>
    <w:p>
      <w:pPr>
        <w:ind w:left="340" w:right="359" w:firstLine="333"/>
        <w:spacing w:after="0" w:line="297" w:lineRule="auto"/>
        <w:rPr>
          <w:sz w:val="20"/>
          <w:szCs w:val="20"/>
          <w:color w:val="auto"/>
        </w:rPr>
      </w:pPr>
      <w:r>
        <w:rPr>
          <w:rFonts w:ascii="Times New Roman" w:cs="Times New Roman" w:eastAsia="Times New Roman" w:hAnsi="Times New Roman"/>
          <w:sz w:val="12"/>
          <w:szCs w:val="12"/>
          <w:color w:val="auto"/>
        </w:rPr>
        <w:t>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base prospectus are not a prospectus for the purposes of the UK Prospectus Regulation or the FSMA.</w:t>
      </w:r>
    </w:p>
    <w:p>
      <w:pPr>
        <w:spacing w:after="0" w:line="119"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36"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Japan</w:t>
      </w:r>
    </w:p>
    <w:p>
      <w:pPr>
        <w:spacing w:after="0" w:line="86" w:lineRule="exact"/>
        <w:rPr>
          <w:sz w:val="20"/>
          <w:szCs w:val="20"/>
          <w:color w:val="auto"/>
        </w:rPr>
      </w:pPr>
    </w:p>
    <w:p>
      <w:pPr>
        <w:jc w:val="both"/>
        <w:ind w:left="340" w:right="479" w:firstLine="333"/>
        <w:spacing w:after="0" w:line="289" w:lineRule="auto"/>
        <w:rPr>
          <w:sz w:val="20"/>
          <w:szCs w:val="20"/>
          <w:color w:val="auto"/>
        </w:rPr>
      </w:pPr>
      <w:r>
        <w:rPr>
          <w:rFonts w:ascii="Times New Roman" w:cs="Times New Roman" w:eastAsia="Times New Roman" w:hAnsi="Times New Roman"/>
          <w:sz w:val="12"/>
          <w:szCs w:val="12"/>
          <w:color w:val="auto"/>
        </w:rPr>
        <w:t>The notes have not been and will not be registered under the Financial Instruments and Exchange Law of Japan (the “Financial Instruments and Exchange Law”). The notes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w:t>
      </w:r>
    </w:p>
    <w:p>
      <w:pPr>
        <w:spacing w:after="0" w:line="1" w:lineRule="exact"/>
        <w:rPr>
          <w:sz w:val="20"/>
          <w:szCs w:val="20"/>
          <w:color w:val="auto"/>
        </w:rPr>
      </w:pPr>
    </w:p>
    <w:p>
      <w:pPr>
        <w:ind w:left="340" w:right="519" w:hanging="3"/>
        <w:spacing w:after="0" w:line="247" w:lineRule="auto"/>
        <w:tabs>
          <w:tab w:leader="none" w:pos="50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exemption from the registration requirements of the Financial Instruments and Exchange Law and (ii) otherwise in compliance with any other applicable requirements of Japanese law.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9019"/>
          </w:cols>
          <w:pgMar w:left="1440" w:top="237" w:right="1440"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Notice to Prospective Investors in Singapore</w:t>
      </w:r>
    </w:p>
    <w:p>
      <w:pPr>
        <w:spacing w:after="0" w:line="86"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50"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Singapore Securities and Futures Act Product Classification—Solely for the purposes of the issuer’s obligations pursuant to Sections 309B(1)(a) and 309B(1)(c) of the SFA, the issuer has determined, and hereby 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Switzerland</w:t>
      </w:r>
    </w:p>
    <w:p>
      <w:pPr>
        <w:spacing w:after="0" w:line="8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Hong Kong</w:t>
      </w:r>
    </w:p>
    <w:p>
      <w:pPr>
        <w:spacing w:after="0" w:line="86" w:lineRule="exact"/>
        <w:rPr>
          <w:sz w:val="20"/>
          <w:szCs w:val="20"/>
          <w:color w:val="auto"/>
        </w:rPr>
      </w:pPr>
    </w:p>
    <w:p>
      <w:pPr>
        <w:ind w:left="340" w:right="359" w:firstLine="333"/>
        <w:spacing w:after="0" w:line="293" w:lineRule="auto"/>
        <w:rPr>
          <w:sz w:val="20"/>
          <w:szCs w:val="20"/>
          <w:color w:val="auto"/>
        </w:rPr>
      </w:pPr>
      <w:r>
        <w:rPr>
          <w:rFonts w:ascii="Times New Roman" w:cs="Times New Roman" w:eastAsia="Times New Roman" w:hAnsi="Times New Roman"/>
          <w:sz w:val="12"/>
          <w:szCs w:val="12"/>
          <w:color w:val="auto"/>
        </w:rPr>
        <w:t>The notes may not be offered or sold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Taiwan</w:t>
      </w:r>
    </w:p>
    <w:p>
      <w:pPr>
        <w:spacing w:after="0" w:line="86" w:lineRule="exact"/>
        <w:rPr>
          <w:sz w:val="20"/>
          <w:szCs w:val="20"/>
          <w:color w:val="auto"/>
        </w:rPr>
      </w:pPr>
    </w:p>
    <w:p>
      <w:pPr>
        <w:jc w:val="both"/>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9019"/>
          </w:cols>
          <w:pgMar w:left="1440" w:top="237" w:right="1440" w:bottom="1440" w:gutter="0" w:footer="0" w:header="0"/>
        </w:sectPr>
      </w:pPr>
    </w:p>
    <w:bookmarkStart w:id="40" w:name="page41"/>
    <w:bookmarkEnd w:id="40"/>
    <w:p>
      <w:pPr>
        <w:ind w:left="340" w:right="3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South Korea</w:t>
      </w:r>
    </w:p>
    <w:p>
      <w:pPr>
        <w:spacing w:after="0" w:line="8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United Arab Emirates</w:t>
      </w:r>
    </w:p>
    <w:p>
      <w:pPr>
        <w:spacing w:after="0" w:line="86" w:lineRule="exact"/>
        <w:rPr>
          <w:sz w:val="20"/>
          <w:szCs w:val="20"/>
          <w:color w:val="auto"/>
        </w:rPr>
      </w:pPr>
    </w:p>
    <w:p>
      <w:pPr>
        <w:ind w:left="340" w:right="419" w:firstLine="333"/>
        <w:spacing w:after="0" w:line="297" w:lineRule="auto"/>
        <w:rPr>
          <w:sz w:val="20"/>
          <w:szCs w:val="20"/>
          <w:color w:val="auto"/>
        </w:rPr>
      </w:pPr>
      <w:r>
        <w:rPr>
          <w:rFonts w:ascii="Times New Roman" w:cs="Times New Roman" w:eastAsia="Times New Roman" w:hAnsi="Times New Roman"/>
          <w:sz w:val="12"/>
          <w:szCs w:val="12"/>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does not constitute a public offer of securities in the United Arab Emirates (including the Abu Dhabi Global Market and the Dubai International Financial Centre) and is not intended to be a public offer. This prospectus has not been approved by or filed with the Central Bank of the United Arab Emirates, the Securities and Commodities Authority, the Financial Services Regulatory Authority or the Dubai Financial Services Authority.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Dubai International Financial Centre</w:t>
      </w:r>
    </w:p>
    <w:p>
      <w:pPr>
        <w:spacing w:after="0" w:line="8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which are the subject of the offering contemplated by this prospectus supplement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Chile</w:t>
      </w:r>
    </w:p>
    <w:p>
      <w:pPr>
        <w:spacing w:after="0" w:line="84" w:lineRule="exact"/>
        <w:rPr>
          <w:sz w:val="20"/>
          <w:szCs w:val="20"/>
          <w:color w:val="auto"/>
        </w:rPr>
      </w:pPr>
    </w:p>
    <w:p>
      <w:pPr>
        <w:ind w:left="340" w:right="359" w:firstLine="333"/>
        <w:spacing w:after="0" w:line="249" w:lineRule="auto"/>
        <w:rPr>
          <w:sz w:val="20"/>
          <w:szCs w:val="20"/>
          <w:color w:val="auto"/>
        </w:rPr>
      </w:pPr>
      <w:r>
        <w:rPr>
          <w:rFonts w:ascii="Times New Roman" w:cs="Times New Roman" w:eastAsia="Times New Roman" w:hAnsi="Times New Roman"/>
          <w:sz w:val="14"/>
          <w:szCs w:val="14"/>
          <w:color w:val="auto"/>
        </w:rPr>
        <w:t>The notes are not registered in the Securities Registry (</w:t>
      </w:r>
      <w:r>
        <w:rPr>
          <w:rFonts w:ascii="Times New Roman" w:cs="Times New Roman" w:eastAsia="Times New Roman" w:hAnsi="Times New Roman"/>
          <w:sz w:val="14"/>
          <w:szCs w:val="14"/>
          <w:i w:val="1"/>
          <w:iCs w:val="1"/>
          <w:color w:val="auto"/>
        </w:rPr>
        <w:t>Registro de Valores</w:t>
      </w:r>
      <w:r>
        <w:rPr>
          <w:rFonts w:ascii="Times New Roman" w:cs="Times New Roman" w:eastAsia="Times New Roman" w:hAnsi="Times New Roman"/>
          <w:sz w:val="14"/>
          <w:szCs w:val="14"/>
          <w:color w:val="auto"/>
        </w:rPr>
        <w:t>) or subject to the control of the Chilean Securities and Exchange Commission (</w:t>
      </w:r>
      <w:r>
        <w:rPr>
          <w:rFonts w:ascii="Times New Roman" w:cs="Times New Roman" w:eastAsia="Times New Roman" w:hAnsi="Times New Roman"/>
          <w:sz w:val="14"/>
          <w:szCs w:val="14"/>
          <w:i w:val="1"/>
          <w:iCs w:val="1"/>
          <w:color w:val="auto"/>
        </w:rPr>
        <w:t>Superintendencia de Valores y Seguros de Chile</w:t>
      </w:r>
      <w:r>
        <w:rPr>
          <w:rFonts w:ascii="Times New Roman" w:cs="Times New Roman" w:eastAsia="Times New Roman" w:hAnsi="Times New Roman"/>
          <w:sz w:val="14"/>
          <w:szCs w:val="14"/>
          <w:color w:val="auto"/>
        </w:rPr>
        <w:t>). This prospectus supplement and other offering materials relating to the offer of the notes do not constitute a public offer of, or an invitation to subscribe for or purchase, the notes in the Republic of Chile, other than to individually identified purchasers pursuant to a private offering within the meaning of Article 4 of the Chilean Securities Market Act (</w:t>
      </w:r>
      <w:r>
        <w:rPr>
          <w:rFonts w:ascii="Times New Roman" w:cs="Times New Roman" w:eastAsia="Times New Roman" w:hAnsi="Times New Roman"/>
          <w:sz w:val="14"/>
          <w:szCs w:val="14"/>
          <w:i w:val="1"/>
          <w:iCs w:val="1"/>
          <w:color w:val="auto"/>
        </w:rPr>
        <w:t>Ley de Mercado de Valores</w:t>
      </w:r>
      <w:r>
        <w:rPr>
          <w:rFonts w:ascii="Times New Roman" w:cs="Times New Roman" w:eastAsia="Times New Roman" w:hAnsi="Times New Roman"/>
          <w:sz w:val="14"/>
          <w:szCs w:val="14"/>
          <w:color w:val="auto"/>
        </w:rPr>
        <w:t>) (an offer that is not “addressed to the public at large or to a certain sector or specific group of the public”).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9019"/>
          </w:cols>
          <w:pgMar w:left="1440" w:top="239" w:right="1440"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Notice to Prospective Investors in the Abu Dhabi Global Market</w:t>
      </w:r>
    </w:p>
    <w:p>
      <w:pPr>
        <w:spacing w:after="0" w:line="86" w:lineRule="exact"/>
        <w:rPr>
          <w:sz w:val="20"/>
          <w:szCs w:val="20"/>
          <w:color w:val="auto"/>
        </w:rPr>
      </w:pPr>
    </w:p>
    <w:p>
      <w:pPr>
        <w:ind w:left="340" w:right="499" w:firstLine="333"/>
        <w:spacing w:after="0" w:line="246" w:lineRule="auto"/>
        <w:rPr>
          <w:sz w:val="20"/>
          <w:szCs w:val="20"/>
          <w:color w:val="auto"/>
        </w:rPr>
      </w:pPr>
      <w:r>
        <w:rPr>
          <w:rFonts w:ascii="Times New Roman" w:cs="Times New Roman" w:eastAsia="Times New Roman" w:hAnsi="Times New Roman"/>
          <w:sz w:val="14"/>
          <w:szCs w:val="14"/>
          <w:color w:val="auto"/>
        </w:rPr>
        <w:t>This prospectus supplement is for distribution only to persons who (a) are outside the Abu Dhabi Global Market,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Australia</w:t>
      </w:r>
    </w:p>
    <w:p>
      <w:pPr>
        <w:spacing w:after="0" w:line="86" w:lineRule="exact"/>
        <w:rPr>
          <w:sz w:val="20"/>
          <w:szCs w:val="20"/>
          <w:color w:val="auto"/>
        </w:rPr>
      </w:pPr>
    </w:p>
    <w:p>
      <w:pPr>
        <w:ind w:left="340" w:right="419" w:firstLine="333"/>
        <w:spacing w:after="0" w:line="305" w:lineRule="auto"/>
        <w:rPr>
          <w:sz w:val="20"/>
          <w:szCs w:val="20"/>
          <w:color w:val="auto"/>
        </w:rPr>
      </w:pPr>
      <w:r>
        <w:rPr>
          <w:rFonts w:ascii="Times New Roman" w:cs="Times New Roman" w:eastAsia="Times New Roman" w:hAnsi="Times New Roman"/>
          <w:sz w:val="12"/>
          <w:szCs w:val="12"/>
          <w:color w:val="auto"/>
        </w:rPr>
        <w:t>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(Cth) of Australia (the “Corporations Act”), and does not purport to include the information required for a prospectus, product disclosure statement or other disclosure document under the Corporations Act.</w:t>
      </w:r>
    </w:p>
    <w:p>
      <w:pPr>
        <w:spacing w:after="0" w:line="116" w:lineRule="exact"/>
        <w:rPr>
          <w:sz w:val="20"/>
          <w:szCs w:val="20"/>
          <w:color w:val="auto"/>
        </w:rPr>
      </w:pPr>
    </w:p>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t>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46" w:lineRule="exact"/>
        <w:rPr>
          <w:sz w:val="20"/>
          <w:szCs w:val="20"/>
          <w:color w:val="auto"/>
        </w:rPr>
      </w:pPr>
    </w:p>
    <w:p>
      <w:pPr>
        <w:ind w:left="340" w:right="599" w:firstLine="333"/>
        <w:spacing w:after="0" w:line="250" w:lineRule="auto"/>
        <w:rPr>
          <w:sz w:val="20"/>
          <w:szCs w:val="20"/>
          <w:color w:val="auto"/>
        </w:rPr>
      </w:pPr>
      <w:r>
        <w:rPr>
          <w:rFonts w:ascii="Times New Roman" w:cs="Times New Roman" w:eastAsia="Times New Roman" w:hAnsi="Times New Roman"/>
          <w:sz w:val="14"/>
          <w:szCs w:val="14"/>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w:t>
      </w:r>
    </w:p>
    <w:p>
      <w:pPr>
        <w:spacing w:after="0" w:line="146"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9019"/>
          </w:cols>
          <w:pgMar w:left="1440" w:top="237"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LEGAL MATTERS</w:t>
      </w:r>
    </w:p>
    <w:p>
      <w:pPr>
        <w:spacing w:after="0" w:line="170"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The validity of the notes will be passed upon for us by our counsel, Latham &amp; Watkins LLP, Houston, Texas. Certain legal matters relating to the offering of the notes will be passed upon for the underwriters by Hunton Andrews Kurth LLP, Houston, Texas, which has from time to time provided, and may provide in the future, certain legal services to us and our affiliates.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340" w:right="499" w:firstLine="333"/>
        <w:spacing w:after="0" w:line="250" w:lineRule="auto"/>
        <w:rPr>
          <w:sz w:val="20"/>
          <w:szCs w:val="20"/>
          <w:color w:val="auto"/>
        </w:rPr>
      </w:pPr>
      <w:r>
        <w:rPr>
          <w:rFonts w:ascii="Times New Roman" w:cs="Times New Roman" w:eastAsia="Times New Roman" w:hAnsi="Times New Roman"/>
          <w:sz w:val="14"/>
          <w:szCs w:val="14"/>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9019"/>
          </w:cols>
          <w:pgMar w:left="1440" w:top="235"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WHERE YOU CAN FIND MORE INFORMATION; INCORPORATION BY REFERENCE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8" w:lineRule="exact"/>
        <w:rPr>
          <w:sz w:val="20"/>
          <w:szCs w:val="20"/>
          <w:color w:val="auto"/>
        </w:rPr>
      </w:pPr>
    </w:p>
    <w:p>
      <w:pPr>
        <w:ind w:left="340" w:right="439" w:firstLine="333"/>
        <w:spacing w:after="0" w:line="349" w:lineRule="auto"/>
        <w:rPr>
          <w:sz w:val="20"/>
          <w:szCs w:val="20"/>
          <w:color w:val="auto"/>
        </w:rPr>
      </w:pPr>
      <w:r>
        <w:rPr>
          <w:rFonts w:ascii="Times New Roman" w:cs="Times New Roman" w:eastAsia="Times New Roman" w:hAnsi="Times New Roman"/>
          <w:sz w:val="12"/>
          <w:szCs w:val="12"/>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340" w:right="499" w:firstLine="333"/>
        <w:spacing w:after="0" w:line="267" w:lineRule="auto"/>
        <w:rPr>
          <w:sz w:val="20"/>
          <w:szCs w:val="20"/>
          <w:color w:val="auto"/>
        </w:rPr>
      </w:pPr>
      <w:r>
        <w:rPr>
          <w:rFonts w:ascii="Times New Roman" w:cs="Times New Roman" w:eastAsia="Times New Roman" w:hAnsi="Times New Roman"/>
          <w:sz w:val="14"/>
          <w:szCs w:val="14"/>
          <w:color w:val="auto"/>
        </w:rPr>
        <w:t xml:space="preserve">Our web site address is </w:t>
      </w:r>
      <w:r>
        <w:rPr>
          <w:rFonts w:ascii="Times New Roman" w:cs="Times New Roman" w:eastAsia="Times New Roman" w:hAnsi="Times New Roman"/>
          <w:sz w:val="14"/>
          <w:szCs w:val="14"/>
          <w:i w:val="1"/>
          <w:iCs w:val="1"/>
          <w:color w:val="auto"/>
        </w:rPr>
        <w:t>http://www.energytransfer.com</w:t>
      </w:r>
      <w:r>
        <w:rPr>
          <w:rFonts w:ascii="Times New Roman" w:cs="Times New Roman" w:eastAsia="Times New Roman" w:hAnsi="Times New Roman"/>
          <w:sz w:val="14"/>
          <w:szCs w:val="14"/>
          <w:color w:val="auto"/>
        </w:rPr>
        <w:t>. The information on our web site, however, is not, and should not be deemed to be, a part of this prospectus.</w:t>
      </w:r>
    </w:p>
    <w:p>
      <w:pPr>
        <w:spacing w:after="0" w:line="134"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8" w:lineRule="exact"/>
        <w:rPr>
          <w:sz w:val="20"/>
          <w:szCs w:val="20"/>
          <w:color w:val="auto"/>
        </w:rPr>
      </w:pPr>
    </w:p>
    <w:p>
      <w:pPr>
        <w:ind w:left="340" w:right="359" w:firstLine="333"/>
        <w:spacing w:after="0" w:line="296" w:lineRule="auto"/>
        <w:rPr>
          <w:sz w:val="20"/>
          <w:szCs w:val="20"/>
          <w:color w:val="auto"/>
        </w:rPr>
      </w:pPr>
      <w:r>
        <w:rPr>
          <w:rFonts w:ascii="Times New Roman" w:cs="Times New Roman" w:eastAsia="Times New Roman" w:hAnsi="Times New Roman"/>
          <w:sz w:val="12"/>
          <w:szCs w:val="12"/>
          <w:color w:val="auto"/>
        </w:rPr>
        <w:t>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w:t>
      </w:r>
    </w:p>
    <w:p>
      <w:pPr>
        <w:spacing w:after="0" w:line="286"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incorporate by reference the documents set forth below that have previously been filed with the SEC:</w:t>
      </w:r>
    </w:p>
    <w:p>
      <w:pPr>
        <w:spacing w:after="0" w:line="65" w:lineRule="exact"/>
        <w:rPr>
          <w:sz w:val="20"/>
          <w:szCs w:val="20"/>
          <w:color w:val="auto"/>
        </w:rPr>
      </w:pPr>
    </w:p>
    <w:p>
      <w:pPr>
        <w:ind w:left="1080" w:right="439" w:hanging="334"/>
        <w:spacing w:after="0" w:line="264" w:lineRule="auto"/>
        <w:tabs>
          <w:tab w:leader="none" w:pos="1080" w:val="left"/>
        </w:tabs>
        <w:numPr>
          <w:ilvl w:val="0"/>
          <w:numId w:val="36"/>
        </w:numPr>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auto"/>
          </w:rPr>
          <w:t xml:space="preserve">Our Annual Report on </w:t>
        </w:r>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color w:val="auto"/>
          </w:rPr>
          <w:t xml:space="preserve"> for the year ended December 31, 2024, filed with the SEC on February 14, 2025, as amended on </w:t>
        </w:r>
        <w:r>
          <w:rPr>
            <w:rFonts w:ascii="Times New Roman" w:cs="Times New Roman" w:eastAsia="Times New Roman" w:hAnsi="Times New Roman"/>
            <w:sz w:val="14"/>
            <w:szCs w:val="14"/>
            <w:u w:val="single" w:color="auto"/>
            <w:color w:val="0000EE"/>
          </w:rPr>
          <w:t>Form</w:t>
        </w:r>
      </w:hyperlink>
      <w:r>
        <w:rPr>
          <w:rFonts w:ascii="Times New Roman" w:cs="Times New Roman" w:eastAsia="Times New Roman" w:hAnsi="Times New Roman"/>
          <w:sz w:val="14"/>
          <w:szCs w:val="14"/>
          <w:color w:val="auto"/>
        </w:rPr>
        <w:t xml:space="preserve"> </w:t>
      </w:r>
      <w:hyperlink r:id="rId55">
        <w:r>
          <w:rPr>
            <w:rFonts w:ascii="Times New Roman" w:cs="Times New Roman" w:eastAsia="Times New Roman" w:hAnsi="Times New Roman"/>
            <w:sz w:val="14"/>
            <w:szCs w:val="14"/>
            <w:u w:val="single" w:color="auto"/>
            <w:color w:val="0000EE"/>
          </w:rPr>
          <w:t>10-K/A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filed with the SEC on March 13, 2025;</w:t>
        </w:r>
      </w:hyperlink>
    </w:p>
    <w:p>
      <w:pPr>
        <w:spacing w:after="0" w:line="64" w:lineRule="exact"/>
        <w:rPr>
          <w:rFonts w:ascii="Times New Roman" w:cs="Times New Roman" w:eastAsia="Times New Roman" w:hAnsi="Times New Roman"/>
          <w:sz w:val="14"/>
          <w:szCs w:val="14"/>
          <w:color w:val="0000EE"/>
        </w:rPr>
      </w:pPr>
    </w:p>
    <w:p>
      <w:pPr>
        <w:ind w:left="1080" w:right="519" w:hanging="334"/>
        <w:spacing w:after="0" w:line="254" w:lineRule="auto"/>
        <w:tabs>
          <w:tab w:leader="none" w:pos="1080" w:val="left"/>
        </w:tabs>
        <w:numPr>
          <w:ilvl w:val="0"/>
          <w:numId w:val="3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 ended March 31, 2025, filed with the SEC on </w:t>
      </w:r>
      <w:hyperlink r:id="rId56">
        <w:r>
          <w:rPr>
            <w:rFonts w:ascii="Times New Roman" w:cs="Times New Roman" w:eastAsia="Times New Roman" w:hAnsi="Times New Roman"/>
            <w:sz w:val="14"/>
            <w:szCs w:val="14"/>
            <w:u w:val="single" w:color="auto"/>
            <w:color w:val="0000EE"/>
          </w:rPr>
          <w:t>May 8, 2025</w:t>
        </w:r>
      </w:hyperlink>
      <w:r>
        <w:rPr>
          <w:rFonts w:ascii="Times New Roman" w:cs="Times New Roman" w:eastAsia="Times New Roman" w:hAnsi="Times New Roman"/>
          <w:sz w:val="14"/>
          <w:szCs w:val="14"/>
          <w:color w:val="auto"/>
        </w:rPr>
        <w:t xml:space="preserve">, for the quarter ended </w:t>
      </w:r>
      <w:hyperlink r:id="rId57">
        <w:r>
          <w:rPr>
            <w:rFonts w:ascii="Times New Roman" w:cs="Times New Roman" w:eastAsia="Times New Roman" w:hAnsi="Times New Roman"/>
            <w:sz w:val="14"/>
            <w:szCs w:val="14"/>
            <w:color w:val="auto"/>
          </w:rPr>
          <w:t xml:space="preserve">June 30, 2025, filed with the SEC on </w:t>
        </w:r>
        <w:r>
          <w:rPr>
            <w:rFonts w:ascii="Times New Roman" w:cs="Times New Roman" w:eastAsia="Times New Roman" w:hAnsi="Times New Roman"/>
            <w:sz w:val="14"/>
            <w:szCs w:val="14"/>
            <w:u w:val="single" w:color="auto"/>
            <w:color w:val="0000EE"/>
          </w:rPr>
          <w:t>August 7, 2025</w:t>
        </w:r>
        <w:r>
          <w:rPr>
            <w:rFonts w:ascii="Times New Roman" w:cs="Times New Roman" w:eastAsia="Times New Roman" w:hAnsi="Times New Roman"/>
            <w:sz w:val="14"/>
            <w:szCs w:val="14"/>
            <w:color w:val="auto"/>
          </w:rPr>
          <w:t xml:space="preserve"> and for the quarter ended September 30, 2025, filed with the SEC on </w:t>
        </w:r>
        <w:r>
          <w:rPr>
            <w:rFonts w:ascii="Times New Roman" w:cs="Times New Roman" w:eastAsia="Times New Roman" w:hAnsi="Times New Roman"/>
            <w:sz w:val="14"/>
            <w:szCs w:val="14"/>
            <w:u w:val="single" w:color="auto"/>
            <w:color w:val="0000EE"/>
          </w:rPr>
          <w:t>November 6,</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 and</w:t>
        </w:r>
      </w:hyperlink>
    </w:p>
    <w:p>
      <w:pPr>
        <w:spacing w:after="0" w:line="70" w:lineRule="exact"/>
        <w:rPr>
          <w:rFonts w:ascii="Times New Roman" w:cs="Times New Roman" w:eastAsia="Times New Roman" w:hAnsi="Times New Roman"/>
          <w:sz w:val="14"/>
          <w:szCs w:val="14"/>
          <w:color w:val="0000EE"/>
        </w:rPr>
      </w:pPr>
    </w:p>
    <w:p>
      <w:pPr>
        <w:ind w:left="1080" w:right="439" w:hanging="334"/>
        <w:spacing w:after="0" w:line="254" w:lineRule="auto"/>
        <w:tabs>
          <w:tab w:leader="none" w:pos="1080" w:val="left"/>
        </w:tabs>
        <w:numPr>
          <w:ilvl w:val="0"/>
          <w:numId w:val="36"/>
        </w:numPr>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auto"/>
          </w:rPr>
          <w:t xml:space="preserve">Our Current Report on Form 8-K filed with the SEC on </w:t>
        </w:r>
        <w:r>
          <w:rPr>
            <w:rFonts w:ascii="Times New Roman" w:cs="Times New Roman" w:eastAsia="Times New Roman" w:hAnsi="Times New Roman"/>
            <w:sz w:val="14"/>
            <w:szCs w:val="14"/>
            <w:u w:val="single" w:color="auto"/>
            <w:color w:val="0000EE"/>
          </w:rPr>
          <w:t>January 27,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4,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4,</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9">
        <w:r>
          <w:rPr>
            <w:rFonts w:ascii="Times New Roman" w:cs="Times New Roman" w:eastAsia="Times New Roman" w:hAnsi="Times New Roman"/>
            <w:sz w:val="14"/>
            <w:szCs w:val="14"/>
            <w:u w:val="single" w:color="auto"/>
            <w:color w:val="0000EE"/>
          </w:rPr>
          <w:t>July 2, 2025</w:t>
        </w:r>
      </w:hyperlink>
      <w:hyperlink r:id="rId58">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0">
        <w:r>
          <w:rPr>
            <w:rFonts w:ascii="Times New Roman" w:cs="Times New Roman" w:eastAsia="Times New Roman" w:hAnsi="Times New Roman"/>
            <w:sz w:val="14"/>
            <w:szCs w:val="14"/>
            <w:u w:val="single" w:color="auto"/>
            <w:color w:val="0000EE"/>
          </w:rPr>
          <w:t>July 24, 2025</w:t>
        </w:r>
      </w:hyperlink>
      <w:hyperlink r:id="rId58">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1">
        <w:r>
          <w:rPr>
            <w:rFonts w:ascii="Times New Roman" w:cs="Times New Roman" w:eastAsia="Times New Roman" w:hAnsi="Times New Roman"/>
            <w:sz w:val="14"/>
            <w:szCs w:val="14"/>
            <w:u w:val="single" w:color="auto"/>
            <w:color w:val="0000EE"/>
          </w:rPr>
          <w:t>August 12, 2025</w:t>
        </w:r>
      </w:hyperlink>
      <w:hyperlink r:id="rId58">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2">
        <w:r>
          <w:rPr>
            <w:rFonts w:ascii="Times New Roman" w:cs="Times New Roman" w:eastAsia="Times New Roman" w:hAnsi="Times New Roman"/>
            <w:sz w:val="14"/>
            <w:szCs w:val="14"/>
            <w:u w:val="single" w:color="auto"/>
            <w:color w:val="0000EE"/>
          </w:rPr>
          <w:t>August 25, 2025</w:t>
        </w:r>
      </w:hyperlink>
      <w:hyperlink r:id="rId58">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3">
        <w:r>
          <w:rPr>
            <w:rFonts w:ascii="Times New Roman" w:cs="Times New Roman" w:eastAsia="Times New Roman" w:hAnsi="Times New Roman"/>
            <w:sz w:val="14"/>
            <w:szCs w:val="14"/>
            <w:u w:val="single" w:color="auto"/>
            <w:color w:val="0000EE"/>
          </w:rPr>
          <w:t>October 28, 2025</w:t>
        </w:r>
      </w:hyperlink>
      <w:hyperlink r:id="rId58">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64">
        <w:r>
          <w:rPr>
            <w:rFonts w:ascii="Times New Roman" w:cs="Times New Roman" w:eastAsia="Times New Roman" w:hAnsi="Times New Roman"/>
            <w:sz w:val="14"/>
            <w:szCs w:val="14"/>
            <w:u w:val="single" w:color="auto"/>
            <w:color w:val="0000EE"/>
          </w:rPr>
          <w:t xml:space="preserve">November 3, 2025 </w:t>
        </w:r>
      </w:hyperlink>
      <w:hyperlink r:id="rId58">
        <w:r>
          <w:rPr>
            <w:rFonts w:ascii="Times New Roman" w:cs="Times New Roman" w:eastAsia="Times New Roman" w:hAnsi="Times New Roman"/>
            <w:sz w:val="14"/>
            <w:szCs w:val="14"/>
            <w:color w:val="000000"/>
          </w:rPr>
          <w:t>(other than documents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or portions of those documents deemed to be furnished but not filed).</w:t>
      </w:r>
    </w:p>
    <w:p>
      <w:pPr>
        <w:spacing w:after="0" w:line="142" w:lineRule="exact"/>
        <w:rPr>
          <w:rFonts w:ascii="Times New Roman" w:cs="Times New Roman" w:eastAsia="Times New Roman" w:hAnsi="Times New Roman"/>
          <w:sz w:val="14"/>
          <w:szCs w:val="14"/>
          <w:color w:val="0000EE"/>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Securities Exchange Act of 1934, as amended, which we refer to as the “Exchange Act” in this prospectus supplement, prior to the termination of this offering but excluding any information furnished to, rather than filed with, the SEC, will also be incorporated by reference into this prospectus supplement and deemed to be part of this prospectus from the date of the filing of such reports and documents.</w:t>
      </w:r>
    </w:p>
    <w:p>
      <w:pPr>
        <w:spacing w:after="0" w:line="9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9019"/>
          </w:cols>
          <w:pgMar w:left="1440" w:top="235" w:right="1440" w:bottom="1440" w:gutter="0" w:footer="0" w:header="0"/>
        </w:sectPr>
      </w:pPr>
    </w:p>
    <w:bookmarkStart w:id="44" w:name="page45"/>
    <w:bookmarkEnd w:id="44"/>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Upon request, we will provide to each person, including any beneficial owner, to whom this prospectus supplement is delivered, a copy of any or all of the reports or documents that have been incorporated by reference in this prospectus supplement and the accompanying base prospectus. If you would like a copy of any of these documents, at no cost, please write or call us at: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Energy Transfer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8111 Westchester Drive, Suite 600</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Dallas, Texas 75225</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 981-0700</w:t>
      </w:r>
    </w:p>
    <w:p>
      <w:pPr>
        <w:spacing w:after="0" w:line="154" w:lineRule="exact"/>
        <w:rPr>
          <w:sz w:val="20"/>
          <w:szCs w:val="20"/>
          <w:color w:val="auto"/>
        </w:rPr>
      </w:pPr>
    </w:p>
    <w:p>
      <w:pPr>
        <w:ind w:left="340" w:right="919" w:firstLine="333"/>
        <w:spacing w:after="0" w:line="264"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supplement or the accompanying base prospectus.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9019"/>
          </w:cols>
          <w:pgMar w:left="1440" w:top="239" w:right="1440"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70485</wp:posOffset>
            </wp:positionV>
            <wp:extent cx="1394460" cy="421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94460" cy="42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ENERGY TRANSFER LP</w:t>
      </w:r>
    </w:p>
    <w:p>
      <w:pPr>
        <w:spacing w:after="0" w:line="181" w:lineRule="exact"/>
        <w:rPr>
          <w:sz w:val="20"/>
          <w:szCs w:val="20"/>
          <w:color w:val="auto"/>
        </w:rPr>
      </w:pPr>
    </w:p>
    <w:p>
      <w:pPr>
        <w:jc w:val="center"/>
        <w:ind w:left="1820" w:right="1860"/>
        <w:spacing w:after="0" w:line="265" w:lineRule="auto"/>
        <w:rPr>
          <w:sz w:val="20"/>
          <w:szCs w:val="20"/>
          <w:color w:val="auto"/>
        </w:rPr>
      </w:pPr>
      <w:r>
        <w:rPr>
          <w:rFonts w:ascii="Times New Roman" w:cs="Times New Roman" w:eastAsia="Times New Roman" w:hAnsi="Times New Roman"/>
          <w:sz w:val="19"/>
          <w:szCs w:val="19"/>
          <w:b w:val="1"/>
          <w:bCs w:val="1"/>
          <w:color w:val="auto"/>
        </w:rPr>
        <w:t>Common Units Representing Limited Partner Interests Preferred Units Representing Limited Partner Interests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149860</wp:posOffset>
            </wp:positionV>
            <wp:extent cx="11087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77" w:lineRule="exact"/>
        <w:rPr>
          <w:sz w:val="20"/>
          <w:szCs w:val="20"/>
          <w:color w:val="auto"/>
        </w:rPr>
      </w:pPr>
    </w:p>
    <w:p>
      <w:pPr>
        <w:ind w:left="340" w:right="679" w:firstLine="333"/>
        <w:spacing w:after="0" w:line="264" w:lineRule="auto"/>
        <w:rPr>
          <w:sz w:val="20"/>
          <w:szCs w:val="20"/>
          <w:color w:val="auto"/>
        </w:rPr>
      </w:pPr>
      <w:r>
        <w:rPr>
          <w:rFonts w:ascii="Times New Roman" w:cs="Times New Roman" w:eastAsia="Times New Roman" w:hAnsi="Times New Roman"/>
          <w:sz w:val="14"/>
          <w:szCs w:val="14"/>
          <w:color w:val="auto"/>
        </w:rPr>
        <w:t>We may offer and sell the securities identified above from time to time in one or more offerings. This prospectus provides you with a general description of the securities.</w:t>
      </w:r>
    </w:p>
    <w:p>
      <w:pPr>
        <w:spacing w:after="0" w:line="136" w:lineRule="exact"/>
        <w:rPr>
          <w:sz w:val="20"/>
          <w:szCs w:val="20"/>
          <w:color w:val="auto"/>
        </w:rPr>
      </w:pPr>
    </w:p>
    <w:p>
      <w:pPr>
        <w:ind w:left="340" w:right="419" w:firstLine="333"/>
        <w:spacing w:after="0" w:line="316" w:lineRule="auto"/>
        <w:rPr>
          <w:sz w:val="20"/>
          <w:szCs w:val="20"/>
          <w:color w:val="auto"/>
        </w:rPr>
      </w:pPr>
      <w:r>
        <w:rPr>
          <w:rFonts w:ascii="Times New Roman" w:cs="Times New Roman" w:eastAsia="Times New Roman" w:hAnsi="Times New Roman"/>
          <w:sz w:val="12"/>
          <w:szCs w:val="12"/>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09"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50" w:lineRule="exact"/>
        <w:rPr>
          <w:sz w:val="20"/>
          <w:szCs w:val="20"/>
          <w:color w:val="auto"/>
        </w:rPr>
      </w:pPr>
    </w:p>
    <w:p>
      <w:pPr>
        <w:ind w:left="340" w:right="679" w:firstLine="333"/>
        <w:spacing w:after="0" w:line="264" w:lineRule="auto"/>
        <w:rPr>
          <w:sz w:val="20"/>
          <w:szCs w:val="20"/>
          <w:color w:val="auto"/>
        </w:rPr>
      </w:pPr>
      <w:r>
        <w:rPr>
          <w:rFonts w:ascii="Times New Roman" w:cs="Times New Roman" w:eastAsia="Times New Roman" w:hAnsi="Times New Roman"/>
          <w:sz w:val="14"/>
          <w:szCs w:val="14"/>
          <w:color w:val="auto"/>
        </w:rPr>
        <w:t>Our common units are listed on the New York Stock Exchange (“NYSE”) under the symbol “ET.” Our 9.250% Series I Fixed Rate Perpetual Preferred Units are listed on the NYSE under the symbol “ETprI.”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165735</wp:posOffset>
            </wp:positionV>
            <wp:extent cx="110871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0" w:lineRule="exact"/>
        <w:rPr>
          <w:sz w:val="20"/>
          <w:szCs w:val="20"/>
          <w:color w:val="auto"/>
        </w:rPr>
      </w:pPr>
    </w:p>
    <w:p>
      <w:pPr>
        <w:ind w:left="340" w:right="599" w:firstLine="333"/>
        <w:spacing w:after="0" w:line="253"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7 OF THIS PROSPECTUS AND ANY SIMILAR SECTION CONTAINED IN THE APPLICABLE PROSPECTUS SUPPLEMENT CONCERNING FACTORS YOU SHOULD CONSIDER BEFORE INVESTING IN OUR SECURITIES.</w:t>
      </w:r>
    </w:p>
    <w:p>
      <w:pPr>
        <w:spacing w:after="0" w:line="131" w:lineRule="exact"/>
        <w:rPr>
          <w:sz w:val="20"/>
          <w:szCs w:val="20"/>
          <w:color w:val="auto"/>
        </w:rPr>
      </w:pPr>
    </w:p>
    <w:p>
      <w:pPr>
        <w:ind w:left="340" w:right="45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156845</wp:posOffset>
            </wp:positionV>
            <wp:extent cx="110871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5, 2024.</w:t>
      </w:r>
    </w:p>
    <w:p>
      <w:pPr>
        <w:sectPr>
          <w:pgSz w:w="11900" w:h="16838" w:orient="portrait"/>
          <w:cols w:equalWidth="0" w:num="1">
            <w:col w:w="9019"/>
          </w:cols>
          <w:pgMar w:left="1440" w:top="235" w:right="1440" w:bottom="1440" w:gutter="0" w:footer="0" w:header="0"/>
        </w:sectPr>
      </w:pPr>
    </w:p>
    <w:bookmarkStart w:id="46" w:name="page47"/>
    <w:bookmarkEnd w:id="46"/>
    <w:tbl>
      <w:tblPr>
        <w:tblLayout w:type="fixed"/>
        <w:tblInd w:w="34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200" w:type="dxa"/>
            <w:vAlign w:val="bottom"/>
          </w:tcPr>
          <w:p>
            <w:pPr>
              <w:spacing w:after="0"/>
              <w:rPr>
                <w:sz w:val="15"/>
                <w:szCs w:val="15"/>
                <w:color w:val="auto"/>
              </w:rPr>
            </w:pPr>
          </w:p>
        </w:tc>
      </w:tr>
      <w:tr>
        <w:trPr>
          <w:trHeight w:val="317"/>
        </w:trPr>
        <w:tc>
          <w:tcPr>
            <w:tcW w:w="508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43"/>
        </w:trPr>
        <w:tc>
          <w:tcPr>
            <w:tcW w:w="5080" w:type="dxa"/>
            <w:vAlign w:val="bottom"/>
            <w:tcBorders>
              <w:bottom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w w:val="96"/>
              </w:rPr>
              <w:t>WHERE YOU CAN FIND MORE INFORMATION; INCORPORATION BY REFERENCE</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143"/>
        </w:trPr>
        <w:tc>
          <w:tcPr>
            <w:tcW w:w="222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4"/>
              </w:rPr>
              <w:t>FORWARD-LOOKING STATEMENTS</w:t>
            </w:r>
          </w:p>
        </w:tc>
        <w:tc>
          <w:tcPr>
            <w:tcW w:w="2860" w:type="dxa"/>
            <w:vAlign w:val="bottom"/>
            <w:gridSpan w:val="4"/>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148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6"/>
              </w:rPr>
              <w:t>ENERGY TRANSFER LP</w:t>
            </w:r>
          </w:p>
        </w:tc>
        <w:tc>
          <w:tcPr>
            <w:tcW w:w="3600" w:type="dxa"/>
            <w:vAlign w:val="bottom"/>
            <w:gridSpan w:val="9"/>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50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43"/>
        </w:trPr>
        <w:tc>
          <w:tcPr>
            <w:tcW w:w="12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3880" w:type="dxa"/>
            <w:vAlign w:val="bottom"/>
            <w:gridSpan w:val="11"/>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143"/>
        </w:trPr>
        <w:tc>
          <w:tcPr>
            <w:tcW w:w="50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DESCRIPTION OF COMMON UNITS</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3"/>
        </w:trPr>
        <w:tc>
          <w:tcPr>
            <w:tcW w:w="2180" w:type="dxa"/>
            <w:vAlign w:val="bottom"/>
            <w:tcBorders>
              <w:top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9"/>
              </w:rPr>
              <w:t>OUR PARTNERSHIP AGREEMENT</w:t>
            </w:r>
          </w:p>
        </w:tc>
        <w:tc>
          <w:tcPr>
            <w:tcW w:w="2900" w:type="dxa"/>
            <w:vAlign w:val="bottom"/>
            <w:gridSpan w:val="5"/>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r>
      <w:tr>
        <w:trPr>
          <w:trHeight w:val="143"/>
        </w:trPr>
        <w:tc>
          <w:tcPr>
            <w:tcW w:w="1480" w:type="dxa"/>
            <w:vAlign w:val="bottom"/>
            <w:tcBorders>
              <w:top w:val="single" w:sz="8" w:color="0000EE"/>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DISTRIBUTION POLICY</w:t>
            </w:r>
          </w:p>
        </w:tc>
        <w:tc>
          <w:tcPr>
            <w:tcW w:w="600" w:type="dxa"/>
            <w:vAlign w:val="bottom"/>
            <w:tcBorders>
              <w:top w:val="single" w:sz="8" w:color="0000EE"/>
            </w:tcBorders>
            <w:gridSpan w:val="3"/>
          </w:tcPr>
          <w:p>
            <w:pPr>
              <w:spacing w:after="0"/>
              <w:rPr>
                <w:sz w:val="12"/>
                <w:szCs w:val="12"/>
                <w:color w:val="auto"/>
              </w:rPr>
            </w:pPr>
          </w:p>
        </w:tc>
        <w:tc>
          <w:tcPr>
            <w:tcW w:w="3000" w:type="dxa"/>
            <w:vAlign w:val="bottom"/>
            <w:gridSpan w:val="6"/>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w:t>
            </w:r>
          </w:p>
        </w:tc>
      </w:tr>
      <w:tr>
        <w:trPr>
          <w:trHeight w:val="143"/>
        </w:trPr>
        <w:tc>
          <w:tcPr>
            <w:tcW w:w="234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PREFERRED UNITS</w:t>
            </w:r>
          </w:p>
        </w:tc>
        <w:tc>
          <w:tcPr>
            <w:tcW w:w="2740" w:type="dxa"/>
            <w:vAlign w:val="bottom"/>
            <w:gridSpan w:val="2"/>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r>
        <w:trPr>
          <w:trHeight w:val="143"/>
        </w:trPr>
        <w:tc>
          <w:tcPr>
            <w:tcW w:w="50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w:t>
            </w:r>
          </w:p>
        </w:tc>
      </w:tr>
      <w:tr>
        <w:trPr>
          <w:trHeight w:val="143"/>
        </w:trPr>
        <w:tc>
          <w:tcPr>
            <w:tcW w:w="1360" w:type="dxa"/>
            <w:vAlign w:val="bottom"/>
            <w:tcBorders>
              <w:top w:val="single" w:sz="8" w:color="0000EE"/>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5"/>
              </w:rPr>
              <w:t>GLOBAL SECURITIES</w:t>
            </w:r>
          </w:p>
        </w:tc>
        <w:tc>
          <w:tcPr>
            <w:tcW w:w="920" w:type="dxa"/>
            <w:vAlign w:val="bottom"/>
            <w:tcBorders>
              <w:top w:val="single" w:sz="8" w:color="0000EE"/>
            </w:tcBorders>
            <w:gridSpan w:val="7"/>
          </w:tcPr>
          <w:p>
            <w:pPr>
              <w:spacing w:after="0"/>
              <w:rPr>
                <w:sz w:val="12"/>
                <w:szCs w:val="12"/>
                <w:color w:val="auto"/>
              </w:rPr>
            </w:pPr>
          </w:p>
        </w:tc>
        <w:tc>
          <w:tcPr>
            <w:tcW w:w="2800" w:type="dxa"/>
            <w:vAlign w:val="bottom"/>
            <w:gridSpan w:val="3"/>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r>
      <w:tr>
        <w:trPr>
          <w:trHeight w:val="143"/>
        </w:trPr>
        <w:tc>
          <w:tcPr>
            <w:tcW w:w="50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43"/>
        </w:trPr>
        <w:tc>
          <w:tcPr>
            <w:tcW w:w="50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39</w:t>
            </w:r>
          </w:p>
        </w:tc>
      </w:tr>
      <w:tr>
        <w:trPr>
          <w:trHeight w:val="143"/>
        </w:trPr>
        <w:tc>
          <w:tcPr>
            <w:tcW w:w="1100" w:type="dxa"/>
            <w:vAlign w:val="bottom"/>
            <w:tcBorders>
              <w:top w:val="single" w:sz="8" w:color="0000EE"/>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480" w:type="dxa"/>
            <w:vAlign w:val="bottom"/>
            <w:tcBorders>
              <w:top w:val="single" w:sz="8" w:color="0000EE"/>
            </w:tcBorders>
            <w:gridSpan w:val="11"/>
          </w:tcPr>
          <w:p>
            <w:pPr>
              <w:spacing w:after="0"/>
              <w:rPr>
                <w:sz w:val="12"/>
                <w:szCs w:val="12"/>
                <w:color w:val="auto"/>
              </w:rPr>
            </w:pPr>
          </w:p>
        </w:tc>
        <w:tc>
          <w:tcPr>
            <w:tcW w:w="1500" w:type="dxa"/>
            <w:vAlign w:val="bottom"/>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r>
      <w:tr>
        <w:trPr>
          <w:trHeight w:val="143"/>
        </w:trPr>
        <w:tc>
          <w:tcPr>
            <w:tcW w:w="58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4500" w:type="dxa"/>
            <w:vAlign w:val="bottom"/>
            <w:gridSpan w:val="14"/>
          </w:tcPr>
          <w:p>
            <w:pPr>
              <w:spacing w:after="0"/>
              <w:rPr>
                <w:sz w:val="12"/>
                <w:szCs w:val="12"/>
                <w:color w:val="auto"/>
              </w:rPr>
            </w:pPr>
          </w:p>
        </w:tc>
        <w:tc>
          <w:tcPr>
            <w:tcW w:w="3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r>
    </w:tbl>
    <w:p>
      <w:pPr>
        <w:jc w:val="right"/>
        <w:spacing w:after="0" w:line="143" w:lineRule="exact"/>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ABOUT THIS PROSPECTUS</w:t>
      </w:r>
    </w:p>
    <w:p>
      <w:pPr>
        <w:spacing w:after="0" w:line="170" w:lineRule="exact"/>
        <w:rPr>
          <w:sz w:val="20"/>
          <w:szCs w:val="20"/>
          <w:color w:val="auto"/>
        </w:rPr>
      </w:pPr>
    </w:p>
    <w:p>
      <w:pPr>
        <w:ind w:left="340" w:right="419" w:firstLine="333"/>
        <w:spacing w:after="0" w:line="292"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286" w:lineRule="exact"/>
        <w:rPr>
          <w:sz w:val="20"/>
          <w:szCs w:val="20"/>
          <w:color w:val="auto"/>
        </w:rPr>
      </w:pPr>
    </w:p>
    <w:p>
      <w:pPr>
        <w:ind w:left="340" w:right="359" w:firstLine="333"/>
        <w:spacing w:after="0" w:line="289" w:lineRule="auto"/>
        <w:rPr>
          <w:sz w:val="20"/>
          <w:szCs w:val="20"/>
          <w:color w:val="auto"/>
        </w:rPr>
      </w:pPr>
      <w:r>
        <w:rPr>
          <w:rFonts w:ascii="Times New Roman" w:cs="Times New Roman" w:eastAsia="Times New Roman" w:hAnsi="Times New Roman"/>
          <w:sz w:val="12"/>
          <w:szCs w:val="12"/>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88" w:lineRule="exact"/>
        <w:rPr>
          <w:sz w:val="20"/>
          <w:szCs w:val="20"/>
          <w:color w:val="auto"/>
        </w:rPr>
      </w:pPr>
    </w:p>
    <w:p>
      <w:pPr>
        <w:jc w:val="both"/>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When we refer to “ET,” “we,” “our,” “us” and the “Partnership” in this prospectus, we mean Energy Transfer LP and its consolidated subsidiaries, unless otherwise specified. When we refer to “our general partner,” we mean LE GP, LLC. When we refer to “you,” we mean the potential holders of the applicable series of securities.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5"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WHERE YOU CAN FIND MORE INFORMATION; INCORPORATION BY REFERENCE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8" w:lineRule="exact"/>
        <w:rPr>
          <w:sz w:val="20"/>
          <w:szCs w:val="20"/>
          <w:color w:val="auto"/>
        </w:rPr>
      </w:pPr>
    </w:p>
    <w:p>
      <w:pPr>
        <w:ind w:left="340" w:right="439" w:firstLine="333"/>
        <w:spacing w:after="0" w:line="349" w:lineRule="auto"/>
        <w:rPr>
          <w:sz w:val="20"/>
          <w:szCs w:val="20"/>
          <w:color w:val="auto"/>
        </w:rPr>
      </w:pPr>
      <w:r>
        <w:rPr>
          <w:rFonts w:ascii="Times New Roman" w:cs="Times New Roman" w:eastAsia="Times New Roman" w:hAnsi="Times New Roman"/>
          <w:sz w:val="12"/>
          <w:szCs w:val="12"/>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340" w:right="499" w:firstLine="333"/>
        <w:spacing w:after="0" w:line="267" w:lineRule="auto"/>
        <w:rPr>
          <w:sz w:val="20"/>
          <w:szCs w:val="20"/>
          <w:color w:val="auto"/>
        </w:rPr>
      </w:pPr>
      <w:r>
        <w:rPr>
          <w:rFonts w:ascii="Times New Roman" w:cs="Times New Roman" w:eastAsia="Times New Roman" w:hAnsi="Times New Roman"/>
          <w:sz w:val="14"/>
          <w:szCs w:val="14"/>
          <w:color w:val="auto"/>
        </w:rPr>
        <w:t xml:space="preserve">Our web site address is </w:t>
      </w:r>
      <w:r>
        <w:rPr>
          <w:rFonts w:ascii="Times New Roman" w:cs="Times New Roman" w:eastAsia="Times New Roman" w:hAnsi="Times New Roman"/>
          <w:sz w:val="14"/>
          <w:szCs w:val="14"/>
          <w:i w:val="1"/>
          <w:iCs w:val="1"/>
          <w:color w:val="auto"/>
        </w:rPr>
        <w:t>http://www.energytransfer.com</w:t>
      </w:r>
      <w:r>
        <w:rPr>
          <w:rFonts w:ascii="Times New Roman" w:cs="Times New Roman" w:eastAsia="Times New Roman" w:hAnsi="Times New Roman"/>
          <w:sz w:val="14"/>
          <w:szCs w:val="14"/>
          <w:color w:val="auto"/>
        </w:rPr>
        <w:t>. The information on our web site, however, is not, and should not be deemed to be, a part of this prospectus.</w:t>
      </w:r>
    </w:p>
    <w:p>
      <w:pPr>
        <w:spacing w:after="0" w:line="134" w:lineRule="exact"/>
        <w:rPr>
          <w:sz w:val="20"/>
          <w:szCs w:val="20"/>
          <w:color w:val="auto"/>
        </w:rPr>
      </w:pPr>
    </w:p>
    <w:p>
      <w:pPr>
        <w:ind w:left="340" w:right="399" w:firstLine="333"/>
        <w:spacing w:after="0" w:line="297" w:lineRule="auto"/>
        <w:rPr>
          <w:sz w:val="20"/>
          <w:szCs w:val="20"/>
          <w:color w:val="auto"/>
        </w:rPr>
      </w:pPr>
      <w:r>
        <w:rPr>
          <w:rFonts w:ascii="Times New Roman" w:cs="Times New Roman" w:eastAsia="Times New Roman" w:hAnsi="Times New Roman"/>
          <w:sz w:val="12"/>
          <w:szCs w:val="12"/>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8" w:lineRule="exact"/>
        <w:rPr>
          <w:sz w:val="20"/>
          <w:szCs w:val="20"/>
          <w:color w:val="auto"/>
        </w:rPr>
      </w:pPr>
    </w:p>
    <w:p>
      <w:pPr>
        <w:ind w:left="340" w:right="399" w:firstLine="333"/>
        <w:spacing w:after="0" w:line="300" w:lineRule="auto"/>
        <w:rPr>
          <w:sz w:val="20"/>
          <w:szCs w:val="20"/>
          <w:color w:val="auto"/>
        </w:rPr>
      </w:pPr>
      <w:r>
        <w:rPr>
          <w:rFonts w:ascii="Times New Roman" w:cs="Times New Roman" w:eastAsia="Times New Roman" w:hAnsi="Times New Roman"/>
          <w:sz w:val="12"/>
          <w:szCs w:val="12"/>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18"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65" w:lineRule="exact"/>
        <w:rPr>
          <w:sz w:val="20"/>
          <w:szCs w:val="20"/>
          <w:color w:val="auto"/>
        </w:rPr>
      </w:pPr>
    </w:p>
    <w:p>
      <w:pPr>
        <w:ind w:left="1080" w:hanging="334"/>
        <w:spacing w:after="0"/>
        <w:tabs>
          <w:tab w:leader="none" w:pos="1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7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filed with the SEC on February 16, 2024;</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75">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2024, filed with the SEC on May 9, 2024;</w:t>
      </w:r>
    </w:p>
    <w:p>
      <w:pPr>
        <w:spacing w:after="0" w:line="9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37"/>
        </w:numPr>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January 11,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25,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26,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24, 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May</w:t>
        </w:r>
      </w:hyperlink>
      <w:r>
        <w:rPr>
          <w:rFonts w:ascii="Times New Roman" w:cs="Times New Roman" w:eastAsia="Times New Roman" w:hAnsi="Times New Roman"/>
          <w:sz w:val="14"/>
          <w:szCs w:val="14"/>
          <w:color w:val="auto"/>
        </w:rPr>
        <w:t xml:space="preserve"> </w:t>
      </w:r>
      <w:hyperlink r:id="rId76">
        <w:r>
          <w:rPr>
            <w:rFonts w:ascii="Times New Roman" w:cs="Times New Roman" w:eastAsia="Times New Roman" w:hAnsi="Times New Roman"/>
            <w:sz w:val="14"/>
            <w:szCs w:val="14"/>
            <w:u w:val="single" w:color="auto"/>
            <w:color w:val="0000EE"/>
          </w:rPr>
          <w:t>29, 2024</w:t>
        </w:r>
        <w:r>
          <w:rPr>
            <w:rFonts w:ascii="Times New Roman" w:cs="Times New Roman" w:eastAsia="Times New Roman" w:hAnsi="Times New Roman"/>
            <w:sz w:val="14"/>
            <w:szCs w:val="14"/>
            <w:color w:val="000000"/>
          </w:rPr>
          <w:t>; and</w:t>
        </w:r>
      </w:hyperlink>
    </w:p>
    <w:p>
      <w:pPr>
        <w:spacing w:after="0" w:line="64" w:lineRule="exact"/>
        <w:rPr>
          <w:rFonts w:ascii="Times New Roman" w:cs="Times New Roman" w:eastAsia="Times New Roman" w:hAnsi="Times New Roman"/>
          <w:sz w:val="14"/>
          <w:szCs w:val="14"/>
          <w:color w:val="0000EE"/>
        </w:rPr>
      </w:pPr>
    </w:p>
    <w:p>
      <w:pPr>
        <w:ind w:left="1080" w:right="599" w:hanging="334"/>
        <w:spacing w:after="0" w:line="264" w:lineRule="auto"/>
        <w:tabs>
          <w:tab w:leader="none" w:pos="1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units contained in the Registration Statement filed on </w:t>
      </w:r>
      <w:hyperlink r:id="rId77">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dated January 31, 2006, filed with the SEC on January 11, 2006, and any amendment or report filed with the SEC for the purpose of updating the description.</w:t>
      </w:r>
    </w:p>
    <w:p>
      <w:pPr>
        <w:spacing w:after="0" w:line="136" w:lineRule="exact"/>
        <w:rPr>
          <w:rFonts w:ascii="Times New Roman" w:cs="Times New Roman" w:eastAsia="Times New Roman" w:hAnsi="Times New Roman"/>
          <w:sz w:val="14"/>
          <w:szCs w:val="14"/>
          <w:color w:val="auto"/>
        </w:rPr>
      </w:pPr>
    </w:p>
    <w:p>
      <w:pPr>
        <w:ind w:left="340" w:right="479" w:firstLine="333"/>
        <w:spacing w:after="0" w:line="250"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9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5" w:right="1440" w:bottom="1440" w:gutter="0" w:footer="0" w:header="0"/>
        </w:sectPr>
      </w:pPr>
    </w:p>
    <w:bookmarkStart w:id="49" w:name="page50"/>
    <w:bookmarkEnd w:id="49"/>
    <w:p>
      <w:pPr>
        <w:ind w:left="340" w:right="559" w:firstLine="333"/>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You may request a free copy of any of the documents incorporated by reference in this prospectus by writing or telephoning us at the following address: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Energy Transfer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8111 Westchester Drive, Suite 600</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Dallas, Texas 75225</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 981-0700</w:t>
      </w:r>
    </w:p>
    <w:p>
      <w:pPr>
        <w:spacing w:after="0" w:line="154"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FORWARD-LOOKING STATEMENTS</w:t>
      </w:r>
    </w:p>
    <w:p>
      <w:pPr>
        <w:spacing w:after="0" w:line="170" w:lineRule="exact"/>
        <w:rPr>
          <w:sz w:val="20"/>
          <w:szCs w:val="20"/>
          <w:color w:val="auto"/>
        </w:rPr>
      </w:pPr>
    </w:p>
    <w:p>
      <w:pPr>
        <w:ind w:left="340" w:right="379" w:firstLine="333"/>
        <w:spacing w:after="0" w:line="292" w:lineRule="auto"/>
        <w:rPr>
          <w:sz w:val="20"/>
          <w:szCs w:val="20"/>
          <w:color w:val="auto"/>
        </w:rPr>
      </w:pPr>
      <w:r>
        <w:rPr>
          <w:rFonts w:ascii="Times New Roman" w:cs="Times New Roman" w:eastAsia="Times New Roman" w:hAnsi="Times New Roman"/>
          <w:sz w:val="12"/>
          <w:szCs w:val="12"/>
          <w:color w:val="auto"/>
        </w:rPr>
        <w:t>This prospectus and any prospectus supplement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and any prospectus supplement and the documents we incorporate by reference herein or therein,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215" w:lineRule="exact"/>
        <w:rPr>
          <w:sz w:val="20"/>
          <w:szCs w:val="20"/>
          <w:color w:val="auto"/>
        </w:rPr>
      </w:pPr>
    </w:p>
    <w:p>
      <w:pPr>
        <w:ind w:left="1080" w:right="499" w:hanging="334"/>
        <w:spacing w:after="0" w:line="264" w:lineRule="auto"/>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subsidiaries to make cash distributions to us, which is dependent on their results of operations, cash flows and financial condition;</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distributions by our subsidiaries to us;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transported on our subsidiaries’ pipelines and gathering systems;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throughput in our subsidiaries’ processing and treating facilities;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our subsidiaries charge and the margins they realize for their gathering, treating, processing, storage and transportation services;</w:t>
      </w:r>
    </w:p>
    <w:p>
      <w:pPr>
        <w:spacing w:after="0" w:line="1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and market demand for, and the relationship between, natural gas and natural gas liquids, or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prices generally;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world health events;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cyber and malware attacks;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of natural gas and NGLs compared to the price of alternative and competing fuels;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level of petroleum product demand and the availability and price of NGL supplies;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domestic oil, natural gas and NGL production;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imported oil,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foreign oil and gas producing nations;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and economic stability of petroleum producing nations;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weather conditions on demand for oil,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local, intrastate and interstate transportation systems;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ability to find and contract for new sources of natural gas supply;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marketing of competitive fuels;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energy conservation efforts;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efficiencies and technological trends;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regulation and taxation;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5" w:right="1440" w:bottom="1440" w:gutter="0" w:footer="0" w:header="0"/>
        </w:sectPr>
      </w:pPr>
    </w:p>
    <w:bookmarkStart w:id="51" w:name="page52"/>
    <w:bookmarkEnd w:id="51"/>
    <w:p>
      <w:pPr>
        <w:ind w:left="1080" w:right="35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changes to, and the application of, regulation of tariff rates and operational requirements related to our subsidiaries’ interstate and intrastate pipelines;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or operating risks incidental to the gathering, treating, processing and transporting of natural gas and NGLs;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midstream companies and interstate pipeline companies;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natural gas producers or the providers of fractionation services;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the capacity or allocations of third-party pipelines that connect with our subsidiaries’ pipelines and facilities;</w:t>
      </w:r>
    </w:p>
    <w:p>
      <w:pPr>
        <w:spacing w:after="0" w:line="94"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risk-management policies and procedures and the ability of our subsidiaries liquids marketing counterparties to satisfy their financial commitments;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nonpayment or nonperformance by our subsidiaries’ customers;</w:t>
      </w:r>
    </w:p>
    <w:p>
      <w:pPr>
        <w:spacing w:after="0" w:line="94" w:lineRule="exact"/>
        <w:rPr>
          <w:rFonts w:ascii="Times New Roman" w:cs="Times New Roman" w:eastAsia="Times New Roman" w:hAnsi="Times New Roman"/>
          <w:sz w:val="14"/>
          <w:szCs w:val="14"/>
          <w:color w:val="auto"/>
        </w:rPr>
      </w:pPr>
    </w:p>
    <w:p>
      <w:pPr>
        <w:jc w:val="both"/>
        <w:ind w:left="1080" w:right="599" w:hanging="334"/>
        <w:spacing w:after="0" w:line="25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of new infrastructure projects or other growth projects, including failure to make sufficient progress to justify continued development, delays in obtaining customers, increased costs of financing and regulatory, environmental, political and legal uncertainties that may affect the timing and cost of these projects;</w:t>
      </w:r>
    </w:p>
    <w:p>
      <w:pPr>
        <w:spacing w:after="0" w:line="70" w:lineRule="exact"/>
        <w:rPr>
          <w:rFonts w:ascii="Times New Roman" w:cs="Times New Roman" w:eastAsia="Times New Roman" w:hAnsi="Times New Roman"/>
          <w:sz w:val="14"/>
          <w:szCs w:val="14"/>
          <w:color w:val="auto"/>
        </w:rPr>
      </w:pPr>
    </w:p>
    <w:p>
      <w:pPr>
        <w:ind w:left="1080" w:right="399" w:hanging="334"/>
        <w:spacing w:after="0" w:line="25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capital and our subsidiaries’ ability to access certain capital sources;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of the credit and capital markets;</w:t>
      </w:r>
    </w:p>
    <w:p>
      <w:pPr>
        <w:spacing w:after="0" w:line="94" w:lineRule="exact"/>
        <w:rPr>
          <w:rFonts w:ascii="Times New Roman" w:cs="Times New Roman" w:eastAsia="Times New Roman" w:hAnsi="Times New Roman"/>
          <w:sz w:val="14"/>
          <w:szCs w:val="14"/>
          <w:color w:val="auto"/>
        </w:rPr>
      </w:pPr>
    </w:p>
    <w:p>
      <w:pPr>
        <w:ind w:left="1080" w:right="35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assets and operations of entities in which our subsidiaries own a noncontrolling interests, including risks related to management actions at such entities that our subsidiaries may not be able to control or exert influence;</w:t>
      </w:r>
    </w:p>
    <w:p>
      <w:pPr>
        <w:spacing w:after="0" w:line="6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successfully identify and consummate strategic acquisitions at purchase prices that are accretive to our financial results and to successfully integrate acquired businesses;</w:t>
      </w:r>
    </w:p>
    <w:p>
      <w:pPr>
        <w:spacing w:after="0" w:line="64" w:lineRule="exact"/>
        <w:rPr>
          <w:rFonts w:ascii="Times New Roman" w:cs="Times New Roman" w:eastAsia="Times New Roman" w:hAnsi="Times New Roman"/>
          <w:sz w:val="14"/>
          <w:szCs w:val="14"/>
          <w:color w:val="auto"/>
        </w:rPr>
      </w:pPr>
    </w:p>
    <w:p>
      <w:pPr>
        <w:ind w:left="1080" w:right="43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to which we are subject, including tax, environmental, transportation and employment regulations or new interpretations by regulatory agencies concerning such laws and regulations;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effects of legal and administrative proceedings.</w:t>
      </w:r>
    </w:p>
    <w:p>
      <w:pPr>
        <w:spacing w:after="0" w:line="166"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You should not put undue reliance on any forward-looking statements. When considering forward-looking statements, please review the risks described or referenced in this prospectus and any prospectus supplement and the documents we incorporate by reference herein or therein. Each forward-looking statement made by us in this prospectus and any prospectus supplement and the documents we incorporate by reference herein or therein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ENERGY TRANSFER LP</w:t>
      </w:r>
    </w:p>
    <w:p>
      <w:pPr>
        <w:spacing w:after="0" w:line="170" w:lineRule="exact"/>
        <w:rPr>
          <w:sz w:val="20"/>
          <w:szCs w:val="20"/>
          <w:color w:val="auto"/>
        </w:rPr>
      </w:pPr>
    </w:p>
    <w:p>
      <w:pPr>
        <w:ind w:left="340" w:right="479" w:firstLine="333"/>
        <w:spacing w:after="0" w:line="248" w:lineRule="auto"/>
        <w:rPr>
          <w:sz w:val="20"/>
          <w:szCs w:val="20"/>
          <w:color w:val="auto"/>
        </w:rPr>
      </w:pPr>
      <w:r>
        <w:rPr>
          <w:rFonts w:ascii="Times New Roman" w:cs="Times New Roman" w:eastAsia="Times New Roman" w:hAnsi="Times New Roman"/>
          <w:sz w:val="14"/>
          <w:szCs w:val="14"/>
          <w:color w:val="auto"/>
        </w:rPr>
        <w:t>Energy Transfer LP is a publicly traded limited partnership owning and operating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Lake Charles LNG Company, as well as limited partner interests and the general partner interests of publicly traded master limited partnerships Sunoco LP (NYSE: SUN) and USA Compression Partners, LP (NYSE: USAC).</w:t>
      </w:r>
    </w:p>
    <w:p>
      <w:pPr>
        <w:spacing w:after="0" w:line="149"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The address of our principal executive office is 8111 Westchester Drive, Suite 600, Dallas, Texas 75225, and the telephone number at this address is (214) 981-0700.</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5"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RISK FACTORS</w:t>
      </w:r>
    </w:p>
    <w:p>
      <w:pPr>
        <w:spacing w:after="0" w:line="170" w:lineRule="exact"/>
        <w:rPr>
          <w:sz w:val="20"/>
          <w:szCs w:val="20"/>
          <w:color w:val="auto"/>
        </w:rPr>
      </w:pPr>
    </w:p>
    <w:p>
      <w:pPr>
        <w:ind w:left="340" w:right="359" w:firstLine="333"/>
        <w:spacing w:after="0" w:line="291" w:lineRule="auto"/>
        <w:rPr>
          <w:sz w:val="20"/>
          <w:szCs w:val="20"/>
          <w:color w:val="auto"/>
        </w:rPr>
      </w:pPr>
      <w:r>
        <w:rPr>
          <w:rFonts w:ascii="Times New Roman" w:cs="Times New Roman" w:eastAsia="Times New Roman" w:hAnsi="Times New Roman"/>
          <w:sz w:val="12"/>
          <w:szCs w:val="12"/>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5"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USE OF PROCEEDS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We intend to use the net proceeds from the sale of the securities as set forth in the applicable prospectus supplement.</w:t>
      </w:r>
    </w:p>
    <w:p>
      <w:pPr>
        <w:spacing w:after="0" w:line="1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5"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COMMON UNITS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Common Units</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Our common units represent limited partner interests that entitle the holders to participate in our cash distributions and to exercise the rights and privileges available to limited partners under our Fourth Amended and Restated Agreement of Limited Partnership, as amended to date (our “partnership agreement”). For a description of the rights of holders of our common units to cash distributions, see the section in this prospectus entitled “Distribution Policy.” For a description of the rights and privileges of limited partners under our partnership agreement, including voting rights, see the section in this prospectus entitled “Our Partnership Agreement.” We urge you to read the partnership agreement, as the partnership agreement, and not this description, governs the rights of holders of our common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Number of Common Units</w:t>
      </w:r>
    </w:p>
    <w:p>
      <w:pPr>
        <w:spacing w:after="0" w:line="88"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The majority of our common units are held by the public and the remaining are held by our affiliates. In accordance with Delaware law and the provisions of our partnership agreement, we may issue additional common units without the approval of the then-existing holders of common units, and such additional issuance may dilute the then-existing common unitholders’ percentage interests in our net assets and the voting rights of the common unitholders under our partnership agreement. As of June 3, 2024, we had 3,371,355,966 common units outstanding, the majority of which are held by the public and the remaining held by our affiliates.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88" w:lineRule="exact"/>
        <w:rPr>
          <w:sz w:val="20"/>
          <w:szCs w:val="20"/>
          <w:color w:val="auto"/>
        </w:rPr>
      </w:pPr>
    </w:p>
    <w:p>
      <w:pPr>
        <w:ind w:left="340" w:right="439" w:firstLine="333"/>
        <w:spacing w:after="0" w:line="300" w:lineRule="auto"/>
        <w:rPr>
          <w:sz w:val="20"/>
          <w:szCs w:val="20"/>
          <w:color w:val="auto"/>
        </w:rPr>
      </w:pPr>
      <w:r>
        <w:rPr>
          <w:rFonts w:ascii="Times New Roman" w:cs="Times New Roman" w:eastAsia="Times New Roman" w:hAnsi="Times New Roman"/>
          <w:sz w:val="12"/>
          <w:szCs w:val="12"/>
          <w:color w:val="auto"/>
        </w:rPr>
        <w:t>Unlike the holders of common stock in a corporation, the holders of our common units have only limited voting rights on matters affecting our business. The holders of our common units have no right to elect the general partner or the directors of the general partner on an annual or otherwise continuing basis. Our general partner may not be removed except by the vote of the holders of at least 66 2/3% of the outstanding units, including units owned by the general partner and its affiliates. Each holder of common units is entitled to one vote for each common unit on all matters submitted to a vote of the unitholders. Common unitholders do not have preemptive rights to acquire additional common units or other partnership securities.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Holders of our common units may vote on the following matters:</w:t>
      </w:r>
    </w:p>
    <w:p>
      <w:pPr>
        <w:spacing w:after="0" w:line="94" w:lineRule="exact"/>
        <w:rPr>
          <w:sz w:val="20"/>
          <w:szCs w:val="20"/>
          <w:color w:val="auto"/>
        </w:rPr>
      </w:pPr>
    </w:p>
    <w:p>
      <w:pPr>
        <w:ind w:left="1080" w:hanging="334"/>
        <w:spacing w:after="0"/>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or exchange of all or substantially all of our assets;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a successor general partner in connection with the withdrawal or removal of our general partner;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dissolution or reconstitution of our partnership;</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of our partnership;</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limited partner interests in some circumstances; and</w:t>
      </w:r>
    </w:p>
    <w:p>
      <w:pPr>
        <w:spacing w:after="0" w:line="94" w:lineRule="exact"/>
        <w:rPr>
          <w:rFonts w:ascii="Times New Roman" w:cs="Times New Roman" w:eastAsia="Times New Roman" w:hAnsi="Times New Roman"/>
          <w:sz w:val="14"/>
          <w:szCs w:val="14"/>
          <w:color w:val="auto"/>
        </w:rPr>
      </w:pPr>
    </w:p>
    <w:p>
      <w:pPr>
        <w:ind w:left="1080" w:right="399" w:hanging="334"/>
        <w:spacing w:after="0" w:line="264" w:lineRule="auto"/>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amendments to the partnership agreement, including any amendment that will cause Energy Transfer to be treated as an association taxable as a corporation.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Removal of the general partner requires:</w:t>
      </w:r>
    </w:p>
    <w:p>
      <w:pPr>
        <w:spacing w:after="0" w:line="94" w:lineRule="exact"/>
        <w:rPr>
          <w:sz w:val="20"/>
          <w:szCs w:val="20"/>
          <w:color w:val="auto"/>
        </w:rPr>
      </w:pPr>
    </w:p>
    <w:p>
      <w:pPr>
        <w:ind w:left="1080" w:hanging="334"/>
        <w:spacing w:after="0"/>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66 2/3% vote of all outstanding units; and</w:t>
      </w:r>
    </w:p>
    <w:p>
      <w:pPr>
        <w:spacing w:after="0" w:line="94" w:lineRule="exact"/>
        <w:rPr>
          <w:rFonts w:ascii="Times New Roman" w:cs="Times New Roman" w:eastAsia="Times New Roman" w:hAnsi="Times New Roman"/>
          <w:sz w:val="14"/>
          <w:szCs w:val="14"/>
          <w:color w:val="auto"/>
        </w:rPr>
      </w:pPr>
    </w:p>
    <w:p>
      <w:pPr>
        <w:ind w:left="4480" w:right="2239" w:hanging="3734"/>
        <w:spacing w:after="0" w:line="432" w:lineRule="auto"/>
        <w:tabs>
          <w:tab w:leader="none" w:pos="108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a successor general partner by the holders of a majority of our outstanding common units. 9</w:t>
      </w:r>
    </w:p>
    <w:p>
      <w:pPr>
        <w:sectPr>
          <w:pgSz w:w="11900" w:h="16838" w:orient="portrait"/>
          <w:cols w:equalWidth="0" w:num="1">
            <w:col w:w="9019"/>
          </w:cols>
          <w:pgMar w:left="1440" w:top="235" w:right="1440"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Transfer of Common Units</w:t>
      </w:r>
    </w:p>
    <w:p>
      <w:pPr>
        <w:spacing w:after="0" w:line="88" w:lineRule="exact"/>
        <w:rPr>
          <w:sz w:val="20"/>
          <w:szCs w:val="20"/>
          <w:color w:val="auto"/>
        </w:rPr>
      </w:pPr>
    </w:p>
    <w:p>
      <w:pPr>
        <w:ind w:left="340" w:right="799" w:firstLine="333"/>
        <w:spacing w:after="0" w:line="264" w:lineRule="auto"/>
        <w:rPr>
          <w:sz w:val="20"/>
          <w:szCs w:val="20"/>
          <w:color w:val="auto"/>
        </w:rPr>
      </w:pPr>
      <w:r>
        <w:rPr>
          <w:rFonts w:ascii="Times New Roman" w:cs="Times New Roman" w:eastAsia="Times New Roman" w:hAnsi="Times New Roman"/>
          <w:sz w:val="14"/>
          <w:szCs w:val="14"/>
          <w:color w:val="auto"/>
        </w:rPr>
        <w:t>Any transfers of a common unit will not be recorded by the transfer agent or recognized by us unless the transferee executes and delivers a transfer application. By executing and delivering a transfer application, the transferee of common units:</w:t>
      </w:r>
    </w:p>
    <w:p>
      <w:pPr>
        <w:spacing w:after="0" w:line="65" w:lineRule="exact"/>
        <w:rPr>
          <w:sz w:val="20"/>
          <w:szCs w:val="20"/>
          <w:color w:val="auto"/>
        </w:rPr>
      </w:pPr>
    </w:p>
    <w:p>
      <w:pPr>
        <w:ind w:left="1080" w:hanging="334"/>
        <w:spacing w:after="0"/>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becomes the record holder of the common units and is an assignee until admitted as a substituted limited partner;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requests admission as a substituted limited partner;</w:t>
      </w:r>
    </w:p>
    <w:p>
      <w:pPr>
        <w:spacing w:after="0" w:line="94" w:lineRule="exact"/>
        <w:rPr>
          <w:rFonts w:ascii="Times New Roman" w:cs="Times New Roman" w:eastAsia="Times New Roman" w:hAnsi="Times New Roman"/>
          <w:sz w:val="14"/>
          <w:szCs w:val="14"/>
          <w:color w:val="auto"/>
        </w:rPr>
      </w:pPr>
    </w:p>
    <w:p>
      <w:pPr>
        <w:ind w:left="1080" w:right="939" w:hanging="334"/>
        <w:spacing w:after="0" w:line="264" w:lineRule="auto"/>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and warrants that such transferee has the right, power and authority and, if an individual, the capacity to enter into our partnership agreement;</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the powers of attorney set forth in our partnership agreement;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the consents and approvals and makes the waivers contained in our partnership agreement.</w:t>
      </w:r>
    </w:p>
    <w:p>
      <w:pPr>
        <w:spacing w:after="0" w:line="166"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An assignee will become a substituted limited partner for the transferred common units upon the consent of our general partner and the recording of the name of the assignee on our books and records. Our general partner may withhold its consent in its sole discretion.</w:t>
      </w:r>
    </w:p>
    <w:p>
      <w:pPr>
        <w:spacing w:after="0" w:line="136"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42"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Common units are securities and are transferable according to the laws governing transfer of securities. In addition to other rights acquired upon admission as a substituted limited partner for the transferred common units, a purchaser or transferee of common units who does not execute and deliver a transfer application obtains only:</w:t>
      </w:r>
    </w:p>
    <w:p>
      <w:pPr>
        <w:spacing w:after="0" w:line="71" w:lineRule="exact"/>
        <w:rPr>
          <w:sz w:val="20"/>
          <w:szCs w:val="20"/>
          <w:color w:val="auto"/>
        </w:rPr>
      </w:pPr>
    </w:p>
    <w:p>
      <w:pPr>
        <w:ind w:left="1080" w:hanging="334"/>
        <w:spacing w:after="0"/>
        <w:tabs>
          <w:tab w:leader="none" w:pos="1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assign the common units to a purchaser or other transferee;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transfer the right to seek admission as a substituted limited partner for the transferred common units.</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Thus, a purchaser or transferee of common units who does not execute and deliver a transfer application:</w:t>
      </w:r>
    </w:p>
    <w:p>
      <w:pPr>
        <w:spacing w:after="0" w:line="94" w:lineRule="exact"/>
        <w:rPr>
          <w:sz w:val="20"/>
          <w:szCs w:val="20"/>
          <w:color w:val="auto"/>
        </w:rPr>
      </w:pPr>
    </w:p>
    <w:p>
      <w:pPr>
        <w:ind w:left="1080" w:right="739" w:hanging="334"/>
        <w:spacing w:after="0" w:line="264" w:lineRule="auto"/>
        <w:tabs>
          <w:tab w:leader="none" w:pos="1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cash distributions or federal income tax allocations, unless the common units are held in a nominee or “street name” account and the nominee or broker has executed and delivered a transfer application;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receive some federal income tax information or reports furnished to record holders of common units.</w:t>
      </w:r>
    </w:p>
    <w:p>
      <w:pPr>
        <w:spacing w:after="0" w:line="166" w:lineRule="exact"/>
        <w:rPr>
          <w:sz w:val="20"/>
          <w:szCs w:val="20"/>
          <w:color w:val="auto"/>
        </w:rPr>
      </w:pPr>
    </w:p>
    <w:p>
      <w:pPr>
        <w:jc w:val="both"/>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w:t>
      </w:r>
    </w:p>
    <w:p>
      <w:pPr>
        <w:spacing w:after="0" w:line="142"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Until a common unit has been transferred on our books, we and the transfer agent may treat the record holder of the common unit as the absolute owner for all purposes, except as otherwise required by law or stock exchange regulations.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88"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Our outstanding common units are listed on the NYSE under the symbol “ET.” Any additional common units we issue also will be listed on the NYSE.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5" w:right="1440"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Transfer Agent and Registrar</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transfer agent and registrar for the common units is Equiniti.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35"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OUR PARTNERSHIP AGREEMENT</w:t>
      </w:r>
    </w:p>
    <w:p>
      <w:pPr>
        <w:spacing w:after="0" w:line="170"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This description is a summary of the material provisions of our partnership agreement. The provisions of our partnership agreement relating to distributions of our available cash are described under “Distribution Policy.”</w:t>
      </w:r>
    </w:p>
    <w:p>
      <w:pPr>
        <w:spacing w:after="0" w:line="136" w:lineRule="exact"/>
        <w:rPr>
          <w:sz w:val="20"/>
          <w:szCs w:val="20"/>
          <w:color w:val="auto"/>
        </w:rPr>
      </w:pPr>
    </w:p>
    <w:p>
      <w:pPr>
        <w:ind w:left="340" w:right="379" w:firstLine="333"/>
        <w:spacing w:after="0" w:line="305" w:lineRule="auto"/>
        <w:rPr>
          <w:sz w:val="20"/>
          <w:szCs w:val="20"/>
          <w:color w:val="auto"/>
        </w:rPr>
      </w:pPr>
      <w:r>
        <w:rPr>
          <w:rFonts w:ascii="Times New Roman" w:cs="Times New Roman" w:eastAsia="Times New Roman" w:hAnsi="Times New Roman"/>
          <w:sz w:val="12"/>
          <w:szCs w:val="12"/>
          <w:color w:val="auto"/>
        </w:rPr>
        <w:t>The description of our partnership agreement contained herein does not purport to be complete and is qualified in its entirety by reference to the complete text of our Fourth Amended and Restated Agreement of Limited Partnership, dated November 3, 2023, as amended. A copy of our partnership agreement is filed as Exhibit 3.2 to our Current Report on Form 8-K filed with the SEC on November 6, 2023, which is incorporated by reference into this prospectus. We urge you to read our partnership agreement, as our partnership agreement, and not this description, governs our partnership interests.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88" w:lineRule="exact"/>
        <w:rPr>
          <w:sz w:val="20"/>
          <w:szCs w:val="20"/>
          <w:color w:val="auto"/>
        </w:rPr>
      </w:pPr>
    </w:p>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t>Under our partnership agreement, we are permitted to engage, directly or indirectly, in any business activity that is approved by our general partner and that lawfully may be conducted by a limited partnership organized under Delaware law, provided that our general partner may not cause us to engage, directly or indirectly, in any business activity that our general partner determines would cause us to be treated as an association taxable as a corporation or otherwise taxable as an entity for federal income tax purposes.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88"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Each unitholder, and each person who acquires a unit from a unitholder, by accepting the unit, automatically grants to our general partner and, if appointed, a liquidator, a power of attorney to, among other things, execute and file documents required for our qualification, continuance or dissolution. The power of attorney also grants the authority to amend, and to make consents and waivers under, our partnership agreement.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88" w:lineRule="exact"/>
        <w:rPr>
          <w:sz w:val="20"/>
          <w:szCs w:val="20"/>
          <w:color w:val="auto"/>
        </w:rPr>
      </w:pPr>
    </w:p>
    <w:p>
      <w:pPr>
        <w:ind w:left="340" w:right="659" w:firstLine="333"/>
        <w:spacing w:after="0" w:line="264" w:lineRule="auto"/>
        <w:rPr>
          <w:sz w:val="20"/>
          <w:szCs w:val="20"/>
          <w:color w:val="auto"/>
        </w:rPr>
      </w:pPr>
      <w:r>
        <w:rPr>
          <w:rFonts w:ascii="Times New Roman" w:cs="Times New Roman" w:eastAsia="Times New Roman" w:hAnsi="Times New Roman"/>
          <w:sz w:val="14"/>
          <w:szCs w:val="14"/>
          <w:color w:val="auto"/>
        </w:rPr>
        <w:t>Pursuant to our partnership agreement, we make quarterly distributions of available cash to all unitholders and our general partner. Please see “Distribution Policy.”</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Reimbursement of Expenses</w:t>
      </w:r>
    </w:p>
    <w:p>
      <w:pPr>
        <w:spacing w:after="0" w:line="88" w:lineRule="exact"/>
        <w:rPr>
          <w:sz w:val="20"/>
          <w:szCs w:val="20"/>
          <w:color w:val="auto"/>
        </w:rPr>
      </w:pPr>
    </w:p>
    <w:p>
      <w:pPr>
        <w:ind w:left="340" w:right="399" w:firstLine="333"/>
        <w:spacing w:after="0" w:line="305" w:lineRule="auto"/>
        <w:rPr>
          <w:sz w:val="20"/>
          <w:szCs w:val="20"/>
          <w:color w:val="auto"/>
        </w:rPr>
      </w:pPr>
      <w:r>
        <w:rPr>
          <w:rFonts w:ascii="Times New Roman" w:cs="Times New Roman" w:eastAsia="Times New Roman" w:hAnsi="Times New Roman"/>
          <w:sz w:val="12"/>
          <w:szCs w:val="12"/>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is entitled to determine in good faith the expenses that are allocable to us.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Issuance of Additional Partnership Securities; Preemptive Rights</w:t>
      </w:r>
    </w:p>
    <w:p>
      <w:pPr>
        <w:spacing w:after="0" w:line="88" w:lineRule="exact"/>
        <w:rPr>
          <w:sz w:val="20"/>
          <w:szCs w:val="20"/>
          <w:color w:val="auto"/>
        </w:rPr>
      </w:pPr>
    </w:p>
    <w:p>
      <w:pPr>
        <w:ind w:left="340" w:right="799" w:firstLine="333"/>
        <w:spacing w:after="0" w:line="254"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w:t>
      </w:r>
    </w:p>
    <w:p>
      <w:pPr>
        <w:spacing w:after="0" w:line="142"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5" w:right="1440" w:bottom="1440" w:gutter="0" w:footer="0" w:header="0"/>
        </w:sectPr>
      </w:pPr>
    </w:p>
    <w:bookmarkStart w:id="59" w:name="page60"/>
    <w:bookmarkEnd w:id="59"/>
    <w:p>
      <w:pPr>
        <w:ind w:left="340" w:right="3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partnership interests may dilute (i) the percentage interests of the then-existing holders of common units in our net assets and (ii) the voting rights of the then-existing holders of common units under our partnership agreement.</w:t>
      </w:r>
    </w:p>
    <w:p>
      <w:pPr>
        <w:spacing w:after="0" w:line="136"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In accordance with Delaware law and the provisions of our partnership agreement, we may also issue additional partnership securities that have special voting rights to which the common units are not entitled.</w:t>
      </w:r>
    </w:p>
    <w:p>
      <w:pPr>
        <w:spacing w:after="0" w:line="136" w:lineRule="exact"/>
        <w:rPr>
          <w:sz w:val="20"/>
          <w:szCs w:val="20"/>
          <w:color w:val="auto"/>
        </w:rPr>
      </w:pPr>
    </w:p>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t>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holders of our common units do not have preemptive rights to acquire additional common units or other partnership securities.</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As of June 3, 2024, we had 834,434,002 Class A units representing limited partner interests (the “Class A units”) outstanding. The Class A units</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vote together with our common units, as a single class, on any matter for which the holders of common units are entitled to vote, except as required by</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law. Additionally, for so long as Kelcy Warren is an officer or a director of our general partner, upon the issuance by us of additional common units or</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any securities that have voting rights that are pari passu with our common units, we will issue to the holder of Class A units a number of additional</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Class A units such that the holder maintains a voting interest in us that is identical to its voting interest in us prior to such issuance. The Class A units are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 entitled to distributions and otherwise have no economic attributes, except that the Class A units in the aggregate will be entitled to an aggregate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$100 distribution prior and in preference to any distribution of assets to the holders of any other classes or series of our securities upon our liquidation,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dissolution or winding up. The Class A units are not convertible into, or exchangeable for, common units. In addition to the other voting rights of the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Class A units, without the approval of 66 2/3% of the Class A units, we may not take any action that disproportionately or materially adversely affects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the rights, preferences or privileges of the Class A units or amend the terms of the Class A units. Without the prior approval of a conflicts committee of</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the board of directors of our general partner, the Class A units may not be transferred to any person or entity, other than to Kelcy Warren, Ray Davis or</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to any trust, family partnership or family limited liability company the sole beneficiaries, partners or members of which are Kelcy Warren, Ray Davis or</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their respective relatives.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Amendments to Our Partnership Agreement</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86"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Delaware Act or any other law, rule or regulation. A proposed amendment will be effective upon its approval by the holders of a majority of the outstanding common units (a “unit majority”), unless a greater or different percentage is required under our partnership agreement or by Delaware law. Each proposed amendment that requires the approval of the holders of a specified percentage of outstanding units will be set forth in a writing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60" w:name="page61"/>
    <w:bookmarkEnd w:id="60"/>
    <w:p>
      <w:pPr>
        <w:jc w:val="both"/>
        <w:ind w:left="340" w:right="4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Restrictions on Certain Amendments</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Our partnership agreement provides that:</w:t>
      </w:r>
    </w:p>
    <w:p>
      <w:pPr>
        <w:spacing w:after="0" w:line="94" w:lineRule="exact"/>
        <w:rPr>
          <w:sz w:val="20"/>
          <w:szCs w:val="20"/>
          <w:color w:val="auto"/>
        </w:rPr>
      </w:pPr>
    </w:p>
    <w:p>
      <w:pPr>
        <w:ind w:left="1080" w:right="399" w:hanging="416"/>
        <w:spacing w:after="0" w:line="250"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74" w:lineRule="exact"/>
        <w:rPr>
          <w:rFonts w:ascii="Times New Roman" w:cs="Times New Roman" w:eastAsia="Times New Roman" w:hAnsi="Times New Roman"/>
          <w:sz w:val="14"/>
          <w:szCs w:val="14"/>
          <w:color w:val="auto"/>
        </w:rPr>
      </w:pPr>
    </w:p>
    <w:p>
      <w:pPr>
        <w:ind w:left="1080" w:right="359" w:hanging="416"/>
        <w:spacing w:after="0" w:line="247"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 or (d) change the term of our partnership or, except as set forth in the election to dissolve provision, give any person the right to dissolve our partnership;</w:t>
      </w:r>
    </w:p>
    <w:p>
      <w:pPr>
        <w:spacing w:after="0" w:line="75" w:lineRule="exact"/>
        <w:rPr>
          <w:rFonts w:ascii="Times New Roman" w:cs="Times New Roman" w:eastAsia="Times New Roman" w:hAnsi="Times New Roman"/>
          <w:sz w:val="14"/>
          <w:szCs w:val="14"/>
          <w:color w:val="auto"/>
        </w:rPr>
      </w:pPr>
    </w:p>
    <w:p>
      <w:pPr>
        <w:ind w:left="1080" w:right="579" w:hanging="416"/>
        <w:spacing w:after="0" w:line="248"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77" w:lineRule="exact"/>
        <w:rPr>
          <w:rFonts w:ascii="Times New Roman" w:cs="Times New Roman" w:eastAsia="Times New Roman" w:hAnsi="Times New Roman"/>
          <w:sz w:val="14"/>
          <w:szCs w:val="14"/>
          <w:color w:val="auto"/>
        </w:rPr>
      </w:pPr>
    </w:p>
    <w:p>
      <w:pPr>
        <w:jc w:val="both"/>
        <w:ind w:left="1080" w:right="359" w:hanging="416"/>
        <w:spacing w:after="0" w:line="250"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w:t>
      </w:r>
    </w:p>
    <w:p>
      <w:pPr>
        <w:spacing w:after="0" w:line="7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amendments described below under “—No Unitholder Approval,” the provisions set forth in clauses (1) through (4) above and</w:t>
      </w:r>
    </w:p>
    <w:p>
      <w:pPr>
        <w:spacing w:after="0" w:line="37" w:lineRule="exact"/>
        <w:rPr>
          <w:rFonts w:ascii="Times New Roman" w:cs="Times New Roman" w:eastAsia="Times New Roman" w:hAnsi="Times New Roman"/>
          <w:sz w:val="12"/>
          <w:szCs w:val="12"/>
          <w:color w:val="auto"/>
        </w:rPr>
      </w:pPr>
    </w:p>
    <w:p>
      <w:pPr>
        <w:ind w:left="10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(6) below may only be amended with the approval of the holders of at least 90% of the outstanding units; and</w:t>
      </w:r>
    </w:p>
    <w:p>
      <w:pPr>
        <w:spacing w:after="0" w:line="82" w:lineRule="exact"/>
        <w:rPr>
          <w:rFonts w:ascii="Times New Roman" w:cs="Times New Roman" w:eastAsia="Times New Roman" w:hAnsi="Times New Roman"/>
          <w:sz w:val="12"/>
          <w:szCs w:val="12"/>
          <w:color w:val="auto"/>
        </w:rPr>
      </w:pPr>
    </w:p>
    <w:p>
      <w:pPr>
        <w:ind w:left="1080" w:right="699" w:hanging="416"/>
        <w:spacing w:after="0" w:line="264"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approval of the holders of 66 2/3% of the Class A Units, we may not take any action that disproportionately or materially adversely affects the rights, preferences or privileges of the Class A Units or amend the terms of the Class A Units.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 Unitholder Approval</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Our general partner, without the approval of any limited partner, may amend any provision of our partnership agreement to reflect:</w:t>
      </w:r>
    </w:p>
    <w:p>
      <w:pPr>
        <w:spacing w:after="0" w:line="94" w:lineRule="exact"/>
        <w:rPr>
          <w:sz w:val="20"/>
          <w:szCs w:val="20"/>
          <w:color w:val="auto"/>
        </w:rPr>
      </w:pPr>
    </w:p>
    <w:p>
      <w:pPr>
        <w:ind w:left="1080" w:hanging="416"/>
        <w:spacing w:after="0"/>
        <w:tabs>
          <w:tab w:leader="none" w:pos="1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name, the location of our principal place of business, our registered agent or our registered office;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admission, substitution, withdrawal or removal of partners in accordance with our partnership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61" w:name="page62"/>
    <w:bookmarkEnd w:id="61"/>
    <w:p>
      <w:pPr>
        <w:ind w:left="1080" w:right="479" w:hanging="416"/>
        <w:spacing w:after="0" w:line="250"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w:t>
      </w:r>
    </w:p>
    <w:p>
      <w:pPr>
        <w:spacing w:after="0" w:line="74" w:lineRule="exact"/>
        <w:rPr>
          <w:rFonts w:ascii="Times New Roman" w:cs="Times New Roman" w:eastAsia="Times New Roman" w:hAnsi="Times New Roman"/>
          <w:sz w:val="14"/>
          <w:szCs w:val="14"/>
          <w:color w:val="auto"/>
        </w:rPr>
      </w:pPr>
    </w:p>
    <w:p>
      <w:pPr>
        <w:ind w:left="1080" w:right="399" w:hanging="416"/>
        <w:spacing w:after="0" w:line="293" w:lineRule="auto"/>
        <w:tabs>
          <w:tab w:leader="none" w:pos="10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Delaware Act)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w:t>
      </w:r>
    </w:p>
    <w:p>
      <w:pPr>
        <w:spacing w:after="0" w:line="214" w:lineRule="exact"/>
        <w:rPr>
          <w:rFonts w:ascii="Times New Roman" w:cs="Times New Roman" w:eastAsia="Times New Roman" w:hAnsi="Times New Roman"/>
          <w:sz w:val="12"/>
          <w:szCs w:val="12"/>
          <w:color w:val="auto"/>
        </w:rPr>
      </w:pPr>
    </w:p>
    <w:p>
      <w:pPr>
        <w:ind w:left="1080" w:right="379" w:hanging="416"/>
        <w:spacing w:after="0" w:line="250"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(other than the distributions to our existing preferred units, as described below in “Distribution Policy”) are to be made by us;</w:t>
      </w:r>
    </w:p>
    <w:p>
      <w:pPr>
        <w:spacing w:after="0" w:line="74" w:lineRule="exact"/>
        <w:rPr>
          <w:rFonts w:ascii="Times New Roman" w:cs="Times New Roman" w:eastAsia="Times New Roman" w:hAnsi="Times New Roman"/>
          <w:sz w:val="14"/>
          <w:szCs w:val="14"/>
          <w:color w:val="auto"/>
        </w:rPr>
      </w:pPr>
    </w:p>
    <w:p>
      <w:pPr>
        <w:ind w:left="1080" w:right="359" w:hanging="416"/>
        <w:spacing w:after="0" w:line="248"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77" w:lineRule="exact"/>
        <w:rPr>
          <w:rFonts w:ascii="Times New Roman" w:cs="Times New Roman" w:eastAsia="Times New Roman" w:hAnsi="Times New Roman"/>
          <w:sz w:val="14"/>
          <w:szCs w:val="14"/>
          <w:color w:val="auto"/>
        </w:rPr>
      </w:pPr>
    </w:p>
    <w:p>
      <w:pPr>
        <w:ind w:left="1080" w:right="679" w:hanging="416"/>
        <w:spacing w:after="0" w:line="264"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limitations, an amendment that our general partner determines to be necessary or appropriate in connection with the authorization of issuance of any class or series of partnership securities pursuant to our partnership agreement;</w:t>
      </w:r>
    </w:p>
    <w:p>
      <w:pPr>
        <w:spacing w:after="0" w:line="6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expressly permitted in our partnership agreement to be made by our general partner acting alone;</w:t>
      </w:r>
    </w:p>
    <w:p>
      <w:pPr>
        <w:spacing w:after="0" w:line="94" w:lineRule="exact"/>
        <w:rPr>
          <w:rFonts w:ascii="Times New Roman" w:cs="Times New Roman" w:eastAsia="Times New Roman" w:hAnsi="Times New Roman"/>
          <w:sz w:val="14"/>
          <w:szCs w:val="14"/>
          <w:color w:val="auto"/>
        </w:rPr>
      </w:pPr>
    </w:p>
    <w:p>
      <w:pPr>
        <w:ind w:left="1080" w:right="999" w:hanging="416"/>
        <w:spacing w:after="0" w:line="264"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effected, necessitated or contemplated by a merger agreement approved in accordance with the provisions of our partnership agreement;</w:t>
      </w:r>
    </w:p>
    <w:p>
      <w:pPr>
        <w:spacing w:after="0" w:line="64" w:lineRule="exact"/>
        <w:rPr>
          <w:rFonts w:ascii="Times New Roman" w:cs="Times New Roman" w:eastAsia="Times New Roman" w:hAnsi="Times New Roman"/>
          <w:sz w:val="14"/>
          <w:szCs w:val="14"/>
          <w:color w:val="auto"/>
        </w:rPr>
      </w:pPr>
    </w:p>
    <w:p>
      <w:pPr>
        <w:ind w:left="1080" w:right="359" w:hanging="416"/>
        <w:spacing w:after="0" w:line="254"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w:t>
      </w:r>
    </w:p>
    <w:p>
      <w:pPr>
        <w:spacing w:after="0" w:line="70" w:lineRule="exact"/>
        <w:rPr>
          <w:rFonts w:ascii="Times New Roman" w:cs="Times New Roman" w:eastAsia="Times New Roman" w:hAnsi="Times New Roman"/>
          <w:sz w:val="14"/>
          <w:szCs w:val="14"/>
          <w:color w:val="auto"/>
        </w:rPr>
      </w:pPr>
    </w:p>
    <w:p>
      <w:pPr>
        <w:ind w:left="1080" w:right="359" w:hanging="416"/>
        <w:spacing w:after="0" w:line="247"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62" w:name="page63"/>
    <w:bookmarkEnd w:id="62"/>
    <w:p>
      <w:pPr>
        <w:ind w:left="1080" w:hanging="416"/>
        <w:spacing w:after="0"/>
        <w:tabs>
          <w:tab w:leader="none" w:pos="1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other amendments substantially similar to the foregoing.</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Withdrawal or Removal of Our General Partner</w:t>
      </w:r>
    </w:p>
    <w:p>
      <w:pPr>
        <w:spacing w:after="0" w:line="88" w:lineRule="exact"/>
        <w:rPr>
          <w:sz w:val="20"/>
          <w:szCs w:val="20"/>
          <w:color w:val="auto"/>
        </w:rPr>
      </w:pPr>
    </w:p>
    <w:p>
      <w:pPr>
        <w:ind w:left="340" w:right="559" w:firstLine="333"/>
        <w:spacing w:after="0" w:line="254" w:lineRule="auto"/>
        <w:rPr>
          <w:sz w:val="20"/>
          <w:szCs w:val="20"/>
          <w:color w:val="auto"/>
        </w:rPr>
      </w:pPr>
      <w:r>
        <w:rPr>
          <w:rFonts w:ascii="Times New Roman" w:cs="Times New Roman" w:eastAsia="Times New Roman" w:hAnsi="Times New Roman"/>
          <w:sz w:val="14"/>
          <w:szCs w:val="14"/>
          <w:color w:val="auto"/>
        </w:rPr>
        <w:t>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w:t>
      </w:r>
    </w:p>
    <w:p>
      <w:pPr>
        <w:spacing w:after="0" w:line="142" w:lineRule="exact"/>
        <w:rPr>
          <w:sz w:val="20"/>
          <w:szCs w:val="20"/>
          <w:color w:val="auto"/>
        </w:rPr>
      </w:pPr>
    </w:p>
    <w:p>
      <w:pPr>
        <w:ind w:left="340" w:right="359" w:firstLine="333"/>
        <w:spacing w:after="0" w:line="300" w:lineRule="auto"/>
        <w:rPr>
          <w:sz w:val="20"/>
          <w:szCs w:val="20"/>
          <w:color w:val="auto"/>
        </w:rPr>
      </w:pPr>
      <w:r>
        <w:rPr>
          <w:rFonts w:ascii="Times New Roman" w:cs="Times New Roman" w:eastAsia="Times New Roman" w:hAnsi="Times New Roman"/>
          <w:sz w:val="12"/>
          <w:szCs w:val="12"/>
          <w:color w:val="auto"/>
        </w:rPr>
        <w:t>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 unitholders or we do not receive a withdrawal opinion of counsel regarding limited liability and tax matters, our partnership will be dissolved in accordance with our partnership agreement.</w:t>
      </w:r>
    </w:p>
    <w:p>
      <w:pPr>
        <w:spacing w:after="0" w:line="118" w:lineRule="exact"/>
        <w:rPr>
          <w:sz w:val="20"/>
          <w:szCs w:val="20"/>
          <w:color w:val="auto"/>
        </w:rPr>
      </w:pPr>
    </w:p>
    <w:p>
      <w:pPr>
        <w:ind w:left="340" w:right="499" w:firstLine="333"/>
        <w:spacing w:after="0" w:line="250" w:lineRule="auto"/>
        <w:rPr>
          <w:sz w:val="20"/>
          <w:szCs w:val="20"/>
          <w:color w:val="auto"/>
        </w:rPr>
      </w:pPr>
      <w:r>
        <w:rPr>
          <w:rFonts w:ascii="Times New Roman" w:cs="Times New Roman" w:eastAsia="Times New Roman" w:hAnsi="Times New Roman"/>
          <w:sz w:val="14"/>
          <w:szCs w:val="14"/>
          <w:color w:val="auto"/>
        </w:rPr>
        <w:t>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w:t>
      </w:r>
    </w:p>
    <w:p>
      <w:pPr>
        <w:spacing w:after="0" w:line="146"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Transfer of General Partner Interest</w:t>
      </w:r>
    </w:p>
    <w:p>
      <w:pPr>
        <w:spacing w:after="0" w:line="88" w:lineRule="exact"/>
        <w:rPr>
          <w:sz w:val="20"/>
          <w:szCs w:val="20"/>
          <w:color w:val="auto"/>
        </w:rPr>
      </w:pPr>
    </w:p>
    <w:p>
      <w:pPr>
        <w:ind w:left="340" w:right="579" w:firstLine="333"/>
        <w:spacing w:after="0" w:line="254" w:lineRule="auto"/>
        <w:rPr>
          <w:sz w:val="20"/>
          <w:szCs w:val="20"/>
          <w:color w:val="auto"/>
        </w:rPr>
      </w:pPr>
      <w:r>
        <w:rPr>
          <w:rFonts w:ascii="Times New Roman" w:cs="Times New Roman" w:eastAsia="Times New Roman" w:hAnsi="Times New Roman"/>
          <w:sz w:val="14"/>
          <w:szCs w:val="14"/>
          <w:color w:val="auto"/>
        </w:rPr>
        <w:t>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Liquidation and Distribution of Proceeds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will continue as a limited partnership until dissolved under our partnership agreement. We will dissolve upon:</w:t>
      </w:r>
    </w:p>
    <w:p>
      <w:pPr>
        <w:spacing w:after="0" w:line="94" w:lineRule="exact"/>
        <w:rPr>
          <w:sz w:val="20"/>
          <w:szCs w:val="20"/>
          <w:color w:val="auto"/>
        </w:rPr>
      </w:pPr>
    </w:p>
    <w:p>
      <w:pPr>
        <w:ind w:left="1080" w:right="53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withdrawal, removal, bankruptcy or dissolution of our general partner, unless a successor general partner is elected prior to or on the effective date of such withdrawal, removal, bankruptcy or dissolution and a withdrawal opinion of counsel is received by us;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election to dissolve us by our general partner that is approved by the holders of a unit majority;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of a decree of judicial dissolution of us pursuant to the provisions of the Delaware Act;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exchange or other disposition of all or substantially all of the assets and properties of the partnership group.</w:t>
      </w:r>
    </w:p>
    <w:p>
      <w:pPr>
        <w:spacing w:after="0" w:line="166" w:lineRule="exact"/>
        <w:rPr>
          <w:sz w:val="20"/>
          <w:szCs w:val="20"/>
          <w:color w:val="auto"/>
        </w:rPr>
      </w:pPr>
    </w:p>
    <w:p>
      <w:pPr>
        <w:jc w:val="both"/>
        <w:ind w:left="340" w:right="559" w:firstLine="333"/>
        <w:spacing w:after="0" w:line="316" w:lineRule="auto"/>
        <w:rPr>
          <w:sz w:val="20"/>
          <w:szCs w:val="20"/>
          <w:color w:val="auto"/>
        </w:rPr>
      </w:pPr>
      <w:r>
        <w:rPr>
          <w:rFonts w:ascii="Times New Roman" w:cs="Times New Roman" w:eastAsia="Times New Roman" w:hAnsi="Times New Roman"/>
          <w:sz w:val="12"/>
          <w:szCs w:val="12"/>
          <w:color w:val="auto"/>
        </w:rPr>
        <w:t>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63" w:name="page64"/>
    <w:bookmarkEnd w:id="63"/>
    <w:p>
      <w:pPr>
        <w:ind w:left="340" w:right="5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Limited Call Right</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 purchase all, but not less than all, of such limited partner interests of such class then outstanding held by persons other than our general partner and its affiliates. As a consequence, a unitholder may be required to sell his common units at an undesirable time or price.</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Section 17-108 of the Delaware Act empowers a Delaware limited partnership to indemnify and hold harmless any partner or other person from and against all claims and demands whatsoever. Under our 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w:t>
      </w:r>
    </w:p>
    <w:p>
      <w:pPr>
        <w:spacing w:after="0" w:line="78" w:lineRule="exact"/>
        <w:rPr>
          <w:sz w:val="20"/>
          <w:szCs w:val="20"/>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departing general partner;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was an affiliate of our general partner or any departing general partner;</w:t>
      </w:r>
    </w:p>
    <w:p>
      <w:pPr>
        <w:spacing w:after="0" w:line="94" w:lineRule="exact"/>
        <w:rPr>
          <w:rFonts w:ascii="Times New Roman" w:cs="Times New Roman" w:eastAsia="Times New Roman" w:hAnsi="Times New Roman"/>
          <w:sz w:val="14"/>
          <w:szCs w:val="14"/>
          <w:color w:val="auto"/>
        </w:rPr>
      </w:pPr>
    </w:p>
    <w:p>
      <w:pPr>
        <w:jc w:val="both"/>
        <w:ind w:left="1080" w:right="659" w:hanging="334"/>
        <w:spacing w:after="0" w:line="349" w:lineRule="auto"/>
        <w:tabs>
          <w:tab w:leader="none" w:pos="10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who is or was a member, partner, officer, director, fiduciary or trustee of any member of the partnership group, our general partner or any departing partner or any affiliate of any member of the partnership group, our general partner or any departing partner;</w:t>
      </w:r>
    </w:p>
    <w:p>
      <w:pPr>
        <w:spacing w:after="0" w:line="17" w:lineRule="exact"/>
        <w:rPr>
          <w:rFonts w:ascii="Times New Roman" w:cs="Times New Roman" w:eastAsia="Times New Roman" w:hAnsi="Times New Roman"/>
          <w:sz w:val="12"/>
          <w:szCs w:val="12"/>
          <w:color w:val="auto"/>
        </w:rPr>
      </w:pPr>
    </w:p>
    <w:p>
      <w:pPr>
        <w:ind w:left="1080" w:right="379" w:hanging="334"/>
        <w:spacing w:after="0" w:line="254" w:lineRule="auto"/>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that our general partner designates as an “indemnitee” for purposes of our partnership agreement.</w:t>
      </w:r>
    </w:p>
    <w:p>
      <w:pPr>
        <w:spacing w:after="0" w:line="16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w:t>
      </w:r>
    </w:p>
    <w:p>
      <w:pPr>
        <w:spacing w:after="0" w:line="146"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64" w:name="page65"/>
    <w:bookmarkEnd w:id="64"/>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the opinion of the SEC, indemnification provisions that purport to include indemnification for liabilities arising under the Securities Act are contrary to public policy and are, therefore, unenforceable.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8" w:lineRule="exact"/>
        <w:rPr>
          <w:sz w:val="20"/>
          <w:szCs w:val="20"/>
          <w:color w:val="auto"/>
        </w:rPr>
      </w:pPr>
    </w:p>
    <w:p>
      <w:pPr>
        <w:ind w:left="340" w:right="539" w:firstLine="333"/>
        <w:spacing w:after="0" w:line="250" w:lineRule="auto"/>
        <w:rPr>
          <w:sz w:val="20"/>
          <w:szCs w:val="20"/>
          <w:color w:val="auto"/>
        </w:rPr>
      </w:pPr>
      <w:r>
        <w:rPr>
          <w:rFonts w:ascii="Times New Roman" w:cs="Times New Roman" w:eastAsia="Times New Roman" w:hAnsi="Times New Roman"/>
          <w:sz w:val="14"/>
          <w:szCs w:val="14"/>
          <w:color w:val="auto"/>
        </w:rPr>
        <w:t>Under our partnership agreement, we have agreed to register for resale under the Securities Act and applicable state securities laws any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DISTRIBUTION POLICY</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86"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We will distribute to our unitholders, within 50 calendar days after the end of each quarter (or the business day immediately thereafter), all of our available cash in the manner described below.</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Definition of Available Cash</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Available cash generally means, for any calendar quarter, all cash on hand at the end of such quarter:</w:t>
      </w:r>
    </w:p>
    <w:p>
      <w:pPr>
        <w:spacing w:after="0" w:line="92" w:lineRule="exact"/>
        <w:rPr>
          <w:sz w:val="20"/>
          <w:szCs w:val="20"/>
          <w:color w:val="auto"/>
        </w:rPr>
      </w:pPr>
    </w:p>
    <w:p>
      <w:pPr>
        <w:ind w:left="1080" w:hanging="334"/>
        <w:spacing w:after="0"/>
        <w:tabs>
          <w:tab w:leader="none" w:pos="10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less </w:t>
      </w:r>
      <w:r>
        <w:rPr>
          <w:rFonts w:ascii="Times New Roman" w:cs="Times New Roman" w:eastAsia="Times New Roman" w:hAnsi="Times New Roman"/>
          <w:sz w:val="14"/>
          <w:szCs w:val="14"/>
          <w:color w:val="auto"/>
        </w:rPr>
        <w:t>the amount of cash that the general partner determines in good faith is necessary or appropriate to:</w:t>
      </w:r>
    </w:p>
    <w:p>
      <w:pPr>
        <w:spacing w:after="0" w:line="96"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proper conduct of business;</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general, administrative and other expenses and debt service requirements;</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 any of our debt instruments or other agreements;</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funds for distributions to our unitholders and to our general partner for any one or more of the next four quarters; or</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funds for distributions on our outstanding preferred units and Class B units;</w:t>
      </w:r>
    </w:p>
    <w:p>
      <w:pPr>
        <w:spacing w:after="0" w:line="92"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all cash on hand on the date of determination of available cash for the quarter.</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Distributions of Cash Upon Liquidation</w:t>
      </w:r>
    </w:p>
    <w:p>
      <w:pPr>
        <w:spacing w:after="0" w:line="86"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w:t>
      </w:r>
    </w:p>
    <w:p>
      <w:pPr>
        <w:spacing w:after="0" w:line="1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No unitholder will have any obligation to restore any negative balance in its capital account upon liquidation of us.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Distributions to Preferred Unitholders</w:t>
      </w:r>
    </w:p>
    <w:p>
      <w:pPr>
        <w:spacing w:after="0" w:line="86"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Prior to making any distributions to the unitholders as described above, the holders of our preferred units are entitled to receive, when, as, and if declared by our general partner out of legally available funds for such purpose, cumulative quarterly cash distributions. Unless otherwise determined by our general partner, distributions on the ET preferred units are deemed to have been paid out of available cash with respect to the quarter ended immediately preceding the quarter in which the distribution is made.</w:t>
      </w:r>
    </w:p>
    <w:p>
      <w:pPr>
        <w:spacing w:after="0" w:line="146"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Distributions on each class of our preferred units are subject to an initial fixed distribution rate for a specified term, followed by a floating or reset distribution rate, as applicable, to extend thereafter until all of our outstanding preferred units of that class are redeemed.</w:t>
      </w:r>
    </w:p>
    <w:p>
      <w:pPr>
        <w:spacing w:after="0" w:line="136"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6.250% Series A Fixed-to-Floating Rate Cumulative Redeemable Perpetual Preferred Units had an initial distribution rate of 6.250% of the Series A liquidation preference of $1,000 per Series A preferred unit (the “Series A Liquidation Preference”) until February 14, 2023 and, thereafter, distributions accumulate for each distribution period at a percentage of the Series A Liquidation Preference equal to the sum of an annual floating rate of the three-month SOFR, a 0.26161% tenor spread adjustment and a spread of 4.028% per annum.</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5" w:right="1440" w:bottom="1440" w:gutter="0" w:footer="0" w:header="0"/>
        </w:sectPr>
      </w:pPr>
    </w:p>
    <w:bookmarkStart w:id="66" w:name="page67"/>
    <w:bookmarkEnd w:id="66"/>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6.625% Series B Fixed-to-Floating Rate Cumulative Redeemable Perpetual Preferred Units have an initial distribution rate of 6.625% of the Series B liquidation preference of $1,000 per Series B preferred unit (the “Series B Liquidation Preference”) until February 14, 2028 and, thereafter, distributions will accumulate for each distribution period at a percentage of the Series B Liquidation Preference equal to the sum of an annual floating rate of the three-month SOFR, a 0.26161% tenor spread adjustment and a spread of 4.155% per annum.</w:t>
      </w:r>
    </w:p>
    <w:p>
      <w:pPr>
        <w:spacing w:after="0" w:line="146"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The 6.750% Series F Fixed-Rate Reset Cumulative Redeemable Perpetual Preferred Units have an initial distribution rate of 6.750% of the Series F liquidation preference of $1,000 per Series F preferred unit (the “Series F Liquidation Preference”) until May 15, 2025 and, thereafter, distributions will accumulate for each distribution period at a percentage of the Series F Liquidation Preference equal to the Five-year U.S. Treasury Rate as of the most recent Series F Reset Distribution Determination Date plus a spread of 5.134% per annum.</w:t>
      </w:r>
    </w:p>
    <w:p>
      <w:pPr>
        <w:spacing w:after="0" w:line="146"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The 7.125% Series G Fixed-Rate Reset Cumulative Redeemable Perpetual Preferred Units have an initial distribution rate of 7.125% of the Series G liquidation preference of $1,000 per Series G preferred unit (the “Series G Liquidation Preference”) until May 15, 2030 and, thereafter, distributions will accumulate for each distribution period at a percentage of the Series G Liquidation Preference equal to the Five-year U.S. Treasury Rate as of the most recent Series G Reset Distribution Determination Date plus a spread of 5.306% per annum.</w:t>
      </w:r>
    </w:p>
    <w:p>
      <w:pPr>
        <w:spacing w:after="0" w:line="146"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The 6.500% Series H Fixed-Rate Reset Cumulative Redeemable Perpetual Preferred Units have an initial distribution rate of 6.500% of the Series H liquidation preference of $1,000 per Series H preferred unit (the “Series H Liquidation Preference”) until November 15, 2026 and, thereafter, distributions will accumulate for each distribution period at a percentage of the Series H Liquidation Preference equal to the Five-year U.S. Treasury Rate as of the most recent Series H Reset Distribution Determination Date plus a spread of 5.694% per annum.</w:t>
      </w:r>
    </w:p>
    <w:p>
      <w:pPr>
        <w:spacing w:after="0" w:line="146"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The 9.250% Series I Fixed Rate Perpetual Preferred Units have a cumulative distribution rate of $0.2111 per Series I preferred unit per fiscal quarter. Each Series I preferred unit is entitled to a liquidation preference of the sum of $9.1273 plus all accrued and unpaid distributions until an event giving rise to the dissolution of the Partnership.</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Distributions to Other Units</w:t>
      </w:r>
    </w:p>
    <w:p>
      <w:pPr>
        <w:spacing w:after="0" w:line="86" w:lineRule="exact"/>
        <w:rPr>
          <w:sz w:val="20"/>
          <w:szCs w:val="20"/>
          <w:color w:val="auto"/>
        </w:rPr>
      </w:pPr>
    </w:p>
    <w:p>
      <w:pPr>
        <w:ind w:left="340" w:right="479" w:firstLine="333"/>
        <w:spacing w:after="0" w:line="250" w:lineRule="auto"/>
        <w:rPr>
          <w:sz w:val="20"/>
          <w:szCs w:val="20"/>
          <w:color w:val="auto"/>
        </w:rPr>
      </w:pPr>
      <w:r>
        <w:rPr>
          <w:rFonts w:ascii="Times New Roman" w:cs="Times New Roman" w:eastAsia="Times New Roman" w:hAnsi="Times New Roman"/>
          <w:sz w:val="14"/>
          <w:szCs w:val="14"/>
          <w:color w:val="auto"/>
        </w:rPr>
        <w:t>Our partnership agreement provides that each Class B unit is entitled to a quarterly cash distribution in an amount equal to $0.35325 per Class B unit. If we are unable to pay the Class B unit quarterly distribution with respect to any quarter, (i) the amount of such accrued and unpaid distributions will accumulate until paid in full in cash and (ii) the balance of such accrued and unpaid distributions shall increase at a rate of 1.5% per annum, compounded quarterly, from the date such distribution was due until the date it is paid.</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PREFERRED UNITS</w:t>
      </w:r>
    </w:p>
    <w:p>
      <w:pPr>
        <w:spacing w:after="0" w:line="170"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limited partner interests and other equity securities on the terms and conditions established by our general partner without the approval of any of our limited partners. In accordance with Delaware law and the provisions of our partnership agreement, we may issue additional partnership interests that have special voting rights to which our common units are not entitled.</w:t>
      </w:r>
    </w:p>
    <w:p>
      <w:pPr>
        <w:spacing w:after="0" w:line="14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preferred units issued by us that may be offered and sold pursuant to this prospectus.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of June 3, 2024, we had outstanding:</w:t>
      </w:r>
    </w:p>
    <w:p>
      <w:pPr>
        <w:spacing w:after="0" w:line="94" w:lineRule="exact"/>
        <w:rPr>
          <w:sz w:val="20"/>
          <w:szCs w:val="20"/>
          <w:color w:val="auto"/>
        </w:rPr>
      </w:pPr>
    </w:p>
    <w:p>
      <w:pPr>
        <w:ind w:left="1080" w:right="599" w:hanging="334"/>
        <w:spacing w:after="0" w:line="26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950,000 6.250% Series A Fixed-to-Floating Rate Cumulative Redeemable Perpetual Preferred Units, liquidation preference $1,000 per unit, representing a limited partner interest in ET (“Series A preferred units”);</w:t>
      </w:r>
    </w:p>
    <w:p>
      <w:pPr>
        <w:spacing w:after="0" w:line="64" w:lineRule="exact"/>
        <w:rPr>
          <w:rFonts w:ascii="Times New Roman" w:cs="Times New Roman" w:eastAsia="Times New Roman" w:hAnsi="Times New Roman"/>
          <w:sz w:val="14"/>
          <w:szCs w:val="14"/>
          <w:color w:val="auto"/>
        </w:rPr>
      </w:pPr>
    </w:p>
    <w:p>
      <w:pPr>
        <w:ind w:left="1080" w:right="599" w:hanging="334"/>
        <w:spacing w:after="0" w:line="26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550,000 6.625% Series B Fixed-to-Floating Rate Cumulative Redeemable Perpetual Preferred Units, liquidation preference $1,000 per unit, representing limited partner interests in ET (the “Series B preferred units”);</w:t>
      </w:r>
    </w:p>
    <w:p>
      <w:pPr>
        <w:spacing w:after="0" w:line="64" w:lineRule="exact"/>
        <w:rPr>
          <w:rFonts w:ascii="Times New Roman" w:cs="Times New Roman" w:eastAsia="Times New Roman" w:hAnsi="Times New Roman"/>
          <w:sz w:val="14"/>
          <w:szCs w:val="14"/>
          <w:color w:val="auto"/>
        </w:rPr>
      </w:pPr>
    </w:p>
    <w:p>
      <w:pPr>
        <w:ind w:left="1080" w:right="639" w:hanging="334"/>
        <w:spacing w:after="0" w:line="26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6.750% Series F Fixed-Rate Reset Cumulative Redeemable Perpetual Preferred Units, liquidation preference $1,000 per unit, representing limited partner interests in ET (the “Series F preferred units”);</w:t>
      </w:r>
    </w:p>
    <w:p>
      <w:pPr>
        <w:spacing w:after="0" w:line="64"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1,484,780 7.125% Series G Fixed-Rate Reset Cumulative Redeemable Perpetual Preferred Units, liquidation preference $1,000 per unit, representing limited partner interests in ET (the “Series G preferred units”);</w:t>
      </w:r>
    </w:p>
    <w:p>
      <w:pPr>
        <w:spacing w:after="0" w:line="64" w:lineRule="exact"/>
        <w:rPr>
          <w:rFonts w:ascii="Times New Roman" w:cs="Times New Roman" w:eastAsia="Times New Roman" w:hAnsi="Times New Roman"/>
          <w:sz w:val="14"/>
          <w:szCs w:val="14"/>
          <w:color w:val="auto"/>
        </w:rPr>
      </w:pPr>
    </w:p>
    <w:p>
      <w:pPr>
        <w:ind w:left="1080" w:right="599" w:hanging="334"/>
        <w:spacing w:after="0" w:line="25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 6.500% Series H Fixed-Rate Reset Cumulative Redeemable Perpetual Preferred Units (the “Series H preferred units” and, together with the Series A preferred units, the Series B preferred units, the Series F preferred units and the Series G preferred units, the “institutional preferred units”); and</w:t>
      </w:r>
    </w:p>
    <w:p>
      <w:pPr>
        <w:spacing w:after="0" w:line="70"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41,464,179 Series I Fixed-Rate Perpetual Preferred Units, representing limited partner interests in ET (the “Series I preferred units” and, together with the institutional preferred units, the “existing preferred units”).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urge you to read our partnership agreement, as our partnership agreement, and not this description, governs our partnership interests.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88"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The holders of each series of existing preferred units are entitled to receive cumulative distributions as described under “Distribution Policy— Distributions to Preferred Unitholders.”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88" w:lineRule="exact"/>
        <w:rPr>
          <w:sz w:val="20"/>
          <w:szCs w:val="20"/>
          <w:color w:val="auto"/>
        </w:rPr>
      </w:pPr>
    </w:p>
    <w:p>
      <w:pPr>
        <w:ind w:left="340" w:right="639" w:firstLine="333"/>
        <w:spacing w:after="0" w:line="264" w:lineRule="auto"/>
        <w:rPr>
          <w:sz w:val="20"/>
          <w:szCs w:val="20"/>
          <w:color w:val="auto"/>
        </w:rPr>
      </w:pPr>
      <w:r>
        <w:rPr>
          <w:rFonts w:ascii="Times New Roman" w:cs="Times New Roman" w:eastAsia="Times New Roman" w:hAnsi="Times New Roman"/>
          <w:sz w:val="14"/>
          <w:szCs w:val="14"/>
          <w:color w:val="auto"/>
        </w:rPr>
        <w:t>The Series I preferred units are listed on the NYSE under the symbol “ETprI.” The institutional preferred units are not listed on any securities exchange.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88"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Each series of existing preferred units, with respect to anticipated semi-annual or quarterly distributions and distributions upon the liquidation, winding-up and dissolution of our affairs, ranks:</w:t>
      </w:r>
    </w:p>
    <w:p>
      <w:pPr>
        <w:spacing w:after="0" w:line="65" w:lineRule="exact"/>
        <w:rPr>
          <w:sz w:val="20"/>
          <w:szCs w:val="20"/>
          <w:color w:val="auto"/>
        </w:rPr>
      </w:pPr>
    </w:p>
    <w:p>
      <w:pPr>
        <w:ind w:left="4440" w:right="2919" w:hanging="3694"/>
        <w:spacing w:after="0" w:line="432" w:lineRule="auto"/>
        <w:tabs>
          <w:tab w:leader="none" w:pos="107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any junior securities (including our common units and the general partner interest); 21</w:t>
      </w:r>
    </w:p>
    <w:p>
      <w:pPr>
        <w:sectPr>
          <w:pgSz w:w="11900" w:h="16838" w:orient="portrait"/>
          <w:cols w:equalWidth="0" w:num="1">
            <w:col w:w="9019"/>
          </w:cols>
          <w:pgMar w:left="1440" w:top="235" w:right="1440" w:bottom="1440" w:gutter="0" w:footer="0" w:header="0"/>
        </w:sectPr>
      </w:pPr>
    </w:p>
    <w:bookmarkStart w:id="68" w:name="page69"/>
    <w:bookmarkEnd w:id="68"/>
    <w:p>
      <w:pPr>
        <w:ind w:left="1080" w:hanging="334"/>
        <w:spacing w:after="0"/>
        <w:tabs>
          <w:tab w:leader="none" w:pos="10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pari passu with any parity securities (including each other series of our preferred units, including the existing preferred units);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senior securities.</w:t>
      </w:r>
    </w:p>
    <w:p>
      <w:pPr>
        <w:spacing w:after="0" w:line="166" w:lineRule="exact"/>
        <w:rPr>
          <w:sz w:val="20"/>
          <w:szCs w:val="20"/>
          <w:color w:val="auto"/>
        </w:rPr>
      </w:pPr>
    </w:p>
    <w:p>
      <w:pPr>
        <w:jc w:val="both"/>
        <w:ind w:left="340" w:right="719" w:firstLine="333"/>
        <w:spacing w:after="0" w:line="349" w:lineRule="auto"/>
        <w:rPr>
          <w:sz w:val="20"/>
          <w:szCs w:val="20"/>
          <w:color w:val="auto"/>
        </w:rPr>
      </w:pPr>
      <w:r>
        <w:rPr>
          <w:rFonts w:ascii="Times New Roman" w:cs="Times New Roman" w:eastAsia="Times New Roman" w:hAnsi="Times New Roman"/>
          <w:sz w:val="12"/>
          <w:szCs w:val="12"/>
          <w:color w:val="auto"/>
        </w:rPr>
        <w:t>Each series of existing preferred units is subordinated to all of our and our subsidiaries’ existing and future indebtedness and other liabilities (including our senior notes, and any other senior securities we may issue in the future with respect to assets available to satisfy claims against us).</w:t>
      </w:r>
    </w:p>
    <w:p>
      <w:pPr>
        <w:spacing w:after="0" w:line="89" w:lineRule="exact"/>
        <w:rPr>
          <w:sz w:val="20"/>
          <w:szCs w:val="20"/>
          <w:color w:val="auto"/>
        </w:rPr>
      </w:pPr>
    </w:p>
    <w:p>
      <w:pPr>
        <w:ind w:left="340" w:right="439" w:firstLine="333"/>
        <w:spacing w:after="0" w:line="305" w:lineRule="auto"/>
        <w:rPr>
          <w:sz w:val="20"/>
          <w:szCs w:val="20"/>
          <w:color w:val="auto"/>
        </w:rPr>
      </w:pPr>
      <w:r>
        <w:rPr>
          <w:rFonts w:ascii="Times New Roman" w:cs="Times New Roman" w:eastAsia="Times New Roman" w:hAnsi="Times New Roman"/>
          <w:sz w:val="12"/>
          <w:szCs w:val="12"/>
          <w:color w:val="auto"/>
        </w:rPr>
        <w:t>Under our partnership agreement, we may issue junior securities from time to time in one or more series without the consent of the holders of the existing preferred units. Our general partner has the authority to determine the designations, preferences, rights, powers, and duties of any such series before the issuance of any units of that series. Our general partner will also determine the number of units constituting each series of securities. Our ability to issue additional parity securities in certain circumstances or senior securities is limited as described below under “Voting Rights.”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Institutional Preferred Units</w:t>
      </w:r>
    </w:p>
    <w:p>
      <w:pPr>
        <w:spacing w:after="0" w:line="86" w:lineRule="exact"/>
        <w:rPr>
          <w:sz w:val="20"/>
          <w:szCs w:val="20"/>
          <w:color w:val="auto"/>
        </w:rPr>
      </w:pPr>
    </w:p>
    <w:p>
      <w:pPr>
        <w:ind w:left="340" w:right="399" w:firstLine="333"/>
        <w:spacing w:after="0" w:line="290" w:lineRule="auto"/>
        <w:rPr>
          <w:sz w:val="20"/>
          <w:szCs w:val="20"/>
          <w:color w:val="auto"/>
        </w:rPr>
      </w:pPr>
      <w:r>
        <w:rPr>
          <w:rFonts w:ascii="Times New Roman" w:cs="Times New Roman" w:eastAsia="Times New Roman" w:hAnsi="Times New Roman"/>
          <w:sz w:val="12"/>
          <w:szCs w:val="12"/>
          <w:color w:val="auto"/>
        </w:rPr>
        <w:t>At any time with respect to the Series A preferred units, at any time on or after February 15, 2028, with respect to the Series B preferred units, on any Series F Redemption Date (defined below), with respect to the Series F preferred units, on any Series G Redemption Date (defined below), with respect to the Series G preferred units, or during any Series H Redemption Period (as defined below), with respect to the Series H preferred units, we may redeem each series of institutional preferred units, in whole or in part, out of amounts legally available therefor, at a redemption price of $1,000 per unit plus an amount equal to all accumulated and unpaid distributions thereon to, but excluding, the date of redemption, whether or not declared. In addition, we may redeem each series of institutional preferred units, in whole but not in part, at a price of $1,020 per unit upon the occurrence of certain changes to the equity credit criteria attributed to the applicable series of institutional preferred units by any of ET’s rating agencies as further described in our partnership agreement. Any such redemption would be effected only out of funds legally available for such purpose and would be subject to compliance with the provisions of the instruments governing our outstanding indebtedness. With respect to the Series A preferred units and the Series B preferred units, we must provide not less than 15 days’ and not more than 60 days’ written notice of any such redemption. With respect to the Series F preferred units, the Series G preferred units and the Series H preferred units, we must provide not less than 30 days’ and not more than 60 days’ written notice of any such redemption. We may undertake multiple partial redemptions with respect to each series of institutional preferred units.</w:t>
      </w: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“Series F Redemption Date” means May 15, 2025, and each fifth anniversary of the commencement of the prior Series F Redemption Date.</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“Series G Redemption Date” means May 15, 2030, and each fifth anniversary of the commencement of the prior Series G Redemption Date.</w:t>
      </w:r>
    </w:p>
    <w:p>
      <w:pPr>
        <w:spacing w:after="0" w:line="16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“Series H Redemption Period” means the period from August 15, 2026 to November 15, 2026, and each three-month period beginning on the fifth anniversary of the commencement of the prior Series H Redemption Period.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Series I Preferred Units</w:t>
      </w:r>
    </w:p>
    <w:p>
      <w:pPr>
        <w:spacing w:after="0" w:line="86" w:lineRule="exact"/>
        <w:rPr>
          <w:sz w:val="20"/>
          <w:szCs w:val="20"/>
          <w:color w:val="auto"/>
        </w:rPr>
      </w:pPr>
    </w:p>
    <w:p>
      <w:pPr>
        <w:ind w:left="340" w:right="599" w:firstLine="333"/>
        <w:spacing w:after="0" w:line="254" w:lineRule="auto"/>
        <w:rPr>
          <w:sz w:val="20"/>
          <w:szCs w:val="20"/>
          <w:color w:val="auto"/>
        </w:rPr>
      </w:pPr>
      <w:r>
        <w:rPr>
          <w:rFonts w:ascii="Times New Roman" w:cs="Times New Roman" w:eastAsia="Times New Roman" w:hAnsi="Times New Roman"/>
          <w:sz w:val="14"/>
          <w:szCs w:val="14"/>
          <w:color w:val="auto"/>
        </w:rPr>
        <w:t>If at any time not more than 20% of the total outstanding Series I preferred units are held by persons other than our general partner and its affiliates, our general partner shall then have the right, which right it may assign and transfer in whole or in party to us or any affiliate of our general partner, exercisable in its sole discretion,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69" w:name="page70"/>
    <w:bookmarkEnd w:id="69"/>
    <w:p>
      <w:pPr>
        <w:ind w:left="340" w:right="419"/>
        <w:spacing w:after="0" w:line="30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purchase all, but not less than all, of such Series I preferred units than outstanding held by persons other than our general partner and its affiliates, at the greater of (x) the market price for the Series I preferred units at the date three days prior to the date on which notice of the purchase is mailed to holders of the Series I preferred units and (y) the highest price paid by our general partner or any of its affiliates for any limited partner interest of such class purchased during the 90-day period preceding the date on which notice of the purchase is mailed to holders of the Series I preferred units.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institutional preferred units are not convertible into or exchangeable for any other securities or property at the option of the holder.</w:t>
      </w:r>
    </w:p>
    <w:p>
      <w:pPr>
        <w:spacing w:after="0" w:line="166"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Holders of Series I preferred units may elect (i) to convert all or any portion of such preferred units, in an aggregate amount equaling or exceeding the Minimum Conversion Amount (as defined in the Partnership Agreement), into common units, at the then applicable Conversion Ratio (as defined in the Partnership Agreement, initially 2.07 common units for ten Series I preferred units), subject to the payment of any accrued but unpaid distributions to the date of such conversion and (ii) in the event of the Partnership’s voluntary liquidation, dissolution or winding up, to convert all or any portion of such Series I preferred units into common units, at the then applicable Conversion Ratio, subject to payment of any accrued but unpaid distributions to the date of conversion.</w:t>
      </w:r>
    </w:p>
    <w:p>
      <w:pPr>
        <w:spacing w:after="0" w:line="150" w:lineRule="exact"/>
        <w:rPr>
          <w:sz w:val="20"/>
          <w:szCs w:val="20"/>
          <w:color w:val="auto"/>
        </w:rPr>
      </w:pPr>
    </w:p>
    <w:p>
      <w:pPr>
        <w:ind w:left="340" w:right="499" w:firstLine="333"/>
        <w:spacing w:after="0" w:line="294" w:lineRule="auto"/>
        <w:rPr>
          <w:sz w:val="20"/>
          <w:szCs w:val="20"/>
          <w:color w:val="auto"/>
        </w:rPr>
      </w:pPr>
      <w:r>
        <w:rPr>
          <w:rFonts w:ascii="Times New Roman" w:cs="Times New Roman" w:eastAsia="Times New Roman" w:hAnsi="Times New Roman"/>
          <w:sz w:val="12"/>
          <w:szCs w:val="12"/>
          <w:color w:val="auto"/>
        </w:rPr>
        <w:t>At any time, subject to certain liquidity requirements set forth in the Partnership Agreement, if the volume-weighted average trading price of the common units on the national securities exchange on which the common units are then listed (the “VWAP Price”) for 20 trading days over the</w:t>
      </w:r>
    </w:p>
    <w:p>
      <w:pPr>
        <w:spacing w:after="0" w:line="1" w:lineRule="exact"/>
        <w:rPr>
          <w:sz w:val="20"/>
          <w:szCs w:val="20"/>
          <w:color w:val="auto"/>
        </w:rPr>
      </w:pPr>
    </w:p>
    <w:p>
      <w:pPr>
        <w:ind w:left="340" w:right="359"/>
        <w:spacing w:after="0" w:line="290" w:lineRule="auto"/>
        <w:rPr>
          <w:sz w:val="20"/>
          <w:szCs w:val="20"/>
          <w:color w:val="auto"/>
        </w:rPr>
      </w:pPr>
      <w:r>
        <w:rPr>
          <w:rFonts w:ascii="Times New Roman" w:cs="Times New Roman" w:eastAsia="Times New Roman" w:hAnsi="Times New Roman"/>
          <w:sz w:val="12"/>
          <w:szCs w:val="12"/>
          <w:color w:val="auto"/>
        </w:rPr>
        <w:t>30-trading day period ending on the close of trading on the day immediately preceding the date notice is given by the Partnership of election of its conversion right is greater than the quotient of (i) $13.691 divided by (ii) the then applicable Conversion Ratio (or approximately $66.14 based on the initial Conversion Ratio), the Partnership’s general partner, in its sole discretion, may convert all or a portion of the outstanding Series I preferred units into common units, at the then applicable Conversion Ratio, subject to the payment of any accrued but unpaid distributions to the date of conversion. Also, subject to certain liquidity requirements set forth in the Partnership Agreement, if the VWAP Price of the common units for 20 trading days over the 30-trading day period ending on the close of trading on the day immediately preceding the date notice is given by the Partnership of the exercise of its conversion right is greater than the quotient of (i) $9.1273 divided by (ii) the then applicable Conversion Ratio (or approximately $44.09 based on the initial Conversion Ratio), the Partnership’s general partner, in its sole discretion, may convert all, but not less than all, of the outstanding Series I preferred units into a number of common units equal to the Adjusted Conversion Amount (as defined in the Partnership Agreement).</w:t>
      </w: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88" w:lineRule="exact"/>
        <w:rPr>
          <w:sz w:val="20"/>
          <w:szCs w:val="20"/>
          <w:color w:val="auto"/>
        </w:rPr>
      </w:pPr>
    </w:p>
    <w:p>
      <w:pPr>
        <w:jc w:val="both"/>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If necessary, the holders of outstanding institutional preferred units will first be specially allocated items of our gross income and gain in a manner designed to cause, in the event of any liquidation, dissolution or winding up of ET’s affairs, whether voluntary or involuntary, a liquidation preference of $1,000 per unit.</w:t>
      </w:r>
    </w:p>
    <w:p>
      <w:pPr>
        <w:spacing w:after="0" w:line="142" w:lineRule="exact"/>
        <w:rPr>
          <w:sz w:val="20"/>
          <w:szCs w:val="20"/>
          <w:color w:val="auto"/>
        </w:rPr>
      </w:pPr>
    </w:p>
    <w:p>
      <w:pPr>
        <w:ind w:left="340" w:right="399" w:firstLine="333"/>
        <w:spacing w:after="0" w:line="295" w:lineRule="auto"/>
        <w:rPr>
          <w:sz w:val="20"/>
          <w:szCs w:val="20"/>
          <w:color w:val="auto"/>
        </w:rPr>
      </w:pPr>
      <w:r>
        <w:rPr>
          <w:rFonts w:ascii="Times New Roman" w:cs="Times New Roman" w:eastAsia="Times New Roman" w:hAnsi="Times New Roman"/>
          <w:sz w:val="12"/>
          <w:szCs w:val="12"/>
          <w:color w:val="auto"/>
        </w:rPr>
        <w:t>If the amount of ET’s gross income and gain available to be specially allocated to the existing preferred units is not sufficient to cause the capital account of such existing preferred unit to equal the liquidation preference of the existing preferred unit, then the amount that a holder of such existing preferred unit would receive upon liquidation may be less than the liquidation preference of such existing preferred unit. Any accumulated and unpaid distributions on the existing preferred units and the parity securities will be paid prior to any distributions in liquidation made in accordance with capital account balances. The rights of holders of the existing preferred units to receive the liquidation preference will be subject to the rights of the holders of any senior securities and the proportional rights of holders of the parity securities. A consolidation or merger of ET with or into any other entity, individually or in a series of transactions, will not be deemed to be a liquidation, dissolution or winding up of ET’s affairs.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Voting Rights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Except as described below, holders of the existing preferred units generally have no voting rights.</w:t>
      </w:r>
    </w:p>
    <w:p>
      <w:pPr>
        <w:spacing w:after="0" w:line="166"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Unless ET has received the affirmative vote or consent of the holders of at least two-thirds of the outstanding units of each series of existing preferred units, voting as a separate class, we may not adopt any amendment to our partnership agreement that would have a material adverse effect on the powers, preferences, duties, or special rights of such series of existing preferred units.</w:t>
      </w:r>
    </w:p>
    <w:p>
      <w:pPr>
        <w:spacing w:after="0" w:line="142" w:lineRule="exact"/>
        <w:rPr>
          <w:sz w:val="20"/>
          <w:szCs w:val="20"/>
          <w:color w:val="auto"/>
        </w:rPr>
      </w:pPr>
    </w:p>
    <w:p>
      <w:pPr>
        <w:ind w:left="340" w:right="379" w:firstLine="333"/>
        <w:spacing w:after="0" w:line="294" w:lineRule="auto"/>
        <w:rPr>
          <w:sz w:val="20"/>
          <w:szCs w:val="20"/>
          <w:color w:val="auto"/>
        </w:rPr>
      </w:pPr>
      <w:r>
        <w:rPr>
          <w:rFonts w:ascii="Times New Roman" w:cs="Times New Roman" w:eastAsia="Times New Roman" w:hAnsi="Times New Roman"/>
          <w:sz w:val="12"/>
          <w:szCs w:val="12"/>
          <w:color w:val="auto"/>
        </w:rPr>
        <w:t>In addition, unless we have received the affirmative vote or consent of the holders of at least two-thirds of the outstanding existing preferred units, voting as a class together with holders of any other parity securities upon which like voting rights have been conferred and are exercisable, we may not</w:t>
      </w:r>
    </w:p>
    <w:p>
      <w:pPr>
        <w:spacing w:after="0" w:line="1" w:lineRule="exact"/>
        <w:rPr>
          <w:sz w:val="20"/>
          <w:szCs w:val="20"/>
          <w:color w:val="auto"/>
        </w:rPr>
      </w:pPr>
    </w:p>
    <w:p>
      <w:pPr>
        <w:ind w:left="340" w:right="639" w:hanging="3"/>
        <w:spacing w:after="0" w:line="247" w:lineRule="auto"/>
        <w:tabs>
          <w:tab w:leader="none" w:pos="50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issue any parity securities (including any additional existing preferred units) if the cumulative distributions payable on then outstanding existing preferred units (or parity securities, if applicable) are in arrears, or (ii) create or issue any senior securities.</w:t>
      </w:r>
    </w:p>
    <w:p>
      <w:pPr>
        <w:spacing w:after="0" w:line="147" w:lineRule="exact"/>
        <w:rPr>
          <w:sz w:val="20"/>
          <w:szCs w:val="20"/>
          <w:color w:val="auto"/>
        </w:rPr>
      </w:pPr>
    </w:p>
    <w:p>
      <w:pPr>
        <w:ind w:left="340" w:right="719" w:firstLine="333"/>
        <w:spacing w:after="0" w:line="264" w:lineRule="auto"/>
        <w:rPr>
          <w:sz w:val="20"/>
          <w:szCs w:val="20"/>
          <w:color w:val="auto"/>
        </w:rPr>
      </w:pPr>
      <w:r>
        <w:rPr>
          <w:rFonts w:ascii="Times New Roman" w:cs="Times New Roman" w:eastAsia="Times New Roman" w:hAnsi="Times New Roman"/>
          <w:sz w:val="14"/>
          <w:szCs w:val="14"/>
          <w:color w:val="auto"/>
        </w:rPr>
        <w:t>On any matter on which the holders of the existing preferred units are entitled to vote as a class, such holders will be entitled to one vote per existing preferred unit.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Transfer of Units</w:t>
      </w:r>
    </w:p>
    <w:p>
      <w:pPr>
        <w:spacing w:after="0" w:line="88"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There is no restriction on the transfer of the existing preferred units other than restrictions and conditions applicable to transfers of any limited partner interests under our partnership agreement.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88"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No holder of existing preferred units has any preemptive, preferential or other similar right with respect to the issuance of additional partnership securities under our partnership agreement.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Rights Upon a Change of Control</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holders of existing preferred units do not have any specific rights or protections upon a change of control at ET.</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Sinking Fund</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existing preferred units do not have the benefit of any sinking fund.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5"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DEBT SECURITIES</w:t>
      </w:r>
    </w:p>
    <w:p>
      <w:pPr>
        <w:spacing w:after="0" w:line="170"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6" w:lineRule="exact"/>
        <w:rPr>
          <w:sz w:val="20"/>
          <w:szCs w:val="20"/>
          <w:color w:val="auto"/>
        </w:rPr>
      </w:pPr>
    </w:p>
    <w:p>
      <w:pPr>
        <w:jc w:val="both"/>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2" w:lineRule="exact"/>
        <w:rPr>
          <w:sz w:val="20"/>
          <w:szCs w:val="20"/>
          <w:color w:val="auto"/>
        </w:rPr>
      </w:pPr>
    </w:p>
    <w:p>
      <w:pPr>
        <w:ind w:left="340" w:right="439" w:firstLine="333"/>
        <w:spacing w:after="0" w:line="300" w:lineRule="auto"/>
        <w:rPr>
          <w:sz w:val="20"/>
          <w:szCs w:val="20"/>
          <w:color w:val="auto"/>
        </w:rPr>
      </w:pPr>
      <w:r>
        <w:rPr>
          <w:rFonts w:ascii="Times New Roman" w:cs="Times New Roman" w:eastAsia="Times New Roman" w:hAnsi="Times New Roman"/>
          <w:sz w:val="12"/>
          <w:szCs w:val="12"/>
          <w:color w:val="auto"/>
        </w:rPr>
        <w:t>The debt securities will be issued under an indenture dated December 14, 2022 between us, as issuer, and U.S. Bank National Association, as trustee (as amended or supplemented, the “indenture”). We have summarized select portions of the indenture below. The summary is not complete. The indenture has been filed as Exhibit 4.1 to our Current Report on Form 8-K filed with the SEC on December 14, 2022, and is incorporated into the registration statement of which this prospectus forms a part as Exhibit 4.1 to such registration statement, and you should read the indenture for provisions that may be important to you. Capitalized terms used in the summary and not defined herein have the meanings specified in the indenture.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340" w:right="379" w:firstLine="333"/>
        <w:spacing w:after="0" w:line="316" w:lineRule="auto"/>
        <w:rPr>
          <w:sz w:val="20"/>
          <w:szCs w:val="20"/>
          <w:color w:val="auto"/>
        </w:rPr>
      </w:pPr>
      <w:r>
        <w:rPr>
          <w:rFonts w:ascii="Times New Roman" w:cs="Times New Roman" w:eastAsia="Times New Roman" w:hAnsi="Times New Roman"/>
          <w:sz w:val="12"/>
          <w:szCs w:val="12"/>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09" w:lineRule="exact"/>
        <w:rPr>
          <w:sz w:val="20"/>
          <w:szCs w:val="20"/>
          <w:color w:val="auto"/>
        </w:rPr>
      </w:pPr>
    </w:p>
    <w:p>
      <w:pPr>
        <w:jc w:val="both"/>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334"/>
        <w:spacing w:after="0"/>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94" w:lineRule="exact"/>
        <w:rPr>
          <w:rFonts w:ascii="Times New Roman" w:cs="Times New Roman" w:eastAsia="Times New Roman" w:hAnsi="Times New Roman"/>
          <w:sz w:val="14"/>
          <w:szCs w:val="14"/>
          <w:color w:val="auto"/>
        </w:rPr>
      </w:pPr>
    </w:p>
    <w:p>
      <w:pPr>
        <w:ind w:left="1080" w:right="459" w:hanging="334"/>
        <w:spacing w:after="0" w:line="250" w:lineRule="auto"/>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4" w:lineRule="exact"/>
        <w:rPr>
          <w:rFonts w:ascii="Times New Roman" w:cs="Times New Roman" w:eastAsia="Times New Roman" w:hAnsi="Times New Roman"/>
          <w:sz w:val="14"/>
          <w:szCs w:val="14"/>
          <w:color w:val="auto"/>
        </w:rPr>
      </w:pPr>
    </w:p>
    <w:p>
      <w:pPr>
        <w:jc w:val="both"/>
        <w:ind w:left="1080" w:right="419" w:hanging="334"/>
        <w:spacing w:after="0" w:line="254" w:lineRule="auto"/>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0" w:lineRule="exact"/>
        <w:rPr>
          <w:rFonts w:ascii="Times New Roman" w:cs="Times New Roman" w:eastAsia="Times New Roman" w:hAnsi="Times New Roman"/>
          <w:sz w:val="14"/>
          <w:szCs w:val="14"/>
          <w:color w:val="auto"/>
        </w:rPr>
      </w:pPr>
    </w:p>
    <w:p>
      <w:pPr>
        <w:ind w:left="1080" w:right="879" w:hanging="334"/>
        <w:spacing w:after="0" w:line="264" w:lineRule="auto"/>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64" w:lineRule="exact"/>
        <w:rPr>
          <w:rFonts w:ascii="Times New Roman" w:cs="Times New Roman" w:eastAsia="Times New Roman" w:hAnsi="Times New Roman"/>
          <w:sz w:val="14"/>
          <w:szCs w:val="14"/>
          <w:color w:val="auto"/>
        </w:rPr>
      </w:pPr>
    </w:p>
    <w:p>
      <w:pPr>
        <w:ind w:left="1080" w:right="399" w:hanging="334"/>
        <w:spacing w:after="0" w:line="264" w:lineRule="auto"/>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5" w:right="1440" w:bottom="1440" w:gutter="0" w:footer="0" w:header="0"/>
        </w:sectPr>
      </w:pPr>
    </w:p>
    <w:bookmarkStart w:id="72" w:name="page73"/>
    <w:bookmarkEnd w:id="72"/>
    <w:p>
      <w:pPr>
        <w:ind w:left="1080" w:right="4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which, the price or prices at which and in the terms and conditions upon which securities of the series shall be redeemed or purchased, in whole or in part, pursuant to such obligation;</w:t>
      </w:r>
    </w:p>
    <w:p>
      <w:pPr>
        <w:spacing w:after="0" w:line="65" w:lineRule="exact"/>
        <w:rPr>
          <w:sz w:val="20"/>
          <w:szCs w:val="20"/>
          <w:color w:val="auto"/>
        </w:rPr>
      </w:pPr>
    </w:p>
    <w:p>
      <w:pPr>
        <w:ind w:left="1080" w:right="619" w:hanging="334"/>
        <w:spacing w:after="0" w:line="26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94" w:lineRule="exact"/>
        <w:rPr>
          <w:rFonts w:ascii="Times New Roman" w:cs="Times New Roman" w:eastAsia="Times New Roman" w:hAnsi="Times New Roman"/>
          <w:sz w:val="14"/>
          <w:szCs w:val="14"/>
          <w:color w:val="auto"/>
        </w:rPr>
      </w:pPr>
    </w:p>
    <w:p>
      <w:pPr>
        <w:ind w:left="1080" w:right="799" w:hanging="334"/>
        <w:spacing w:after="0" w:line="26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64" w:lineRule="exact"/>
        <w:rPr>
          <w:rFonts w:ascii="Times New Roman" w:cs="Times New Roman" w:eastAsia="Times New Roman" w:hAnsi="Times New Roman"/>
          <w:sz w:val="14"/>
          <w:szCs w:val="14"/>
          <w:color w:val="auto"/>
        </w:rPr>
      </w:pPr>
    </w:p>
    <w:p>
      <w:pPr>
        <w:ind w:left="1080" w:right="539" w:hanging="334"/>
        <w:spacing w:after="0" w:line="349" w:lineRule="auto"/>
        <w:tabs>
          <w:tab w:leader="none" w:pos="1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7" w:lineRule="exact"/>
        <w:rPr>
          <w:rFonts w:ascii="Times New Roman" w:cs="Times New Roman" w:eastAsia="Times New Roman" w:hAnsi="Times New Roman"/>
          <w:sz w:val="12"/>
          <w:szCs w:val="12"/>
          <w:color w:val="auto"/>
        </w:rPr>
      </w:pPr>
    </w:p>
    <w:p>
      <w:pPr>
        <w:ind w:left="1080" w:right="459" w:hanging="334"/>
        <w:spacing w:after="0" w:line="26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64" w:lineRule="exact"/>
        <w:rPr>
          <w:rFonts w:ascii="Times New Roman" w:cs="Times New Roman" w:eastAsia="Times New Roman" w:hAnsi="Times New Roman"/>
          <w:sz w:val="14"/>
          <w:szCs w:val="14"/>
          <w:color w:val="auto"/>
        </w:rPr>
      </w:pPr>
    </w:p>
    <w:p>
      <w:pPr>
        <w:ind w:left="1080" w:right="459" w:hanging="334"/>
        <w:spacing w:after="0" w:line="25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0" w:lineRule="exact"/>
        <w:rPr>
          <w:rFonts w:ascii="Times New Roman" w:cs="Times New Roman" w:eastAsia="Times New Roman" w:hAnsi="Times New Roman"/>
          <w:sz w:val="14"/>
          <w:szCs w:val="14"/>
          <w:color w:val="auto"/>
        </w:rPr>
      </w:pPr>
    </w:p>
    <w:p>
      <w:pPr>
        <w:jc w:val="both"/>
        <w:ind w:left="1080" w:right="399" w:hanging="334"/>
        <w:spacing w:after="0" w:line="25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94" w:lineRule="exact"/>
        <w:rPr>
          <w:rFonts w:ascii="Times New Roman" w:cs="Times New Roman" w:eastAsia="Times New Roman" w:hAnsi="Times New Roman"/>
          <w:sz w:val="14"/>
          <w:szCs w:val="14"/>
          <w:color w:val="auto"/>
        </w:rPr>
      </w:pPr>
    </w:p>
    <w:p>
      <w:pPr>
        <w:ind w:left="1080" w:right="459" w:hanging="334"/>
        <w:spacing w:after="0" w:line="349" w:lineRule="auto"/>
        <w:tabs>
          <w:tab w:leader="none" w:pos="1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 to, deletion of or change in the covenants described in this prospectus or in the indenture with respect to the debt securities;</w:t>
      </w:r>
    </w:p>
    <w:p>
      <w:pPr>
        <w:spacing w:after="0" w:line="1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94" w:lineRule="exact"/>
        <w:rPr>
          <w:rFonts w:ascii="Times New Roman" w:cs="Times New Roman" w:eastAsia="Times New Roman" w:hAnsi="Times New Roman"/>
          <w:sz w:val="14"/>
          <w:szCs w:val="14"/>
          <w:color w:val="auto"/>
        </w:rPr>
      </w:pPr>
    </w:p>
    <w:p>
      <w:pPr>
        <w:ind w:left="1080" w:right="479" w:hanging="334"/>
        <w:spacing w:after="0" w:line="25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0" w:lineRule="exact"/>
        <w:rPr>
          <w:rFonts w:ascii="Times New Roman" w:cs="Times New Roman" w:eastAsia="Times New Roman" w:hAnsi="Times New Roman"/>
          <w:sz w:val="14"/>
          <w:szCs w:val="14"/>
          <w:color w:val="auto"/>
        </w:rPr>
      </w:pPr>
    </w:p>
    <w:p>
      <w:pPr>
        <w:ind w:left="1080" w:right="539" w:hanging="334"/>
        <w:spacing w:after="0" w:line="25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70" w:lineRule="exact"/>
        <w:rPr>
          <w:rFonts w:ascii="Times New Roman" w:cs="Times New Roman" w:eastAsia="Times New Roman" w:hAnsi="Times New Roman"/>
          <w:sz w:val="14"/>
          <w:szCs w:val="14"/>
          <w:color w:val="auto"/>
        </w:rPr>
      </w:pPr>
    </w:p>
    <w:p>
      <w:pPr>
        <w:ind w:left="1080" w:right="539" w:hanging="334"/>
        <w:spacing w:after="0" w:line="264" w:lineRule="auto"/>
        <w:tabs>
          <w:tab w:leader="none" w:pos="1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136"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73" w:name="page74"/>
    <w:bookmarkEnd w:id="73"/>
    <w:p>
      <w:pPr>
        <w:ind w:left="340" w:right="379" w:firstLine="333"/>
        <w:spacing w:after="0" w:line="30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The Subsidiary Guarantees</w:t>
      </w:r>
    </w:p>
    <w:p>
      <w:pPr>
        <w:spacing w:after="0" w:line="88"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Our payment obligations under any series of debt securities may be jointly and severally, fully and unconditionally guaranteed by one or more Subsidiary Guarantors. If a series of debt securities are so guaranteed, the Subsidiary Guarantors will execute a notation of guarantee as further evidence of their guarantee.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88"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47" w:lineRule="exact"/>
        <w:rPr>
          <w:sz w:val="20"/>
          <w:szCs w:val="20"/>
          <w:color w:val="auto"/>
        </w:rPr>
      </w:pPr>
    </w:p>
    <w:p>
      <w:pPr>
        <w:ind w:left="340" w:right="41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Certificated Debt Securities</w:t>
      </w:r>
      <w:r>
        <w:rPr>
          <w:rFonts w:ascii="Times New Roman" w:cs="Times New Roman" w:eastAsia="Times New Roman" w:hAnsi="Times New Roman"/>
          <w:sz w:val="14"/>
          <w:szCs w:val="14"/>
          <w:color w:val="auto"/>
        </w:rPr>
        <w:t>. You may transfer or exchange certificated debt securities at any office we maintain for this purpose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42"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40" w:lineRule="exact"/>
        <w:rPr>
          <w:sz w:val="20"/>
          <w:szCs w:val="20"/>
          <w:color w:val="auto"/>
        </w:rPr>
      </w:pPr>
    </w:p>
    <w:p>
      <w:pPr>
        <w:ind w:left="340" w:right="59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Each global debt security representing book-entry debt securities will be deposited with, or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behalf of, the Depositary, and registered in the name of the Depositary or a nominee of the Depositary. Please see “Global Securities.”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8"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A series of debt securities may contain financial and other covenants. The applicable prospectus supplement will contain a description of any such covenants that are added to the indenture specifically for the benefit of holders of a particular series.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88" w:lineRule="exact"/>
        <w:rPr>
          <w:sz w:val="20"/>
          <w:szCs w:val="20"/>
          <w:color w:val="auto"/>
        </w:rPr>
      </w:pPr>
    </w:p>
    <w:p>
      <w:pPr>
        <w:jc w:val="both"/>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Consolidation, Merger and Sale of Assets</w:t>
      </w:r>
    </w:p>
    <w:p>
      <w:pPr>
        <w:spacing w:after="0" w:line="88" w:lineRule="exact"/>
        <w:rPr>
          <w:sz w:val="20"/>
          <w:szCs w:val="20"/>
          <w:color w:val="auto"/>
        </w:rPr>
      </w:pPr>
    </w:p>
    <w:p>
      <w:pPr>
        <w:ind w:left="340" w:right="739" w:firstLine="333"/>
        <w:spacing w:after="0" w:line="264" w:lineRule="auto"/>
        <w:rPr>
          <w:sz w:val="20"/>
          <w:szCs w:val="20"/>
          <w:color w:val="auto"/>
        </w:rPr>
      </w:pPr>
      <w:r>
        <w:rPr>
          <w:rFonts w:ascii="Times New Roman" w:cs="Times New Roman" w:eastAsia="Times New Roman" w:hAnsi="Times New Roman"/>
          <w:sz w:val="14"/>
          <w:szCs w:val="14"/>
          <w:color w:val="auto"/>
        </w:rPr>
        <w:t>ET shall not, in a transaction or series of transactions, consolidate with or merge into any Person or sell, lease, convey, transfer or otherwise dispose of all or substantially all of its assets to any Person unless:</w:t>
      </w:r>
    </w:p>
    <w:p>
      <w:pPr>
        <w:spacing w:after="0" w:line="156" w:lineRule="exact"/>
        <w:rPr>
          <w:sz w:val="20"/>
          <w:szCs w:val="20"/>
          <w:color w:val="auto"/>
        </w:rPr>
      </w:pPr>
    </w:p>
    <w:p>
      <w:pPr>
        <w:ind w:left="1080" w:right="559" w:hanging="334"/>
        <w:spacing w:after="0" w:line="254" w:lineRule="auto"/>
        <w:tabs>
          <w:tab w:leader="none" w:pos="1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resulting from any such consolidation or merger or to which such assets have been sold, leased, conveyed, transferred or otherwise disposed of (the “successor”) is ET or expressly assumes by supplemental indenture all of ET’s obligations and liabilities under the indenture and the notes;</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is organized under the laws of the United States, any state thereof or the District of Columbia;</w:t>
      </w:r>
    </w:p>
    <w:p>
      <w:pPr>
        <w:spacing w:after="0" w:line="94" w:lineRule="exact"/>
        <w:rPr>
          <w:rFonts w:ascii="Times New Roman" w:cs="Times New Roman" w:eastAsia="Times New Roman" w:hAnsi="Times New Roman"/>
          <w:sz w:val="14"/>
          <w:szCs w:val="14"/>
          <w:color w:val="auto"/>
        </w:rPr>
      </w:pPr>
    </w:p>
    <w:p>
      <w:pPr>
        <w:ind w:left="1080" w:right="539" w:hanging="334"/>
        <w:spacing w:after="0" w:line="264" w:lineRule="auto"/>
        <w:tabs>
          <w:tab w:leader="none" w:pos="1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or series of transactions, no Default or Event of Default has occurred and is continuing under such indenture; and</w:t>
      </w:r>
    </w:p>
    <w:p>
      <w:pPr>
        <w:spacing w:after="0" w:line="64" w:lineRule="exact"/>
        <w:rPr>
          <w:rFonts w:ascii="Times New Roman" w:cs="Times New Roman" w:eastAsia="Times New Roman" w:hAnsi="Times New Roman"/>
          <w:sz w:val="14"/>
          <w:szCs w:val="14"/>
          <w:color w:val="auto"/>
        </w:rPr>
      </w:pPr>
    </w:p>
    <w:p>
      <w:pPr>
        <w:ind w:left="1080" w:right="419" w:hanging="334"/>
        <w:spacing w:after="0" w:line="254" w:lineRule="auto"/>
        <w:tabs>
          <w:tab w:leader="none" w:pos="1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w:t>
      </w:r>
    </w:p>
    <w:p>
      <w:pPr>
        <w:spacing w:after="0" w:line="61"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The successor will be substituted for ET in such indenture with the same effect as if it had been an original party to such indenture. Thereafter, the successor may exercise the rights and powers of ET under such indenture. Each of the indentures will provide that if ET conveys or transfers all or substantially all of its assets, it will be released from all liabilities and obligations under such indenture and under the notes issued thereunder, except that no such release will occur in the case of a lease of all or substantially all of its assets.</w:t>
      </w:r>
    </w:p>
    <w:p>
      <w:pPr>
        <w:spacing w:after="0" w:line="65" w:lineRule="exact"/>
        <w:rPr>
          <w:sz w:val="20"/>
          <w:szCs w:val="20"/>
          <w:color w:val="auto"/>
        </w:rPr>
      </w:pPr>
    </w:p>
    <w:p>
      <w:pPr>
        <w:ind w:left="340" w:right="659" w:firstLine="333"/>
        <w:spacing w:after="0" w:line="349" w:lineRule="auto"/>
        <w:rPr>
          <w:sz w:val="20"/>
          <w:szCs w:val="20"/>
          <w:color w:val="auto"/>
        </w:rPr>
      </w:pPr>
      <w:r>
        <w:rPr>
          <w:rFonts w:ascii="Times New Roman" w:cs="Times New Roman" w:eastAsia="Times New Roman" w:hAnsi="Times New Roman"/>
          <w:sz w:val="12"/>
          <w:szCs w:val="12"/>
          <w:color w:val="auto"/>
        </w:rPr>
        <w:t>“Person” means any individual, corporation, partnership, limited liability company, joint venture, incorporated or unincorporated association, joint-stock company, trust, unincorporated organization, government or any agency or political subdivision thereof or any other entity.</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“Event of Default” means with respect to any series of debt securities, any of the following:</w:t>
      </w:r>
    </w:p>
    <w:p>
      <w:pPr>
        <w:spacing w:after="0" w:line="156" w:lineRule="exact"/>
        <w:rPr>
          <w:sz w:val="20"/>
          <w:szCs w:val="20"/>
          <w:color w:val="auto"/>
        </w:rPr>
      </w:pPr>
    </w:p>
    <w:p>
      <w:pPr>
        <w:ind w:left="1080" w:right="359" w:hanging="334"/>
        <w:spacing w:after="0" w:line="264" w:lineRule="auto"/>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or any additional amounts with respect to any debt security of that series when it becomes due and payable and such default continues for a period of 30 days;</w:t>
      </w:r>
    </w:p>
    <w:p>
      <w:pPr>
        <w:spacing w:after="0" w:line="64" w:lineRule="exact"/>
        <w:rPr>
          <w:rFonts w:ascii="Times New Roman" w:cs="Times New Roman" w:eastAsia="Times New Roman" w:hAnsi="Times New Roman"/>
          <w:sz w:val="14"/>
          <w:szCs w:val="14"/>
          <w:color w:val="auto"/>
        </w:rPr>
      </w:pPr>
    </w:p>
    <w:p>
      <w:pPr>
        <w:ind w:left="1080" w:right="459" w:hanging="334"/>
        <w:spacing w:after="0" w:line="264" w:lineRule="auto"/>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if any, on any debt securities of that series as and when the same shall become due and payable, whether at stated maturity, upon redemption, by declaration, upon required repurchase or otherwise;</w:t>
      </w:r>
    </w:p>
    <w:p>
      <w:pPr>
        <w:spacing w:after="0" w:line="64" w:lineRule="exact"/>
        <w:rPr>
          <w:rFonts w:ascii="Times New Roman" w:cs="Times New Roman" w:eastAsia="Times New Roman" w:hAnsi="Times New Roman"/>
          <w:sz w:val="14"/>
          <w:szCs w:val="14"/>
          <w:color w:val="auto"/>
        </w:rPr>
      </w:pPr>
    </w:p>
    <w:p>
      <w:pPr>
        <w:ind w:left="1080" w:right="539" w:hanging="334"/>
        <w:spacing w:after="0" w:line="264" w:lineRule="auto"/>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sinking fund payment with respect to any debt securities of that series as and when the same shall become due and payable;</w:t>
      </w:r>
    </w:p>
    <w:p>
      <w:pPr>
        <w:spacing w:after="0" w:line="64" w:lineRule="exact"/>
        <w:rPr>
          <w:rFonts w:ascii="Times New Roman" w:cs="Times New Roman" w:eastAsia="Times New Roman" w:hAnsi="Times New Roman"/>
          <w:sz w:val="14"/>
          <w:szCs w:val="14"/>
          <w:color w:val="auto"/>
        </w:rPr>
      </w:pPr>
    </w:p>
    <w:p>
      <w:pPr>
        <w:ind w:left="1080" w:right="399" w:hanging="334"/>
        <w:spacing w:after="0" w:line="248" w:lineRule="auto"/>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7" w:lineRule="exact"/>
        <w:rPr>
          <w:rFonts w:ascii="Times New Roman" w:cs="Times New Roman" w:eastAsia="Times New Roman" w:hAnsi="Times New Roman"/>
          <w:sz w:val="14"/>
          <w:szCs w:val="14"/>
          <w:color w:val="auto"/>
        </w:rPr>
      </w:pPr>
    </w:p>
    <w:p>
      <w:pPr>
        <w:ind w:left="1080" w:right="359" w:hanging="334"/>
        <w:spacing w:after="0" w:line="264" w:lineRule="auto"/>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us, or, if the series of debt securities is guaranteed by any Subsidiary Guarantor, of such Subsidiary Guarantor;</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series of debt securities is guaranteed by any Subsidiary Guarantor, any of the subsidiary guarantees;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5" w:right="1440" w:bottom="1440" w:gutter="0" w:footer="0" w:header="0"/>
        </w:sectPr>
      </w:pPr>
    </w:p>
    <w:bookmarkStart w:id="75" w:name="page76"/>
    <w:bookmarkEnd w:id="75"/>
    <w:p>
      <w:pPr>
        <w:ind w:left="1400" w:hanging="235"/>
        <w:spacing w:after="0"/>
        <w:tabs>
          <w:tab w:leader="none" w:pos="14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ceases to be in full force and effect, except as otherwise provided in the indenture;</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declared null and void in a judicial proceeding; or</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Guarantor denies or disaffirms its obligations under the indenture or its guarantee;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of Default provided with respect to debt securities of that series that is described in the applicable prospectus supplement.</w:t>
      </w:r>
    </w:p>
    <w:p>
      <w:pPr>
        <w:spacing w:after="0" w:line="189" w:lineRule="exact"/>
        <w:rPr>
          <w:sz w:val="20"/>
          <w:szCs w:val="20"/>
          <w:color w:val="auto"/>
        </w:rPr>
      </w:pPr>
    </w:p>
    <w:p>
      <w:pPr>
        <w:ind w:left="340" w:right="419" w:firstLine="333"/>
        <w:spacing w:after="0" w:line="316" w:lineRule="auto"/>
        <w:rPr>
          <w:sz w:val="20"/>
          <w:szCs w:val="20"/>
          <w:color w:val="auto"/>
        </w:rPr>
      </w:pPr>
      <w:r>
        <w:rPr>
          <w:rFonts w:ascii="Times New Roman" w:cs="Times New Roman" w:eastAsia="Times New Roman" w:hAnsi="Times New Roman"/>
          <w:sz w:val="12"/>
          <w:szCs w:val="12"/>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09"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42" w:lineRule="exact"/>
        <w:rPr>
          <w:sz w:val="20"/>
          <w:szCs w:val="20"/>
          <w:color w:val="auto"/>
        </w:rPr>
      </w:pPr>
    </w:p>
    <w:p>
      <w:pPr>
        <w:ind w:left="340" w:right="359" w:firstLine="333"/>
        <w:spacing w:after="0" w:line="290" w:lineRule="auto"/>
        <w:rPr>
          <w:sz w:val="20"/>
          <w:szCs w:val="20"/>
          <w:color w:val="auto"/>
        </w:rPr>
      </w:pPr>
      <w:r>
        <w:rPr>
          <w:rFonts w:ascii="Times New Roman" w:cs="Times New Roman" w:eastAsia="Times New Roman" w:hAnsi="Times New Roman"/>
          <w:sz w:val="12"/>
          <w:szCs w:val="12"/>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90"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security or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9" w:lineRule="exact"/>
        <w:rPr>
          <w:sz w:val="20"/>
          <w:szCs w:val="20"/>
          <w:color w:val="auto"/>
        </w:rPr>
      </w:pPr>
    </w:p>
    <w:p>
      <w:pPr>
        <w:ind w:left="340" w:right="479" w:firstLine="333"/>
        <w:spacing w:after="0" w:line="264"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5" w:lineRule="exact"/>
        <w:rPr>
          <w:sz w:val="20"/>
          <w:szCs w:val="20"/>
          <w:color w:val="auto"/>
        </w:rPr>
      </w:pPr>
    </w:p>
    <w:p>
      <w:pPr>
        <w:ind w:left="1080" w:hanging="334"/>
        <w:spacing w:after="0"/>
        <w:tabs>
          <w:tab w:leader="none" w:pos="1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holder has previously given to the trustee written notice of a continuing Event of Default with respect to debt securities of that series;</w:t>
      </w:r>
    </w:p>
    <w:p>
      <w:pPr>
        <w:spacing w:after="0" w:line="117" w:lineRule="exact"/>
        <w:rPr>
          <w:rFonts w:ascii="Times New Roman" w:cs="Times New Roman" w:eastAsia="Times New Roman" w:hAnsi="Times New Roman"/>
          <w:sz w:val="12"/>
          <w:szCs w:val="12"/>
          <w:color w:val="auto"/>
        </w:rPr>
      </w:pPr>
    </w:p>
    <w:p>
      <w:pPr>
        <w:ind w:left="1080" w:right="379" w:hanging="334"/>
        <w:spacing w:after="0" w:line="264" w:lineRule="auto"/>
        <w:tabs>
          <w:tab w:leader="none" w:pos="1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76" w:name="page77"/>
    <w:bookmarkEnd w:id="76"/>
    <w:p>
      <w:pPr>
        <w:ind w:left="1080" w:right="399"/>
        <w:spacing w:after="0" w:line="34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7" w:lineRule="exact"/>
        <w:rPr>
          <w:sz w:val="20"/>
          <w:szCs w:val="20"/>
          <w:color w:val="auto"/>
        </w:rPr>
      </w:pPr>
    </w:p>
    <w:p>
      <w:pPr>
        <w:ind w:left="1080" w:hanging="334"/>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such proceeding within 90 calendar days of such notice; and</w:t>
      </w:r>
    </w:p>
    <w:p>
      <w:pPr>
        <w:spacing w:after="0" w:line="94" w:lineRule="exact"/>
        <w:rPr>
          <w:rFonts w:ascii="Times New Roman" w:cs="Times New Roman" w:eastAsia="Times New Roman" w:hAnsi="Times New Roman"/>
          <w:sz w:val="14"/>
          <w:szCs w:val="14"/>
          <w:color w:val="auto"/>
        </w:rPr>
      </w:pPr>
    </w:p>
    <w:p>
      <w:pPr>
        <w:ind w:left="1080" w:right="599" w:hanging="334"/>
        <w:spacing w:after="0" w:line="264" w:lineRule="auto"/>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or prior to such 90-day period, the trustee has not received from the holders of a majority in outstanding principal amount of the debt securities of such series a direction inconsistent with such request.</w:t>
      </w:r>
    </w:p>
    <w:p>
      <w:pPr>
        <w:spacing w:after="0" w:line="136"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42"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debt securities of any series and if it is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8"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65" w:lineRule="exact"/>
        <w:rPr>
          <w:sz w:val="20"/>
          <w:szCs w:val="20"/>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Subsidiary Guarantor with respect to the debt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 and/or any guarantees;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issuance of and establish the form and terms and conditions of debt securities of any series as permitted by the indenture;</w:t>
      </w:r>
    </w:p>
    <w:p>
      <w:pPr>
        <w:spacing w:after="0" w:line="117" w:lineRule="exact"/>
        <w:rPr>
          <w:rFonts w:ascii="Times New Roman" w:cs="Times New Roman" w:eastAsia="Times New Roman" w:hAnsi="Times New Roman"/>
          <w:sz w:val="12"/>
          <w:szCs w:val="12"/>
          <w:color w:val="auto"/>
        </w:rPr>
      </w:pPr>
    </w:p>
    <w:p>
      <w:pPr>
        <w:ind w:left="1080" w:right="939" w:hanging="334"/>
        <w:spacing w:after="0" w:line="264" w:lineRule="auto"/>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4" w:lineRule="exact"/>
        <w:rPr>
          <w:rFonts w:ascii="Times New Roman" w:cs="Times New Roman" w:eastAsia="Times New Roman" w:hAnsi="Times New Roman"/>
          <w:sz w:val="14"/>
          <w:szCs w:val="14"/>
          <w:color w:val="auto"/>
        </w:rPr>
      </w:pPr>
    </w:p>
    <w:p>
      <w:pPr>
        <w:ind w:left="1080" w:right="539" w:hanging="334"/>
        <w:spacing w:after="0" w:line="264" w:lineRule="auto"/>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of 1939, as amended (the “Trust Indenture 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77" w:name="page78"/>
    <w:bookmarkEnd w:id="77"/>
    <w:p>
      <w:pPr>
        <w:jc w:val="both"/>
        <w:ind w:left="340" w:right="599" w:firstLine="33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1" w:lineRule="exact"/>
        <w:rPr>
          <w:sz w:val="20"/>
          <w:szCs w:val="20"/>
          <w:color w:val="auto"/>
        </w:rPr>
      </w:pPr>
    </w:p>
    <w:p>
      <w:pPr>
        <w:ind w:left="1080" w:hanging="334"/>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9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94" w:lineRule="exact"/>
        <w:rPr>
          <w:rFonts w:ascii="Times New Roman" w:cs="Times New Roman" w:eastAsia="Times New Roman" w:hAnsi="Times New Roman"/>
          <w:sz w:val="14"/>
          <w:szCs w:val="14"/>
          <w:color w:val="auto"/>
        </w:rPr>
      </w:pPr>
    </w:p>
    <w:p>
      <w:pPr>
        <w:ind w:left="1080" w:right="419" w:hanging="334"/>
        <w:spacing w:after="0" w:line="254" w:lineRule="auto"/>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94" w:lineRule="exact"/>
        <w:rPr>
          <w:rFonts w:ascii="Times New Roman" w:cs="Times New Roman" w:eastAsia="Times New Roman" w:hAnsi="Times New Roman"/>
          <w:sz w:val="14"/>
          <w:szCs w:val="14"/>
          <w:color w:val="auto"/>
        </w:rPr>
      </w:pPr>
    </w:p>
    <w:p>
      <w:pPr>
        <w:ind w:left="1080" w:right="359" w:hanging="334"/>
        <w:spacing w:after="0" w:line="254" w:lineRule="auto"/>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66"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6" w:lineRule="exact"/>
        <w:rPr>
          <w:sz w:val="20"/>
          <w:szCs w:val="20"/>
          <w:color w:val="auto"/>
        </w:rPr>
      </w:pPr>
    </w:p>
    <w:p>
      <w:pPr>
        <w:ind w:left="340" w:right="459" w:firstLine="333"/>
        <w:spacing w:after="0" w:line="247"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7" w:lineRule="exact"/>
        <w:rPr>
          <w:sz w:val="20"/>
          <w:szCs w:val="20"/>
          <w:color w:val="auto"/>
        </w:rPr>
      </w:pPr>
    </w:p>
    <w:p>
      <w:pPr>
        <w:ind w:left="340" w:right="479" w:firstLine="333"/>
        <w:spacing w:after="0" w:line="264"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78" w:name="page79"/>
    <w:bookmarkEnd w:id="78"/>
    <w:p>
      <w:pPr>
        <w:ind w:left="340" w:right="35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47" w:lineRule="exact"/>
        <w:rPr>
          <w:sz w:val="20"/>
          <w:szCs w:val="20"/>
          <w:color w:val="auto"/>
        </w:rPr>
      </w:pPr>
    </w:p>
    <w:p>
      <w:pPr>
        <w:ind w:left="340" w:right="45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compliance with certain conditions:</w:t>
      </w:r>
    </w:p>
    <w:p>
      <w:pPr>
        <w:spacing w:after="0" w:line="63" w:lineRule="exact"/>
        <w:rPr>
          <w:sz w:val="20"/>
          <w:szCs w:val="20"/>
          <w:color w:val="auto"/>
        </w:rPr>
      </w:pPr>
    </w:p>
    <w:p>
      <w:pPr>
        <w:ind w:left="1080" w:right="519" w:hanging="334"/>
        <w:spacing w:after="0" w:line="254" w:lineRule="auto"/>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70"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4" w:lineRule="exact"/>
        <w:rPr>
          <w:sz w:val="20"/>
          <w:szCs w:val="20"/>
          <w:color w:val="auto"/>
        </w:rPr>
      </w:pPr>
    </w:p>
    <w:p>
      <w:pPr>
        <w:ind w:left="1080" w:right="419" w:hanging="334"/>
        <w:spacing w:after="0" w:line="247" w:lineRule="auto"/>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8" w:lineRule="exact"/>
        <w:rPr>
          <w:rFonts w:ascii="Times New Roman" w:cs="Times New Roman" w:eastAsia="Times New Roman" w:hAnsi="Times New Roman"/>
          <w:sz w:val="14"/>
          <w:szCs w:val="14"/>
          <w:color w:val="auto"/>
        </w:rPr>
      </w:pPr>
    </w:p>
    <w:p>
      <w:pPr>
        <w:ind w:left="1080" w:right="419" w:hanging="334"/>
        <w:spacing w:after="0" w:line="247" w:lineRule="auto"/>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we have received from, or there has been published by, 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88" w:lineRule="exact"/>
        <w:rPr>
          <w:sz w:val="20"/>
          <w:szCs w:val="20"/>
          <w:color w:val="auto"/>
        </w:rPr>
      </w:pPr>
    </w:p>
    <w:p>
      <w:pPr>
        <w:jc w:val="both"/>
        <w:ind w:left="340" w:right="359" w:firstLine="333"/>
        <w:spacing w:after="0" w:line="349" w:lineRule="auto"/>
        <w:rPr>
          <w:sz w:val="20"/>
          <w:szCs w:val="20"/>
          <w:color w:val="auto"/>
        </w:rPr>
      </w:pPr>
      <w:r>
        <w:rPr>
          <w:rFonts w:ascii="Times New Roman" w:cs="Times New Roman" w:eastAsia="Times New Roman" w:hAnsi="Times New Roman"/>
          <w:sz w:val="12"/>
          <w:szCs w:val="12"/>
          <w:color w:val="auto"/>
        </w:rPr>
        <w:t>The indenture will provide that we may satisfy and discharge the indenture as it relates to any series of debt securities if the debt securities of such series have matured or will mature within one year by reason of a redemption or otherwise, if certain requirements set forth in the indenture are satisfied.</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 Personal Liability</w:t>
      </w:r>
    </w:p>
    <w:p>
      <w:pPr>
        <w:spacing w:after="0" w:line="88"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None of the past, present or future partners, incorporators, managers, members, directors, officers, employees, unitholders of us or our general partner, as such, will be liable for:</w:t>
      </w:r>
    </w:p>
    <w:p>
      <w:pPr>
        <w:spacing w:after="0" w:line="65" w:lineRule="exact"/>
        <w:rPr>
          <w:sz w:val="20"/>
          <w:szCs w:val="20"/>
          <w:color w:val="auto"/>
        </w:rPr>
      </w:pPr>
    </w:p>
    <w:p>
      <w:pPr>
        <w:ind w:left="1080" w:hanging="334"/>
        <w:spacing w:after="0"/>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obligations or the obligations of any Subsidiary Guarantors under the debt securities, the indenture or the guarantees;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based on, in respect of, or by reason of, such obligations or their creation.</w:t>
      </w:r>
    </w:p>
    <w:p>
      <w:pPr>
        <w:spacing w:after="0" w:line="166"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By accepting a debt security, each holder will be deemed to have waived and released all such liability. This waiver and release is part of the consideration for our issuance of the debt securities. This waiver may not be effective, however, to waive liabilities under the federal securities laws, and it is the view of the SEC that such a waiver is against public policy.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Conversion or Exchange Rights</w:t>
      </w:r>
    </w:p>
    <w:p>
      <w:pPr>
        <w:spacing w:after="0" w:line="88"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if any, on which a series of debt securities may be convertible into or exchangeable for our common units. These terms will include provisions as to whether conversion or exchange is mandatory, at the option of the holder or at our option. These provisions may allow or require the number of shares of common units to be received by holders of such series of debt securities to be adjusted.</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88" w:lineRule="exact"/>
        <w:rPr>
          <w:sz w:val="20"/>
          <w:szCs w:val="20"/>
          <w:color w:val="auto"/>
        </w:rPr>
      </w:pPr>
    </w:p>
    <w:p>
      <w:pPr>
        <w:ind w:left="340" w:right="479" w:firstLine="333"/>
        <w:spacing w:after="0" w:line="247" w:lineRule="auto"/>
        <w:rPr>
          <w:sz w:val="20"/>
          <w:szCs w:val="20"/>
          <w:color w:val="auto"/>
        </w:rPr>
      </w:pPr>
      <w:r>
        <w:rPr>
          <w:rFonts w:ascii="Times New Roman" w:cs="Times New Roman" w:eastAsia="Times New Roman" w:hAnsi="Times New Roman"/>
          <w:sz w:val="14"/>
          <w:szCs w:val="14"/>
          <w:color w:val="auto"/>
        </w:rPr>
        <w:t>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any related guarantees will be subordinate in right of payment, to the extent and in the manner set forth in the indenture and the prospectus supplement relating to such series, to the prior payment of all of our indebtedness and that of, if applicable, any Subsidiary Guarantor that is designated as “Senior Indebtedness” with respect to the series.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debt securities, will be governed by the laws of the State of New York.</w:t>
      </w:r>
    </w:p>
    <w:p>
      <w:pPr>
        <w:spacing w:after="0" w:line="136"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2" w:lineRule="exact"/>
        <w:rPr>
          <w:sz w:val="20"/>
          <w:szCs w:val="20"/>
          <w:color w:val="auto"/>
        </w:rPr>
      </w:pPr>
    </w:p>
    <w:p>
      <w:pPr>
        <w:ind w:left="340" w:right="399" w:firstLine="333"/>
        <w:spacing w:after="0" w:line="246"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5"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GLOBAL SECURITIES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88"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4" w:lineRule="exact"/>
        <w:rPr>
          <w:sz w:val="20"/>
          <w:szCs w:val="20"/>
          <w:color w:val="auto"/>
        </w:rPr>
      </w:pPr>
    </w:p>
    <w:p>
      <w:pPr>
        <w:ind w:left="1080" w:hanging="334"/>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66" w:lineRule="exact"/>
        <w:rPr>
          <w:sz w:val="20"/>
          <w:szCs w:val="20"/>
          <w:color w:val="auto"/>
        </w:rPr>
      </w:pPr>
    </w:p>
    <w:p>
      <w:pPr>
        <w:ind w:left="340" w:right="419" w:firstLine="333"/>
        <w:spacing w:after="0" w:line="246"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50"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47"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5" w:right="1440" w:bottom="1440" w:gutter="0" w:footer="0" w:header="0"/>
        </w:sectPr>
      </w:pPr>
    </w:p>
    <w:bookmarkStart w:id="81" w:name="page82"/>
    <w:bookmarkEnd w:id="81"/>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46" w:lineRule="exact"/>
        <w:rPr>
          <w:sz w:val="20"/>
          <w:szCs w:val="20"/>
          <w:color w:val="auto"/>
        </w:rPr>
      </w:pPr>
    </w:p>
    <w:p>
      <w:pPr>
        <w:ind w:left="340" w:right="619" w:firstLine="333"/>
        <w:spacing w:after="0" w:line="254"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42"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36" w:lineRule="exact"/>
        <w:rPr>
          <w:sz w:val="20"/>
          <w:szCs w:val="20"/>
          <w:color w:val="auto"/>
        </w:rPr>
      </w:pPr>
    </w:p>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6"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50" w:lineRule="exact"/>
        <w:rPr>
          <w:sz w:val="20"/>
          <w:szCs w:val="20"/>
          <w:color w:val="auto"/>
        </w:rPr>
      </w:pPr>
    </w:p>
    <w:p>
      <w:pPr>
        <w:ind w:left="340" w:right="359" w:firstLine="333"/>
        <w:spacing w:after="0" w:line="294" w:lineRule="auto"/>
        <w:rPr>
          <w:sz w:val="20"/>
          <w:szCs w:val="20"/>
          <w:color w:val="auto"/>
        </w:rPr>
      </w:pPr>
      <w:r>
        <w:rPr>
          <w:rFonts w:ascii="Times New Roman" w:cs="Times New Roman" w:eastAsia="Times New Roman" w:hAnsi="Times New Roman"/>
          <w:sz w:val="12"/>
          <w:szCs w:val="12"/>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87" w:lineRule="exact"/>
        <w:rPr>
          <w:sz w:val="20"/>
          <w:szCs w:val="20"/>
          <w:color w:val="auto"/>
        </w:rPr>
      </w:pPr>
    </w:p>
    <w:p>
      <w:pPr>
        <w:ind w:left="340" w:right="539" w:firstLine="333"/>
        <w:spacing w:after="0" w:line="254"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42"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DTC may discontinue providing its services as securities depositary with respect to the securities at any time by giving reasonable notice to us.</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Under such circumstances, in the event that a successor depositary is not obtained, securities certificates are required to be printed and delivered.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82" w:name="page83"/>
    <w:bookmarkEnd w:id="82"/>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As noted above, beneficial owners of a particular series of securities generally will not receive certificates representing their ownership interests in those securities. However, if:</w:t>
      </w:r>
    </w:p>
    <w:p>
      <w:pPr>
        <w:spacing w:after="0" w:line="65" w:lineRule="exact"/>
        <w:rPr>
          <w:sz w:val="20"/>
          <w:szCs w:val="20"/>
          <w:color w:val="auto"/>
        </w:rPr>
      </w:pPr>
    </w:p>
    <w:p>
      <w:pPr>
        <w:ind w:left="1080" w:right="519" w:hanging="334"/>
        <w:spacing w:after="0" w:line="250" w:lineRule="auto"/>
        <w:tabs>
          <w:tab w:leader="none" w:pos="10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66"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70"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50" w:lineRule="exact"/>
        <w:rPr>
          <w:sz w:val="20"/>
          <w:szCs w:val="20"/>
          <w:color w:val="auto"/>
        </w:rPr>
      </w:pPr>
    </w:p>
    <w:p>
      <w:pPr>
        <w:jc w:val="both"/>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42"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42"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42"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83" w:name="page84"/>
    <w:bookmarkEnd w:id="83"/>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88" w:lineRule="exact"/>
        <w:rPr>
          <w:sz w:val="20"/>
          <w:szCs w:val="20"/>
          <w:color w:val="auto"/>
        </w:rPr>
      </w:pPr>
    </w:p>
    <w:p>
      <w:pPr>
        <w:ind w:left="340" w:right="399" w:firstLine="333"/>
        <w:spacing w:after="0" w:line="246"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PLAN OF DISTRIBUTION</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may sell the offered securities from time to time:</w:t>
      </w:r>
    </w:p>
    <w:p>
      <w:pPr>
        <w:spacing w:after="0" w:line="94" w:lineRule="exact"/>
        <w:rPr>
          <w:sz w:val="20"/>
          <w:szCs w:val="20"/>
          <w:color w:val="auto"/>
        </w:rPr>
      </w:pPr>
    </w:p>
    <w:p>
      <w:pPr>
        <w:ind w:left="1080" w:hanging="334"/>
        <w:spacing w:after="0"/>
        <w:tabs>
          <w:tab w:leader="none" w:pos="10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66"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5"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MATERIAL U.S. FEDERAL INCOME TAX CONSEQUENCES</w:t>
      </w:r>
    </w:p>
    <w:p>
      <w:pPr>
        <w:spacing w:after="0" w:line="170" w:lineRule="exact"/>
        <w:rPr>
          <w:sz w:val="20"/>
          <w:szCs w:val="20"/>
          <w:color w:val="auto"/>
        </w:rPr>
      </w:pPr>
    </w:p>
    <w:p>
      <w:pPr>
        <w:ind w:left="340" w:right="339" w:firstLine="333"/>
        <w:spacing w:after="0" w:line="246" w:lineRule="auto"/>
        <w:rPr>
          <w:sz w:val="20"/>
          <w:szCs w:val="20"/>
          <w:color w:val="auto"/>
        </w:rPr>
      </w:pPr>
      <w:r>
        <w:rPr>
          <w:rFonts w:ascii="Times New Roman" w:cs="Times New Roman" w:eastAsia="Times New Roman" w:hAnsi="Times New Roman"/>
          <w:sz w:val="14"/>
          <w:szCs w:val="14"/>
          <w:color w:val="auto"/>
        </w:rPr>
        <w:t>This section is a summary of the material U.S. federal income tax consequences that may be relevant to prospective common unitholders who are individual citizens or residents of the United States and, unless otherwise noted in the following discussion, is the opinion of Latham &amp; Watkins LLP, counsel to our general partner and us, insofar as it relates to legal conclusions with respect to matters of U.S. federal income tax law. A description of the material U.S. federal income tax consequences of the acquisition, ownership and disposition of preferred units and debt securities will be set forth in a prospectus supplement relating to the offering of such units or securities. This section is based upon current provisions of the Internal Revenue Code of 1986, as amended (the “Code”), existing and proposed Treasury regulations promulgated under the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“we”, “us” or “our” are references to Energy Transfer LP and our operating subsidiaries.</w:t>
      </w:r>
    </w:p>
    <w:p>
      <w:pPr>
        <w:spacing w:after="0" w:line="149" w:lineRule="exact"/>
        <w:rPr>
          <w:sz w:val="20"/>
          <w:szCs w:val="20"/>
          <w:color w:val="auto"/>
        </w:rPr>
      </w:pPr>
    </w:p>
    <w:p>
      <w:pPr>
        <w:ind w:left="340" w:right="419" w:firstLine="333"/>
        <w:spacing w:after="0" w:line="245" w:lineRule="auto"/>
        <w:rPr>
          <w:sz w:val="20"/>
          <w:szCs w:val="20"/>
          <w:color w:val="auto"/>
        </w:rPr>
      </w:pPr>
      <w:r>
        <w:rPr>
          <w:rFonts w:ascii="Times New Roman" w:cs="Times New Roman" w:eastAsia="Times New Roman" w:hAnsi="Times New Roman"/>
          <w:sz w:val="14"/>
          <w:szCs w:val="14"/>
          <w:color w:val="auto"/>
        </w:rPr>
        <w:t>The following discussion does not comment on all federal income tax matters affecting us or our common unitholders and does not describe the application of the alternative minimum tax that may be applicable to certain Common unitholders. Moreover, the discussion focuses on common unitholders who are individual citizens or residents of the United States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foreign persons eligible for the benefits of an applicable income tax treaty with the United States), individual retirement accounts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persons subject to special tax accounting rules as a result of any item of gross income with respect to our common units being taken into account in an applicable financial statement and persons deemed to sell their units under the constructive sale provisions of the Code. In addition, the discussion only comments, to a limited extent, on state, local and foreign tax consequences. Accordingly, we encourage each prospective common unitholder to consult his own tax advisor in analyzing the state, local and foreign tax consequences particular to him of the ownership or disposition of our common units and potential changes in applicable laws.</w:t>
      </w:r>
    </w:p>
    <w:p>
      <w:pPr>
        <w:spacing w:after="0" w:line="150" w:lineRule="exact"/>
        <w:rPr>
          <w:sz w:val="20"/>
          <w:szCs w:val="20"/>
          <w:color w:val="auto"/>
        </w:rPr>
      </w:pPr>
    </w:p>
    <w:p>
      <w:pPr>
        <w:ind w:left="340" w:right="439" w:firstLine="333"/>
        <w:spacing w:after="0" w:line="246" w:lineRule="auto"/>
        <w:rPr>
          <w:sz w:val="20"/>
          <w:szCs w:val="20"/>
          <w:color w:val="auto"/>
        </w:rPr>
      </w:pPr>
      <w:r>
        <w:rPr>
          <w:rFonts w:ascii="Times New Roman" w:cs="Times New Roman" w:eastAsia="Times New Roman" w:hAnsi="Times New Roman"/>
          <w:sz w:val="14"/>
          <w:szCs w:val="14"/>
          <w:color w:val="auto"/>
        </w:rPr>
        <w:t>No ruling has been requested from the Internal Revenue Service (the “IRS”) regarding our characterization as a partnership for tax purposes. Instead, we will rely on opinions of Latham &amp; Watkins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including the prices at which our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150"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All statements as to matters of U.S. federal income tax law and legal conclusions with respect thereto, but not as to factual matters, contained in this section, unless otherwise noted, are the opinion of Latham &amp; Watkins LLP and are based on the accuracy of the representations made by us and our general partner.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5" w:right="1440" w:bottom="1440" w:gutter="0" w:footer="0" w:header="0"/>
        </w:sectPr>
      </w:pPr>
    </w:p>
    <w:bookmarkStart w:id="86" w:name="page87"/>
    <w:bookmarkEnd w:id="86"/>
    <w:p>
      <w:pPr>
        <w:ind w:left="340" w:right="539" w:firstLine="333"/>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Notwithstanding the above, and for the reasons described below, Latham &amp; Watkins LLP has not rendered an opinion with respect to the following specific federal income tax issues: (i) the treatment of a unitholder whose common units are loaned to a short seller to cover a short sale of common units (please read “—Tax Consequences of Unit Ownership—Treatment of Short Sales”); (ii) whether all aspects of our monthly method for allocating taxable income and losses is permitted by existing Treasury Regulations (please read “—Disposition of Common Units—Allocations Between Transferors and Transferees”); and (iii) whether our method for taking into account Section 743 adjustments is sustainable in certain cases (please read “—Tax Consequences of Unit Ownership—Section 754 Election” and “—Uniformity of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Partnership Status</w:t>
      </w:r>
    </w:p>
    <w:p>
      <w:pPr>
        <w:spacing w:after="0" w:line="88" w:lineRule="exact"/>
        <w:rPr>
          <w:sz w:val="20"/>
          <w:szCs w:val="20"/>
          <w:color w:val="auto"/>
        </w:rPr>
      </w:pPr>
    </w:p>
    <w:p>
      <w:pPr>
        <w:ind w:left="340" w:right="339" w:firstLine="333"/>
        <w:spacing w:after="0" w:line="289" w:lineRule="auto"/>
        <w:rPr>
          <w:sz w:val="20"/>
          <w:szCs w:val="20"/>
          <w:color w:val="auto"/>
        </w:rPr>
      </w:pPr>
      <w:r>
        <w:rPr>
          <w:rFonts w:ascii="Times New Roman" w:cs="Times New Roman" w:eastAsia="Times New Roman" w:hAnsi="Times New Roman"/>
          <w:sz w:val="12"/>
          <w:szCs w:val="12"/>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 Section 7704 of the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and processing of certain minerals and natural resources, including crude oil, natural gas and other products of a type that are produced in a petroleum refinery or natural gas processing plant, the retail and wholesale marketing of propane, the transportation of propane and natural gas liquids, certain related hedging activities, certain activities that are intrinsic to other qualifying activities, and our allocable share of our subsidiaries’ income from these sources. Other types of qualifying income include interest (other than from a financial business), dividends, real property rents, gains from the sale of real property and gains from the sale or other disposition of capital assets held for the production of income that otherwise constitutes qualifying income. We estimate that less than 3% of our current gross income is not qualifying income; however, this estimate could change from time to time. Based upon and subject to this estimate, the factual representations made by us and our general partner and a review of the applicable legal authorities, Latham &amp; Watkins LLP is of the opinion that at least 90% of our current gross income constitutes qualifying income. The portion of our income that is qualifying income may change from time to time.</w:t>
      </w:r>
    </w:p>
    <w:p>
      <w:pPr>
        <w:spacing w:after="0" w:line="288" w:lineRule="exact"/>
        <w:rPr>
          <w:sz w:val="20"/>
          <w:szCs w:val="20"/>
          <w:color w:val="auto"/>
        </w:rPr>
      </w:pPr>
    </w:p>
    <w:p>
      <w:pPr>
        <w:ind w:left="340" w:right="579" w:firstLine="333"/>
        <w:spacing w:after="0" w:line="254" w:lineRule="auto"/>
        <w:rPr>
          <w:sz w:val="20"/>
          <w:szCs w:val="20"/>
          <w:color w:val="auto"/>
        </w:rPr>
      </w:pPr>
      <w:r>
        <w:rPr>
          <w:rFonts w:ascii="Times New Roman" w:cs="Times New Roman" w:eastAsia="Times New Roman" w:hAnsi="Times New Roman"/>
          <w:sz w:val="14"/>
          <w:szCs w:val="14"/>
          <w:color w:val="auto"/>
        </w:rPr>
        <w:t>The IRS has made no determination as to our status or the status of our operating subsidiaries for federal income tax purposes. Instead, we will rely on the opinion of Latham &amp; Watkins LLP on such matters. It is the opinion of Latham &amp; Watkins LLP that, based upon the Code, the Treasury Regulations, published revenue rulings and court decisions and the representations described below that:</w:t>
      </w:r>
    </w:p>
    <w:p>
      <w:pPr>
        <w:spacing w:after="0" w:line="71" w:lineRule="exact"/>
        <w:rPr>
          <w:sz w:val="20"/>
          <w:szCs w:val="20"/>
          <w:color w:val="auto"/>
        </w:rPr>
      </w:pPr>
    </w:p>
    <w:p>
      <w:pPr>
        <w:ind w:left="1080" w:hanging="334"/>
        <w:spacing w:after="0"/>
        <w:tabs>
          <w:tab w:leader="none" w:pos="10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classified as a partnership for federal income tax purposes; and</w:t>
      </w:r>
    </w:p>
    <w:p>
      <w:pPr>
        <w:spacing w:after="0" w:line="94"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operating subsidiaries, except as otherwise identified to Latham &amp; Watkins LLP, will be disregarded as an entity separate from us or will be treated as a partnership for federal income tax purposes.</w:t>
      </w:r>
    </w:p>
    <w:p>
      <w:pPr>
        <w:spacing w:after="0" w:line="136" w:lineRule="exact"/>
        <w:rPr>
          <w:sz w:val="20"/>
          <w:szCs w:val="20"/>
          <w:color w:val="auto"/>
        </w:rPr>
      </w:pPr>
    </w:p>
    <w:p>
      <w:pPr>
        <w:ind w:left="340" w:right="619" w:firstLine="333"/>
        <w:spacing w:after="0" w:line="264" w:lineRule="auto"/>
        <w:rPr>
          <w:sz w:val="20"/>
          <w:szCs w:val="20"/>
          <w:color w:val="auto"/>
        </w:rPr>
      </w:pPr>
      <w:r>
        <w:rPr>
          <w:rFonts w:ascii="Times New Roman" w:cs="Times New Roman" w:eastAsia="Times New Roman" w:hAnsi="Times New Roman"/>
          <w:sz w:val="14"/>
          <w:szCs w:val="14"/>
          <w:color w:val="auto"/>
        </w:rPr>
        <w:t>In rendering its opinion, Latham &amp; Watkins LLP has relied on factual representations made by us and our general partner. The representations made by us and our general partner upon which Latham &amp; Watkins LLP has relied include:</w:t>
      </w:r>
    </w:p>
    <w:p>
      <w:pPr>
        <w:spacing w:after="0" w:line="65" w:lineRule="exact"/>
        <w:rPr>
          <w:sz w:val="20"/>
          <w:szCs w:val="20"/>
          <w:color w:val="auto"/>
        </w:rPr>
      </w:pPr>
    </w:p>
    <w:p>
      <w:pPr>
        <w:ind w:left="1080" w:right="559" w:hanging="334"/>
        <w:spacing w:after="0" w:line="264" w:lineRule="auto"/>
        <w:tabs>
          <w:tab w:leader="none" w:pos="10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partnership or limited liability company subsidiaries, other than those identified as such to Latham &amp; Watkins LLP, have elected or will elect to be treated, or is otherwise treated, as a corporation for federal income tax purposes;</w:t>
      </w:r>
    </w:p>
    <w:p>
      <w:pPr>
        <w:spacing w:after="0" w:line="64" w:lineRule="exact"/>
        <w:rPr>
          <w:rFonts w:ascii="Times New Roman" w:cs="Times New Roman" w:eastAsia="Times New Roman" w:hAnsi="Times New Roman"/>
          <w:sz w:val="14"/>
          <w:szCs w:val="14"/>
          <w:color w:val="auto"/>
        </w:rPr>
      </w:pPr>
    </w:p>
    <w:p>
      <w:pPr>
        <w:ind w:left="1080" w:right="399" w:hanging="334"/>
        <w:spacing w:after="0" w:line="264" w:lineRule="auto"/>
        <w:tabs>
          <w:tab w:leader="none" w:pos="10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more than 90% of our gross income has been and will be income of the type that Latham &amp; Watkins LLP has opined or will opine is “qualifying income” within the meaning of Section 7704(d) of the Code;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87" w:name="page88"/>
    <w:bookmarkEnd w:id="87"/>
    <w:p>
      <w:pPr>
        <w:ind w:left="1080" w:right="439" w:hanging="334"/>
        <w:spacing w:after="0" w:line="316" w:lineRule="auto"/>
        <w:tabs>
          <w:tab w:leader="none" w:pos="1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each commodity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of a type that Latham &amp; Watkins LLP has opined or will opine result in qualifying income.</w:t>
      </w:r>
    </w:p>
    <w:p>
      <w:pPr>
        <w:spacing w:after="0" w:line="109"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We believe that these representations have been true in the past, are true as of the date hereof and expect that these representations will continue to be true in the future.</w:t>
      </w:r>
    </w:p>
    <w:p>
      <w:pPr>
        <w:spacing w:after="0" w:line="136" w:lineRule="exact"/>
        <w:rPr>
          <w:sz w:val="20"/>
          <w:szCs w:val="20"/>
          <w:color w:val="auto"/>
        </w:rPr>
      </w:pPr>
    </w:p>
    <w:p>
      <w:pPr>
        <w:ind w:left="340" w:right="439" w:firstLine="333"/>
        <w:spacing w:after="0" w:line="297" w:lineRule="auto"/>
        <w:rPr>
          <w:sz w:val="20"/>
          <w:szCs w:val="20"/>
          <w:color w:val="auto"/>
        </w:rPr>
      </w:pPr>
      <w:r>
        <w:rPr>
          <w:rFonts w:ascii="Times New Roman" w:cs="Times New Roman" w:eastAsia="Times New Roman" w:hAnsi="Times New Roman"/>
          <w:sz w:val="12"/>
          <w:szCs w:val="12"/>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119"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taxable dividend income, to the extent of our current and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143" w:lineRule="exact"/>
        <w:rPr>
          <w:sz w:val="20"/>
          <w:szCs w:val="20"/>
          <w:color w:val="auto"/>
        </w:rPr>
      </w:pPr>
    </w:p>
    <w:p>
      <w:pPr>
        <w:ind w:left="340" w:right="69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The discussion below is based on Latham &amp; Watkins LLP’s opinion that we will be classified as a partnership for federal income tax purposes.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Limited Partner Status</w:t>
      </w:r>
    </w:p>
    <w:p>
      <w:pPr>
        <w:spacing w:after="0" w:line="88" w:lineRule="exact"/>
        <w:rPr>
          <w:sz w:val="20"/>
          <w:szCs w:val="20"/>
          <w:color w:val="auto"/>
        </w:rPr>
      </w:pPr>
    </w:p>
    <w:p>
      <w:pPr>
        <w:ind w:left="340" w:right="499" w:firstLine="333"/>
        <w:spacing w:after="0" w:line="316" w:lineRule="auto"/>
        <w:rPr>
          <w:sz w:val="20"/>
          <w:szCs w:val="20"/>
          <w:color w:val="auto"/>
        </w:rPr>
      </w:pPr>
      <w:r>
        <w:rPr>
          <w:rFonts w:ascii="Times New Roman" w:cs="Times New Roman" w:eastAsia="Times New Roman" w:hAnsi="Times New Roman"/>
          <w:sz w:val="12"/>
          <w:szCs w:val="12"/>
          <w:color w:val="auto"/>
        </w:rPr>
        <w:t>Common unitholders of Energy Transfer LP will be treated as partners of Energy Transfer LP for federal income tax purposes. Also, unitholders whose common units are held in street name or by a nominee and who have the right to direct the nominee in the exercise of all substantive rights attendant to the ownership of their common units will be treated as partners of Energy Transfer LP for federal income tax purposes.</w:t>
      </w:r>
    </w:p>
    <w:p>
      <w:pPr>
        <w:spacing w:after="0" w:line="109"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A beneficial owner of our common units whose common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142"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Income, gains, losses or deductions would not appear to be reportable by a common unitholder who is not a partner for federal income tax purposes, and any cash distributions received by a unitholder who is not a partner for federal income tax purposes would therefore appear to be fully taxable as ordinary income. These holders are urged to consult their tax advisors with respect to the tax consequences to them of holding our common units. The references to “unitholders” in the discussion that follows are to persons who are treated as partners in Energy Transfer LP for federal income tax purposes.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Tax Consequences of Unit Ownership</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Flow-Through of Taxable Income</w:t>
      </w:r>
    </w:p>
    <w:p>
      <w:pPr>
        <w:spacing w:after="0" w:line="88"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Subject to the discussion below under “—Entity-Level Collections,” we will not pay any federal income tax. Instead, each common unitholder will be required to report on his income tax return his share of our income,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9" w:right="1440" w:bottom="1440" w:gutter="0" w:footer="0" w:header="0"/>
        </w:sectPr>
      </w:pPr>
    </w:p>
    <w:bookmarkStart w:id="88" w:name="page89"/>
    <w:bookmarkEnd w:id="88"/>
    <w:p>
      <w:pPr>
        <w:ind w:left="340" w:right="3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gains, losses and deductions without regard to whether we make cash distributions to him. Consequently, we may allocate income to a common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Treatment of Distributions</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Distributions by us to a common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“at-risk” amount to be less than zero at the end of any taxable year, he must recapture any losses deducted in previous years. Please read “—Limitations on Deductibility of Losses.”</w:t>
      </w:r>
    </w:p>
    <w:p>
      <w:pPr>
        <w:spacing w:after="0" w:line="147"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each as defined in the Code, and collectively, “Section 751 Assets.” To that extent, a unitholder will be treated as having been distributed his proportionate share of the Section 751 Assets and then having exchanged those assets with us in return for the non-pro rata portion of the actual distribution made to him. This latter deemed exchange will generally result in a unitholder’s realization of ordinary income, which will equal the excess of (i) the non-pro rata portion of that distribution over (ii) the unitholder’s tax basis (often zero) for the share of Section 751 Assets deemed relinquished in the exchange.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Basis of Units</w:t>
      </w:r>
    </w:p>
    <w:p>
      <w:pPr>
        <w:spacing w:after="0" w:line="88"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A unitholder’s initial tax basis for his common units will be the amount he paid for the common units plus his share of our nonrecourse liabilities. That basis will be increased by his share of our income, by any increases in his share of our nonrecourse liabilities and, on the disposition of a common unit, by his share of certain items related to business interest not yet deductible by him due to applicable limitations. Please read “—Limitations on Interest Deductions.” That basis will be decreased, but not below zero, by distributions from us, by the unitholder’s share of our losses, by any decreases in his share of our nonrecourse liabilities, by his share of our excess business interest (generally, the excess of our business interest over the amount that is deductible) and by his share of our expenditures that are not deductible in computing taxable income and are not required to be capitalized. A unitholder will have no share of our debt that is recourse to our general partner to the extent of the general partner’s “net value” as defined in Treasury Regulations promulgated under Section 752 of the Code, but will have a share, generally based on his share of profits, of our nonrecourse liabilities. Please read “—Disposition of Common Units—Recognition of Gain or Loss.”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Deductibility of Losses</w:t>
      </w:r>
    </w:p>
    <w:p>
      <w:pPr>
        <w:spacing w:after="0" w:line="88" w:lineRule="exact"/>
        <w:rPr>
          <w:sz w:val="20"/>
          <w:szCs w:val="20"/>
          <w:color w:val="auto"/>
        </w:rPr>
      </w:pPr>
    </w:p>
    <w:p>
      <w:pPr>
        <w:ind w:left="340" w:right="459" w:firstLine="333"/>
        <w:spacing w:after="0" w:line="248" w:lineRule="auto"/>
        <w:rPr>
          <w:sz w:val="20"/>
          <w:szCs w:val="20"/>
          <w:color w:val="auto"/>
        </w:rPr>
      </w:pPr>
      <w:r>
        <w:rPr>
          <w:rFonts w:ascii="Times New Roman" w:cs="Times New Roman" w:eastAsia="Times New Roman" w:hAnsi="Times New Roman"/>
          <w:sz w:val="14"/>
          <w:szCs w:val="14"/>
          <w:color w:val="auto"/>
        </w:rPr>
        <w:t>The deduction by a unitholder of his share of our losses will be limited to the tax basis in his common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89" w:name="page90"/>
    <w:bookmarkEnd w:id="89"/>
    <w:p>
      <w:pPr>
        <w:ind w:left="340" w:right="45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common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149"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150" w:lineRule="exact"/>
        <w:rPr>
          <w:sz w:val="20"/>
          <w:szCs w:val="20"/>
          <w:color w:val="auto"/>
        </w:rPr>
      </w:pPr>
    </w:p>
    <w:p>
      <w:pPr>
        <w:ind w:left="340" w:right="399" w:firstLine="333"/>
        <w:spacing w:after="0" w:line="245" w:lineRule="auto"/>
        <w:rPr>
          <w:sz w:val="20"/>
          <w:szCs w:val="20"/>
          <w:color w:val="auto"/>
        </w:rPr>
      </w:pPr>
      <w:r>
        <w:rPr>
          <w:rFonts w:ascii="Times New Roman" w:cs="Times New Roman" w:eastAsia="Times New Roman" w:hAnsi="Times New Roman"/>
          <w:sz w:val="14"/>
          <w:szCs w:val="14"/>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a unitholder’s investments in other publicly traded partnerships, or the unitholder’s salary, active business or other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153" w:lineRule="exact"/>
        <w:rPr>
          <w:sz w:val="20"/>
          <w:szCs w:val="20"/>
          <w:color w:val="auto"/>
        </w:rPr>
      </w:pPr>
    </w:p>
    <w:p>
      <w:pPr>
        <w:ind w:left="340" w:right="419" w:firstLine="333"/>
        <w:spacing w:after="0" w:line="291" w:lineRule="auto"/>
        <w:rPr>
          <w:sz w:val="20"/>
          <w:szCs w:val="20"/>
          <w:color w:val="auto"/>
        </w:rPr>
      </w:pPr>
      <w:r>
        <w:rPr>
          <w:rFonts w:ascii="Times New Roman" w:cs="Times New Roman" w:eastAsia="Times New Roman" w:hAnsi="Times New Roman"/>
          <w:sz w:val="12"/>
          <w:szCs w:val="12"/>
          <w:color w:val="auto"/>
        </w:rPr>
        <w:t>An additional loss limitation may apply to certain of our unitholders for taxable years beginning after December 31, 2020, and before January 1, 2029. A non-corporate unitholder will not be allowed to take a deduction for certain excess business losses in such taxable years. An excess business loss is the excess (if any) of a taxpayer’s aggregate deductions for the taxable year that are attributable to the trades or businesses of such taxpayer (determined without regard to the excess business loss limitation or any deduction allowable for net operating losses, qualified business income or capital losses) over the aggregate gross income or gain of such taxpayer for the taxable year that is attributable to such trades or businesses (subject to certain limitations in the case of capital gains) plus a threshold amount. The current threshold amount is equal to $305,000, or $610,000 for taxpayers filing a joint return, and the threshold amount is adjusted annually. Any losses disallowed in a taxable year due to the excess business loss limitation may be used by the applicable unitholder in the following taxable year if certain conditions are met. Unitholders to which this excess business loss limitation applies will take their allocable share of our items of income, gain, loss and deduction into account in determining this limitation. This excess business loss limitation will be applied to a non-corporate unitholder after the passive loss limitations and may limit such unitholders’ ability to utilize any losses we generate allocable to such unitholder that are not otherwise limited by the basis, at-risk and passive loss limitations described above.</w:t>
      </w: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Interest Deductions</w:t>
      </w:r>
    </w:p>
    <w:p>
      <w:pPr>
        <w:spacing w:after="0" w:line="88"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9" w:right="1440" w:bottom="1440" w:gutter="0" w:footer="0" w:header="0"/>
        </w:sectPr>
      </w:pPr>
    </w:p>
    <w:bookmarkStart w:id="90" w:name="page91"/>
    <w:bookmarkEnd w:id="90"/>
    <w:p>
      <w:pPr>
        <w:ind w:left="340" w:right="7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business interest deduction subject to this limitation in future taxable years. Prospective unitholders should consult their tax advisors regarding the impact of this business interest deduction limitation on an investment in our common units.</w:t>
      </w:r>
    </w:p>
    <w:p>
      <w:pPr>
        <w:spacing w:after="0" w:line="136"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In addition, the deductibility of a non-corporate taxpayer’s “investment interest expense” is generally limited to the amount of that taxpayer’s “net investment income.” Investment interest expense includes:</w:t>
      </w:r>
    </w:p>
    <w:p>
      <w:pPr>
        <w:spacing w:after="0" w:line="65" w:lineRule="exact"/>
        <w:rPr>
          <w:sz w:val="20"/>
          <w:szCs w:val="20"/>
          <w:color w:val="auto"/>
        </w:rPr>
      </w:pPr>
    </w:p>
    <w:p>
      <w:pPr>
        <w:ind w:left="1080" w:hanging="334"/>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properly allocable to property held for investment;</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interest expense attributed to portfolio income;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interest expense incurred to purchase or carry an interest in a passive activity to the extent attributable to portfolio income.</w:t>
      </w:r>
    </w:p>
    <w:p>
      <w:pPr>
        <w:spacing w:after="0" w:line="189"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(if applicable)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Entity-Level Collections</w:t>
      </w:r>
    </w:p>
    <w:p>
      <w:pPr>
        <w:spacing w:after="0" w:line="88" w:lineRule="exact"/>
        <w:rPr>
          <w:sz w:val="20"/>
          <w:szCs w:val="20"/>
          <w:color w:val="auto"/>
        </w:rPr>
      </w:pPr>
    </w:p>
    <w:p>
      <w:pPr>
        <w:ind w:left="340" w:right="419" w:firstLine="333"/>
        <w:spacing w:after="0" w:line="246"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Allocation of Income, Gain, Loss and Deduction</w:t>
      </w:r>
    </w:p>
    <w:p>
      <w:pPr>
        <w:spacing w:after="0" w:line="88"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After giving effect to special allocation provisions with respect to our other classes of units, if we have a net profit, our items of income, gain, loss and deduction will be allocated among our general partner and the common unitholders in accordance with their percentage interests in us. If we have a net loss, that loss will be allocated to all common unitholders in accordance with their percentage interests in us to the extent of their positive capital accounts, as adjusted for certain items in accordance with applicable Treasury Regulations, and to our general partner in accordance with its percentage interest in us.</w:t>
      </w:r>
    </w:p>
    <w:p>
      <w:pPr>
        <w:spacing w:after="0" w:line="149" w:lineRule="exact"/>
        <w:rPr>
          <w:sz w:val="20"/>
          <w:szCs w:val="20"/>
          <w:color w:val="auto"/>
        </w:rPr>
      </w:pPr>
    </w:p>
    <w:p>
      <w:pPr>
        <w:ind w:left="340" w:right="399" w:firstLine="333"/>
        <w:spacing w:after="0" w:line="297" w:lineRule="auto"/>
        <w:rPr>
          <w:sz w:val="20"/>
          <w:szCs w:val="20"/>
          <w:color w:val="auto"/>
        </w:rPr>
      </w:pPr>
      <w:r>
        <w:rPr>
          <w:rFonts w:ascii="Times New Roman" w:cs="Times New Roman" w:eastAsia="Times New Roman" w:hAnsi="Times New Roman"/>
          <w:sz w:val="12"/>
          <w:szCs w:val="12"/>
          <w:color w:val="auto"/>
        </w:rPr>
        <w:t>Specified items of our income, gain, loss and deduction will be allocated to account for any difference between the tax basis and fair market value of any property contributed to us that exists at the time of such contribution,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values at the time of such offering. In the event we issue additional common units or engage in certain other transactions in the future, we will make “Reverse Section 704(c) Allocations,” similar to the Section 704(c) Allocations described above, to all of our unitholders immediately prior to such issuance or other transactions to account for the difference between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9" w:right="1440" w:bottom="1440" w:gutter="0" w:footer="0" w:header="0"/>
        </w:sectPr>
      </w:pPr>
    </w:p>
    <w:bookmarkStart w:id="91" w:name="page92"/>
    <w:bookmarkEnd w:id="91"/>
    <w:p>
      <w:pPr>
        <w:ind w:left="34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the “book” basis for purposes of maintaining capital accounts and the fair market value of all property held by us at the time of such issuance or future transaction.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(subject to certain adjustments), if negative capital accounts (subject to certain adjustments) nevertheless result, items of our income and gain will be allocated in an amount and manner sufficient to eliminate such negative balance as quickly as possible.</w:t>
      </w:r>
    </w:p>
    <w:p>
      <w:pPr>
        <w:spacing w:after="0" w:line="150" w:lineRule="exact"/>
        <w:rPr>
          <w:sz w:val="20"/>
          <w:szCs w:val="20"/>
          <w:color w:val="auto"/>
        </w:rPr>
      </w:pPr>
    </w:p>
    <w:p>
      <w:pPr>
        <w:ind w:left="340" w:right="459" w:firstLine="333"/>
        <w:spacing w:after="0" w:line="247"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8" w:lineRule="exact"/>
        <w:rPr>
          <w:sz w:val="20"/>
          <w:szCs w:val="20"/>
          <w:color w:val="auto"/>
        </w:rPr>
      </w:pPr>
    </w:p>
    <w:p>
      <w:pPr>
        <w:ind w:left="1080" w:hanging="334"/>
        <w:spacing w:after="0"/>
        <w:tabs>
          <w:tab w:leader="none" w:pos="10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 relative contributions to us;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of all the partners in profits and losses;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of all the partners in cash flow;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all the partners to distributions of capital upon liquidation.</w:t>
      </w:r>
    </w:p>
    <w:p>
      <w:pPr>
        <w:spacing w:after="0" w:line="166" w:lineRule="exact"/>
        <w:rPr>
          <w:sz w:val="20"/>
          <w:szCs w:val="20"/>
          <w:color w:val="auto"/>
        </w:rPr>
      </w:pPr>
    </w:p>
    <w:p>
      <w:pPr>
        <w:ind w:left="340" w:right="539"/>
        <w:spacing w:after="0" w:line="254" w:lineRule="auto"/>
        <w:rPr>
          <w:sz w:val="20"/>
          <w:szCs w:val="20"/>
          <w:color w:val="auto"/>
        </w:rPr>
      </w:pPr>
      <w:r>
        <w:rPr>
          <w:rFonts w:ascii="Times New Roman" w:cs="Times New Roman" w:eastAsia="Times New Roman" w:hAnsi="Times New Roman"/>
          <w:sz w:val="14"/>
          <w:szCs w:val="14"/>
          <w:color w:val="auto"/>
        </w:rPr>
        <w:t>Latham &amp; Watkins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Treatment of Short Sales</w:t>
      </w:r>
    </w:p>
    <w:p>
      <w:pPr>
        <w:spacing w:after="0" w:line="88" w:lineRule="exact"/>
        <w:rPr>
          <w:sz w:val="20"/>
          <w:szCs w:val="20"/>
          <w:color w:val="auto"/>
        </w:rPr>
      </w:pPr>
    </w:p>
    <w:p>
      <w:pPr>
        <w:jc w:val="both"/>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w:t>
      </w:r>
    </w:p>
    <w:p>
      <w:pPr>
        <w:spacing w:after="0" w:line="71" w:lineRule="exact"/>
        <w:rPr>
          <w:sz w:val="20"/>
          <w:szCs w:val="20"/>
          <w:color w:val="auto"/>
        </w:rPr>
      </w:pPr>
    </w:p>
    <w:p>
      <w:pPr>
        <w:ind w:left="1080" w:hanging="334"/>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income, gain, loss or deduction with respect to those units would not be reportable by the unitholder;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distributions received by the unitholder as to those units would be fully taxable;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not entirely free from doubt, all of these distributions would appear to be ordinary income.</w:t>
      </w:r>
    </w:p>
    <w:p>
      <w:pPr>
        <w:spacing w:after="0" w:line="166"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Because there is no direct or indirect controlling authority on the issue relating to partnership interests, Latham &amp; Watkins LLP has not rendered an opinion regarding the tax treatment of a unitholder whose common units are loaned to a short seller to cover a short sale of common units;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borrowing and loaning their units. The IRS has previously announced that it is studying issues relating to the tax treatment of short sales of partnership interests. Please also read “— Disposition of Common Units—Recognition of Gain or Loss.”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Tax Rates</w:t>
      </w:r>
    </w:p>
    <w:p>
      <w:pPr>
        <w:spacing w:after="0" w:line="88"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Currently, the highest marginal U.S. federal income tax rate applicable to ordinary income of individuals is 37% and the highest marginal U.S. federal income tax rate applicable to long-term capital gains (generally, capital gains on certain assets held for more than twelve months) of individuals is 20%. Such rates are subject to change by new legislation at any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9" w:right="1440" w:bottom="1440" w:gutter="0" w:footer="0" w:header="0"/>
        </w:sectPr>
      </w:pPr>
    </w:p>
    <w:bookmarkStart w:id="92" w:name="page93"/>
    <w:bookmarkEnd w:id="92"/>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addition, a 3.8% Medicare tax (“NIIT”) is imposed on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adjusted gross income over the dollar amount at which the highest income tax bracket applicable to an estate or trust begins for such taxable year. The U.S. Department of the Treasury and the IRS have issued Treasury Regulations that provide guidance regarding the NIIT. Prospective common unitholders are urged to consult with their tax advisors as to the impact of the NIIT on an investment in our common units.</w:t>
      </w:r>
    </w:p>
    <w:p>
      <w:pPr>
        <w:spacing w:after="0" w:line="149"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For taxable years ending on or before December 31, 2025, a non-corporate unitholder is entitled to a deduction equal to 20% of its “qualified business income” attributable to us, subject to certain limitations. For purposes of this deduction, a unitholder’s “qualified business income” attributable to us is equal to the sum of:</w:t>
      </w:r>
    </w:p>
    <w:p>
      <w:pPr>
        <w:spacing w:after="0" w:line="71" w:lineRule="exact"/>
        <w:rPr>
          <w:sz w:val="20"/>
          <w:szCs w:val="20"/>
          <w:color w:val="auto"/>
        </w:rPr>
      </w:pPr>
    </w:p>
    <w:p>
      <w:pPr>
        <w:jc w:val="both"/>
        <w:ind w:left="1080" w:right="359" w:hanging="334"/>
        <w:spacing w:after="0" w:line="349" w:lineRule="auto"/>
        <w:tabs>
          <w:tab w:leader="none" w:pos="10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amount of such unitholder’s allocable share of certain of our items of income, gain, deduction and loss (generally excluding certain items related to our investment activities, including capital gains and dividends, which are subject to a federal income tax rate of 20%); and</w:t>
      </w:r>
    </w:p>
    <w:p>
      <w:pPr>
        <w:spacing w:after="0" w:line="17" w:lineRule="exact"/>
        <w:rPr>
          <w:rFonts w:ascii="Times New Roman" w:cs="Times New Roman" w:eastAsia="Times New Roman" w:hAnsi="Times New Roman"/>
          <w:sz w:val="12"/>
          <w:szCs w:val="12"/>
          <w:color w:val="auto"/>
        </w:rPr>
      </w:pPr>
    </w:p>
    <w:p>
      <w:pPr>
        <w:ind w:left="1080" w:right="539" w:hanging="334"/>
        <w:spacing w:after="0" w:line="264" w:lineRule="auto"/>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by such unitholder on the disposition of its units to the extent such gain is attributable to certain Section 751 assets, including depreciation recapture and “inventory items” we own.</w:t>
      </w:r>
    </w:p>
    <w:p>
      <w:pPr>
        <w:spacing w:after="0" w:line="136"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Prospective unitholders should consult their tax advisors regarding the application of this deduction and its interactions with the overall deduction for qualified business income.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Section 754 Election</w:t>
      </w:r>
    </w:p>
    <w:p>
      <w:pPr>
        <w:spacing w:after="0" w:line="88" w:lineRule="exact"/>
        <w:rPr>
          <w:sz w:val="20"/>
          <w:szCs w:val="20"/>
          <w:color w:val="auto"/>
        </w:rPr>
      </w:pPr>
    </w:p>
    <w:p>
      <w:pPr>
        <w:ind w:left="340" w:right="379" w:firstLine="333"/>
        <w:spacing w:after="0" w:line="300" w:lineRule="auto"/>
        <w:rPr>
          <w:sz w:val="20"/>
          <w:szCs w:val="20"/>
          <w:color w:val="auto"/>
        </w:rPr>
      </w:pPr>
      <w:r>
        <w:rPr>
          <w:rFonts w:ascii="Times New Roman" w:cs="Times New Roman" w:eastAsia="Times New Roman" w:hAnsi="Times New Roman"/>
          <w:sz w:val="12"/>
          <w:szCs w:val="12"/>
          <w:color w:val="auto"/>
        </w:rPr>
        <w:t>We have made the election permitted by Section 754 of the Code. That election is irrevocable without the consent of the IRS. The election generally permits us to adjust a common unit purchaser’s tax basis in our assets (“inside basis”) under Section 743(b) of the Code to reflect his purchase price. This election does not apply with respect to a person who purchases common units directly from us. The Section 743(b) adjustment belongs to the purchaser and not to other unitholders. For purposes of this discussion, the inside basis in our assets with respect to a unitholder will be considered to have two components: (i) his share of our tax basis in our assets (“common basis”) and (ii) his Section 743(b) adjustment to that basis.</w:t>
      </w:r>
    </w:p>
    <w:p>
      <w:pPr>
        <w:spacing w:after="0" w:line="118" w:lineRule="exact"/>
        <w:rPr>
          <w:sz w:val="20"/>
          <w:szCs w:val="20"/>
          <w:color w:val="auto"/>
        </w:rPr>
      </w:pPr>
    </w:p>
    <w:p>
      <w:pPr>
        <w:ind w:left="340" w:right="459" w:firstLine="333"/>
        <w:spacing w:after="0" w:line="246" w:lineRule="auto"/>
        <w:rPr>
          <w:sz w:val="20"/>
          <w:szCs w:val="20"/>
          <w:color w:val="auto"/>
        </w:rPr>
      </w:pPr>
      <w:r>
        <w:rPr>
          <w:rFonts w:ascii="Times New Roman" w:cs="Times New Roman" w:eastAsia="Times New Roman" w:hAnsi="Times New Roman"/>
          <w:sz w:val="14"/>
          <w:szCs w:val="14"/>
          <w:color w:val="auto"/>
        </w:rPr>
        <w:t>We have adopted the remedial allocation method as to all our properties. Where the remedial allocation method is adopted, the Treasury Regulations under Section 743 of the Code require a portion of the Section 743(b) adjustment that is attributable to recovery property that is subject to depreciation under Section 168 of the Code and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and any other Treasury Regulations. Please read “—Uniformity of Units.”</w:t>
      </w:r>
    </w:p>
    <w:p>
      <w:pPr>
        <w:spacing w:after="0" w:line="150" w:lineRule="exact"/>
        <w:rPr>
          <w:sz w:val="20"/>
          <w:szCs w:val="20"/>
          <w:color w:val="auto"/>
        </w:rPr>
      </w:pPr>
    </w:p>
    <w:p>
      <w:pPr>
        <w:ind w:left="340" w:right="399" w:firstLine="333"/>
        <w:spacing w:after="0" w:line="316" w:lineRule="auto"/>
        <w:rPr>
          <w:sz w:val="20"/>
          <w:szCs w:val="20"/>
          <w:color w:val="auto"/>
        </w:rPr>
      </w:pPr>
      <w:r>
        <w:rPr>
          <w:rFonts w:ascii="Times New Roman" w:cs="Times New Roman" w:eastAsia="Times New Roman" w:hAnsi="Times New Roman"/>
          <w:sz w:val="12"/>
          <w:szCs w:val="12"/>
          <w:color w:val="auto"/>
        </w:rPr>
        <w:t>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9" w:right="1440" w:bottom="1440" w:gutter="0" w:footer="0" w:header="0"/>
        </w:sectPr>
      </w:pPr>
    </w:p>
    <w:bookmarkStart w:id="93" w:name="page94"/>
    <w:bookmarkEnd w:id="93"/>
    <w:p>
      <w:pPr>
        <w:ind w:left="340" w:right="6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that is not amortizable. This method is consistent with the methods employed by other publicly traded partnerships but is arguably inconsistent with Treasury Regulation Section 1.167(c)-1(a)(6), which is not expected to directly apply to a material portion of our assets. To the extent this</w:t>
      </w:r>
    </w:p>
    <w:p>
      <w:pPr>
        <w:spacing w:after="0" w:line="1" w:lineRule="exact"/>
        <w:rPr>
          <w:sz w:val="20"/>
          <w:szCs w:val="20"/>
          <w:color w:val="auto"/>
        </w:rPr>
      </w:pPr>
    </w:p>
    <w:p>
      <w:pPr>
        <w:ind w:left="340" w:right="439"/>
        <w:spacing w:after="0" w:line="288" w:lineRule="auto"/>
        <w:rPr>
          <w:sz w:val="20"/>
          <w:szCs w:val="20"/>
          <w:color w:val="auto"/>
        </w:rPr>
      </w:pPr>
      <w:r>
        <w:rPr>
          <w:rFonts w:ascii="Times New Roman" w:cs="Times New Roman" w:eastAsia="Times New Roman" w:hAnsi="Times New Roman"/>
          <w:sz w:val="12"/>
          <w:szCs w:val="12"/>
          <w:color w:val="auto"/>
        </w:rPr>
        <w:t>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A unitholder’s tax basis for his common units is reduced by his share of our deductions (whether or not such deductions were claimed on an individual’s income tax return) so that any position we take that understates deductions will overstate such unitholder’s basis in his common units, which may cause the unitholder to understate gain or overstate loss on any sale of such units. Please read “—Disposition of Common Units—Recognition of Gain or Loss.” Latham &amp; Watkins LLP is unable to opine as to whether our method for taking into account Section 743 adjustments is sustainable for property subject to depreciation under Section 167 of the Code or if we use an aggregate approach as described above, as there is no direct or indirect controlling authority addressing the validity of these positions. Moreover,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289"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may elect out of the bonus depreciation provisions of Section 168(k) with respect to basis adjustments under Section 743(b).</w:t>
      </w:r>
    </w:p>
    <w:p>
      <w:pPr>
        <w:spacing w:after="0" w:line="146" w:lineRule="exact"/>
        <w:rPr>
          <w:sz w:val="20"/>
          <w:szCs w:val="20"/>
          <w:color w:val="auto"/>
        </w:rPr>
      </w:pPr>
    </w:p>
    <w:p>
      <w:pPr>
        <w:ind w:left="340" w:right="379" w:firstLine="333"/>
        <w:spacing w:after="0" w:line="288" w:lineRule="auto"/>
        <w:rPr>
          <w:sz w:val="20"/>
          <w:szCs w:val="20"/>
          <w:color w:val="auto"/>
        </w:rPr>
      </w:pPr>
      <w:r>
        <w:rPr>
          <w:rFonts w:ascii="Times New Roman" w:cs="Times New Roman" w:eastAsia="Times New Roman" w:hAnsi="Times New Roman"/>
          <w:sz w:val="12"/>
          <w:szCs w:val="12"/>
          <w:color w:val="auto"/>
        </w:rPr>
        <w:t>A Section 754 election is advantageous if the transferee’s tax basis in his units is higher than the units’ share of the aggregate tax basis of our assets immediately prior to the transfer.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Generally, a built-in loss is substantial if (i) it exceeds $250,000 or</w:t>
      </w:r>
    </w:p>
    <w:p>
      <w:pPr>
        <w:spacing w:after="0" w:line="1" w:lineRule="exact"/>
        <w:rPr>
          <w:sz w:val="20"/>
          <w:szCs w:val="20"/>
          <w:color w:val="auto"/>
        </w:rPr>
      </w:pPr>
    </w:p>
    <w:p>
      <w:pPr>
        <w:ind w:left="340" w:right="399" w:hanging="3"/>
        <w:spacing w:after="0" w:line="244" w:lineRule="auto"/>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would be allocated a net loss in excess of $250,000 on a hypothetical sale of our assets for their fair market value immediately after a transfer of the interests at issue. In addition, a basis adjustment is required regardless of whether a Section 754 election is made if we distribute property and have a substantial basis reduction. A substantial basis reduction exists if, on a liquidating distribution of property to a unitholder, there would be a negative basis adjustment to our assets in excess of $250,000 if a Section 754 election were in place.</w:t>
      </w:r>
    </w:p>
    <w:p>
      <w:pPr>
        <w:spacing w:after="0" w:line="150"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9" w:right="1440"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Tax Treatment of Operations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Accounting Method and Taxable Year</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twelve months of our income, gain, loss and deduction. Please read “—Disposition of Common Units—Allocations Between Transferors and Transferees.”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Tax Basis, Depreciation and Amortization</w:t>
      </w:r>
    </w:p>
    <w:p>
      <w:pPr>
        <w:spacing w:after="0" w:line="88"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read “—Tax Consequences of Unit Ownership—Allocation of Income, Gain, Loss and Deduction.”</w:t>
      </w:r>
    </w:p>
    <w:p>
      <w:pPr>
        <w:spacing w:after="0" w:line="146"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To the extent allowable, we may use the depreciation and cost recovery methods, including bonus depreciation to the extent available, that will result in the largest deductions being taken in the early years after assets subject to these allowances are placed in service. Please read “—Uniformity of Units.” Property we subsequently acquire or construct may be depreciated using accelerated methods permitted by the Code.</w:t>
      </w:r>
    </w:p>
    <w:p>
      <w:pPr>
        <w:spacing w:after="0" w:line="142" w:lineRule="exact"/>
        <w:rPr>
          <w:sz w:val="20"/>
          <w:szCs w:val="20"/>
          <w:color w:val="auto"/>
        </w:rPr>
      </w:pPr>
    </w:p>
    <w:p>
      <w:pPr>
        <w:ind w:left="340" w:right="339" w:firstLine="333"/>
        <w:spacing w:after="0" w:line="248" w:lineRule="auto"/>
        <w:rPr>
          <w:sz w:val="20"/>
          <w:szCs w:val="20"/>
          <w:color w:val="auto"/>
        </w:rPr>
      </w:pPr>
      <w:r>
        <w:rPr>
          <w:rFonts w:ascii="Times New Roman" w:cs="Times New Roman" w:eastAsia="Times New Roman" w:hAnsi="Times New Roman"/>
          <w:sz w:val="14"/>
          <w:szCs w:val="14"/>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149" w:lineRule="exact"/>
        <w:rPr>
          <w:sz w:val="20"/>
          <w:szCs w:val="20"/>
          <w:color w:val="auto"/>
        </w:rPr>
      </w:pPr>
    </w:p>
    <w:p>
      <w:pPr>
        <w:ind w:left="340" w:right="479" w:firstLine="333"/>
        <w:spacing w:after="0" w:line="316" w:lineRule="auto"/>
        <w:rPr>
          <w:sz w:val="20"/>
          <w:szCs w:val="20"/>
          <w:color w:val="auto"/>
        </w:rPr>
      </w:pPr>
      <w:r>
        <w:rPr>
          <w:rFonts w:ascii="Times New Roman" w:cs="Times New Roman" w:eastAsia="Times New Roman" w:hAnsi="Times New Roman"/>
          <w:sz w:val="12"/>
          <w:szCs w:val="12"/>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Valuation and Tax Basis of Our Properties</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The U.S.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determinations of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Disposition of Common Units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Recognition of Gain or Loss</w:t>
      </w:r>
    </w:p>
    <w:p>
      <w:pPr>
        <w:spacing w:after="0" w:line="88"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Gain or loss will be recognized on a sale of units equal to the difference between the amount realized and the unitholder’s tax basis for the units sold. A unitholder’s amount realized will be measured by the sum of the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5" w:right="1440" w:bottom="1440" w:gutter="0" w:footer="0" w:header="0"/>
        </w:sectPr>
      </w:pPr>
    </w:p>
    <w:bookmarkStart w:id="95" w:name="page96"/>
    <w:bookmarkEnd w:id="95"/>
    <w:p>
      <w:pPr>
        <w:ind w:left="34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204075" cy="31750"/>
                    </a:xfrm>
                    <a:prstGeom prst="rect">
                      <a:avLst/>
                    </a:prstGeom>
                    <a:noFill/>
                  </pic:spPr>
                </pic:pic>
              </a:graphicData>
            </a:graphic>
          </wp:anchor>
        </w:drawing>
        <w:t>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42"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Prior distributions on our common units that in the aggregate were in excess of cumulative net taxable income for a common unit and, therefore,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142" w:lineRule="exact"/>
        <w:rPr>
          <w:sz w:val="20"/>
          <w:szCs w:val="20"/>
          <w:color w:val="auto"/>
        </w:rPr>
      </w:pPr>
    </w:p>
    <w:p>
      <w:pPr>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the U.S. federal income tax rate applicable to long-term capital gains.</w:t>
      </w:r>
    </w:p>
    <w:p>
      <w:pPr>
        <w:spacing w:after="0" w:line="142" w:lineRule="exact"/>
        <w:rPr>
          <w:sz w:val="20"/>
          <w:szCs w:val="20"/>
          <w:color w:val="auto"/>
        </w:rPr>
      </w:pPr>
    </w:p>
    <w:p>
      <w:pPr>
        <w:ind w:left="340" w:right="439" w:firstLine="333"/>
        <w:spacing w:after="0" w:line="246" w:lineRule="auto"/>
        <w:rPr>
          <w:sz w:val="20"/>
          <w:szCs w:val="20"/>
          <w:color w:val="auto"/>
        </w:rPr>
      </w:pPr>
      <w:r>
        <w:rPr>
          <w:rFonts w:ascii="Times New Roman" w:cs="Times New Roman" w:eastAsia="Times New Roman" w:hAnsi="Times New Roman"/>
          <w:sz w:val="14"/>
          <w:szCs w:val="14"/>
          <w:color w:val="auto"/>
        </w:rPr>
        <w:t>However, a portion of this gain or loss, which will likely be substantial, will be separately computed and taxed as ordinary income or loss under Section 751 of the Code to the extent attributable to assets giving rise to “unrealized receivables,” including potential recapture items such as depreciation recapture, or to “inventory items” we own. Ordinary income attributable to unrealized receivables and inventory items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Ordinary income recognized by a unitholder on disposition of our common units may be reduced by such unitholder’s deduction for qualified business income. Both ordinary income and capital gain recognized on a sale of units may be subject to the NIIT in certain circumstances. Please read “—Tax Consequences of Unit Ownership—Tax Rates.”</w:t>
      </w:r>
    </w:p>
    <w:p>
      <w:pPr>
        <w:spacing w:after="0" w:line="149" w:lineRule="exact"/>
        <w:rPr>
          <w:sz w:val="20"/>
          <w:szCs w:val="20"/>
          <w:color w:val="auto"/>
        </w:rPr>
      </w:pPr>
    </w:p>
    <w:p>
      <w:pPr>
        <w:ind w:left="340" w:right="379" w:firstLine="333"/>
        <w:spacing w:after="0" w:line="291" w:lineRule="auto"/>
        <w:rPr>
          <w:sz w:val="20"/>
          <w:szCs w:val="20"/>
          <w:color w:val="auto"/>
        </w:rPr>
      </w:pPr>
      <w:r>
        <w:rPr>
          <w:rFonts w:ascii="Times New Roman" w:cs="Times New Roman" w:eastAsia="Times New Roman" w:hAnsi="Times New Roman"/>
          <w:sz w:val="12"/>
          <w:szCs w:val="12"/>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Code allow a selling unitholder who can identify common units transferred with an ascertainable holding period to elect to use the actual holding period of the common units transferred. Thus, according to the ruling discussed above, a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units. A unitholder considering the purchase of additional common units or a sale of common units purchased in separate transactions is urged to consult his tax advisor as to the possible consequences of this ruling and application of the Treasury Regulations.</w:t>
      </w:r>
    </w:p>
    <w:p>
      <w:pPr>
        <w:spacing w:after="0" w:line="288"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71" w:lineRule="exact"/>
        <w:rPr>
          <w:sz w:val="20"/>
          <w:szCs w:val="20"/>
          <w:color w:val="auto"/>
        </w:rPr>
      </w:pPr>
    </w:p>
    <w:p>
      <w:pPr>
        <w:ind w:left="1080" w:hanging="334"/>
        <w:spacing w:after="0"/>
        <w:tabs>
          <w:tab w:leader="none" w:pos="10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each case, with respect to the partnership interest or substantially identical property.</w:t>
      </w:r>
    </w:p>
    <w:p>
      <w:pPr>
        <w:spacing w:after="0" w:line="1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9" w:right="1440" w:bottom="1440" w:gutter="0" w:footer="0" w:header="0"/>
        </w:sectPr>
      </w:pPr>
    </w:p>
    <w:bookmarkStart w:id="96" w:name="page97"/>
    <w:bookmarkEnd w:id="96"/>
    <w:p>
      <w:pPr>
        <w:ind w:left="340" w:right="65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Allocations Between Transferors and Transferees</w:t>
      </w:r>
    </w:p>
    <w:p>
      <w:pPr>
        <w:spacing w:after="0" w:line="170"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In general, our taxable income and losses will be determined annually, will be prorated on a monthly basis in proportion to the number of days in each month and will be subsequently apportioned among our unitholders in proportion to the number of common units owned by each of them as of the opening of the applicable exchange on the first business day of the month, which we refer to as the “Allocation Date.” However, gain or loss realized on a sale or other disposition of our assets other than in the ordinary course of business will be allocated among our unitholders on the Allocation Date in the month in which that gain or loss is recognized. As a result, a unitholder transferring units may be allocated income, gain, loss and deduction realized after the date of transfer.</w:t>
      </w:r>
    </w:p>
    <w:p>
      <w:pPr>
        <w:spacing w:after="0" w:line="150"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The U.S. Department of Treasury and the IRS have issued Treasury Regulations that permit publicly traded partnerships to use a monthly simplifying convention that is similar to ours, but they do not specifically authorize all aspects of the proration method we have adopted. Accordingly, Latham &amp; Watkins LLP is unable to opine on the validity of this method of allocating income and deductions between transferor and transferee unitholders. If this method is not allowed under the Treasury Regulations, our taxable income or losses might be reallocated among the unitholders. We are authorized to revise our method of allocation between transferor and transferee unitholders, as well as unitholders whose interests vary during a taxable year.</w:t>
      </w:r>
    </w:p>
    <w:p>
      <w:pPr>
        <w:spacing w:after="0" w:line="150"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A unitholder who owns common units at any time during a quarter and who disposes of them prior to the record date set for a cash distribution for that quarter will be allocated items of our income, gain, loss and deductions attributable to that quarter through the month of disposition but will not be entitled to receive that cash distribution.</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Notification Requirements</w:t>
      </w:r>
    </w:p>
    <w:p>
      <w:pPr>
        <w:spacing w:after="0" w:line="88"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A unitholder who sells any of his common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Uniformity of Units</w:t>
      </w:r>
    </w:p>
    <w:p>
      <w:pPr>
        <w:spacing w:after="0" w:line="88" w:lineRule="exact"/>
        <w:rPr>
          <w:sz w:val="20"/>
          <w:szCs w:val="20"/>
          <w:color w:val="auto"/>
        </w:rPr>
      </w:pPr>
    </w:p>
    <w:p>
      <w:pPr>
        <w:ind w:left="340" w:right="359" w:firstLine="333"/>
        <w:spacing w:after="0" w:line="289" w:lineRule="auto"/>
        <w:rPr>
          <w:sz w:val="20"/>
          <w:szCs w:val="20"/>
          <w:color w:val="auto"/>
        </w:rPr>
      </w:pPr>
      <w:r>
        <w:rPr>
          <w:rFonts w:ascii="Times New Roman" w:cs="Times New Roman" w:eastAsia="Times New Roman" w:hAnsi="Times New Roman"/>
          <w:sz w:val="12"/>
          <w:szCs w:val="12"/>
          <w:color w:val="auto"/>
        </w:rPr>
        <w:t>Because we cannot match transferors and transferees of common units, we must maintain uniformity of the economic and tax characteristics of the common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common units. Please read “—Tax Consequences of Unit Ownership—</w:t>
      </w:r>
    </w:p>
    <w:p>
      <w:pPr>
        <w:spacing w:after="0" w:line="1" w:lineRule="exact"/>
        <w:rPr>
          <w:sz w:val="20"/>
          <w:szCs w:val="20"/>
          <w:color w:val="auto"/>
        </w:rPr>
      </w:pPr>
    </w:p>
    <w:p>
      <w:pPr>
        <w:ind w:left="340" w:right="699"/>
        <w:spacing w:after="0" w:line="247" w:lineRule="auto"/>
        <w:rPr>
          <w:sz w:val="20"/>
          <w:szCs w:val="20"/>
          <w:color w:val="auto"/>
        </w:rPr>
      </w:pPr>
      <w:r>
        <w:rPr>
          <w:rFonts w:ascii="Times New Roman" w:cs="Times New Roman" w:eastAsia="Times New Roman" w:hAnsi="Times New Roman"/>
          <w:sz w:val="14"/>
          <w:szCs w:val="14"/>
          <w:color w:val="auto"/>
        </w:rPr>
        <w:t>Section 754 Election.” We depreciate the portion of a Section 743(b) adjustment attributable to unrealized appreciation in the value of Contributed Property, to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9" w:right="1440" w:bottom="1440" w:gutter="0" w:footer="0" w:header="0"/>
        </w:sectPr>
      </w:pPr>
    </w:p>
    <w:bookmarkStart w:id="97" w:name="page98"/>
    <w:bookmarkEnd w:id="97"/>
    <w:p>
      <w:pPr>
        <w:ind w:left="340" w:right="35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Code, even though that position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common basis or a Section 743(b) adjustment, based upon the same applicable rate as if they had purchased a direct interest in our assets.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In either case, and as stated above under “—Tax Consequences of Unit Ownership—Section 754 Election,” Latham &amp; Watkins LLP has not rendered an opinion with respect to these methods. Moreover,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88" w:lineRule="exact"/>
        <w:rPr>
          <w:sz w:val="20"/>
          <w:szCs w:val="20"/>
          <w:color w:val="auto"/>
        </w:rPr>
      </w:pPr>
    </w:p>
    <w:p>
      <w:pPr>
        <w:jc w:val="both"/>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Ownership of units by employee benefit plans, other tax-exempt organizations, non-resident aliens, foreign corporations and other foreign persons raises issues unique to those investors and, as described below to a limited extent, may have substantially adverse tax consequences to them. If you are a tax-exempt entity or a foreign person, you should consult your tax advisor before investing in our common units.</w:t>
      </w:r>
    </w:p>
    <w:p>
      <w:pPr>
        <w:spacing w:after="0" w:line="142"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Employee benefit plans and most other organizations exempt from federal income tax, including IRAs and other retirement plans, are subject to federal income tax on unrelated business taxable income.</w:t>
      </w:r>
    </w:p>
    <w:p>
      <w:pPr>
        <w:spacing w:after="0" w:line="136"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Virtually all of our income allocated to a unitholder that is a tax-exempt organization will be unrelated business taxable income (“UBTI”) and will be taxable to it. Further, a tax-exempt organization with more than one unrelated trade or business (including by attribution from investments in a partnership, such as us, that is engaged in one or more unrelated trades or businesses) must compute its UBTI separately for each such trade or business, including for purposes of determining any net operating loss deductions. As a result, it may not be possible for tax-exempt organizations to use losses from an investment in us to offset taxable income from another unrelated trade or business.</w:t>
      </w:r>
    </w:p>
    <w:p>
      <w:pPr>
        <w:spacing w:after="0" w:line="149"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Non-resident aliens and foreign corporations, trusts or estates that own common units will be considered to be engaged in business in the United States because of the ownership of such common units. As a consequence, they will be required to file federal tax returns to report their share of our income, gain, loss or deduction and guaranteed payments and pay U.S. federal income tax at regular rates on their share of our net income or gain. Moreover, under rules applicable to publicly traded partnerships, our quarterly distributions to foreign unitholders will be subject to withholding at the highest applicable effective tax rate. Each foreign unitholder must obtain a taxpayer identification number from the IRS and submit that number to our transfer agent on a Form W-8BEN, W-8BEN-E or applicable substitute form in order to obtain credit for these withholding taxes. A change in applicable law may require us to change these procedures.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9" w:right="1440" w:bottom="1440" w:gutter="0" w:footer="0" w:header="0"/>
        </w:sectPr>
      </w:pPr>
    </w:p>
    <w:bookmarkStart w:id="98" w:name="page99"/>
    <w:bookmarkEnd w:id="98"/>
    <w:p>
      <w:pPr>
        <w:ind w:left="340" w:right="419" w:firstLine="333"/>
        <w:spacing w:after="0" w:line="30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addition, because a foreign corporation that owns common units will be treated as engaged in a U.S. trade or business, that corporation may be subject to the U.S. branch profits tax at a rate of 30%, in addition to regular U.S. federal income tax, on its share of our earnings and profits, as adjusted for changes in the foreign corporation’s “U.S. net equity,” that is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8"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A foreign unitholder who sells or otherwise disposes of a common unit will be subject to U.S. federal income tax on gain realized from the sale or disposition of that unit to the extent the gain is effectively connected with a U.S. trade or business of the foreign unitholder. Gain on the sale or disposition of a common unit will be treated as effectively connected with a U.S. trade or business to the extent that a foreign unitholder would recognize gain effectively connected with a U.S. trade or business upon the hypothetical sale of our assets at fair market value on the date of the sale or exchange of that unit. Such gain shall be reduced by certain amounts treated as effectively connected with a U.S. trade or business attributable to certain real property interests, as set forth in the following paragraph.</w:t>
      </w:r>
    </w:p>
    <w:p>
      <w:pPr>
        <w:spacing w:after="0" w:line="150" w:lineRule="exact"/>
        <w:rPr>
          <w:sz w:val="20"/>
          <w:szCs w:val="20"/>
          <w:color w:val="auto"/>
        </w:rPr>
      </w:pPr>
    </w:p>
    <w:p>
      <w:pPr>
        <w:ind w:left="340" w:right="379" w:firstLine="333"/>
        <w:spacing w:after="0" w:line="293" w:lineRule="auto"/>
        <w:rPr>
          <w:sz w:val="20"/>
          <w:szCs w:val="20"/>
          <w:color w:val="auto"/>
        </w:rPr>
      </w:pPr>
      <w:r>
        <w:rPr>
          <w:rFonts w:ascii="Times New Roman" w:cs="Times New Roman" w:eastAsia="Times New Roman" w:hAnsi="Times New Roman"/>
          <w:sz w:val="12"/>
          <w:szCs w:val="12"/>
          <w:color w:val="auto"/>
        </w:rPr>
        <w:t>Under the Foreign Investment in Real Property Tax Act, a foreign common unitholder (other than certain “qualified foreign pension funds” (or an entity all of the interests of which are held by such a qualified foreign pension fund), which generally are entities or arrangements that are established and regulated by foreign law to provide retirement or other pension benefits to employees, do not have a single participant or beneficiary that is entitled to more than 5% of the assets or income of the entity or arrangement and are subject to certain preferential tax treatment under the laws of the applicable foreign country)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five-year period ending on the date of disposition. Currently, more than 50% of our assets consist of U.S. real property interests and we do not expect that to change in the foreseeable future.</w:t>
      </w:r>
    </w:p>
    <w:p>
      <w:pPr>
        <w:spacing w:after="0" w:line="2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Therefore, foreign unitholders may be subject to U.S. federal income tax on gain from the sale or disposition of their common units.</w:t>
      </w:r>
    </w:p>
    <w:p>
      <w:pPr>
        <w:spacing w:after="0" w:line="166"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Upon the sale, exchange or other disposition of a common unit by a foreign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Distributions made to our unitholders may also be subject to withholding under these rules to the extent a portion of a distribution is attributable to an amount in excess of our cumulative net income that has not previously been distributed. Prospective foreign unitholders should consult their tax advisors regarding the impact of these rules on an investment in our common units.</w:t>
      </w:r>
    </w:p>
    <w:p>
      <w:pPr>
        <w:spacing w:after="0" w:line="149"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Additional withholding requirements may also affect certain foreign unitholders. Please read “—Administrative Matters—Additional Withholding Requirements.”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9" w:right="1440" w:bottom="1440" w:gutter="0" w:footer="0" w:header="0"/>
        </w:sectPr>
      </w:pPr>
    </w:p>
    <w:bookmarkStart w:id="99" w:name="page100"/>
    <w:bookmarkEnd w:id="99"/>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Administrative Matters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Returns and Audit Procedures</w:t>
      </w:r>
    </w:p>
    <w:p>
      <w:pPr>
        <w:spacing w:after="0" w:line="88"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Code, Treasury Regulations or administrative interpretations of the IRS. Neither we nor Latham &amp; Watkins LLP can assure prospective common unitholders that the IRS will not successfully contend in court that those positions are impermissible. Any challenge by the IRS could negatively affect the value of the units.</w:t>
      </w:r>
    </w:p>
    <w:p>
      <w:pPr>
        <w:spacing w:after="0" w:line="147"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142" w:lineRule="exact"/>
        <w:rPr>
          <w:sz w:val="20"/>
          <w:szCs w:val="20"/>
          <w:color w:val="auto"/>
        </w:rPr>
      </w:pPr>
    </w:p>
    <w:p>
      <w:pPr>
        <w:jc w:val="both"/>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w:t>
      </w:r>
    </w:p>
    <w:p>
      <w:pPr>
        <w:spacing w:after="0" w:line="142" w:lineRule="exact"/>
        <w:rPr>
          <w:sz w:val="20"/>
          <w:szCs w:val="20"/>
          <w:color w:val="auto"/>
        </w:rPr>
      </w:pPr>
    </w:p>
    <w:p>
      <w:pPr>
        <w:ind w:left="340" w:right="539" w:firstLine="333"/>
        <w:spacing w:after="0" w:line="254" w:lineRule="auto"/>
        <w:rPr>
          <w:sz w:val="20"/>
          <w:szCs w:val="20"/>
          <w:color w:val="auto"/>
        </w:rPr>
      </w:pPr>
      <w:r>
        <w:rPr>
          <w:rFonts w:ascii="Times New Roman" w:cs="Times New Roman" w:eastAsia="Times New Roman" w:hAnsi="Times New Roman"/>
          <w:sz w:val="14"/>
          <w:szCs w:val="14"/>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w:t>
      </w:r>
    </w:p>
    <w:p>
      <w:pPr>
        <w:spacing w:after="0" w:line="142" w:lineRule="exact"/>
        <w:rPr>
          <w:sz w:val="20"/>
          <w:szCs w:val="20"/>
          <w:color w:val="auto"/>
        </w:rPr>
      </w:pPr>
    </w:p>
    <w:p>
      <w:pPr>
        <w:ind w:left="340" w:right="399" w:firstLine="333"/>
        <w:spacing w:after="0" w:line="245" w:lineRule="auto"/>
        <w:rPr>
          <w:sz w:val="20"/>
          <w:szCs w:val="20"/>
          <w:color w:val="auto"/>
        </w:rPr>
      </w:pPr>
      <w:r>
        <w:rPr>
          <w:rFonts w:ascii="Times New Roman" w:cs="Times New Roman" w:eastAsia="Times New Roman" w:hAnsi="Times New Roman"/>
          <w:sz w:val="14"/>
          <w:szCs w:val="14"/>
          <w:color w:val="auto"/>
        </w:rPr>
        <w:t>Pursuant to the Bipartisan Budget Act of 2015, if the IRS makes audit adjustments to our income tax returns, it may assess and collect any taxes (including any applicable penalties and interest) resulting from such audit adjustment directly from us. Similarly, for such taxable years, if the IRS makes audit adjustments to income tax returns filed by an entity in which we are a member or a partner, it may assess and collect any taxes (including penalties and interest) resulting from such audit adjustment directly from such entity. Generally, we expect to elect to have our general partner and our unitholders take any such audit adjustment into account in accordance with their interests in us during the taxable year under audit, but there can be no assurance that such election will be effective in all circumstances. If we are unable to have our general partner and our unitholders take such audit adjustment into account in accordance with their interests in us during the tax year under audit, our current unitholders may bear some or all of the tax liability resulting from such audit adjustment, even if such unitholders did not own our units during the tax year under audit. If, as a result of any such audit adjustment, we are required to make payments of taxes, penalties and interest, our cash available for distribution to our common unitholders might be substantially reduced.</w:t>
      </w:r>
    </w:p>
    <w:p>
      <w:pPr>
        <w:spacing w:after="0" w:line="154" w:lineRule="exact"/>
        <w:rPr>
          <w:sz w:val="20"/>
          <w:szCs w:val="20"/>
          <w:color w:val="auto"/>
        </w:rPr>
      </w:pPr>
    </w:p>
    <w:p>
      <w:pPr>
        <w:ind w:left="340" w:right="419" w:firstLine="333"/>
        <w:spacing w:after="0" w:line="297" w:lineRule="auto"/>
        <w:rPr>
          <w:sz w:val="20"/>
          <w:szCs w:val="20"/>
          <w:color w:val="auto"/>
        </w:rPr>
      </w:pPr>
      <w:r>
        <w:rPr>
          <w:rFonts w:ascii="Times New Roman" w:cs="Times New Roman" w:eastAsia="Times New Roman" w:hAnsi="Times New Roman"/>
          <w:sz w:val="12"/>
          <w:szCs w:val="12"/>
          <w:color w:val="auto"/>
        </w:rPr>
        <w:t>Additionally, pursuant to the Bipartisan Budget Act of 2015, 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our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Additional Withholding Requirements</w:t>
      </w:r>
    </w:p>
    <w:p>
      <w:pPr>
        <w:spacing w:after="0" w:line="88" w:lineRule="exact"/>
        <w:rPr>
          <w:sz w:val="20"/>
          <w:szCs w:val="20"/>
          <w:color w:val="auto"/>
        </w:rPr>
      </w:pPr>
    </w:p>
    <w:p>
      <w:pPr>
        <w:ind w:left="340" w:right="779" w:firstLine="333"/>
        <w:spacing w:after="0" w:line="264" w:lineRule="auto"/>
        <w:rPr>
          <w:sz w:val="20"/>
          <w:szCs w:val="20"/>
          <w:color w:val="auto"/>
        </w:rPr>
      </w:pPr>
      <w:r>
        <w:rPr>
          <w:rFonts w:ascii="Times New Roman" w:cs="Times New Roman" w:eastAsia="Times New Roman" w:hAnsi="Times New Roman"/>
          <w:sz w:val="14"/>
          <w:szCs w:val="14"/>
          <w:color w:val="auto"/>
        </w:rPr>
        <w:t>Subject to the proposed Treasury Regulations discussed below, withholding taxes may apply to certain types of payments made to “foreign financial institutions” (as specially defined in the Code) and certain other foreign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35" w:right="1440" w:bottom="1440" w:gutter="0" w:footer="0" w:header="0"/>
        </w:sectPr>
      </w:pPr>
    </w:p>
    <w:bookmarkStart w:id="100" w:name="page101"/>
    <w:bookmarkEnd w:id="100"/>
    <w:p>
      <w:pPr>
        <w:ind w:left="340" w:right="39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that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53"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These rules generally apply to payments of FDAP Income currently and, while these rules generally would have applied to payments of relevant Gross Proceeds made on or after January 1, 2019, proposed Treasury Regulations eliminate these withholding taxes on payments of Gross Proceeds entirely. Unitholders generally may rely on these proposed Treasury Regulations until final Treasury Regulations are issued. Thus, to the extent we have FDAP Income that is not treated as effectively connected with a U.S. trade or business (please read “—Tax-Exempt Organizations and Other Investors”), unitholders who are foreign financial institutions or certain other foreign entities, or persons that hold their common units through such foreign entities, may be subject to withholding on distributions they receive from us, or their distributive share of our income, pursuant to the rules described above.</w:t>
      </w:r>
    </w:p>
    <w:p>
      <w:pPr>
        <w:spacing w:after="0" w:line="147"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Prospective common unitholders should consult their own tax advisors regarding the potential application of these withholding provisions to their investment in our common units.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Nominee Reporting</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94" w:lineRule="exact"/>
        <w:rPr>
          <w:sz w:val="20"/>
          <w:szCs w:val="20"/>
          <w:color w:val="auto"/>
        </w:rPr>
      </w:pPr>
    </w:p>
    <w:p>
      <w:pPr>
        <w:ind w:left="1080" w:hanging="334"/>
        <w:spacing w:after="0"/>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beneficial owner is:</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is not a U.S. person;</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government, an international organization or any wholly owned agency or instrumentality of either of the foregoing; or</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94" w:lineRule="exact"/>
        <w:rPr>
          <w:rFonts w:ascii="Times New Roman" w:cs="Times New Roman" w:eastAsia="Times New Roman" w:hAnsi="Times New Roman"/>
          <w:sz w:val="14"/>
          <w:szCs w:val="14"/>
          <w:color w:val="auto"/>
        </w:rPr>
      </w:pPr>
    </w:p>
    <w:p>
      <w:pPr>
        <w:ind w:left="1080" w:right="899" w:hanging="334"/>
        <w:spacing w:after="0" w:line="264" w:lineRule="auto"/>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dispositions.</w:t>
      </w:r>
    </w:p>
    <w:p>
      <w:pPr>
        <w:spacing w:after="0" w:line="136" w:lineRule="exact"/>
        <w:rPr>
          <w:sz w:val="20"/>
          <w:szCs w:val="20"/>
          <w:color w:val="auto"/>
        </w:rPr>
      </w:pPr>
    </w:p>
    <w:p>
      <w:pPr>
        <w:jc w:val="both"/>
        <w:ind w:left="340" w:right="359" w:firstLine="333"/>
        <w:spacing w:after="0" w:line="316" w:lineRule="auto"/>
        <w:rPr>
          <w:sz w:val="20"/>
          <w:szCs w:val="20"/>
          <w:color w:val="auto"/>
        </w:rPr>
      </w:pPr>
      <w:r>
        <w:rPr>
          <w:rFonts w:ascii="Times New Roman" w:cs="Times New Roman" w:eastAsia="Times New Roman" w:hAnsi="Times New Roman"/>
          <w:sz w:val="12"/>
          <w:szCs w:val="12"/>
          <w:color w:val="auto"/>
        </w:rPr>
        <w:t>Brokers and financial institutions are required to furnish additional information, including whether they are U.S. persons and specific information on units they acquire, hold or transfer for their own account. A penalty per failure, with a signicant penalty per calendar year, is imposed by the Code for failure to report that information to us. The nominee is required to supply the beneficial owner of the units with the information furnished to us.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39" w:right="1440" w:bottom="1440" w:gutter="0" w:footer="0" w:header="0"/>
        </w:sectPr>
      </w:pPr>
    </w:p>
    <w:bookmarkStart w:id="101" w:name="page102"/>
    <w:bookmarkEnd w:id="101"/>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Accuracy-Related Penalties</w:t>
      </w:r>
    </w:p>
    <w:p>
      <w:pPr>
        <w:spacing w:after="0" w:line="88" w:lineRule="exact"/>
        <w:rPr>
          <w:sz w:val="20"/>
          <w:szCs w:val="20"/>
          <w:color w:val="auto"/>
        </w:rPr>
      </w:pPr>
    </w:p>
    <w:p>
      <w:pPr>
        <w:ind w:left="340" w:right="399" w:firstLine="333"/>
        <w:spacing w:after="0" w:line="294" w:lineRule="auto"/>
        <w:rPr>
          <w:sz w:val="20"/>
          <w:szCs w:val="20"/>
          <w:color w:val="auto"/>
        </w:rPr>
      </w:pPr>
      <w:r>
        <w:rPr>
          <w:rFonts w:ascii="Times New Roman" w:cs="Times New Roman" w:eastAsia="Times New Roman" w:hAnsi="Times New Roman"/>
          <w:sz w:val="12"/>
          <w:szCs w:val="12"/>
          <w:color w:val="auto"/>
        </w:rPr>
        <w:t>Certain penalties may be imposed on taxpayers as a result of an underpayment of tax that is attributable to one or more specified causes, including: (i) negligence or disregard of rules or regulations, (ii) substantial understatements of income tax, (iii) substantial valuation misstatements and</w:t>
      </w:r>
    </w:p>
    <w:p>
      <w:pPr>
        <w:spacing w:after="0" w:line="1" w:lineRule="exact"/>
        <w:rPr>
          <w:sz w:val="20"/>
          <w:szCs w:val="20"/>
          <w:color w:val="auto"/>
        </w:rPr>
      </w:pPr>
    </w:p>
    <w:p>
      <w:pPr>
        <w:ind w:left="340" w:right="419" w:hanging="3"/>
        <w:spacing w:after="0" w:line="298" w:lineRule="auto"/>
        <w:tabs>
          <w:tab w:leader="none" w:pos="571"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disallowance of claimed tax benefits by reason of a transaction lacking economic substance or failing to meet the requirements of any similar rule of law. Except with respect to the disallowance of claimed tax benefits by reason of a transaction lacking economic substance or failing to meet the requirements of any similar rule of law, however, no penalty will be imposed for any portion of any such underpayment if it is shown that there was a reasonable cause for the underpayment of that portion and that the taxpayer acted in good faith regarding the underpayment of that portion.</w:t>
      </w:r>
    </w:p>
    <w:p>
      <w:pPr>
        <w:spacing w:after="0" w:line="120"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With respect to substantial understatements of income tax, the amount of any understatement subject to penalty generally is reduced by that portion of the understatement which is attributable to a position adopted on the return: (A) for which there is, or was, “substantial authority”; or (B) as to which there is a reasonable basis and the relevant facts of that position are adequately disclosed on the return. If any item of income, gain, loss or deduction included in the distributive shares of unitholders might result in that kind of an “understatement” of income for which no “substantial authority” exists, we must adequately disclose the relevant facts on our return. In addition, we will make a reasonable effort to furnish sufficient information for unitholders to make adequate disclosure on their returns and to take other actions as may be appropriate to permit unitholders to avoid liability for this penalty.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Recent Legislative Developments</w:t>
      </w:r>
    </w:p>
    <w:p>
      <w:pPr>
        <w:spacing w:after="0" w:line="88"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The present federal income tax treatment of publicly traded partnerships, including us, or an investment in our common units may be modified by administrative, legislative or judicial interpretation at any time. For example, from time to time, members of Congress and the President propose and consider substantive changes to the existing federal income tax laws that affect publicly traded partnerships, including the elimination of partnership tax treatment for publicly traded partnerships.</w:t>
      </w:r>
    </w:p>
    <w:p>
      <w:pPr>
        <w:spacing w:after="0" w:line="146"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Any modification to the federal income tax laws and interpretations thereof may or may not be retroactively applied and could make it more difficult or impossible to meet the exception for us to be treated as a partnership for federal income tax purposes. Please read “—Partnership Status.” We are unable to predict whether any such changes will ultimately be enacted. However, it is possible that a change in law could affect us, and any such changes could negatively impact the value of an investment in our common units.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State, Local, Foreign and Other Tax Considerations</w:t>
      </w:r>
    </w:p>
    <w:p>
      <w:pPr>
        <w:spacing w:after="0" w:line="88"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In addition to federal income taxes, you will likely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common unitholder should consider their potential impact on his investment in us. We currently own property or does business in many states. Several of these states impose a personal income tax on individuals; certain of these states also impose an income tax on corporations and other entities. We may also own property or do business in other jurisdictions in the future. 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In some jurisdictions, tax losses may not produce a tax benefit in the year incurred and may not be available to offset income in subsequent taxable years. Some of the jurisdictions may require us, or we may elect, to withhold a percentage of income from amounts to</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35" w:right="1440" w:bottom="1440" w:gutter="0" w:footer="0" w:header="0"/>
        </w:sectPr>
      </w:pPr>
    </w:p>
    <w:bookmarkStart w:id="102" w:name="page103"/>
    <w:bookmarkEnd w:id="102"/>
    <w:p>
      <w:pPr>
        <w:ind w:left="340" w:right="47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w:t>
      </w:r>
    </w:p>
    <w:p>
      <w:pPr>
        <w:spacing w:after="0" w:line="145"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b w:val="1"/>
          <w:bCs w:val="1"/>
          <w:color w:val="auto"/>
        </w:rPr>
        <w:t>It is the responsibility of each unitholder to investigate the legal and tax consequences, under the laws of pertinent states, localities and foreign jurisdictions, of his investment in us. Accordingly, each prospective common unitholder is urged to consult his own tax counsel or other advisor with regard to those matters. Further, it is the responsibility of each unitholder to file all state, local and foreign, as well as U.S. federal tax returns, that may be required of him. Latham &amp; Watkins LLP has not rendered an opinion on the state tax, local tax, alternative minimum tax or foreign tax consequences of an investment in us.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39"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204075" cy="31750"/>
                    </a:xfrm>
                    <a:prstGeom prst="rect">
                      <a:avLst/>
                    </a:prstGeom>
                    <a:noFill/>
                  </pic:spPr>
                </pic:pic>
              </a:graphicData>
            </a:graphic>
          </wp:anchor>
        </w:drawing>
        <w:t>LEGAL MATTERS</w:t>
      </w:r>
    </w:p>
    <w:p>
      <w:pPr>
        <w:spacing w:after="0" w:line="170"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The validity of the securities offered in this prospectus will be passed upon for us by Latham &amp; Watkins LLP, Houston, Texas. Latham &amp; Watkins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340" w:right="439" w:firstLine="333"/>
        <w:spacing w:after="0" w:line="316" w:lineRule="auto"/>
        <w:rPr>
          <w:sz w:val="20"/>
          <w:szCs w:val="20"/>
          <w:color w:val="auto"/>
        </w:rPr>
      </w:pPr>
      <w:r>
        <w:rPr>
          <w:rFonts w:ascii="Times New Roman" w:cs="Times New Roman" w:eastAsia="Times New Roman" w:hAnsi="Times New Roman"/>
          <w:sz w:val="12"/>
          <w:szCs w:val="12"/>
          <w:color w:val="auto"/>
        </w:rPr>
        <w:t>The audited consolidated financial statements of Energy Transfer LP and subsidiaries and management’s assessment of the effectiveness of internal control over financial reporting incorporated by reference in this registration statement have been so incorporated by reference in reliance upon the reports of Grant Thornton LLP, independent registered public accountants, upon the authority of said firm as experts in accounting and auditing.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35" w:right="1440" w:bottom="1440" w:gutter="0" w:footer="0" w:header="0"/>
        </w:sectPr>
      </w:pPr>
    </w:p>
    <w:bookmarkStart w:id="104" w:name="page105"/>
    <w:bookmarkEnd w:id="104"/>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179705</wp:posOffset>
            </wp:positionV>
            <wp:extent cx="529145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5291455" cy="12700"/>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218440</wp:posOffset>
            </wp:positionV>
            <wp:extent cx="529145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page">
              <wp:posOffset>3200400</wp:posOffset>
            </wp:positionH>
            <wp:positionV relativeFrom="page">
              <wp:posOffset>484505</wp:posOffset>
            </wp:positionV>
            <wp:extent cx="1148080" cy="349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48080" cy="3498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Energy Transfer LP</w:t>
      </w:r>
    </w:p>
    <w:p>
      <w:pPr>
        <w:spacing w:after="0" w:line="1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$1,000,000,000 4.550% Senior Notes due 2031</w:t>
      </w:r>
    </w:p>
    <w:p>
      <w:pPr>
        <w:spacing w:after="0" w:line="1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$1,000,000,000 5.350% Senior Notes due 2036</w:t>
      </w:r>
    </w:p>
    <w:p>
      <w:pPr>
        <w:spacing w:after="0" w:line="1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$1,000,000,000 6.300% Senior Notes due 2056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1266825</wp:posOffset>
            </wp:positionV>
            <wp:extent cx="11087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190500</wp:posOffset>
            </wp:positionV>
            <wp:extent cx="110871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6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BofA Securities</w:t>
            </w:r>
          </w:p>
        </w:tc>
        <w:tc>
          <w:tcPr>
            <w:tcW w:w="214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Deutsche Bank Securities</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Mizuho</w:t>
            </w:r>
          </w:p>
        </w:tc>
        <w:tc>
          <w:tcPr>
            <w:tcW w:w="178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MUFG</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SMBC Nikko</w:t>
            </w: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Barclays</w:t>
            </w:r>
          </w:p>
        </w:tc>
        <w:tc>
          <w:tcPr>
            <w:tcW w:w="214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BBVA</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BMO Capital Markets</w:t>
            </w:r>
          </w:p>
        </w:tc>
        <w:tc>
          <w:tcPr>
            <w:tcW w:w="17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CIBC Capital Markets</w:t>
            </w: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Citigroup</w:t>
            </w:r>
          </w:p>
        </w:tc>
        <w:tc>
          <w:tcPr>
            <w:tcW w:w="214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Credit Agricole CIB</w:t>
            </w:r>
          </w:p>
        </w:tc>
        <w:tc>
          <w:tcPr>
            <w:tcW w:w="346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Fifth Third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J.P. Morgan</w:t>
            </w: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Morgan Stanley</w:t>
            </w:r>
          </w:p>
        </w:tc>
        <w:tc>
          <w:tcPr>
            <w:tcW w:w="214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PNC Capital Markets LLC</w:t>
            </w: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RBC Capital Markets</w:t>
            </w:r>
          </w:p>
        </w:tc>
        <w:tc>
          <w:tcPr>
            <w:tcW w:w="178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Regions Securities LLC</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Scotiabank</w:t>
            </w: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SOCIETE GENERALE</w:t>
            </w:r>
          </w:p>
        </w:tc>
        <w:tc>
          <w:tcPr>
            <w:tcW w:w="2140" w:type="dxa"/>
            <w:vAlign w:val="bottom"/>
          </w:tcPr>
          <w:p>
            <w:pPr>
              <w:ind w:left="780"/>
              <w:spacing w:after="0"/>
              <w:rPr>
                <w:sz w:val="20"/>
                <w:szCs w:val="20"/>
                <w:color w:val="auto"/>
              </w:rPr>
            </w:pPr>
            <w:r>
              <w:rPr>
                <w:rFonts w:ascii="Times New Roman" w:cs="Times New Roman" w:eastAsia="Times New Roman" w:hAnsi="Times New Roman"/>
                <w:sz w:val="12"/>
                <w:szCs w:val="12"/>
                <w:b w:val="1"/>
                <w:bCs w:val="1"/>
                <w:color w:val="auto"/>
              </w:rPr>
              <w:t>TD Securities</w:t>
            </w:r>
          </w:p>
        </w:tc>
        <w:tc>
          <w:tcPr>
            <w:tcW w:w="1680" w:type="dxa"/>
            <w:vAlign w:val="bottom"/>
          </w:tcPr>
          <w:p>
            <w:pPr>
              <w:jc w:val="right"/>
              <w:ind w:right="579"/>
              <w:spacing w:after="0"/>
              <w:rPr>
                <w:sz w:val="20"/>
                <w:szCs w:val="20"/>
                <w:color w:val="auto"/>
              </w:rPr>
            </w:pPr>
            <w:r>
              <w:rPr>
                <w:rFonts w:ascii="Times New Roman" w:cs="Times New Roman" w:eastAsia="Times New Roman" w:hAnsi="Times New Roman"/>
                <w:sz w:val="12"/>
                <w:szCs w:val="12"/>
                <w:b w:val="1"/>
                <w:bCs w:val="1"/>
                <w:color w:val="auto"/>
              </w:rPr>
              <w:t>Truist Securities</w:t>
            </w:r>
          </w:p>
        </w:tc>
        <w:tc>
          <w:tcPr>
            <w:tcW w:w="17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US Bancorp</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Wells Fargo Securities</w:t>
            </w:r>
          </w:p>
        </w:tc>
      </w:tr>
    </w:tbl>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January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323215</wp:posOffset>
            </wp:positionV>
            <wp:extent cx="529145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375285</wp:posOffset>
            </wp:positionV>
            <wp:extent cx="529145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5291455"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61"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Energy Transfer LP</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Calculation</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right"/>
              <w:ind w:right="162"/>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9"/>
                <w:szCs w:val="9"/>
                <w:color w:val="auto"/>
              </w:rPr>
            </w:pPr>
          </w:p>
        </w:tc>
        <w:tc>
          <w:tcPr>
            <w:tcW w:w="760" w:type="dxa"/>
            <w:vAlign w:val="bottom"/>
            <w:shd w:val="clear" w:color="auto" w:fill="9ADAF6"/>
          </w:tcPr>
          <w:p>
            <w:pPr>
              <w:jc w:val="right"/>
              <w:spacing w:after="0" w:line="112" w:lineRule="exact"/>
              <w:rPr>
                <w:sz w:val="20"/>
                <w:szCs w:val="20"/>
                <w:color w:val="auto"/>
              </w:rPr>
            </w:pPr>
            <w:r>
              <w:rPr>
                <w:rFonts w:ascii="Arial" w:cs="Arial" w:eastAsia="Arial" w:hAnsi="Arial"/>
                <w:sz w:val="12"/>
                <w:szCs w:val="12"/>
                <w:b w:val="1"/>
                <w:bCs w:val="1"/>
                <w:color w:val="auto"/>
              </w:rPr>
              <w:t>Maximum</w:t>
            </w:r>
          </w:p>
        </w:tc>
        <w:tc>
          <w:tcPr>
            <w:tcW w:w="20" w:type="dxa"/>
            <w:vAlign w:val="bottom"/>
          </w:tcPr>
          <w:p>
            <w:pPr>
              <w:spacing w:after="0"/>
              <w:rPr>
                <w:sz w:val="9"/>
                <w:szCs w:val="9"/>
                <w:color w:val="auto"/>
              </w:rPr>
            </w:pPr>
          </w:p>
        </w:tc>
        <w:tc>
          <w:tcPr>
            <w:tcW w:w="13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20"/>
              <w:spacing w:after="0" w:line="164" w:lineRule="exact"/>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4"/>
                <w:szCs w:val="14"/>
                <w:color w:val="auto"/>
              </w:rPr>
            </w:pPr>
          </w:p>
        </w:tc>
        <w:tc>
          <w:tcPr>
            <w:tcW w:w="10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right"/>
              <w:spacing w:after="0" w:line="164"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ind w:left="160"/>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1080" w:type="dxa"/>
            <w:vAlign w:val="bottom"/>
            <w:shd w:val="clear" w:color="auto" w:fill="9ADAF6"/>
          </w:tcPr>
          <w:p>
            <w:pPr>
              <w:jc w:val="right"/>
              <w:ind w:right="42"/>
              <w:spacing w:after="0" w:line="112" w:lineRule="exact"/>
              <w:rPr>
                <w:sz w:val="20"/>
                <w:szCs w:val="20"/>
                <w:color w:val="auto"/>
              </w:rPr>
            </w:pPr>
            <w:r>
              <w:rPr>
                <w:rFonts w:ascii="Arial" w:cs="Arial" w:eastAsia="Arial" w:hAnsi="Arial"/>
                <w:sz w:val="12"/>
                <w:szCs w:val="12"/>
                <w:b w:val="1"/>
                <w:bCs w:val="1"/>
                <w:color w:val="auto"/>
              </w:rPr>
              <w:t>Registered</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File</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ind w:left="220"/>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4.550 %</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5.350%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6.300%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2056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ind w:left="34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$ 414,300.00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3,000,000,000.00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$ 414,300.00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98" w:lineRule="exact"/>
        <w:rPr>
          <w:sz w:val="20"/>
          <w:szCs w:val="20"/>
          <w:color w:val="auto"/>
        </w:rPr>
      </w:pPr>
    </w:p>
    <w:p>
      <w:pPr>
        <w:ind w:left="200" w:hanging="168"/>
        <w:spacing w:after="0"/>
        <w:tabs>
          <w:tab w:leader="none" w:pos="200" w:val="left"/>
        </w:tabs>
        <w:numPr>
          <w:ilvl w:val="0"/>
          <w:numId w:val="82"/>
        </w:numPr>
        <w:rPr>
          <w:rFonts w:ascii="Arial" w:cs="Arial" w:eastAsia="Arial" w:hAnsi="Arial"/>
          <w:sz w:val="20"/>
          <w:szCs w:val="20"/>
          <w:color w:val="auto"/>
          <w:vertAlign w:val="superscript"/>
        </w:rPr>
      </w:pPr>
      <w:r>
        <w:rPr>
          <w:rFonts w:ascii="Arial" w:cs="Arial" w:eastAsia="Arial" w:hAnsi="Arial"/>
          <w:sz w:val="16"/>
          <w:szCs w:val="16"/>
          <w:color w:val="auto"/>
        </w:rPr>
        <w:t>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20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199" w:lineRule="exact"/>
        <w:rPr>
          <w:sz w:val="20"/>
          <w:szCs w:val="20"/>
          <w:color w:val="auto"/>
        </w:rPr>
      </w:pPr>
    </w:p>
    <w:p>
      <w:pPr>
        <w:ind w:left="200" w:hanging="168"/>
        <w:spacing w:after="0"/>
        <w:tabs>
          <w:tab w:leader="none" w:pos="200" w:val="left"/>
        </w:tabs>
        <w:numPr>
          <w:ilvl w:val="0"/>
          <w:numId w:val="83"/>
        </w:numPr>
        <w:rPr>
          <w:rFonts w:ascii="Arial" w:cs="Arial" w:eastAsia="Arial" w:hAnsi="Arial"/>
          <w:sz w:val="20"/>
          <w:szCs w:val="20"/>
          <w:color w:val="auto"/>
          <w:vertAlign w:val="superscript"/>
        </w:rPr>
      </w:pPr>
      <w:r>
        <w:rPr>
          <w:rFonts w:ascii="Arial" w:cs="Arial" w:eastAsia="Arial" w:hAnsi="Arial"/>
          <w:sz w:val="16"/>
          <w:szCs w:val="16"/>
          <w:color w:val="auto"/>
        </w:rPr>
        <w:t>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200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199" w:lineRule="exact"/>
        <w:rPr>
          <w:sz w:val="20"/>
          <w:szCs w:val="20"/>
          <w:color w:val="auto"/>
        </w:rPr>
      </w:pPr>
    </w:p>
    <w:p>
      <w:pPr>
        <w:ind w:left="200" w:hanging="168"/>
        <w:spacing w:after="0"/>
        <w:tabs>
          <w:tab w:leader="none" w:pos="200" w:val="left"/>
        </w:tabs>
        <w:numPr>
          <w:ilvl w:val="0"/>
          <w:numId w:val="84"/>
        </w:numPr>
        <w:rPr>
          <w:rFonts w:ascii="Arial" w:cs="Arial" w:eastAsia="Arial" w:hAnsi="Arial"/>
          <w:sz w:val="20"/>
          <w:szCs w:val="20"/>
          <w:color w:val="auto"/>
          <w:vertAlign w:val="superscript"/>
        </w:rPr>
      </w:pPr>
      <w:r>
        <w:rPr>
          <w:rFonts w:ascii="Arial" w:cs="Arial" w:eastAsia="Arial" w:hAnsi="Arial"/>
          <w:sz w:val="16"/>
          <w:szCs w:val="16"/>
          <w:color w:val="auto"/>
        </w:rPr>
        <w:t>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200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right"/>
              <w:ind w:right="9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right"/>
              <w:ind w:right="18"/>
              <w:spacing w:after="0" w:line="164"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5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jc w:val="right"/>
              <w:ind w:right="5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gridSpan w:val="3"/>
            <w:shd w:val="clear" w:color="auto" w:fill="9ADAF6"/>
          </w:tcPr>
          <w:p>
            <w:pPr>
              <w:ind w:left="40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60" w:type="dxa"/>
            <w:vAlign w:val="bottom"/>
            <w:gridSpan w:val="3"/>
            <w:vMerge w:val="restart"/>
            <w:shd w:val="clear" w:color="auto" w:fill="9ADAF6"/>
          </w:tcPr>
          <w:p>
            <w:pPr>
              <w:ind w:left="42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41"/>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gridSpan w:val="2"/>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6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41"/>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4"/>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4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00" w:type="dxa"/>
            <w:vAlign w:val="bottom"/>
            <w:shd w:val="clear" w:color="auto" w:fill="E7E7E2"/>
          </w:tcPr>
          <w:p>
            <w:pPr>
              <w:ind w:left="2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6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1"/>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40"/>
              <w:spacing w:after="0"/>
              <w:rPr>
                <w:sz w:val="20"/>
                <w:szCs w:val="20"/>
                <w:color w:val="auto"/>
              </w:rPr>
            </w:pPr>
            <w:r>
              <w:rPr>
                <w:rFonts w:ascii="Arial" w:cs="Arial" w:eastAsia="Arial" w:hAnsi="Arial"/>
                <w:sz w:val="16"/>
                <w:szCs w:val="16"/>
                <w:color w:val="auto"/>
                <w:w w:val="97"/>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9" w:orient="portrait"/>
          <w:cols w:equalWidth="0" w:num="1">
            <w:col w:w="11360"/>
          </w:cols>
          <w:pgMar w:left="300" w:top="141" w:right="239" w:bottom="0" w:gutter="0" w:footer="0" w:header="0"/>
        </w:sectPr>
      </w:pPr>
    </w:p>
    <w:bookmarkStart w:id="106" w:name="page107"/>
    <w:bookmarkEnd w:id="106"/>
    <w:p>
      <w:pPr>
        <w:ind w:left="4740"/>
        <w:spacing w:after="0"/>
        <w:rPr>
          <w:sz w:val="20"/>
          <w:szCs w:val="20"/>
          <w:color w:val="auto"/>
        </w:rPr>
      </w:pPr>
      <w:r>
        <w:rPr>
          <w:rFonts w:ascii="Arial" w:cs="Arial" w:eastAsia="Arial" w:hAnsi="Arial"/>
          <w:sz w:val="16"/>
          <w:szCs w:val="16"/>
          <w:b w:val="1"/>
          <w:bCs w:val="1"/>
          <w:color w:val="auto"/>
        </w:rPr>
        <w:t>Narrative Disclosure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maximum aggregate offering price of the securities to which the prospectus relates is $3,000,000,000.00. The prospectus is a final prospectus for the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080"/>
      </w:cols>
      <w:pgMar w:left="400" w:top="33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1)"/>
      <w:numFmt w:val="decimal"/>
      <w:start w:val="16"/>
    </w:lvl>
  </w:abstractNum>
  <w:abstractNum w:abstractNumId="23">
    <w:nsid w:val="374A3FE6"/>
    <w:multiLevelType w:val="hybridMultilevel"/>
    <w:lvl w:ilvl="0">
      <w:lvlJc w:val="left"/>
      <w:lvlText w:val="(%1)"/>
      <w:numFmt w:val="decimal"/>
      <w:start w:val="1"/>
    </w:lvl>
    <w:lvl w:ilvl="1">
      <w:lvlJc w:val="left"/>
      <w:lvlText w:val="(%2)"/>
      <w:numFmt w:val="lowerLetter"/>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lowerRoman"/>
      <w:start w:val="1"/>
    </w:lvl>
  </w:abstractNum>
  <w:abstractNum w:abstractNumId="34">
    <w:nsid w:val="15B5AF5C"/>
    <w:multiLevelType w:val="hybridMultilevel"/>
    <w:lvl w:ilvl="0">
      <w:lvlJc w:val="left"/>
      <w:lvlText w:val="(%1)"/>
      <w:numFmt w:val="lowerRoman"/>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3"/>
    </w:lvl>
  </w:abstractNum>
  <w:abstractNum w:abstractNumId="47">
    <w:nsid w:val="1DBABF00"/>
    <w:multiLevelType w:val="hybridMultilevel"/>
    <w:lvl w:ilvl="0">
      <w:lvlJc w:val="left"/>
      <w:lvlText w:val="(%1)"/>
      <w:numFmt w:val="decimal"/>
      <w:start w:val="12"/>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lvl w:ilvl="1">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lowerRoman"/>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lvl w:ilvl="1">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lowerRoman"/>
      <w:start w:val="2"/>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lvl w:ilvl="1">
      <w:lvlJc w:val="left"/>
      <w:lvlText w:val="•"/>
      <w:numFmt w:val="bullet"/>
      <w:start w:val="1"/>
    </w:lvl>
  </w:abstractNum>
  <w:abstractNum w:abstractNumId="80">
    <w:nsid w:val="7FFFCA11"/>
    <w:multiLevelType w:val="hybridMultilevel"/>
    <w:lvl w:ilvl="0">
      <w:lvlJc w:val="left"/>
      <w:lvlText w:val="(%1)"/>
      <w:numFmt w:val="lowerRoman"/>
      <w:start w:val="4"/>
    </w:lvl>
  </w:abstractNum>
  <w:abstractNum w:abstractNumId="81">
    <w:nsid w:val="1A27709E"/>
    <w:multiLevelType w:val="hybridMultilevel"/>
    <w:lvl w:ilvl="0">
      <w:lvlJc w:val="left"/>
      <w:lvlText w:val="1"/>
      <w:numFmt w:val="bullet"/>
      <w:start w:val="1"/>
    </w:lvl>
  </w:abstractNum>
  <w:abstractNum w:abstractNumId="82">
    <w:nsid w:val="71EA1109"/>
    <w:multiLevelType w:val="hybridMultilevel"/>
    <w:lvl w:ilvl="0">
      <w:lvlJc w:val="left"/>
      <w:lvlText w:val="2"/>
      <w:numFmt w:val="bullet"/>
      <w:start w:val="1"/>
    </w:lvl>
  </w:abstractNum>
  <w:abstractNum w:abstractNumId="83">
    <w:nsid w:val="100F59D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jpe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jpe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55" Type="http://schemas.openxmlformats.org/officeDocument/2006/relationships/hyperlink" Target="http://www.sec.gov/ix?doc=/Archives/edgar/data/0001276187/000127618725000037/et-20241231.htm" TargetMode="External"/><Relationship Id="rId56" Type="http://schemas.openxmlformats.org/officeDocument/2006/relationships/hyperlink" Target="http://www.sec.gov/ix?doc=/Archives/edgar/data/0001276187/000127618725000056/et-20250331.htm" TargetMode="External"/><Relationship Id="rId57" Type="http://schemas.openxmlformats.org/officeDocument/2006/relationships/hyperlink" Target="http://www.sec.gov/ix?doc=/Archives/edgar/data/0001276187/000127618725000119/et-20250930.htm" TargetMode="External"/><Relationship Id="rId58" Type="http://schemas.openxmlformats.org/officeDocument/2006/relationships/hyperlink" Target="http://www.sec.gov/ix?doc=/Archives/edgar/data/0001276187/000127618725000060/et-20250603.htm" TargetMode="External"/><Relationship Id="rId59" Type="http://schemas.openxmlformats.org/officeDocument/2006/relationships/hyperlink" Target="http://www.sec.gov/ix?doc=/Archives/edgar/data/0001276187/000127618725000066/et-20250702.htm" TargetMode="External"/><Relationship Id="rId60" Type="http://schemas.openxmlformats.org/officeDocument/2006/relationships/hyperlink" Target="http://www.sec.gov/ix?doc=/Archives/edgar/data/0001276187/000127618725000070/et-20250724.htm" TargetMode="External"/><Relationship Id="rId61" Type="http://schemas.openxmlformats.org/officeDocument/2006/relationships/hyperlink" Target="http://www.sec.gov/ix?doc=/Archives/edgar/data/0001276187/000119312525178992/d939035d8k.htm" TargetMode="External"/><Relationship Id="rId62" Type="http://schemas.openxmlformats.org/officeDocument/2006/relationships/hyperlink" Target="http://www.sec.gov/ix?doc=/Archives/edgar/data/0001276187/000119312525187673/d84594d8k.htm" TargetMode="External"/><Relationship Id="rId63" Type="http://schemas.openxmlformats.org/officeDocument/2006/relationships/hyperlink" Target="http://www.sec.gov/ix?doc=/Archives/edgar/data/0001276187/000127618725000108/et-20251028.htm" TargetMode="External"/><Relationship Id="rId64" Type="http://schemas.openxmlformats.org/officeDocument/2006/relationships/hyperlink" Target="http://www.sec.gov/ix?doc=/Archives/edgar/data/0001276187/000127618725000111/et-20251031.htm" TargetMode="External"/><Relationship Id="rId74" Type="http://schemas.openxmlformats.org/officeDocument/2006/relationships/hyperlink" Target="http://www.sec.gov/ix?doc=/Archives/edgar/data/1276187/000127618724000024/et-20231231.htm" TargetMode="External"/><Relationship Id="rId75" Type="http://schemas.openxmlformats.org/officeDocument/2006/relationships/hyperlink" Target="http://www.sec.gov/ix?doc=/Archives/edgar/data/1276187/000127618724000040/et-20240331.htm" TargetMode="External"/><Relationship Id="rId76" Type="http://schemas.openxmlformats.org/officeDocument/2006/relationships/hyperlink" Target="http://www.sec.gov/ix?doc=/Archives/edgar/data/1276187/000127618724000044/et-20240528.htm" TargetMode="External"/><Relationship Id="rId77" Type="http://schemas.openxmlformats.org/officeDocument/2006/relationships/hyperlink" Target="http://www.sec.gov/Archives/edgar/data/1276187/000119312506015822/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2026-01-14T14:43:48Z</dcterms:created>
  <dcterms:modified xsi:type="dcterms:W3CDTF">2026-01-14T14:43:48Z</dcterms:modified>
</cp:coreProperties>
</file>