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61" w:lineRule="exact"/>
        <w:rPr>
          <w:sz w:val="24"/>
          <w:szCs w:val="24"/>
          <w:color w:val="auto"/>
        </w:rPr>
      </w:pPr>
    </w:p>
    <w:p>
      <w:pPr>
        <w:ind w:left="4020" w:right="1900" w:hanging="3985"/>
        <w:spacing w:after="0" w:line="276" w:lineRule="auto"/>
        <w:tabs>
          <w:tab w:leader="none" w:pos="72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1-32740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ENERGY TRANSFER LP</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jc w:val="center"/>
              <w:ind w:left="2037"/>
              <w:spacing w:after="0"/>
              <w:rPr>
                <w:sz w:val="20"/>
                <w:szCs w:val="20"/>
                <w:color w:val="auto"/>
              </w:rPr>
            </w:pPr>
            <w:r>
              <w:rPr>
                <w:rFonts w:ascii="Arial" w:cs="Arial" w:eastAsia="Arial" w:hAnsi="Arial"/>
                <w:sz w:val="18"/>
                <w:szCs w:val="18"/>
                <w:b w:val="1"/>
                <w:bCs w:val="1"/>
                <w:color w:val="auto"/>
                <w:w w:val="93"/>
              </w:rPr>
              <w:t>Delaware</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980" w:type="dxa"/>
            <w:vAlign w:val="bottom"/>
          </w:tcPr>
          <w:p>
            <w:pPr>
              <w:jc w:val="right"/>
              <w:ind w:right="2219"/>
              <w:spacing w:after="0"/>
              <w:rPr>
                <w:sz w:val="20"/>
                <w:szCs w:val="20"/>
                <w:color w:val="auto"/>
              </w:rPr>
            </w:pPr>
            <w:r>
              <w:rPr>
                <w:rFonts w:ascii="Arial" w:cs="Arial" w:eastAsia="Arial" w:hAnsi="Arial"/>
                <w:sz w:val="18"/>
                <w:szCs w:val="18"/>
                <w:b w:val="1"/>
                <w:bCs w:val="1"/>
                <w:color w:val="auto"/>
              </w:rPr>
              <w:t>30-0108820</w:t>
            </w:r>
          </w:p>
        </w:tc>
      </w:tr>
      <w:tr>
        <w:trPr>
          <w:trHeight w:val="285"/>
        </w:trPr>
        <w:tc>
          <w:tcPr>
            <w:tcW w:w="7440" w:type="dxa"/>
            <w:vAlign w:val="bottom"/>
            <w:gridSpan w:val="6"/>
          </w:tcPr>
          <w:p>
            <w:pPr>
              <w:jc w:val="center"/>
              <w:ind w:right="194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80" w:type="dxa"/>
            <w:vAlign w:val="bottom"/>
          </w:tcPr>
          <w:p>
            <w:pPr>
              <w:jc w:val="center"/>
              <w:ind w:right="1399"/>
              <w:spacing w:after="0"/>
              <w:rPr>
                <w:sz w:val="20"/>
                <w:szCs w:val="20"/>
                <w:color w:val="auto"/>
              </w:rPr>
            </w:pPr>
            <w:r>
              <w:rPr>
                <w:rFonts w:ascii="Arial" w:cs="Arial" w:eastAsia="Arial" w:hAnsi="Arial"/>
                <w:sz w:val="14"/>
                <w:szCs w:val="14"/>
                <w:color w:val="auto"/>
                <w:w w:val="97"/>
              </w:rPr>
              <w:t>(I.R.S. Employer Identification No.)</w:t>
            </w:r>
          </w:p>
        </w:tc>
      </w:tr>
      <w:tr>
        <w:trPr>
          <w:trHeight w:val="263"/>
        </w:trPr>
        <w:tc>
          <w:tcPr>
            <w:tcW w:w="3380" w:type="dxa"/>
            <w:vAlign w:val="bottom"/>
          </w:tcPr>
          <w:p>
            <w:pPr>
              <w:spacing w:after="0"/>
              <w:rPr>
                <w:sz w:val="22"/>
                <w:szCs w:val="22"/>
                <w:color w:val="auto"/>
              </w:rPr>
            </w:pPr>
          </w:p>
        </w:tc>
        <w:tc>
          <w:tcPr>
            <w:tcW w:w="8040" w:type="dxa"/>
            <w:vAlign w:val="bottom"/>
            <w:gridSpan w:val="6"/>
          </w:tcPr>
          <w:p>
            <w:pPr>
              <w:jc w:val="center"/>
              <w:ind w:right="3299"/>
              <w:spacing w:after="0"/>
              <w:rPr>
                <w:sz w:val="20"/>
                <w:szCs w:val="20"/>
                <w:color w:val="auto"/>
              </w:rPr>
            </w:pPr>
            <w:r>
              <w:rPr>
                <w:rFonts w:ascii="Arial" w:cs="Arial" w:eastAsia="Arial" w:hAnsi="Arial"/>
                <w:sz w:val="18"/>
                <w:szCs w:val="18"/>
                <w:b w:val="1"/>
                <w:bCs w:val="1"/>
                <w:color w:val="auto"/>
                <w:w w:val="88"/>
              </w:rPr>
              <w:t>8111 Westchester Drive, Suite 600, Dallas, Texas 75225</w:t>
            </w:r>
          </w:p>
        </w:tc>
      </w:tr>
      <w:tr>
        <w:trPr>
          <w:trHeight w:val="162"/>
        </w:trPr>
        <w:tc>
          <w:tcPr>
            <w:tcW w:w="3380" w:type="dxa"/>
            <w:vAlign w:val="bottom"/>
          </w:tcPr>
          <w:p>
            <w:pPr>
              <w:spacing w:after="0"/>
              <w:rPr>
                <w:sz w:val="14"/>
                <w:szCs w:val="14"/>
                <w:color w:val="auto"/>
              </w:rPr>
            </w:pPr>
          </w:p>
        </w:tc>
        <w:tc>
          <w:tcPr>
            <w:tcW w:w="4060" w:type="dxa"/>
            <w:vAlign w:val="bottom"/>
            <w:gridSpan w:val="5"/>
          </w:tcPr>
          <w:p>
            <w:pPr>
              <w:jc w:val="center"/>
              <w:ind w:left="519"/>
              <w:spacing w:after="0"/>
              <w:rPr>
                <w:sz w:val="20"/>
                <w:szCs w:val="20"/>
                <w:color w:val="auto"/>
              </w:rPr>
            </w:pPr>
            <w:r>
              <w:rPr>
                <w:rFonts w:ascii="Arial" w:cs="Arial" w:eastAsia="Arial" w:hAnsi="Arial"/>
                <w:sz w:val="14"/>
                <w:szCs w:val="14"/>
                <w:color w:val="auto"/>
                <w:w w:val="95"/>
              </w:rPr>
              <w:t>(Address of principal executive offices) (zip code)</w:t>
            </w:r>
          </w:p>
        </w:tc>
        <w:tc>
          <w:tcPr>
            <w:tcW w:w="3980" w:type="dxa"/>
            <w:vAlign w:val="bottom"/>
          </w:tcPr>
          <w:p>
            <w:pPr>
              <w:spacing w:after="0"/>
              <w:rPr>
                <w:sz w:val="14"/>
                <w:szCs w:val="14"/>
                <w:color w:val="auto"/>
              </w:rPr>
            </w:pPr>
          </w:p>
        </w:tc>
      </w:tr>
      <w:tr>
        <w:trPr>
          <w:trHeight w:val="216"/>
        </w:trPr>
        <w:tc>
          <w:tcPr>
            <w:tcW w:w="3380" w:type="dxa"/>
            <w:vAlign w:val="bottom"/>
          </w:tcPr>
          <w:p>
            <w:pPr>
              <w:spacing w:after="0"/>
              <w:rPr>
                <w:sz w:val="18"/>
                <w:szCs w:val="18"/>
                <w:color w:val="auto"/>
              </w:rPr>
            </w:pPr>
          </w:p>
        </w:tc>
        <w:tc>
          <w:tcPr>
            <w:tcW w:w="3480" w:type="dxa"/>
            <w:vAlign w:val="bottom"/>
            <w:gridSpan w:val="3"/>
          </w:tcPr>
          <w:p>
            <w:pPr>
              <w:jc w:val="center"/>
              <w:ind w:left="1119"/>
              <w:spacing w:after="0"/>
              <w:rPr>
                <w:sz w:val="20"/>
                <w:szCs w:val="20"/>
                <w:color w:val="auto"/>
              </w:rPr>
            </w:pPr>
            <w:r>
              <w:rPr>
                <w:rFonts w:ascii="Arial" w:cs="Arial" w:eastAsia="Arial" w:hAnsi="Arial"/>
                <w:sz w:val="18"/>
                <w:szCs w:val="18"/>
                <w:b w:val="1"/>
                <w:bCs w:val="1"/>
                <w:color w:val="auto"/>
                <w:w w:val="90"/>
              </w:rPr>
              <w:t>(214) 981-0700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182"/>
        </w:trPr>
        <w:tc>
          <w:tcPr>
            <w:tcW w:w="3380" w:type="dxa"/>
            <w:vAlign w:val="bottom"/>
          </w:tcPr>
          <w:p>
            <w:pPr>
              <w:spacing w:after="0"/>
              <w:rPr>
                <w:sz w:val="15"/>
                <w:szCs w:val="15"/>
                <w:color w:val="auto"/>
              </w:rPr>
            </w:pPr>
          </w:p>
        </w:tc>
        <w:tc>
          <w:tcPr>
            <w:tcW w:w="4060" w:type="dxa"/>
            <w:vAlign w:val="bottom"/>
            <w:gridSpan w:val="5"/>
          </w:tcPr>
          <w:p>
            <w:pPr>
              <w:jc w:val="center"/>
              <w:ind w:left="539"/>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269"/>
        </w:trPr>
        <w:tc>
          <w:tcPr>
            <w:tcW w:w="744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980" w:type="dxa"/>
            <w:vAlign w:val="bottom"/>
          </w:tcPr>
          <w:p>
            <w:pPr>
              <w:spacing w:after="0"/>
              <w:rPr>
                <w:sz w:val="23"/>
                <w:szCs w:val="23"/>
                <w:color w:val="auto"/>
              </w:rPr>
            </w:pPr>
          </w:p>
        </w:tc>
      </w:tr>
      <w:tr>
        <w:trPr>
          <w:trHeight w:val="372"/>
        </w:trPr>
        <w:tc>
          <w:tcPr>
            <w:tcW w:w="3380" w:type="dxa"/>
            <w:vAlign w:val="bottom"/>
          </w:tcPr>
          <w:p>
            <w:pPr>
              <w:jc w:val="center"/>
              <w:ind w:left="1017"/>
              <w:spacing w:after="0"/>
              <w:rPr>
                <w:sz w:val="20"/>
                <w:szCs w:val="20"/>
                <w:color w:val="auto"/>
              </w:rPr>
            </w:pPr>
            <w:r>
              <w:rPr>
                <w:rFonts w:ascii="Arial" w:cs="Arial" w:eastAsia="Arial" w:hAnsi="Arial"/>
                <w:sz w:val="16"/>
                <w:szCs w:val="16"/>
                <w:color w:val="auto"/>
                <w:w w:val="90"/>
              </w:rPr>
              <w:t>Title of each class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gridSpan w:val="3"/>
          </w:tcPr>
          <w:p>
            <w:pPr>
              <w:jc w:val="center"/>
              <w:ind w:right="560"/>
              <w:spacing w:after="0"/>
              <w:rPr>
                <w:sz w:val="20"/>
                <w:szCs w:val="20"/>
                <w:color w:val="auto"/>
              </w:rPr>
            </w:pPr>
            <w:r>
              <w:rPr>
                <w:rFonts w:ascii="Arial" w:cs="Arial" w:eastAsia="Arial" w:hAnsi="Arial"/>
                <w:sz w:val="16"/>
                <w:szCs w:val="16"/>
                <w:color w:val="auto"/>
                <w:w w:val="93"/>
              </w:rPr>
              <w:t>Trading Symbol(s)</w:t>
            </w:r>
          </w:p>
        </w:tc>
        <w:tc>
          <w:tcPr>
            <w:tcW w:w="3980" w:type="dxa"/>
            <w:vAlign w:val="bottom"/>
          </w:tcPr>
          <w:p>
            <w:pPr>
              <w:jc w:val="center"/>
              <w:ind w:right="379"/>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17"/>
        </w:trPr>
        <w:tc>
          <w:tcPr>
            <w:tcW w:w="3380" w:type="dxa"/>
            <w:vAlign w:val="bottom"/>
          </w:tcPr>
          <w:p>
            <w:pPr>
              <w:jc w:val="center"/>
              <w:ind w:left="1017"/>
              <w:spacing w:after="0"/>
              <w:rPr>
                <w:sz w:val="20"/>
                <w:szCs w:val="20"/>
                <w:color w:val="auto"/>
              </w:rPr>
            </w:pPr>
            <w:r>
              <w:rPr>
                <w:rFonts w:ascii="Arial" w:cs="Arial" w:eastAsia="Arial" w:hAnsi="Arial"/>
                <w:sz w:val="16"/>
                <w:szCs w:val="16"/>
                <w:b w:val="1"/>
                <w:bCs w:val="1"/>
                <w:color w:val="auto"/>
                <w:w w:val="91"/>
              </w:rPr>
              <w:t>Common Units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3"/>
          </w:tcPr>
          <w:p>
            <w:pPr>
              <w:jc w:val="center"/>
              <w:ind w:right="560"/>
              <w:spacing w:after="0"/>
              <w:rPr>
                <w:sz w:val="20"/>
                <w:szCs w:val="20"/>
                <w:color w:val="auto"/>
              </w:rPr>
            </w:pPr>
            <w:r>
              <w:rPr>
                <w:rFonts w:ascii="Arial" w:cs="Arial" w:eastAsia="Arial" w:hAnsi="Arial"/>
                <w:sz w:val="16"/>
                <w:szCs w:val="16"/>
                <w:b w:val="1"/>
                <w:bCs w:val="1"/>
                <w:color w:val="auto"/>
              </w:rPr>
              <w:t>ET</w:t>
            </w:r>
          </w:p>
        </w:tc>
        <w:tc>
          <w:tcPr>
            <w:tcW w:w="3980" w:type="dxa"/>
            <w:vAlign w:val="bottom"/>
          </w:tcPr>
          <w:p>
            <w:pPr>
              <w:jc w:val="center"/>
              <w:ind w:right="379"/>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73"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35"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35"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3" w:lineRule="exact"/>
        <w:rPr>
          <w:sz w:val="24"/>
          <w:szCs w:val="24"/>
          <w:color w:val="auto"/>
        </w:rPr>
      </w:pPr>
    </w:p>
    <w:p>
      <w:pPr>
        <w:jc w:val="both"/>
        <w:spacing w:after="0" w:line="27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right="20"/>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29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84" w:lineRule="exact"/>
        <w:tabs>
          <w:tab w:leader="none" w:pos="1820" w:val="left"/>
          <w:tab w:leader="none" w:pos="3300" w:val="left"/>
          <w:tab w:leader="none" w:pos="5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89"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35" w:lineRule="exact"/>
        <w:rPr>
          <w:sz w:val="24"/>
          <w:szCs w:val="24"/>
          <w:color w:val="auto"/>
        </w:rPr>
      </w:pPr>
    </w:p>
    <w:p>
      <w:pPr>
        <w:spacing w:after="0" w:line="184" w:lineRule="exact"/>
        <w:tabs>
          <w:tab w:leader="none" w:pos="620" w:val="left"/>
          <w:tab w:leader="none" w:pos="1180" w:val="left"/>
          <w:tab w:leader="none" w:pos="1780" w:val="left"/>
        </w:tabs>
        <w:rPr>
          <w:sz w:val="20"/>
          <w:szCs w:val="20"/>
          <w:color w:val="auto"/>
        </w:rPr>
      </w:pP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83" w:lineRule="exact"/>
        <w:rPr>
          <w:sz w:val="24"/>
          <w:szCs w:val="24"/>
          <w:color w:val="auto"/>
        </w:rPr>
      </w:pPr>
    </w:p>
    <w:p>
      <w:pPr>
        <w:jc w:val="both"/>
        <w:spacing w:after="0" w:line="256" w:lineRule="auto"/>
        <w:rPr>
          <w:sz w:val="20"/>
          <w:szCs w:val="20"/>
          <w:color w:val="auto"/>
        </w:rPr>
      </w:pPr>
      <w:r>
        <w:rPr>
          <w:rFonts w:ascii="Arial" w:cs="Arial" w:eastAsia="Arial" w:hAnsi="Arial"/>
          <w:sz w:val="16"/>
          <w:szCs w:val="16"/>
          <w:color w:val="auto"/>
        </w:rPr>
        <w:t>The aggregate market value as of June 30, 2019, of the registrant’s Common Units held by non-affiliates of the registrant, based on the reported closing price of such Common Units on the New York Stock Exchange on such date, was $30.57 billion. Common Units held by each executive officer and director and by each person who owns 5% or more of the outstanding Common Units have been excluded in that such persons may be deemed to be affiliates. This determination of affiliate status is not necessarily a conclusive determination for other purposes.</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At February 14, 2020, the registrant had 2,689,897,793 Common Units outstanding.</w:t>
      </w:r>
    </w:p>
    <w:p>
      <w:pPr>
        <w:spacing w:after="0" w:line="59"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DOCUMENTS INCORPORATED BY REFERENCE</w:t>
      </w:r>
    </w:p>
    <w:p>
      <w:pPr>
        <w:spacing w:after="0" w:line="55" w:lineRule="exact"/>
        <w:rPr>
          <w:sz w:val="24"/>
          <w:szCs w:val="24"/>
          <w:color w:val="auto"/>
        </w:rPr>
      </w:pPr>
    </w:p>
    <w:p>
      <w:pPr>
        <w:ind w:left="5540"/>
        <w:spacing w:after="0"/>
        <w:rPr>
          <w:sz w:val="20"/>
          <w:szCs w:val="20"/>
          <w:color w:val="auto"/>
        </w:rPr>
      </w:pPr>
      <w:r>
        <w:rPr>
          <w:rFonts w:ascii="Arial" w:cs="Arial" w:eastAsia="Arial" w:hAnsi="Arial"/>
          <w:sz w:val="16"/>
          <w:szCs w:val="16"/>
          <w:b w:val="1"/>
          <w:bCs w:val="1"/>
          <w:color w:val="auto"/>
        </w:rPr>
        <w:t>None</w:t>
      </w:r>
    </w:p>
    <w:p>
      <w:pPr>
        <w:sectPr>
          <w:pgSz w:w="11900" w:h="16838" w:orient="portrait"/>
          <w:cols w:equalWidth="0" w:num="1">
            <w:col w:w="11420"/>
          </w:cols>
          <w:pgMar w:left="240" w:top="225" w:right="2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60" w:type="dxa"/>
            <w:vAlign w:val="bottom"/>
            <w:gridSpan w:val="18"/>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40" w:type="dxa"/>
            <w:vAlign w:val="bottom"/>
            <w:gridSpan w:val="14"/>
          </w:tcPr>
          <w:p>
            <w:pPr>
              <w:jc w:val="center"/>
              <w:ind w:right="4660"/>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PART I</w:t>
              </w:r>
            </w:hyperlink>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PAGE</w:t>
            </w: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BUSINESS</w:t>
              </w:r>
            </w:hyperlink>
          </w:p>
        </w:tc>
        <w:tc>
          <w:tcPr>
            <w:tcW w:w="8620" w:type="dxa"/>
            <w:vAlign w:val="bottom"/>
            <w:gridSpan w:val="27"/>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gridSpan w:val="3"/>
          </w:tcPr>
          <w:p>
            <w:pPr>
              <w:spacing w:after="0"/>
              <w:rPr>
                <w:sz w:val="24"/>
                <w:szCs w:val="24"/>
                <w:color w:val="auto"/>
              </w:rPr>
            </w:pPr>
          </w:p>
        </w:tc>
        <w:tc>
          <w:tcPr>
            <w:tcW w:w="100" w:type="dxa"/>
            <w:vAlign w:val="bottom"/>
            <w:tcBorders>
              <w:top w:val="single" w:sz="8" w:color="auto"/>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260" w:type="dxa"/>
            <w:vAlign w:val="bottom"/>
            <w:gridSpan w:val="4"/>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RISK FACTORS</w:t>
              </w:r>
            </w:hyperlink>
          </w:p>
        </w:tc>
        <w:tc>
          <w:tcPr>
            <w:tcW w:w="8220" w:type="dxa"/>
            <w:vAlign w:val="bottom"/>
            <w:gridSpan w:val="25"/>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480" w:type="dxa"/>
            <w:vAlign w:val="bottom"/>
            <w:gridSpan w:val="2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UNRESOLVED STAFF COMMENTS</w:t>
              </w:r>
            </w:hyperlink>
          </w:p>
        </w:tc>
        <w:tc>
          <w:tcPr>
            <w:tcW w:w="74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71</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1060" w:type="dxa"/>
            <w:vAlign w:val="bottom"/>
            <w:gridSpan w:val="3"/>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PROPERTIES</w:t>
              </w:r>
            </w:hyperlink>
          </w:p>
        </w:tc>
        <w:tc>
          <w:tcPr>
            <w:tcW w:w="1760" w:type="dxa"/>
            <w:vAlign w:val="bottom"/>
            <w:gridSpan w:val="8"/>
          </w:tcPr>
          <w:p>
            <w:pPr>
              <w:spacing w:after="0"/>
              <w:rPr>
                <w:sz w:val="24"/>
                <w:szCs w:val="24"/>
                <w:color w:val="auto"/>
              </w:rPr>
            </w:pPr>
          </w:p>
        </w:tc>
        <w:tc>
          <w:tcPr>
            <w:tcW w:w="6660" w:type="dxa"/>
            <w:vAlign w:val="bottom"/>
            <w:gridSpan w:val="18"/>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71</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880" w:type="dxa"/>
            <w:vAlign w:val="bottom"/>
            <w:gridSpan w:val="5"/>
          </w:tcPr>
          <w:p>
            <w:pPr>
              <w:spacing w:after="0"/>
              <w:rPr>
                <w:rFonts w:ascii="Arial" w:cs="Arial" w:eastAsia="Arial" w:hAnsi="Arial"/>
                <w:sz w:val="18"/>
                <w:szCs w:val="18"/>
                <w:color w:val="0000EE"/>
                <w:w w:val="94"/>
              </w:rPr>
            </w:pPr>
            <w:hyperlink w:anchor="page77">
              <w:r>
                <w:rPr>
                  <w:rFonts w:ascii="Arial" w:cs="Arial" w:eastAsia="Arial" w:hAnsi="Arial"/>
                  <w:sz w:val="18"/>
                  <w:szCs w:val="18"/>
                  <w:color w:val="0000EE"/>
                  <w:w w:val="94"/>
                </w:rPr>
                <w:t>LEGAL PROCEEDINGS</w:t>
              </w:r>
            </w:hyperlink>
          </w:p>
        </w:tc>
        <w:tc>
          <w:tcPr>
            <w:tcW w:w="7600" w:type="dxa"/>
            <w:vAlign w:val="bottom"/>
            <w:gridSpan w:val="24"/>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71</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2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MINE SAFETY DISCLOSURES</w:t>
              </w:r>
            </w:hyperlink>
          </w:p>
        </w:tc>
        <w:tc>
          <w:tcPr>
            <w:tcW w:w="74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73</w:t>
              </w:r>
            </w:hyperlink>
          </w:p>
        </w:tc>
      </w:tr>
      <w:tr>
        <w:trPr>
          <w:trHeight w:val="372"/>
        </w:trPr>
        <w:tc>
          <w:tcPr>
            <w:tcW w:w="11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5"/>
          </w:tcPr>
          <w:p>
            <w:pPr>
              <w:jc w:val="center"/>
              <w:ind w:right="4620"/>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w:t>
              </w:r>
            </w:hyperlink>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08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MARKET FOR REGISTRANT’S COMMON UNITS, RELATED UNITHOLDER MATTERS AND ISSUER PURCHASES</w:t>
              </w:r>
            </w:hyperlink>
          </w:p>
        </w:tc>
        <w:tc>
          <w:tcPr>
            <w:tcW w:w="4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020" w:type="dxa"/>
            <w:vAlign w:val="bottom"/>
            <w:gridSpan w:val="7"/>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OF EQUITY SECURITIES</w:t>
              </w:r>
            </w:hyperlink>
          </w:p>
        </w:tc>
        <w:tc>
          <w:tcPr>
            <w:tcW w:w="7460" w:type="dxa"/>
            <w:vAlign w:val="bottom"/>
            <w:gridSpan w:val="22"/>
          </w:tcPr>
          <w:p>
            <w:pPr>
              <w:spacing w:after="0"/>
              <w:rPr>
                <w:sz w:val="17"/>
                <w:szCs w:val="17"/>
                <w:color w:val="auto"/>
              </w:rPr>
            </w:pPr>
          </w:p>
        </w:tc>
        <w:tc>
          <w:tcPr>
            <w:tcW w:w="740" w:type="dxa"/>
            <w:vAlign w:val="bottom"/>
            <w:gridSpan w:val="5"/>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74</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gridSpan w:val="2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SELECTED FINANCIAL DATA</w:t>
              </w:r>
            </w:hyperlink>
          </w:p>
        </w:tc>
        <w:tc>
          <w:tcPr>
            <w:tcW w:w="74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75</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8920" w:type="dxa"/>
            <w:vAlign w:val="bottom"/>
            <w:gridSpan w:val="25"/>
          </w:tcPr>
          <w:p>
            <w:pPr>
              <w:spacing w:after="0"/>
              <w:rPr>
                <w:rFonts w:ascii="Arial" w:cs="Arial" w:eastAsia="Arial" w:hAnsi="Arial"/>
                <w:sz w:val="18"/>
                <w:szCs w:val="18"/>
                <w:color w:val="0000EE"/>
                <w:w w:val="97"/>
              </w:rPr>
            </w:pPr>
            <w:hyperlink w:anchor="page81">
              <w:r>
                <w:rPr>
                  <w:rFonts w:ascii="Arial" w:cs="Arial" w:eastAsia="Arial" w:hAnsi="Arial"/>
                  <w:sz w:val="18"/>
                  <w:szCs w:val="18"/>
                  <w:color w:val="0000EE"/>
                  <w:w w:val="97"/>
                </w:rPr>
                <w:t>MANAGEMENT’S DISCUSSION AND ANALYSIS OF FINANCIAL CONDITION AND RESULTS OF OPERATIONS</w:t>
              </w:r>
            </w:hyperlink>
          </w:p>
        </w:tc>
        <w:tc>
          <w:tcPr>
            <w:tcW w:w="560" w:type="dxa"/>
            <w:vAlign w:val="bottom"/>
            <w:gridSpan w:val="4"/>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75</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8920" w:type="dxa"/>
            <w:vAlign w:val="bottom"/>
            <w:gridSpan w:val="25"/>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QUANTITATIVE AND QUALITATIVE DISCLOSURES ABOUT MARKET RISK</w:t>
              </w:r>
            </w:hyperlink>
          </w:p>
        </w:tc>
        <w:tc>
          <w:tcPr>
            <w:tcW w:w="560" w:type="dxa"/>
            <w:vAlign w:val="bottom"/>
            <w:gridSpan w:val="4"/>
          </w:tcPr>
          <w:p>
            <w:pPr>
              <w:spacing w:after="0"/>
              <w:rPr>
                <w:sz w:val="24"/>
                <w:szCs w:val="24"/>
                <w:color w:val="auto"/>
              </w:rPr>
            </w:pPr>
          </w:p>
        </w:tc>
        <w:tc>
          <w:tcPr>
            <w:tcW w:w="740" w:type="dxa"/>
            <w:vAlign w:val="bottom"/>
            <w:gridSpan w:val="5"/>
          </w:tcPr>
          <w:p>
            <w:pPr>
              <w:jc w:val="right"/>
              <w:spacing w:after="0"/>
              <w:rPr>
                <w:rFonts w:ascii="Arial" w:cs="Arial" w:eastAsia="Arial" w:hAnsi="Arial"/>
                <w:sz w:val="18"/>
                <w:szCs w:val="18"/>
                <w:color w:val="0000EE"/>
              </w:rPr>
            </w:pPr>
            <w:hyperlink w:anchor="page130">
              <w:r>
                <w:rPr>
                  <w:rFonts w:ascii="Arial" w:cs="Arial" w:eastAsia="Arial" w:hAnsi="Arial"/>
                  <w:sz w:val="18"/>
                  <w:szCs w:val="18"/>
                  <w:color w:val="0000EE"/>
                </w:rPr>
                <w:t>124</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46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6"/>
          </w:tcPr>
          <w:p>
            <w:pPr>
              <w:spacing w:after="0"/>
              <w:rPr>
                <w:sz w:val="24"/>
                <w:szCs w:val="24"/>
                <w:color w:val="auto"/>
              </w:rPr>
            </w:pPr>
          </w:p>
        </w:tc>
        <w:tc>
          <w:tcPr>
            <w:tcW w:w="3340" w:type="dxa"/>
            <w:vAlign w:val="bottom"/>
            <w:gridSpan w:val="6"/>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127</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100" w:type="dxa"/>
            <w:vAlign w:val="bottom"/>
            <w:tcBorders>
              <w:bottom w:val="single" w:sz="8" w:color="0000EE"/>
            </w:tcBorders>
            <w:gridSpan w:val="27"/>
          </w:tcPr>
          <w:p>
            <w:pPr>
              <w:spacing w:after="0"/>
              <w:rPr>
                <w:rFonts w:ascii="Arial" w:cs="Arial" w:eastAsia="Arial" w:hAnsi="Arial"/>
                <w:sz w:val="18"/>
                <w:szCs w:val="18"/>
                <w:color w:val="0000EE"/>
                <w:w w:val="97"/>
              </w:rPr>
            </w:pPr>
            <w:hyperlink w:anchor="page134">
              <w:r>
                <w:rPr>
                  <w:rFonts w:ascii="Arial" w:cs="Arial" w:eastAsia="Arial" w:hAnsi="Arial"/>
                  <w:sz w:val="18"/>
                  <w:szCs w:val="18"/>
                  <w:color w:val="0000EE"/>
                  <w:w w:val="97"/>
                </w:rPr>
                <w:t>CHANGES IN AND DISAGREEMENTS WITH ACCOUNTANTS ON ACCOUNTING AND FINANCIAL DISCLOSURE</w:t>
              </w:r>
            </w:hyperlink>
          </w:p>
        </w:tc>
        <w:tc>
          <w:tcPr>
            <w:tcW w:w="380" w:type="dxa"/>
            <w:vAlign w:val="bottom"/>
            <w:gridSpan w:val="2"/>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4">
              <w:r>
                <w:rPr>
                  <w:rFonts w:ascii="Arial" w:cs="Arial" w:eastAsia="Arial" w:hAnsi="Arial"/>
                  <w:sz w:val="18"/>
                  <w:szCs w:val="18"/>
                  <w:color w:val="0000EE"/>
                  <w:w w:val="86"/>
                </w:rPr>
                <w:t>128</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9480" w:type="dxa"/>
            <w:vAlign w:val="bottom"/>
            <w:gridSpan w:val="29"/>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CONTROLS AND PROCEDURES</w:t>
              </w:r>
            </w:hyperlink>
          </w:p>
        </w:tc>
        <w:tc>
          <w:tcPr>
            <w:tcW w:w="740" w:type="dxa"/>
            <w:vAlign w:val="bottom"/>
            <w:gridSpan w:val="5"/>
          </w:tcPr>
          <w:p>
            <w:pPr>
              <w:jc w:val="right"/>
              <w:spacing w:after="0"/>
              <w:rPr>
                <w:rFonts w:ascii="Arial" w:cs="Arial" w:eastAsia="Arial" w:hAnsi="Arial"/>
                <w:sz w:val="18"/>
                <w:szCs w:val="18"/>
                <w:color w:val="0000EE"/>
              </w:rPr>
            </w:pPr>
            <w:hyperlink w:anchor="page134">
              <w:r>
                <w:rPr>
                  <w:rFonts w:ascii="Arial" w:cs="Arial" w:eastAsia="Arial" w:hAnsi="Arial"/>
                  <w:sz w:val="18"/>
                  <w:szCs w:val="18"/>
                  <w:color w:val="0000EE"/>
                </w:rPr>
                <w:t>128</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2600" w:type="dxa"/>
            <w:vAlign w:val="bottom"/>
            <w:tcBorders>
              <w:top w:val="single" w:sz="8" w:color="0000EE"/>
            </w:tcBorders>
            <w:gridSpan w:val="10"/>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OTHER INFORMATION</w:t>
              </w:r>
            </w:hyperlink>
          </w:p>
        </w:tc>
        <w:tc>
          <w:tcPr>
            <w:tcW w:w="6880" w:type="dxa"/>
            <w:vAlign w:val="bottom"/>
            <w:gridSpan w:val="19"/>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36">
              <w:r>
                <w:rPr>
                  <w:rFonts w:ascii="Arial" w:cs="Arial" w:eastAsia="Arial" w:hAnsi="Arial"/>
                  <w:sz w:val="18"/>
                  <w:szCs w:val="18"/>
                  <w:color w:val="0000EE"/>
                  <w:w w:val="86"/>
                </w:rPr>
                <w:t>130</w:t>
              </w:r>
            </w:hyperlink>
          </w:p>
        </w:tc>
      </w:tr>
      <w:tr>
        <w:trPr>
          <w:trHeight w:val="372"/>
        </w:trPr>
        <w:tc>
          <w:tcPr>
            <w:tcW w:w="11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PART III</w:t>
              </w:r>
            </w:hyperlink>
          </w:p>
        </w:tc>
        <w:tc>
          <w:tcPr>
            <w:tcW w:w="456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74"/>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9480" w:type="dxa"/>
            <w:vAlign w:val="bottom"/>
            <w:gridSpan w:val="29"/>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DIRECTORS, EXECUTIVE OFFICERS AND CORPORATE GOVERNANCE</w:t>
              </w:r>
            </w:hyperlink>
          </w:p>
        </w:tc>
        <w:tc>
          <w:tcPr>
            <w:tcW w:w="740" w:type="dxa"/>
            <w:vAlign w:val="bottom"/>
            <w:gridSpan w:val="5"/>
          </w:tcPr>
          <w:p>
            <w:pPr>
              <w:jc w:val="right"/>
              <w:spacing w:after="0"/>
              <w:rPr>
                <w:rFonts w:ascii="Arial" w:cs="Arial" w:eastAsia="Arial" w:hAnsi="Arial"/>
                <w:sz w:val="18"/>
                <w:szCs w:val="18"/>
                <w:color w:val="0000EE"/>
              </w:rPr>
            </w:pPr>
            <w:hyperlink w:anchor="page137">
              <w:r>
                <w:rPr>
                  <w:rFonts w:ascii="Arial" w:cs="Arial" w:eastAsia="Arial" w:hAnsi="Arial"/>
                  <w:sz w:val="18"/>
                  <w:szCs w:val="18"/>
                  <w:color w:val="0000EE"/>
                </w:rPr>
                <w:t>131</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5800" w:type="dxa"/>
            <w:vAlign w:val="bottom"/>
            <w:tcBorders>
              <w:top w:val="single" w:sz="8" w:color="0000EE"/>
            </w:tcBorders>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EXECUTIVE COMPENSATION</w:t>
              </w:r>
            </w:hyperlink>
          </w:p>
        </w:tc>
        <w:tc>
          <w:tcPr>
            <w:tcW w:w="3680" w:type="dxa"/>
            <w:vAlign w:val="bottom"/>
            <w:gridSpan w:val="7"/>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137</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9220" w:type="dxa"/>
            <w:vAlign w:val="bottom"/>
            <w:tcBorders>
              <w:bottom w:val="single" w:sz="8" w:color="0000EE"/>
            </w:tcBorders>
            <w:gridSpan w:val="28"/>
          </w:tcPr>
          <w:p>
            <w:pPr>
              <w:spacing w:after="0"/>
              <w:rPr>
                <w:rFonts w:ascii="Arial" w:cs="Arial" w:eastAsia="Arial" w:hAnsi="Arial"/>
                <w:sz w:val="18"/>
                <w:szCs w:val="18"/>
                <w:color w:val="0000EE"/>
                <w:w w:val="97"/>
              </w:rPr>
            </w:pPr>
            <w:hyperlink w:anchor="page157">
              <w:r>
                <w:rPr>
                  <w:rFonts w:ascii="Arial" w:cs="Arial" w:eastAsia="Arial" w:hAnsi="Arial"/>
                  <w:sz w:val="18"/>
                  <w:szCs w:val="18"/>
                  <w:color w:val="0000EE"/>
                  <w:w w:val="97"/>
                </w:rPr>
                <w:t>SECURITY OWNERSHIP OF CERTAIN BENEFICIAL OWNERS AND MANAGEMENT AND RELATED UNITHOLDER</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480" w:type="dxa"/>
            <w:vAlign w:val="bottom"/>
            <w:gridSpan w:val="29"/>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MATTERS</w:t>
              </w:r>
            </w:hyperlink>
          </w:p>
        </w:tc>
        <w:tc>
          <w:tcPr>
            <w:tcW w:w="740" w:type="dxa"/>
            <w:vAlign w:val="bottom"/>
            <w:gridSpan w:val="5"/>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151</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9480" w:type="dxa"/>
            <w:vAlign w:val="bottom"/>
            <w:gridSpan w:val="29"/>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CERTAIN RELATIONSHIPS AND RELATED TRANSACTIONS, AND DIRECTOR INDEPENDENCE</w:t>
              </w:r>
            </w:hyperlink>
          </w:p>
        </w:tc>
        <w:tc>
          <w:tcPr>
            <w:tcW w:w="740" w:type="dxa"/>
            <w:vAlign w:val="bottom"/>
            <w:gridSpan w:val="5"/>
          </w:tcPr>
          <w:p>
            <w:pPr>
              <w:jc w:val="right"/>
              <w:spacing w:after="0"/>
              <w:rPr>
                <w:rFonts w:ascii="Arial" w:cs="Arial" w:eastAsia="Arial" w:hAnsi="Arial"/>
                <w:sz w:val="18"/>
                <w:szCs w:val="18"/>
                <w:color w:val="0000EE"/>
              </w:rPr>
            </w:pPr>
            <w:hyperlink w:anchor="page158">
              <w:r>
                <w:rPr>
                  <w:rFonts w:ascii="Arial" w:cs="Arial" w:eastAsia="Arial" w:hAnsi="Arial"/>
                  <w:sz w:val="18"/>
                  <w:szCs w:val="18"/>
                  <w:color w:val="0000EE"/>
                </w:rPr>
                <w:t>152</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7700" w:type="dxa"/>
            <w:vAlign w:val="bottom"/>
            <w:tcBorders>
              <w:top w:val="single" w:sz="8" w:color="0000EE"/>
            </w:tcBorders>
            <w:gridSpan w:val="24"/>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PRINCIPAL ACCOUNTING FEES AND SERVICES</w:t>
              </w:r>
            </w:hyperlink>
          </w:p>
        </w:tc>
        <w:tc>
          <w:tcPr>
            <w:tcW w:w="1780" w:type="dxa"/>
            <w:vAlign w:val="bottom"/>
            <w:gridSpan w:val="5"/>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153</w:t>
              </w:r>
            </w:hyperlink>
          </w:p>
        </w:tc>
      </w:tr>
      <w:tr>
        <w:trPr>
          <w:trHeight w:val="372"/>
        </w:trPr>
        <w:tc>
          <w:tcPr>
            <w:tcW w:w="11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60">
              <w:r>
                <w:rPr>
                  <w:rFonts w:ascii="Arial" w:cs="Arial" w:eastAsia="Arial" w:hAnsi="Arial"/>
                  <w:sz w:val="18"/>
                  <w:szCs w:val="18"/>
                  <w:b w:val="1"/>
                  <w:bCs w:val="1"/>
                  <w:color w:val="0000EE"/>
                  <w:w w:val="98"/>
                </w:rPr>
                <w:t>PART IV</w:t>
              </w:r>
            </w:hyperlink>
          </w:p>
        </w:tc>
        <w:tc>
          <w:tcPr>
            <w:tcW w:w="458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44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160">
              <w:r>
                <w:rPr>
                  <w:rFonts w:ascii="Arial" w:cs="Arial" w:eastAsia="Arial" w:hAnsi="Arial"/>
                  <w:sz w:val="18"/>
                  <w:szCs w:val="18"/>
                  <w:color w:val="0000EE"/>
                  <w:w w:val="97"/>
                </w:rPr>
                <w:t>EXHIBITS AND FINANCIAL STATEMENT SCHEDULES</w:t>
              </w:r>
            </w:hyperlink>
          </w:p>
        </w:tc>
        <w:tc>
          <w:tcPr>
            <w:tcW w:w="5040" w:type="dxa"/>
            <w:vAlign w:val="bottom"/>
            <w:gridSpan w:val="13"/>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154</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ITEM 16</w:t>
            </w:r>
          </w:p>
        </w:tc>
        <w:tc>
          <w:tcPr>
            <w:tcW w:w="190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61">
              <w:r>
                <w:rPr>
                  <w:rFonts w:ascii="Arial" w:cs="Arial" w:eastAsia="Arial" w:hAnsi="Arial"/>
                  <w:sz w:val="18"/>
                  <w:szCs w:val="18"/>
                  <w:color w:val="0000EE"/>
                  <w:w w:val="97"/>
                </w:rPr>
                <w:t>FORM 10-K SUMMARY</w:t>
              </w:r>
            </w:hyperlink>
          </w:p>
        </w:tc>
        <w:tc>
          <w:tcPr>
            <w:tcW w:w="7580" w:type="dxa"/>
            <w:vAlign w:val="bottom"/>
            <w:gridSpan w:val="23"/>
          </w:tcPr>
          <w:p>
            <w:pPr>
              <w:spacing w:after="0"/>
              <w:rPr>
                <w:sz w:val="24"/>
                <w:szCs w:val="24"/>
                <w:color w:val="auto"/>
              </w:rPr>
            </w:pPr>
          </w:p>
        </w:tc>
        <w:tc>
          <w:tcPr>
            <w:tcW w:w="460" w:type="dxa"/>
            <w:vAlign w:val="bottom"/>
            <w:gridSpan w:val="2"/>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155</w:t>
              </w:r>
            </w:hyperlink>
          </w:p>
        </w:tc>
      </w:tr>
      <w:tr>
        <w:trPr>
          <w:trHeight w:val="372"/>
        </w:trPr>
        <w:tc>
          <w:tcPr>
            <w:tcW w:w="1140" w:type="dxa"/>
            <w:vAlign w:val="bottom"/>
          </w:tcPr>
          <w:p>
            <w:pPr>
              <w:spacing w:after="0"/>
              <w:rPr>
                <w:sz w:val="24"/>
                <w:szCs w:val="24"/>
                <w:color w:val="auto"/>
              </w:rPr>
            </w:pPr>
          </w:p>
        </w:tc>
        <w:tc>
          <w:tcPr>
            <w:tcW w:w="9480" w:type="dxa"/>
            <w:vAlign w:val="bottom"/>
            <w:gridSpan w:val="29"/>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Signatures</w:t>
              </w:r>
            </w:hyperlink>
          </w:p>
        </w:tc>
        <w:tc>
          <w:tcPr>
            <w:tcW w:w="740" w:type="dxa"/>
            <w:vAlign w:val="bottom"/>
            <w:gridSpan w:val="5"/>
          </w:tcPr>
          <w:p>
            <w:pPr>
              <w:jc w:val="right"/>
              <w:spacing w:after="0"/>
              <w:rPr>
                <w:rFonts w:ascii="Arial" w:cs="Arial" w:eastAsia="Arial" w:hAnsi="Arial"/>
                <w:sz w:val="18"/>
                <w:szCs w:val="18"/>
                <w:color w:val="0000EE"/>
              </w:rPr>
            </w:pPr>
            <w:hyperlink w:anchor="page166">
              <w:r>
                <w:rPr>
                  <w:rFonts w:ascii="Arial" w:cs="Arial" w:eastAsia="Arial" w:hAnsi="Arial"/>
                  <w:sz w:val="18"/>
                  <w:szCs w:val="18"/>
                  <w:color w:val="0000EE"/>
                </w:rPr>
                <w:t>160</w:t>
              </w:r>
            </w:hyperlink>
          </w:p>
        </w:tc>
      </w:tr>
      <w:tr>
        <w:trPr>
          <w:trHeight w:val="20"/>
        </w:trPr>
        <w:tc>
          <w:tcPr>
            <w:tcW w:w="11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matters discussed in this report, excluding historical information, as well as some statements by Energy Transfer LP (the “Partnership” or “ET”) in periodic press releases and some oral statements of the Partnership’s officials during presentations about the Partnership, include forward-looking statements. These forward-looking statements are identified as any statement that does not relate strictly to historical or current facts. Statements using words such as “anticipate,” “project,” “expect,” “plan,” “goal,” “forecast,” “estimate,” “intend,” “continue,” “could,” “believe,” “may,” “will” or similar expressions help identify forward-looking statements. Although the Partnership and its General Partner believe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Partnership’s actual results may vary materially from those anticipated, estimated, projected, forecasted, expressed or expected in forward-looking statements since many of the factors that determine these results are subject to uncertainties and risks that are difficult to predict and beyond management’s control. For additional discussion of risks, uncertainties and assumptions, see “Item 1.A Risk Factors” included in this annual report.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certain acronyms and terms used throughout this document:</w:t>
      </w:r>
    </w:p>
    <w:p>
      <w:pPr>
        <w:sectPr>
          <w:pgSz w:w="11900" w:h="16838" w:orient="portrait"/>
          <w:cols w:equalWidth="0" w:num="1">
            <w:col w:w="11420"/>
          </w:cols>
          <w:pgMar w:left="240" w:top="118" w:right="2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per day</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AOCI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accumulated other comprehensive income (loss)</w:t>
      </w:r>
    </w:p>
    <w:p>
      <w:pPr>
        <w:spacing w:after="0" w:line="207"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AROs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asset retirement obligations</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Bbls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barrels</w:t>
      </w:r>
    </w:p>
    <w:p>
      <w:pPr>
        <w:spacing w:after="0" w:line="211"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BBtu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billion British thermal units</w:t>
      </w:r>
    </w:p>
    <w:p>
      <w:pPr>
        <w:spacing w:after="0" w:line="196"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Bcf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billion cubic feet</w:t>
      </w:r>
    </w:p>
    <w:p>
      <w:pPr>
        <w:spacing w:after="0" w:line="196"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Btu</w:t>
      </w:r>
    </w:p>
    <w:p>
      <w:pPr>
        <w:spacing w:after="0" w:line="20" w:lineRule="exact"/>
        <w:rPr>
          <w:sz w:val="20"/>
          <w:szCs w:val="20"/>
          <w:color w:val="auto"/>
        </w:rPr>
      </w:pPr>
      <w:r>
        <w:rPr>
          <w:sz w:val="20"/>
          <w:szCs w:val="20"/>
          <w:color w:val="auto"/>
        </w:rPr>
        <w:br w:type="column"/>
      </w:r>
    </w:p>
    <w:p>
      <w:pPr>
        <w:ind w:right="80"/>
        <w:spacing w:after="0" w:line="277" w:lineRule="auto"/>
        <w:rPr>
          <w:sz w:val="20"/>
          <w:szCs w:val="20"/>
          <w:color w:val="auto"/>
        </w:rPr>
      </w:pPr>
      <w:r>
        <w:rPr>
          <w:rFonts w:ascii="Arial" w:cs="Arial" w:eastAsia="Arial" w:hAnsi="Arial"/>
          <w:sz w:val="18"/>
          <w:szCs w:val="18"/>
          <w:color w:val="auto"/>
        </w:rPr>
        <w:t>British thermal unit, an energy measurement used by gas companies to convert the volume of gas used to its heat equivalent, and thus calculate the actual energy content</w:t>
      </w:r>
    </w:p>
    <w:p>
      <w:pPr>
        <w:spacing w:after="0" w:line="13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Capacity</w:t>
      </w:r>
    </w:p>
    <w:p>
      <w:pPr>
        <w:spacing w:after="0" w:line="20" w:lineRule="exact"/>
        <w:rPr>
          <w:sz w:val="20"/>
          <w:szCs w:val="20"/>
          <w:color w:val="auto"/>
        </w:rPr>
      </w:pPr>
      <w:r>
        <w:rPr>
          <w:sz w:val="20"/>
          <w:szCs w:val="20"/>
          <w:color w:val="auto"/>
        </w:rPr>
        <w:br w:type="column"/>
      </w:r>
    </w:p>
    <w:p>
      <w:pPr>
        <w:jc w:val="both"/>
        <w:ind w:right="80"/>
        <w:spacing w:after="0" w:line="259" w:lineRule="auto"/>
        <w:rPr>
          <w:sz w:val="20"/>
          <w:szCs w:val="20"/>
          <w:color w:val="auto"/>
        </w:rPr>
      </w:pPr>
      <w:r>
        <w:rPr>
          <w:rFonts w:ascii="Arial" w:cs="Arial" w:eastAsia="Arial" w:hAnsi="Arial"/>
          <w:sz w:val="18"/>
          <w:szCs w:val="18"/>
          <w:color w:val="auto"/>
        </w:rPr>
        <w:t>capacity of a pipeline, processing plant or storage facility refers to the maximum capacity under normal operating conditions and, with respect to pipeline transportation capacity, is subject to multiple factors (including natural gas injections and withdrawals at various delivery points along the pipeline and the utilization of compression) which may reduce the throughput capacity from specified capacity levels</w:t>
      </w:r>
    </w:p>
    <w:p>
      <w:pPr>
        <w:spacing w:after="0" w:line="146"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CDM</w:t>
      </w:r>
    </w:p>
    <w:p>
      <w:pPr>
        <w:spacing w:after="0" w:line="20" w:lineRule="exact"/>
        <w:rPr>
          <w:sz w:val="20"/>
          <w:szCs w:val="20"/>
          <w:color w:val="auto"/>
        </w:rPr>
      </w:pPr>
      <w:r>
        <w:rPr>
          <w:sz w:val="20"/>
          <w:szCs w:val="20"/>
          <w:color w:val="auto"/>
        </w:rPr>
        <w:br w:type="column"/>
      </w:r>
    </w:p>
    <w:p>
      <w:pPr>
        <w:jc w:val="center"/>
        <w:ind w:right="1840"/>
        <w:spacing w:after="0"/>
        <w:rPr>
          <w:sz w:val="20"/>
          <w:szCs w:val="20"/>
          <w:color w:val="auto"/>
        </w:rPr>
      </w:pPr>
      <w:r>
        <w:rPr>
          <w:rFonts w:ascii="Arial" w:cs="Arial" w:eastAsia="Arial" w:hAnsi="Arial"/>
          <w:sz w:val="16"/>
          <w:szCs w:val="16"/>
          <w:color w:val="auto"/>
        </w:rPr>
        <w:t>CDM Resource Management LLC and CDM Environmental &amp; Technical Services LLC, collectively</w:t>
      </w:r>
    </w:p>
    <w:p>
      <w:pPr>
        <w:spacing w:after="0" w:line="207"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Citrus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Citrus, LLC</w:t>
      </w:r>
    </w:p>
    <w:p>
      <w:pPr>
        <w:spacing w:after="0" w:line="196"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Dakota Access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Dakota Access, LLC, a less than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Department of Energy</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Department of Justice</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DOT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Department of Transportation</w:t>
      </w:r>
    </w:p>
    <w:p>
      <w:pPr>
        <w:spacing w:after="0" w:line="207"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EPA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Environmental Protection Agency</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1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ETC OLP</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La Grange Acquisition, L.P., which conducts business under the assumed name of Energy Transfer Company and is a wholly-owned subsidiary of ETO</w:t>
      </w:r>
    </w:p>
    <w:p>
      <w:pPr>
        <w:spacing w:after="0" w:line="13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ETC Sunoco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ETC Sunoco Holdings LLC (formerly, Sunoco Inc.), a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ETC Tiger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ETC Tiger Pipeline, LLC, a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Transfer Crude Oil Company, LLC</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Transfer Operating, L.P., formerly known as Energy Transfer Partners, L.P.</w:t>
      </w:r>
    </w:p>
    <w:p>
      <w:pPr>
        <w:spacing w:after="0" w:line="200" w:lineRule="exact"/>
        <w:rPr>
          <w:sz w:val="20"/>
          <w:szCs w:val="20"/>
          <w:color w:val="auto"/>
        </w:rPr>
      </w:pPr>
    </w:p>
    <w:p>
      <w:pPr>
        <w:sectPr>
          <w:pgSz w:w="11900" w:h="16838" w:orient="portrait"/>
          <w:cols w:equalWidth="0" w:num="2">
            <w:col w:w="1600" w:space="720"/>
            <w:col w:w="9100"/>
          </w:cols>
          <w:pgMar w:left="240" w:top="118"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ETO Preferred Unitholders</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Unitholders of the ETO Series A Preferred Units, ETO Series B Preferred Units, ETO Series D Preferred Units, ETO Series E Preferred Units, ETO Series F Preferred Units and ETO Series G Preferred Units, collectively</w:t>
      </w:r>
    </w:p>
    <w:p>
      <w:pPr>
        <w:spacing w:after="0" w:line="130" w:lineRule="exact"/>
        <w:rPr>
          <w:sz w:val="20"/>
          <w:szCs w:val="20"/>
          <w:color w:val="auto"/>
        </w:rPr>
      </w:pPr>
    </w:p>
    <w:p>
      <w:pPr>
        <w:sectPr>
          <w:pgSz w:w="11900" w:h="16838" w:orient="portrait"/>
          <w:cols w:equalWidth="0" w:num="2">
            <w:col w:w="2000" w:space="320"/>
            <w:col w:w="910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ETO Series A Preferred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Series A Fixed-to-Floating Rate Cumulative Redeemable Perpetual Preferred Units</w:t>
      </w:r>
    </w:p>
    <w:p>
      <w:pPr>
        <w:spacing w:after="0" w:line="453" w:lineRule="exact"/>
        <w:rPr>
          <w:sz w:val="20"/>
          <w:szCs w:val="20"/>
          <w:color w:val="auto"/>
        </w:rPr>
      </w:pPr>
    </w:p>
    <w:p>
      <w:pPr>
        <w:sectPr>
          <w:pgSz w:w="11900" w:h="16838" w:orient="portrait"/>
          <w:cols w:equalWidth="0" w:num="2">
            <w:col w:w="1760" w:space="560"/>
            <w:col w:w="9100"/>
          </w:cols>
          <w:pgMar w:left="240" w:top="118" w:right="2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B Preferred</w:t>
      </w:r>
      <w:r>
        <w:rPr>
          <w:sz w:val="20"/>
          <w:szCs w:val="20"/>
          <w:color w:val="auto"/>
        </w:rPr>
        <w:tab/>
      </w:r>
      <w:r>
        <w:rPr>
          <w:rFonts w:ascii="Arial" w:cs="Arial" w:eastAsia="Arial" w:hAnsi="Arial"/>
          <w:sz w:val="16"/>
          <w:szCs w:val="16"/>
          <w:color w:val="auto"/>
        </w:rPr>
        <w:t>Series B Fixed-to-Floating Rate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C Preferred</w:t>
      </w:r>
      <w:r>
        <w:rPr>
          <w:sz w:val="20"/>
          <w:szCs w:val="20"/>
          <w:color w:val="auto"/>
        </w:rPr>
        <w:tab/>
      </w:r>
      <w:r>
        <w:rPr>
          <w:rFonts w:ascii="Arial" w:cs="Arial" w:eastAsia="Arial" w:hAnsi="Arial"/>
          <w:sz w:val="16"/>
          <w:szCs w:val="16"/>
          <w:color w:val="auto"/>
        </w:rPr>
        <w:t>Series C Fixed-to-Floating Rate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D Preferred</w:t>
      </w:r>
      <w:r>
        <w:rPr>
          <w:sz w:val="20"/>
          <w:szCs w:val="20"/>
          <w:color w:val="auto"/>
        </w:rPr>
        <w:tab/>
      </w:r>
      <w:r>
        <w:rPr>
          <w:rFonts w:ascii="Arial" w:cs="Arial" w:eastAsia="Arial" w:hAnsi="Arial"/>
          <w:sz w:val="16"/>
          <w:szCs w:val="16"/>
          <w:color w:val="auto"/>
        </w:rPr>
        <w:t>Series D Fixed-to-Floating Rate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E Preferred</w:t>
      </w:r>
      <w:r>
        <w:rPr>
          <w:sz w:val="20"/>
          <w:szCs w:val="20"/>
          <w:color w:val="auto"/>
        </w:rPr>
        <w:tab/>
      </w:r>
      <w:r>
        <w:rPr>
          <w:rFonts w:ascii="Arial" w:cs="Arial" w:eastAsia="Arial" w:hAnsi="Arial"/>
          <w:sz w:val="16"/>
          <w:szCs w:val="16"/>
          <w:color w:val="auto"/>
        </w:rPr>
        <w:t>Series E Fixed-to-Floating Rate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F Preferred</w:t>
      </w:r>
      <w:r>
        <w:rPr>
          <w:sz w:val="20"/>
          <w:szCs w:val="20"/>
          <w:color w:val="auto"/>
        </w:rPr>
        <w:tab/>
      </w:r>
      <w:r>
        <w:rPr>
          <w:rFonts w:ascii="Arial" w:cs="Arial" w:eastAsia="Arial" w:hAnsi="Arial"/>
          <w:sz w:val="16"/>
          <w:szCs w:val="16"/>
          <w:color w:val="auto"/>
        </w:rPr>
        <w:t>Series F Fixed-Rate Reset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ETO Series G Preferred</w:t>
      </w:r>
      <w:r>
        <w:rPr>
          <w:sz w:val="20"/>
          <w:szCs w:val="20"/>
          <w:color w:val="auto"/>
        </w:rPr>
        <w:tab/>
      </w:r>
      <w:r>
        <w:rPr>
          <w:rFonts w:ascii="Arial" w:cs="Arial" w:eastAsia="Arial" w:hAnsi="Arial"/>
          <w:sz w:val="16"/>
          <w:szCs w:val="16"/>
          <w:color w:val="auto"/>
        </w:rPr>
        <w:t>Series G Fixed-Rate Reset Cumulative Redeemable Perpetual Preferred Units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Units</w:t>
      </w:r>
    </w:p>
    <w:p>
      <w:pPr>
        <w:spacing w:after="0" w:line="170"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ETP GP</w:t>
      </w:r>
      <w:r>
        <w:rPr>
          <w:sz w:val="20"/>
          <w:szCs w:val="20"/>
          <w:color w:val="auto"/>
        </w:rPr>
        <w:tab/>
      </w:r>
      <w:r>
        <w:rPr>
          <w:rFonts w:ascii="Arial" w:cs="Arial" w:eastAsia="Arial" w:hAnsi="Arial"/>
          <w:sz w:val="16"/>
          <w:szCs w:val="16"/>
          <w:color w:val="auto"/>
        </w:rPr>
        <w:t>Energy Transfer Partners GP, L.P., the general partner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ETP Holdco</w:t>
      </w:r>
      <w:r>
        <w:rPr>
          <w:sz w:val="20"/>
          <w:szCs w:val="20"/>
          <w:color w:val="auto"/>
        </w:rPr>
        <w:tab/>
      </w:r>
      <w:r>
        <w:rPr>
          <w:rFonts w:ascii="Arial" w:cs="Arial" w:eastAsia="Arial" w:hAnsi="Arial"/>
          <w:sz w:val="16"/>
          <w:szCs w:val="16"/>
          <w:color w:val="auto"/>
        </w:rPr>
        <w:t>ETP Holdco Corporation, a wholly-owned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ETP LLC</w:t>
      </w:r>
      <w:r>
        <w:rPr>
          <w:sz w:val="20"/>
          <w:szCs w:val="20"/>
          <w:color w:val="auto"/>
        </w:rPr>
        <w:tab/>
      </w:r>
      <w:r>
        <w:rPr>
          <w:rFonts w:ascii="Arial" w:cs="Arial" w:eastAsia="Arial" w:hAnsi="Arial"/>
          <w:sz w:val="16"/>
          <w:szCs w:val="16"/>
          <w:color w:val="auto"/>
        </w:rPr>
        <w:t>Energy Transfer Partners, L.L.C., the general partner of ETP GP</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Exchange Act</w:t>
      </w:r>
      <w:r>
        <w:rPr>
          <w:sz w:val="20"/>
          <w:szCs w:val="20"/>
          <w:color w:val="auto"/>
        </w:rPr>
        <w:tab/>
      </w:r>
      <w:r>
        <w:rPr>
          <w:rFonts w:ascii="Arial" w:cs="Arial" w:eastAsia="Arial" w:hAnsi="Arial"/>
          <w:sz w:val="16"/>
          <w:szCs w:val="16"/>
          <w:color w:val="auto"/>
        </w:rPr>
        <w:t>Securities Exchange Act of 1934, as amended</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ExxonMobil</w:t>
      </w:r>
      <w:r>
        <w:rPr>
          <w:sz w:val="20"/>
          <w:szCs w:val="20"/>
          <w:color w:val="auto"/>
        </w:rPr>
        <w:tab/>
      </w:r>
      <w:r>
        <w:rPr>
          <w:rFonts w:ascii="Arial" w:cs="Arial" w:eastAsia="Arial" w:hAnsi="Arial"/>
          <w:sz w:val="18"/>
          <w:szCs w:val="18"/>
          <w:color w:val="auto"/>
        </w:rPr>
        <w:t>Exxon Mobil Corporation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FEP</w:t>
      </w:r>
      <w:r>
        <w:rPr>
          <w:sz w:val="20"/>
          <w:szCs w:val="20"/>
          <w:color w:val="auto"/>
        </w:rPr>
        <w:tab/>
      </w:r>
      <w:r>
        <w:rPr>
          <w:rFonts w:ascii="Arial" w:cs="Arial" w:eastAsia="Arial" w:hAnsi="Arial"/>
          <w:sz w:val="18"/>
          <w:szCs w:val="18"/>
          <w:color w:val="auto"/>
        </w:rPr>
        <w:t>Fayetteville Express Pipeline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FERC</w:t>
      </w:r>
      <w:r>
        <w:rPr>
          <w:sz w:val="20"/>
          <w:szCs w:val="20"/>
          <w:color w:val="auto"/>
        </w:rPr>
        <w:tab/>
      </w:r>
      <w:r>
        <w:rPr>
          <w:rFonts w:ascii="Arial" w:cs="Arial" w:eastAsia="Arial" w:hAnsi="Arial"/>
          <w:sz w:val="18"/>
          <w:szCs w:val="18"/>
          <w:color w:val="auto"/>
        </w:rPr>
        <w:t>Federal Energy Regulatory Commission</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FGT</w:t>
      </w:r>
      <w:r>
        <w:rPr>
          <w:sz w:val="20"/>
          <w:szCs w:val="20"/>
          <w:color w:val="auto"/>
        </w:rPr>
        <w:tab/>
      </w:r>
      <w:r>
        <w:rPr>
          <w:rFonts w:ascii="Arial" w:cs="Arial" w:eastAsia="Arial" w:hAnsi="Arial"/>
          <w:sz w:val="18"/>
          <w:szCs w:val="18"/>
          <w:color w:val="auto"/>
        </w:rPr>
        <w:t>Florida Gas Transmission Company, LLC, a wholly-owned subsidiary of Citrus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GAAP</w:t>
      </w:r>
      <w:r>
        <w:rPr>
          <w:sz w:val="20"/>
          <w:szCs w:val="20"/>
          <w:color w:val="auto"/>
        </w:rPr>
        <w:tab/>
      </w:r>
      <w:r>
        <w:rPr>
          <w:rFonts w:ascii="Arial" w:cs="Arial" w:eastAsia="Arial" w:hAnsi="Arial"/>
          <w:sz w:val="18"/>
          <w:szCs w:val="18"/>
          <w:color w:val="auto"/>
        </w:rPr>
        <w:t>accounting principles generally accepted in the United States of America</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Gulf States</w:t>
      </w:r>
      <w:r>
        <w:rPr>
          <w:sz w:val="20"/>
          <w:szCs w:val="20"/>
          <w:color w:val="auto"/>
        </w:rPr>
        <w:tab/>
      </w:r>
      <w:r>
        <w:rPr>
          <w:rFonts w:ascii="Arial" w:cs="Arial" w:eastAsia="Arial" w:hAnsi="Arial"/>
          <w:sz w:val="16"/>
          <w:szCs w:val="16"/>
          <w:color w:val="auto"/>
        </w:rPr>
        <w:t>Gulf States Transmission LLC, a wholly-owned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General Partner</w:t>
      </w:r>
      <w:r>
        <w:rPr>
          <w:sz w:val="20"/>
          <w:szCs w:val="20"/>
          <w:color w:val="auto"/>
        </w:rPr>
        <w:tab/>
      </w:r>
      <w:r>
        <w:rPr>
          <w:rFonts w:ascii="Arial" w:cs="Arial" w:eastAsia="Arial" w:hAnsi="Arial"/>
          <w:sz w:val="16"/>
          <w:szCs w:val="16"/>
          <w:color w:val="auto"/>
        </w:rPr>
        <w:t>LE GP, LLC, the general partner of ET</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HFOTCO</w:t>
      </w:r>
      <w:r>
        <w:rPr>
          <w:sz w:val="20"/>
          <w:szCs w:val="20"/>
          <w:color w:val="auto"/>
        </w:rPr>
        <w:tab/>
      </w:r>
      <w:r>
        <w:rPr>
          <w:rFonts w:ascii="Arial" w:cs="Arial" w:eastAsia="Arial" w:hAnsi="Arial"/>
          <w:sz w:val="18"/>
          <w:szCs w:val="18"/>
          <w:color w:val="auto"/>
        </w:rPr>
        <w:t>Houston Fuel Oil Terminal Company, a wholly-owned subsidiary of ETO, which owns the Houston Terminal</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HPC</w:t>
      </w:r>
      <w:r>
        <w:rPr>
          <w:sz w:val="20"/>
          <w:szCs w:val="20"/>
          <w:color w:val="auto"/>
        </w:rPr>
        <w:tab/>
      </w:r>
      <w:r>
        <w:rPr>
          <w:rFonts w:ascii="Arial" w:cs="Arial" w:eastAsia="Arial" w:hAnsi="Arial"/>
          <w:sz w:val="18"/>
          <w:szCs w:val="18"/>
          <w:color w:val="auto"/>
        </w:rPr>
        <w:t>RIGS Haynesville Partnership Co., a wholly-owned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IDRs</w:t>
      </w:r>
      <w:r>
        <w:rPr>
          <w:sz w:val="20"/>
          <w:szCs w:val="20"/>
          <w:color w:val="auto"/>
        </w:rPr>
        <w:tab/>
      </w:r>
      <w:r>
        <w:rPr>
          <w:rFonts w:ascii="Arial" w:cs="Arial" w:eastAsia="Arial" w:hAnsi="Arial"/>
          <w:sz w:val="18"/>
          <w:szCs w:val="18"/>
          <w:color w:val="auto"/>
        </w:rPr>
        <w:t>incentive distribution rights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KMI</w:t>
      </w:r>
      <w:r>
        <w:rPr>
          <w:sz w:val="20"/>
          <w:szCs w:val="20"/>
          <w:color w:val="auto"/>
        </w:rPr>
        <w:tab/>
      </w:r>
      <w:r>
        <w:rPr>
          <w:rFonts w:ascii="Arial" w:cs="Arial" w:eastAsia="Arial" w:hAnsi="Arial"/>
          <w:sz w:val="18"/>
          <w:szCs w:val="18"/>
          <w:color w:val="auto"/>
        </w:rPr>
        <w:t>Kinder Morgan Inc.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Lake Charles LNG</w:t>
      </w:r>
      <w:r>
        <w:rPr>
          <w:sz w:val="20"/>
          <w:szCs w:val="20"/>
          <w:color w:val="auto"/>
        </w:rPr>
        <w:tab/>
      </w:r>
      <w:r>
        <w:rPr>
          <w:rFonts w:ascii="Arial" w:cs="Arial" w:eastAsia="Arial" w:hAnsi="Arial"/>
          <w:sz w:val="16"/>
          <w:szCs w:val="16"/>
          <w:color w:val="auto"/>
        </w:rPr>
        <w:t>Lake Charles LNG Company, LLC (previously named Trunkline LNG Company, LLC), a wholly-owned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LCL</w:t>
      </w:r>
      <w:r>
        <w:rPr>
          <w:sz w:val="20"/>
          <w:szCs w:val="20"/>
          <w:color w:val="auto"/>
        </w:rPr>
        <w:tab/>
      </w:r>
      <w:r>
        <w:rPr>
          <w:rFonts w:ascii="Arial" w:cs="Arial" w:eastAsia="Arial" w:hAnsi="Arial"/>
          <w:sz w:val="18"/>
          <w:szCs w:val="18"/>
          <w:color w:val="auto"/>
        </w:rPr>
        <w:t>Lake Charles LNG Export Company, LLC, a wholly-owned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LIBOR</w:t>
      </w:r>
      <w:r>
        <w:rPr>
          <w:sz w:val="20"/>
          <w:szCs w:val="20"/>
          <w:color w:val="auto"/>
        </w:rPr>
        <w:tab/>
      </w:r>
      <w:r>
        <w:rPr>
          <w:rFonts w:ascii="Arial" w:cs="Arial" w:eastAsia="Arial" w:hAnsi="Arial"/>
          <w:sz w:val="18"/>
          <w:szCs w:val="18"/>
          <w:color w:val="auto"/>
        </w:rPr>
        <w:t>London Interbank Offered Rate</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LNG</w:t>
      </w:r>
      <w:r>
        <w:rPr>
          <w:sz w:val="20"/>
          <w:szCs w:val="20"/>
          <w:color w:val="auto"/>
        </w:rPr>
        <w:tab/>
      </w:r>
      <w:r>
        <w:rPr>
          <w:rFonts w:ascii="Arial" w:cs="Arial" w:eastAsia="Arial" w:hAnsi="Arial"/>
          <w:sz w:val="18"/>
          <w:szCs w:val="18"/>
          <w:color w:val="auto"/>
        </w:rPr>
        <w:t>liquefied natural gas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Lone Star</w:t>
      </w:r>
      <w:r>
        <w:rPr>
          <w:sz w:val="20"/>
          <w:szCs w:val="20"/>
          <w:color w:val="auto"/>
        </w:rPr>
        <w:tab/>
      </w:r>
      <w:r>
        <w:rPr>
          <w:rFonts w:ascii="Arial" w:cs="Arial" w:eastAsia="Arial" w:hAnsi="Arial"/>
          <w:sz w:val="16"/>
          <w:szCs w:val="16"/>
          <w:color w:val="auto"/>
        </w:rPr>
        <w:t>Lone Star NGL LLC, a wholly-owned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MBbls</w:t>
      </w:r>
      <w:r>
        <w:rPr>
          <w:sz w:val="20"/>
          <w:szCs w:val="20"/>
          <w:color w:val="auto"/>
        </w:rPr>
        <w:tab/>
      </w:r>
      <w:r>
        <w:rPr>
          <w:rFonts w:ascii="Arial" w:cs="Arial" w:eastAsia="Arial" w:hAnsi="Arial"/>
          <w:sz w:val="18"/>
          <w:szCs w:val="18"/>
          <w:color w:val="auto"/>
        </w:rPr>
        <w:t>thousand barrels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MMBbls</w:t>
      </w:r>
      <w:r>
        <w:rPr>
          <w:sz w:val="20"/>
          <w:szCs w:val="20"/>
          <w:color w:val="auto"/>
        </w:rPr>
        <w:tab/>
      </w:r>
      <w:r>
        <w:rPr>
          <w:rFonts w:ascii="Arial" w:cs="Arial" w:eastAsia="Arial" w:hAnsi="Arial"/>
          <w:sz w:val="18"/>
          <w:szCs w:val="18"/>
          <w:color w:val="auto"/>
        </w:rPr>
        <w:t>millions barrels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MEP</w:t>
      </w:r>
      <w:r>
        <w:rPr>
          <w:sz w:val="20"/>
          <w:szCs w:val="20"/>
          <w:color w:val="auto"/>
        </w:rPr>
        <w:tab/>
      </w:r>
      <w:r>
        <w:rPr>
          <w:rFonts w:ascii="Arial" w:cs="Arial" w:eastAsia="Arial" w:hAnsi="Arial"/>
          <w:sz w:val="18"/>
          <w:szCs w:val="18"/>
          <w:color w:val="auto"/>
        </w:rPr>
        <w:t>Midcontinent Express Pipeline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Mi Vida JV</w:t>
      </w:r>
      <w:r>
        <w:rPr>
          <w:sz w:val="20"/>
          <w:szCs w:val="20"/>
          <w:color w:val="auto"/>
        </w:rPr>
        <w:tab/>
      </w:r>
      <w:r>
        <w:rPr>
          <w:rFonts w:ascii="Arial" w:cs="Arial" w:eastAsia="Arial" w:hAnsi="Arial"/>
          <w:sz w:val="17"/>
          <w:szCs w:val="17"/>
          <w:color w:val="auto"/>
        </w:rPr>
        <w:t>Mi Vida JV LLC</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Mid-Valley</w:t>
      </w:r>
      <w:r>
        <w:rPr>
          <w:sz w:val="20"/>
          <w:szCs w:val="20"/>
          <w:color w:val="auto"/>
        </w:rPr>
        <w:tab/>
      </w:r>
      <w:r>
        <w:rPr>
          <w:rFonts w:ascii="Arial" w:cs="Arial" w:eastAsia="Arial" w:hAnsi="Arial"/>
          <w:sz w:val="16"/>
          <w:szCs w:val="16"/>
          <w:color w:val="auto"/>
        </w:rPr>
        <w:t>Mid-Valley Pipeline Company, a wholly-owned subsidiary of ETO</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MMBbls</w:t>
      </w:r>
      <w:r>
        <w:rPr>
          <w:sz w:val="20"/>
          <w:szCs w:val="20"/>
          <w:color w:val="auto"/>
        </w:rPr>
        <w:tab/>
      </w:r>
      <w:r>
        <w:rPr>
          <w:rFonts w:ascii="Arial" w:cs="Arial" w:eastAsia="Arial" w:hAnsi="Arial"/>
          <w:sz w:val="18"/>
          <w:szCs w:val="18"/>
          <w:color w:val="auto"/>
        </w:rPr>
        <w:t>million barrels</w:t>
      </w:r>
    </w:p>
    <w:p>
      <w:pPr>
        <w:spacing w:after="0" w:line="185" w:lineRule="exact"/>
        <w:rPr>
          <w:sz w:val="20"/>
          <w:szCs w:val="20"/>
          <w:color w:val="auto"/>
        </w:rPr>
      </w:pPr>
    </w:p>
    <w:p>
      <w:pPr>
        <w:ind w:left="40"/>
        <w:spacing w:after="0"/>
        <w:tabs>
          <w:tab w:leader="none" w:pos="2300" w:val="left"/>
        </w:tabs>
        <w:rPr>
          <w:sz w:val="20"/>
          <w:szCs w:val="20"/>
          <w:color w:val="auto"/>
        </w:rPr>
      </w:pPr>
      <w:r>
        <w:rPr>
          <w:rFonts w:ascii="Arial" w:cs="Arial" w:eastAsia="Arial" w:hAnsi="Arial"/>
          <w:sz w:val="18"/>
          <w:szCs w:val="18"/>
          <w:color w:val="auto"/>
        </w:rPr>
        <w:t>MMcf</w:t>
      </w:r>
      <w:r>
        <w:rPr>
          <w:sz w:val="20"/>
          <w:szCs w:val="20"/>
          <w:color w:val="auto"/>
        </w:rPr>
        <w:tab/>
      </w:r>
      <w:r>
        <w:rPr>
          <w:rFonts w:ascii="Arial" w:cs="Arial" w:eastAsia="Arial" w:hAnsi="Arial"/>
          <w:sz w:val="18"/>
          <w:szCs w:val="18"/>
          <w:color w:val="auto"/>
        </w:rPr>
        <w:t>million cubic feet</w:t>
      </w:r>
    </w:p>
    <w:p>
      <w:pPr>
        <w:sectPr>
          <w:pgSz w:w="11900" w:h="16838" w:orient="portrait"/>
          <w:cols w:equalWidth="0" w:num="1">
            <w:col w:w="11260"/>
          </w:cols>
          <w:pgMar w:left="240" w:top="118" w:right="399" w:bottom="761" w:gutter="0" w:footer="0" w:header="0"/>
        </w:sectPr>
      </w:pP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60"/>
          </w:cols>
          <w:pgMar w:left="240" w:top="118" w:right="399" w:bottom="761" w:gutter="0" w:footer="0" w:header="0"/>
          <w:type w:val="continuous"/>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20"/>
          </w:cols>
          <w:pgMar w:left="240" w:top="118" w:right="239" w:bottom="559" w:gutter="0" w:footer="0" w:header="0"/>
        </w:sect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7"/>
          <w:szCs w:val="17"/>
          <w:color w:val="auto"/>
        </w:rPr>
        <w:t>MTBE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methyl tertiary butyl ether</w:t>
      </w:r>
    </w:p>
    <w:p>
      <w:pPr>
        <w:spacing w:after="0" w:line="207"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7"/>
          <w:szCs w:val="17"/>
          <w:color w:val="auto"/>
        </w:rPr>
        <w:t>NGL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natural gas liquid, such as propane, butane and natural gasoline</w:t>
      </w:r>
    </w:p>
    <w:p>
      <w:pPr>
        <w:spacing w:after="0" w:line="207"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8"/>
          <w:szCs w:val="18"/>
          <w:color w:val="auto"/>
        </w:rPr>
        <w:t>NYMEX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Mercantile Exchange</w:t>
      </w:r>
    </w:p>
    <w:p>
      <w:pPr>
        <w:spacing w:after="0" w:line="207"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6"/>
          <w:szCs w:val="16"/>
          <w:color w:val="auto"/>
        </w:rPr>
        <w:t>NYSE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Ohio River System LLC, a less than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OSHA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Occupational Safety and Health Act</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over-the-counter</w:t>
      </w:r>
    </w:p>
    <w:p>
      <w:pPr>
        <w:spacing w:after="0" w:line="207"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5"/>
          <w:szCs w:val="15"/>
          <w:color w:val="auto"/>
        </w:rPr>
        <w:t>Panhandle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Panhandle Eastern Pipe Line Company, LP and its subsidiaries, wholly-owned by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PCBs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polychlorinated biphenyls</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PennTex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PennTex Midstream Partners, LP</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Permian Express Partners LLC, a less than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Philadelphia Energy Solutions Refining and Marketing LLC</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Phillips 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Phillips 66 Partners LP</w:t>
      </w:r>
    </w:p>
    <w:p>
      <w:pPr>
        <w:spacing w:after="0" w:line="207"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7"/>
          <w:szCs w:val="17"/>
          <w:color w:val="auto"/>
        </w:rPr>
        <w:t>PHMSA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Pipeline Hazardous Materials Safety Administration</w:t>
      </w:r>
    </w:p>
    <w:p>
      <w:pPr>
        <w:spacing w:after="0" w:line="207"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6"/>
          <w:szCs w:val="16"/>
          <w:color w:val="auto"/>
        </w:rPr>
        <w:t>Ranch JV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Ranch Westex JV LLC</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Regency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Regency Energy Partners LP, a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Holdings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ETP Retail Holdings LLC, a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Regency Intrastate Gas System, a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Rover Pipeline LLC, a less than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Sea Robin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 Robin Pipeline Company, LLC, a wholly-owned subsidiary of Panhandle</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Securities and Exchange Commission</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SemCAMS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SemCAMS Midstream ULC, a less than wholly-owned subsidiary of ET</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SemGroup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SemGroup Corporation</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Royal Dutch Shell plc</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Southwest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 Gas Storage, LLC (d.b.a. Southwest Gas Storage Company)</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5"/>
          <w:szCs w:val="15"/>
          <w:color w:val="auto"/>
        </w:rPr>
        <w:t>SPLP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Sunoco Pipeline L.P., a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Sunoco Logistics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Sunoco Logistics Partners L.P., a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Sunoco (R&amp;M)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Sunoco (R&amp;M), LLC</w:t>
      </w:r>
    </w:p>
    <w:p>
      <w:pPr>
        <w:spacing w:after="0" w:line="196"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5"/>
          <w:szCs w:val="15"/>
          <w:color w:val="auto"/>
        </w:rPr>
        <w:t>Transwestern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Transwestern Pipeline Company, LLC, a wholly-owned subsidiary of ETO</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Railroad Commission</w:t>
      </w:r>
    </w:p>
    <w:p>
      <w:pPr>
        <w:spacing w:after="0" w:line="200"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Trunkline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Trunkline Gas Company, LLC, a wholly-owned subsidiary of Panhandle</w:t>
      </w:r>
    </w:p>
    <w:p>
      <w:pPr>
        <w:spacing w:after="0" w:line="207"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7"/>
          <w:szCs w:val="17"/>
          <w:color w:val="auto"/>
        </w:rPr>
        <w:t>USAC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USA Compression Partners, LP, a wholly-owned subsidiary of ETO</w:t>
      </w:r>
    </w:p>
    <w:p>
      <w:pPr>
        <w:spacing w:after="0" w:line="207"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ind w:left="40"/>
        <w:spacing w:after="0"/>
        <w:rPr>
          <w:sz w:val="20"/>
          <w:szCs w:val="20"/>
          <w:color w:val="auto"/>
        </w:rPr>
      </w:pPr>
      <w:r>
        <w:rPr>
          <w:rFonts w:ascii="Arial" w:cs="Arial" w:eastAsia="Arial" w:hAnsi="Arial"/>
          <w:sz w:val="18"/>
          <w:szCs w:val="18"/>
          <w:color w:val="auto"/>
        </w:rPr>
        <w:t>WMB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Williams Companies, Inc.</w:t>
      </w:r>
    </w:p>
    <w:p>
      <w:pPr>
        <w:spacing w:after="0" w:line="166" w:lineRule="exact"/>
        <w:rPr>
          <w:sz w:val="20"/>
          <w:szCs w:val="20"/>
          <w:color w:val="auto"/>
        </w:rPr>
      </w:pPr>
    </w:p>
    <w:p>
      <w:pPr>
        <w:sectPr>
          <w:pgSz w:w="11900" w:h="16838" w:orient="portrait"/>
          <w:cols w:equalWidth="0" w:num="2">
            <w:col w:w="1600" w:space="720"/>
            <w:col w:w="9100"/>
          </w:cols>
          <w:pgMar w:left="240" w:top="118" w:right="239" w:bottom="559" w:gutter="0" w:footer="0" w:header="0"/>
          <w:type w:val="continuous"/>
        </w:sectPr>
      </w:pPr>
    </w:p>
    <w:p>
      <w:pPr>
        <w:jc w:val="both"/>
        <w:spacing w:after="0" w:line="272" w:lineRule="auto"/>
        <w:rPr>
          <w:sz w:val="20"/>
          <w:szCs w:val="20"/>
          <w:color w:val="auto"/>
        </w:rPr>
      </w:pPr>
      <w:r>
        <w:rPr>
          <w:rFonts w:ascii="Arial" w:cs="Arial" w:eastAsia="Arial" w:hAnsi="Arial"/>
          <w:sz w:val="17"/>
          <w:szCs w:val="17"/>
          <w:color w:val="auto"/>
        </w:rPr>
        <w:t>Adjusted EBITDA is a term used throughout this document, which we define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118" w:right="239" w:bottom="559"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were formed in September 2002 and completed our initial public offering in February 2006. We are a Delaware limited partnership with common units publicly traded on the NYSE under the ticker symbol “ET.”</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Unless the context requires otherwise, references to “we,” “us,” “our,” the “Partnership” and “ET” mean Energy Transfer LP and its consolidated subsidiaries, which include ETO, ETP GP, ETP LLC, Panhandle, Sunoco LP, USAC, SemGroup and Lake Charles LNG. References to the “Parent Company” mean Energy Transfer LP on a stand-alone basis.</w:t>
      </w:r>
    </w:p>
    <w:p>
      <w:pPr>
        <w:spacing w:after="0" w:line="127"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primary activities in which we are engaged, which are in the United States and Canada, and the operating subsidiaries through which we conduct those activities are as follows:</w:t>
      </w:r>
    </w:p>
    <w:p>
      <w:pPr>
        <w:spacing w:after="0" w:line="6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gas operations, including the following: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natural gas midstream and 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interstate natural gas transportation and storage;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crude oil, NGL and refined products transportation, terminalling services and acquisition and marketing activities, as well as NGL storage and fractionation services.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addition, we own investments in other businesses, including Sunoco LP and USAC, both of which are publicly traded master limited partnerships.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the Partnership’s cash flows are derived from distributions related to its investment in ETO, whose cash flows are derived from its subsidiaries, including ETO’s investments in Sunoco LP and USAC. The Parent Company’s primary cash requirements are for distributions to its partners, general and administrative expenses, debt service requirements and distributions to its partners. The Parent Company-only assets and liabilities are not available to satisfy the debts and other obligations of its subsidiaries. The Parent Company distributes its available cash remaining after satisfaction of the aforementioned cash requirements to its unitholders on a quarterly basis.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subsidiaries to utilize their resources, along with cash from their operations, to fund their announced growth capital expenditures and working capital needs; however, the Parent Company may issue debt or equity securities from time to time, as we deem prudent to provide liquidity for new capital projects of our subsidiaries or for other partnership purposes.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summarizes our organizational structure as of February 14, 2020. For simplicity, certain immaterial entities and ownership interests have not been depicted.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48985" cy="7383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738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requires otherwise, the Partnership and its subsidiaries are collectively referred to in this report as “we,” “us,” “ET,” “Energy Transfer” or “the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Achievements in 2019 and Beyond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Transactions Related to the Partnership</w:t>
      </w:r>
    </w:p>
    <w:p>
      <w:pPr>
        <w:spacing w:after="0" w:line="121" w:lineRule="exact"/>
        <w:rPr>
          <w:sz w:val="20"/>
          <w:szCs w:val="20"/>
          <w:color w:val="auto"/>
        </w:rPr>
      </w:pPr>
    </w:p>
    <w:p>
      <w:pPr>
        <w:ind w:left="3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December 2019, ET completed its acquisition of Tulsa-based SemGroup Corporation in a unit and cash transaction, and during the first quarter of 2020, certain of the operating assets of SemGroup were contributed to ETO. The segment and asset overviews below include the SemGroup assets.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Organic Growth Projects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announced organic growth projects in 2019 included the following, as discussed in more detail herein:</w:t>
      </w:r>
    </w:p>
    <w:p>
      <w:pPr>
        <w:spacing w:after="0" w:line="117" w:lineRule="exact"/>
        <w:rPr>
          <w:sz w:val="20"/>
          <w:szCs w:val="20"/>
          <w:color w:val="auto"/>
        </w:rPr>
      </w:pPr>
    </w:p>
    <w:p>
      <w:pPr>
        <w:jc w:val="both"/>
        <w:ind w:left="340" w:hanging="332"/>
        <w:spacing w:after="0" w:line="27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December 2019, ET announced a comprehensive commercial tender package which was issued to engineering, procurement and construction contractors to submit final bids for the proposed Lake Charles LNG liquefaction project being developed with Shell US LNG, LLC. The project would modify ETO’s existing LNG import facility located in Lake Charles, Louisiana to add LNG liquefaction capacity of 16.45 million tonnes per annum for expert to global markets. The commercial bids are expected to be received in the second quarter of 2020.</w:t>
      </w:r>
    </w:p>
    <w:p>
      <w:pPr>
        <w:spacing w:after="0" w:line="63"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connection with the acquisition of SemGroup and to provide shippers with further access to markets along the Gulf Coast through the Houston Ship Channel, ET announced the construction of the Ted Collins pipeline, a 75-mile crude line that will connect Houston Terminal, which was recently acquired in the SemGroup acquisition, to the Nederland terminal. The pipeline is expected to be in service in 2021 and will have an initial capacity of 500 MBbls/d.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17 to our consolidated financial statements in “Item 8. Financial Statements and Supplementary Data” for additional financial information about our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Intrastate Transportation and Storage Segment</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Natural gas transportation pipelines receive natural gas from other mainline transportation pipelines, storage facilities and gathering systems and deliver the natural gas to industrial end-users, storage facilities, utilities, power generators and other third-party pipelines. Through our intrastate transportation and storage segment, we own and operate (through wholly-owned or through joint venture interests) approximately 9,400 miles of natural gas transportation pipelines with approximately 22 Bcf/d of transportation capacity and three natural gas storage facilities located in the state of Texas.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70% interest in the Red Bluff Express Pipeline, a 108-mile intrastate pipeline system that connects our Orla Plant, as well as third-party plants to the Waha Oasis Header.</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Energy Transfer operates one of the largest intrastate pipeline systems in the United States providing energy logistics to major trading hubs and industrial consumption areas throughout the United States. Our intrastate transportation and storage segment focuses on the transportation of natural gas to major markets from various prolific natural gas producing areas (Permian, Barnett, Haynesville and Eagle Ford Shale) through our Oasis pipeline, our ETC Katy pipeline, our natural gas pipeline and storage systems that are referred to as the ET Fuel System, and our HPL System, as further described below.</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intrastate transportation and storage segment’s results are determined primarily by the amount of capacity our customers reserve as well as the actual volume of natural gas that flows through the transportation pipelines. Under transportation contracts, our customers are charged (i) a demand fee, which is a fixed fee for the reservation of an agreed amount of capacity on the transportation pipeline for a specified period of time and which obligates the customer to pay a fee even if the customer does not transport natural gas on the respective pipeline, (ii) a transportation fee, which is based on the actual throughput of natural gas by the customer, (iii) fuel retention based on a percentage of gas transported on the pipeline, or (iv) a combination of the three, generally payable monthly.</w:t>
      </w:r>
    </w:p>
    <w:p>
      <w:pPr>
        <w:spacing w:after="0" w:line="13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generate revenues and margin from the sale of natural gas to electric utilities, independent power plants, local distribution companies, industrial end-users and marketing companies on our HPL System. Generally, we purchase natural gas from either the market (including purchases from our marketing operations) or from producers at the wellhead. To the extent the natural gas comes from producers, it is primarily purchased at a discount to a specified market price and typically resold to customers based on an index price. In addition, our intrastate transportation and storage segment generates revenues from fees charged for storing customers’ working natural gas in our storage facilities and from managing natural gas for our own account.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Interstate Transportation and Storage Segment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transportation pipelines receive natural gas from supply sources including other transportation pipelines, storage facilities and gathering systems and deliver the natural gas to industrial end-users and other pipelines. Through our interstate transportation and storage segment, we directly own and operate approximately 12,500 miles of interstate natural gas pipelines with approximately 10.7 Bcf/d of transportation capacity and another approximately 6,770 miles and 10.6 Bcf/d of transportation capacity through joint venture interests.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ETO’s vast interstate natural gas network spans the United States from Florida to California and Texas to Michigan, offering a comprehensive array of pipeline and storage services. Our pipelines have the capability to transport natural gas from nearly all Lower 48 onshore and offshore supply basins to customers in the Southeast, Gulf Coast, Southwest, Midwest, Northeast and Canada. Through numerous interconnections with other pipelines, our interstate systems can access virtually any supply or market in the country. As discussed further herein, our interstate segment operations are regulated by the FERC, which has broad regulatory authority over the business and operations of interstate natural gas pipelines.</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Lake Charles LNG, our wholly-owned subsidiary, owns an LNG import terminal and regasification facility located on Louisiana’s Gulf Coast near Lake Charles, Louisiana. The import terminal has approximately 9.0 Bcf of above ground storage capacity and the regasification facility has a send out capacity of 1.8 Bcf/d. Lake Charles LNG derives all of its revenue from a series of long-term contracts with a wholly-owned subsidiary of Shell.</w:t>
      </w:r>
    </w:p>
    <w:p>
      <w:pPr>
        <w:spacing w:after="0" w:line="1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LCL, our wholly-owned subsidiary, is currently developing a natural gas liquefaction facility for the export of LNG. In December 2015, Lake Charles LNG received authorization from the FERC to site, construct and operate facilities for the liquefaction and export of natural gas. The project would utilize existing dock and storage facilities owned by Lake Charles LNG located on the Lake Charles site. In December 2019, ET announced a comprehensive commercial tender package has been issued to engineering, procurement and construction contractors to submit final bids for the proposed Lake Charles LNG liquefaction project being developed with Shell US LNG, LLC. The project would modify ETO’s existing LNG import facility to add LNG liquefaction capacity of 16.45 million tonnes per annum for expert to global markets. The commercial bids are expected to be received in the second quarter of 2020.</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from our interstate transportation and storage segment are primarily derived from the fees we earn from natural gas transportation and storage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Segment</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midstream industry consists of natural gas gathering, compression, treating, processing, storage, and transportation, and is generally characterized by regional competition based on the proximity of gathering systems and processing plants to natural gas producing wells and the proximity of storage facilities to production areas and end-use markets. Gathering systems generally consist of a network of small diameter pipelines and, if necessary, compression systems, that collect natural gas from points near producing wells and transports it to larger pipelines for further transportation.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Treating plants remove carbon dioxide and hydrogen sulfide from natural gas that is higher in carbon dioxide, hydrogen sulfide or certain other contaminants, to ensure that it meets pipeline quality specifications. Natural gas processing involves the separation of natural gas into pipeline quality natural gas, or residue gas, and a mixed NGL stream. Some natural gas produced by a well does not meet the pipeline quality specifications established by downstream pipelines or is not suitable for commercial use and must be processed to remove the mixed NGL stream. In addition, some natural gas can be processed to take advantage of favorable margins for NGLs extracted from the gas stream.</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midstream segment, we own and operate natural gas gathering and NGL pipelines, natural gas processing plants, natural gas treating facilities and natural gas conditioning facilities with an aggregate processing capacity of approximately 8.8 Bcf/d. Our midstream segment focuses on the gathering, compression, treating, blending, and processing, and our operations are currently concentrated in major producing basins and shales in South Texas, West Texas, New Mexico, North Texas, East Texas, West Virginia, Pennsylvania, Ohio, Oklahoma, Kansas and Louisiana. Many of our midstream assets are integrated with our intrastate transportation and storage assets.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midstream segment also includes a 60% interest in Edwards Lime Gathering, LLC, which operates natural gas gathering, oil pipeline and oil stabilization facilities in South Texas and a 75% membership interest in ORS, which operates a natural gas gathering system in the Utica shale in Ohio.</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midstream segment results are derived primarily from margins we earn for natural gas volumes that are gathered, transported, purchased and sold through our pipeline systems and the natural gas and NGL volumes processed at our processing and treating facilities.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and Refined Products Transportation and Services Segment</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NGL operations transport, store and execute acquisition and marketing activities utilizing a complementary network of pipelines, storage and blending facilities, and strategic off-take locations that provide access to multiple NGL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NGL and refined products transportation and services segment includes:</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4,515 miles of NGL pipelines;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NGL and propane fractionation facilities with an aggregate capacity of 825 MBbls/d;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NGL storage facility in Mont Belvieu with a working storage capacity of approximately 50 MMBbls;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NGL storage assets, located at our Cedar Bayou and Hattiesburg storage facilities, and our Nederland, Marcus Hook and Inkster NGL terminals with an aggregate storage capacity of approximately 13 MMBbls.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currently constructing a seventh fractionator, which went into operation in the first quarter of 2020, and an eighth fractionator, which we expect to be operational in the second quarter of 2021, at our Mont Belvieu facility. In addition, we are constructing an expansion to the Lone Star Express pipeline, which is expected to be in service early in the fourth quarter of 2020. The NGL pipelines primarily transport NGLs from the Permian and Delaware basins and the Barnett and Eagle Ford Shales to Mont Belvieu.</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NGL terminalling services are facilitated by approximately 8 MMBbls of NGL storage capacity. These operations also support our liquids blending activities, including the use of our patented butane blending technology. Refined products operations provide transportation and terminalling services through the use of approximately 3,265 miles of refined products pipelines and approximately 35 active refined products marketing terminals. Our marketing terminals are located primarily in the northeast, midwest and southwest United States, with approximately 8 MMBbls of refined products storage capacity. Our refined products operations utilize our integrated pipeline and terminalling assets, as well as acquisition and marketing activities, to service refined products markets in several regions throughout the United States. The mix of products delivered through our refined products pipelines varies seasonally, with gasoline demand peaking during the summer months, and demand for heating oil and other distillate fuels peaking in the winter. The products transported in these pipelines include multiple grades of gasoline and middle distillates, such as heating oil, diesel and jet fuel. Rates for shipments on these product pipelines are regulated by the FERC and other state regulatory agencies, as applicable.</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in this segment are principally generated from fees charged to customers under dedicated contracts or take-or-pay contracts. Under a dedicated contract, the customer agrees to deliver the total output from particular processing plants that are connected to the NGL pipeline. Take-or-pay contracts have minimum throughput commitments requiring the customer to pay regardless of whether a fixed volume is transported. Fees are market-based, negotiated with customers and competitive with regional regulated pipelines and fractionators. Storage revenues are derived from base storage and throughput fees. This segment also derives revenues from the marketing of NGLs and processing and fractionating refinery off-gas.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Crude Oil Transportation and Services Segment</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crude oil operations provide transportation (via pipeline and trucking), terminalling and acquisition and marketing services to crude oil markets throughout the southwest, midwest, northwestern and northeastern United States. Through our crude oil transportation and services segment, we own and operate (through wholly-owned subsidiaries or joint venture interests) approximately 10,770 miles of crude oil trunk and gathering pipelines in the southwest and midwest United States. This segment includes equity ownership interests in four crude oil pipelines, the Bakken Pipeline system, Bayou Bridge Pipeline, White Cliffs Pipeline and Maurepas Pipeline. Our crude oil terminalling services operate with an aggregate storage capacity of approximately 64 MMBbls, including approximately 29 MMBbls at our Gulf Coast terminal in Nederland, Texas, approximately 18.2 MMBbls at our Gulf coast terminal on the Houston Ship Channel, approximately 7.6 MMBbls at our Cushing facility in Cushing, Oklahoma and approximately 3.2 MMBbls at our Fort Mifflin terminal complex in Pennsylvania. Our crude oil acquisition and marketing activities utilize our pipeline and terminal assets, our proprietary fleet crude oil tractor trailers and truck unloading facilities, as well as third-party assets, to service crude oil markets principally in the midcontinent United States.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throughout our crude oil pipeline systems are generated from tariffs paid by shippers utilizing our transportation services. These tariffs are filed with the FERC and other state regulatory agencies, as applicable.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acquisition and marketing activities include the gathering, purchasing, marketing and selling of crude oil. Specifically, the crude oil acquisition and marketing activities include:</w:t>
      </w:r>
    </w:p>
    <w:p>
      <w:pPr>
        <w:spacing w:after="0" w:line="62" w:lineRule="exact"/>
        <w:rPr>
          <w:sz w:val="20"/>
          <w:szCs w:val="20"/>
          <w:color w:val="auto"/>
        </w:rPr>
      </w:pPr>
    </w:p>
    <w:p>
      <w:pPr>
        <w:jc w:val="center"/>
        <w:ind w:left="5660" w:right="680" w:hanging="5652"/>
        <w:spacing w:after="0" w:line="528"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purchasing crude oil at both the wellhead from producers, and in bulk from aggregators at major pipeline interconnections and trading locations; 5</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storing inventory during contango market conditions (when the price of crude oil for future delivery is higher than current prices);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buying and selling crude oil of different grades, at different locations in order to maximize value;</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transporting crude oil using the pipelines, terminals and trucks or, when necessary or cost effective, pipelines, terminals or trucks owned and operated by third parties;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marketing crude oil to major integrated oil companies, independent refiners and resellers through various types of sale and exchange transactions.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Sunoco LP</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Sunoco LP is engaged in the distribution of motor fuels to independent dealers, distributors, and other commercial customers and the distribution of motor fuels to end-user customers at retail sites operated by commission agents. Additionally, it receives rental income through the leasing or subleasing of real estate used in the retail distribution of motor fuel. Sunoco LP also operates 75 retail stores located in Hawaii and New Jersey.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the exclusive wholesale supplier of the Sunoco-branded motor fuel, supplying an extensive distribution network of approximately 5,474 Sunoco-branded company and third-party operated locations throughout the East Coast, Midwest, South Central and Southeast regions of the United States. Sunoco LP believes it is one of the largest independent motor fuel distributors of Chevron, Exxon and Valero branded motor fuel in the United States. In addition to distributing motor fuels, Sunoco LP also distributes other petroleum products such as propane and lubricating oil, and Sunoco LP receives rental income from real estate that it leases or subleases.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Sunoco LP operations primarily consist of fuel distribution and marketing.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USAC</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USAC provides natural gas compression services throughout the United States, including the Utica, Marcellus, Permian Basin, Delaware Basin, Eagle Ford, Mississippi Lime, Granite Wash, Woodford, Barnett, Haynesville, Niobrara and Fayetteville shales. USAC provides compression services to its customers primarily in connection with infrastructure applications, including both allowing for the processing and transportation of natural gas through the domestic pipeline system and enhancing crude oil production through artificial lift processes. As such, USAC’s compression services play a critical role in the production, processing and transportation of both natural gas and crude oil.</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USAC operates a modern fleet of compression units, with an average age of approximately six years. USAC’s standard new-build compression units are generally configured for multiple compression stages allowing USAC to operate its units across a broad range of operating conditions. As part of USAC’s services, it engineers, designs, operates, services and repairs its compression units and maintains related support inventory and equipment.</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USAC provides compression services to its customers under fixed-fee contracts with initial contract terms typically between six months and five years, depending on the application and location of the compression unit. USAC typically continues to provide compression services at a specific location beyond the initial contract term, either through contract renewal or on a month-to-month or longer basis. USAC primarily enters into take-or-pay contracts whereby its customers are required to pay a monthly fee even during periods of limited or disrupted throughput, which enhances the stability and predictability of its cash flows. USAC is not directly exposed to commodity price risk because it does not take title to the natural gas or crude oil involved in its services and because the natural gas used as fuel by its compression units is supplied by its customers without cost to USAC.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USAC’s assets and operations are all located and conducted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USAC had 3,682,968 horsepower in its fleet and 56,500 large horsepower on order for expected delivery during 2020.</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“All Other” segment includes the following:</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approximately 7.4% non-operating interest in PES, which owns a refinery in Philadelphia.</w:t>
      </w:r>
    </w:p>
    <w:p>
      <w:pPr>
        <w:spacing w:after="0" w:line="117"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marketing operations in which we market the natural gas that flows through our gathering and intrastate transportation assets, referred to as on-system gas. We also attract other customers by marketing volumes of natural gas that do not move through our assets, referred to as off-system gas. For both on-system and off-system gas, we purchase natural gas from natural gas producers and other suppliers and sell that natural gas to utilities, industrial consumers, other marketers and pipeline companies, thereby generating gross margins based upon the difference between the purchase and resale prices of natural gas, less the costs of transportation. For the off-system gas, we purchase gas or act as an agent for small independent producers that may not have marketing operations.</w:t>
      </w:r>
    </w:p>
    <w:p>
      <w:pPr>
        <w:spacing w:after="0" w:line="8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natural gas compression equipment business which has operations in Arkansas, California, Colorado, Louisiana, New Mexico, Oklahoma, Pennsylvania and Texas.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wholly-owned subsidiary, Dual Drive Technologies, Ltd. (“DDT”), which provides compression services to customers engaged in the transportation of natural gas, including our other segments.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subsidiaries are involved in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PEI Power LLC and PEI Power II, which own and operate a facility in Pennsylvania that generates a total of 75 megawatts of electrical power.</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51% ownership interest in SemCAMS, which owns and operates natural gas processing and gathering facilities in Alberta, Canada.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Overview</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descriptions below include summaries of significant assets within the Partnership’s reportable segments. Amounts, such as capacities, volumes and miles included in the descriptions below are approximate and are based on information currently available; such amounts are subject to change based on future events or additional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Intrastate Transportation and Storage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and storage facilities in the intrastate transportation and storage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Pipeline</w:t>
            </w:r>
          </w:p>
        </w:tc>
        <w:tc>
          <w:tcPr>
            <w:tcW w:w="14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Throughput</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Working Storage</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Miles of Natural</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Capacity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30"/>
        </w:trPr>
        <w:tc>
          <w:tcPr>
            <w:tcW w:w="5120" w:type="dxa"/>
            <w:vAlign w:val="bottom"/>
            <w:gridSpan w:val="2"/>
          </w:tcPr>
          <w:p>
            <w:pPr>
              <w:ind w:left="1740"/>
              <w:spacing w:after="0"/>
              <w:rPr>
                <w:sz w:val="20"/>
                <w:szCs w:val="20"/>
                <w:color w:val="auto"/>
              </w:rPr>
            </w:pPr>
            <w:r>
              <w:rPr>
                <w:rFonts w:ascii="Arial" w:cs="Arial" w:eastAsia="Arial" w:hAnsi="Arial"/>
                <w:sz w:val="18"/>
                <w:szCs w:val="18"/>
                <w:color w:val="auto"/>
              </w:rPr>
              <w:t>Description of Assets</w:t>
            </w: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Ownership Interest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Gas Pipeline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(Bcf/d)</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(Bcf/d)</w:t>
            </w:r>
          </w:p>
        </w:tc>
      </w:tr>
      <w:tr>
        <w:trPr>
          <w:trHeight w:val="27"/>
        </w:trPr>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ET Fuel System</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70"/>
        </w:trPr>
        <w:tc>
          <w:tcPr>
            <w:tcW w:w="51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Oasis Pipeline </w:t>
            </w:r>
            <w:r>
              <w:rPr>
                <w:rFonts w:ascii="Arial" w:cs="Arial" w:eastAsia="Arial" w:hAnsi="Arial"/>
                <w:sz w:val="25"/>
                <w:szCs w:val="25"/>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HPL System</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ETC Katy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Regency Intrastate Gas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Comanche Trail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Trans-Pecos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Old Ocean Pipeline, LLC</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 Bluff Express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422"/>
        </w:trPr>
        <w:tc>
          <w:tcPr>
            <w:tcW w:w="5120" w:type="dxa"/>
            <w:vAlign w:val="bottom"/>
            <w:gridSpan w:val="2"/>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bi-directional capabilities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intrastate transportation and storage assets:</w:t>
      </w:r>
    </w:p>
    <w:p>
      <w:pPr>
        <w:spacing w:after="0" w:line="117" w:lineRule="exact"/>
        <w:rPr>
          <w:sz w:val="20"/>
          <w:szCs w:val="20"/>
          <w:color w:val="auto"/>
        </w:rPr>
      </w:pPr>
    </w:p>
    <w:p>
      <w:pPr>
        <w:jc w:val="both"/>
        <w:ind w:left="34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ET Fuel System serves some of the most prolific production areas in the United States and is comprised of intrastate natural gas pipeline and related natural gas storage facilities. The ET Fuel System has many interconnections with pipelines providing direct access to power plants, other intrastate and interstate pipelines, and has bi-directional capabilities. It 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strategically located near high-growth production areas and provides access to the Waha Hub near Pecos, Texas, the Maypearl Hub in Central Texas and the Carthage Hub in East Texas, the three major natural gas trading centers in Texas.</w:t>
      </w:r>
    </w:p>
    <w:p>
      <w:pPr>
        <w:spacing w:after="0" w:line="62"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color w:val="auto"/>
        </w:rPr>
        <w:t>The ET Fuel System also includes our Bethel natural gas storage facility, with a working capacity of 6.0 Bcf, an average withdrawal capacity of 300 MMcf/d and an injection capacity of 75 MMcf/d, and our Bryson natural gas storage facility, with a working capacity of 5.2 Bcf, an average withdrawal capacity of 120 MMcf/d and an average injection capacity of 96 MMcf/d. Storage capacity on the ET Fuel System is contracted to third parties under fee-based arrangements that extend through 2023.</w:t>
      </w:r>
    </w:p>
    <w:p>
      <w:pPr>
        <w:spacing w:after="0" w:line="7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addition, the ET Fuel System is integrated with our Godley processing plant which gives us the ability to bypass the plant when processing margins are unfavorable by blending the untreated natural gas from the North Texas System with natural gas on the ET Fuel System while continuing to meet pipeline quality specifications.</w:t>
      </w:r>
    </w:p>
    <w:p>
      <w:pPr>
        <w:spacing w:after="0" w:line="73" w:lineRule="exact"/>
        <w:rPr>
          <w:sz w:val="20"/>
          <w:szCs w:val="20"/>
          <w:color w:val="auto"/>
        </w:rPr>
      </w:pPr>
    </w:p>
    <w:p>
      <w:pPr>
        <w:jc w:val="both"/>
        <w:ind w:left="340" w:hanging="332"/>
        <w:spacing w:after="0" w:line="286"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Oasis Pipeline is primarily a 36-inch natural gas pipeline. It has bi-directional capabilities with approximately 1.3 Bcf/d of throughput capacity moving west-to-east and greater than 750 MMcf/d of throughput capacity moving east-to-west. The Oasis pipeline connects to the Waha and Katy market hubs and has many interconnections with other pipelines, power plants, processing facilities, municipalities and producers.</w:t>
      </w:r>
    </w:p>
    <w:p>
      <w:pPr>
        <w:spacing w:after="0" w:line="57" w:lineRule="exact"/>
        <w:rPr>
          <w:rFonts w:ascii="Arial" w:cs="Arial" w:eastAsia="Arial" w:hAnsi="Arial"/>
          <w:sz w:val="17"/>
          <w:szCs w:val="17"/>
          <w:color w:val="auto"/>
        </w:rPr>
      </w:pPr>
    </w:p>
    <w:p>
      <w:pPr>
        <w:jc w:val="both"/>
        <w:ind w:left="340"/>
        <w:spacing w:after="0" w:line="276" w:lineRule="auto"/>
        <w:rPr>
          <w:rFonts w:ascii="Arial" w:cs="Arial" w:eastAsia="Arial" w:hAnsi="Arial"/>
          <w:sz w:val="17"/>
          <w:szCs w:val="17"/>
          <w:color w:val="auto"/>
        </w:rPr>
      </w:pPr>
      <w:r>
        <w:rPr>
          <w:rFonts w:ascii="Arial" w:cs="Arial" w:eastAsia="Arial" w:hAnsi="Arial"/>
          <w:sz w:val="17"/>
          <w:szCs w:val="17"/>
          <w:color w:val="auto"/>
        </w:rPr>
        <w:t>The Oasis pipeline is integrated with our gathering system known as the Southeast Texas System and is an important component to maximizing our Southeast Texas System’s profitability. The Oasis pipeline enhances the Southeast Texas System by (i) providing access for natural gas gathered on the Southeast Texas System to other third-party supply and market points and interconnecting pipelines and (ii) allowing us to bypass our processing plants and treating facilities on the Southeast Texas System when processing margins are unfavorable by blending untreated natural gas from the Southeast Texas System with gas on the Oasis pipeline while continuing to meet pipeline quality specifications.</w:t>
      </w:r>
    </w:p>
    <w:p>
      <w:pPr>
        <w:spacing w:after="0" w:line="64" w:lineRule="exact"/>
        <w:rPr>
          <w:rFonts w:ascii="Arial" w:cs="Arial" w:eastAsia="Arial" w:hAnsi="Arial"/>
          <w:sz w:val="17"/>
          <w:szCs w:val="17"/>
          <w:color w:val="auto"/>
        </w:rPr>
      </w:pPr>
    </w:p>
    <w:p>
      <w:pPr>
        <w:jc w:val="both"/>
        <w:ind w:left="340" w:hanging="332"/>
        <w:spacing w:after="0" w:line="25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HPL System is an extensive network of intrastate natural gas pipelines, an underground Bammel storage reservoir and related transportation assets. The system has access to multiple sources of historically significant natural gas supply reserves from South Texas, the Gulf Coast of Texas, East Texas and the western Gulf of Mexico, and is directly connected to major gas distribution, electric and industrial load centers in Houston, Corpus Christi, Texas City, Beaumont and other cities located along the Gulf Coast of Texas. The HPL System is well situated to gather and transport gas in many of the major gas producing areas in Texas including a strong presence in the key Houston Ship Channel and Katy Hub markets, allowing us to play an important role in the Texas natural gas markets. The HPL System also offers its shippers off-system opportunities due to its numerous interconnections with other pipeline systems, its direct access to multiple market hubs at Katy, the Houston Ship Channel, Carthage and Agua Dulce, as well as our Bammel storage facility.</w:t>
      </w:r>
    </w:p>
    <w:p>
      <w:pPr>
        <w:spacing w:after="0" w:line="84"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The Bammel storage facility has a total working gas capacity of approximately 52.5 Bcf, a peak withdrawal rate of 1.3 Bcf/d and a peak injection rate of 0.6 Bcf/d. The Bammel storage facility is located near the Houston Ship Channel market area and the Katy Hub, and is ideally suited to provide a physical backup for on-system and off-system customers. As of December 31, 2019, we had approximately 19.0 Bcf committed under fee-based arrangements with third parties and approximately 27.3 Bcf stored in the facility for our own account.</w:t>
      </w:r>
    </w:p>
    <w:p>
      <w:pPr>
        <w:spacing w:after="0" w:line="78"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ETC Katy Pipeline connects three treating facilities, one of which we own, with our gathering system known as Southeast Texas System. The ETC Katy pipeline serves producers in East and North Central Texas and provided access to the Katy Hub. The ETC Katy pipeline expansions include the 36-inch East Texas extension to connect our Reed compressor station in Freestone County to our Grimes County compressor station, the 36-inch Katy expansion connecting Grimes to the Katy Hub, and the 42-inch Southeast Bossier pipeline connecting our Cleburne to Carthage pipeline to the HPL System.</w:t>
      </w:r>
    </w:p>
    <w:p>
      <w:pPr>
        <w:spacing w:after="0" w:line="8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RIGS is a 450-mile intrastate pipeline that delivers natural gas from northwest Louisiana to downstream pipelines and markets.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Comanche Trail is a 195-mile intrastate pipeline that delivers natural gas from the Waha Hub near Pecos, Texas to the United States/Mexico border near San Elizario, Texas. The Partnership owns a 16% membership interest in and operates Comanche Trail.</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Trans-Pecos is a 143-mile intrastate pipeline that delivers natural gas from the Waha Hub near Pecos, Texas to the United States/Mexico border near Presidio, Texas. The Partnership owns a 16% membership interest in and operates Trans-Pecos.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Old Ocean is a 240-mile intrastate pipeline system that delivers natural gas from Ellis County, Texas to Brazoria County, Texas. The Partnership owns a 50% membership interest in and operates Old Ocean.</w:t>
      </w:r>
    </w:p>
    <w:p>
      <w:pPr>
        <w:spacing w:after="0" w:line="62"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Red Bluff Express Pipeline is an approximately 108-mile intrastate pipeline that runs through the heart of the Delaware basin and connects our Orla Plant, as well as third-party plants to the Waha Oasis Header. The Partnership owns a 70% membership interest in and operates Red Bluff Express.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Interstate Transportation and Storage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in the interstate transportation and storage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Pipeline</w:t>
            </w:r>
          </w:p>
        </w:tc>
        <w:tc>
          <w:tcPr>
            <w:tcW w:w="146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Throughput</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Working Gas</w:t>
            </w:r>
          </w:p>
        </w:tc>
      </w:tr>
      <w:tr>
        <w:trPr>
          <w:trHeight w:val="216"/>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Miles of Natural</w:t>
            </w:r>
          </w:p>
        </w:tc>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Capacity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30"/>
        </w:trPr>
        <w:tc>
          <w:tcPr>
            <w:tcW w:w="5120" w:type="dxa"/>
            <w:vAlign w:val="bottom"/>
            <w:gridSpan w:val="2"/>
          </w:tcPr>
          <w:p>
            <w:pPr>
              <w:ind w:left="1740"/>
              <w:spacing w:after="0"/>
              <w:rPr>
                <w:sz w:val="20"/>
                <w:szCs w:val="20"/>
                <w:color w:val="auto"/>
              </w:rPr>
            </w:pPr>
            <w:r>
              <w:rPr>
                <w:rFonts w:ascii="Arial" w:cs="Arial" w:eastAsia="Arial" w:hAnsi="Arial"/>
                <w:sz w:val="18"/>
                <w:szCs w:val="18"/>
                <w:color w:val="auto"/>
              </w:rPr>
              <w:t>Description of Assets</w:t>
            </w: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Ownership Interest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Gas Pipeline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(Bcf/d)</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(Bcf/d)</w:t>
            </w:r>
          </w:p>
        </w:tc>
      </w:tr>
      <w:tr>
        <w:trPr>
          <w:trHeight w:val="27"/>
        </w:trPr>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 Gas Transmission</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Transwestern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Panhandle Eastern Pipe Line </w:t>
            </w:r>
            <w:r>
              <w:rPr>
                <w:rFonts w:ascii="Arial" w:cs="Arial" w:eastAsia="Arial" w:hAnsi="Arial"/>
                <w:sz w:val="25"/>
                <w:szCs w:val="25"/>
                <w:color w:val="auto"/>
                <w:vertAlign w:val="superscript"/>
              </w:rPr>
              <w:t>(1)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Trunkline Gas Company</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Tiger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Fayetteville Express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Sea Robin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Stingray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Rover Pipeline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Midcontinent Express Pipeline</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Gulf States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Natural gas storage assets are owned by Southwest Gas.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interstate transportation and storage assets:</w:t>
      </w:r>
    </w:p>
    <w:p>
      <w:pPr>
        <w:spacing w:after="0" w:line="117" w:lineRule="exact"/>
        <w:rPr>
          <w:sz w:val="20"/>
          <w:szCs w:val="20"/>
          <w:color w:val="auto"/>
        </w:rPr>
      </w:pPr>
    </w:p>
    <w:p>
      <w:pPr>
        <w:jc w:val="both"/>
        <w:ind w:left="340" w:hanging="332"/>
        <w:spacing w:after="0" w:line="273"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Florida Gas Transmission Pipeline (“FGT”) has mainline capacity of 3.5 Bcf/d and approximately 5,362 miles of pipelines extending from south Texas through the Gulf Coast region of the United States to south Florida. The FGT system receives natural gas from various onshore and offshore natural gas producing basins. FGT is the principal transporter of natural gas to the Florida energy market, delivering approximately 60% of the natural gas consumed in the state. In addition, FGT’s system operates and maintains multiple interconnects with major interstate and intrastate natural gas pipelines, which provide FGT’s customers access to diverse natural gas producing regions. FGT’s customers include electric utilities, independent power producers, industrial end-users and local distribution companies. FGT is owned by Citrus, a 50/50 joint venture with KMI.</w:t>
      </w:r>
    </w:p>
    <w:p>
      <w:pPr>
        <w:spacing w:after="0" w:line="70" w:lineRule="exact"/>
        <w:rPr>
          <w:rFonts w:ascii="Arial" w:cs="Arial" w:eastAsia="Arial" w:hAnsi="Arial"/>
          <w:sz w:val="17"/>
          <w:szCs w:val="17"/>
          <w:color w:val="auto"/>
        </w:rPr>
      </w:pPr>
    </w:p>
    <w:p>
      <w:pPr>
        <w:jc w:val="both"/>
        <w:ind w:left="340" w:hanging="332"/>
        <w:spacing w:after="0" w:line="279"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Transwestern Pipeline transports natural gas supply from the Permian Basin in West Texas and eastern New Mexico, the San Juan Basin in northwestern New Mexico and southern Colorado, and the Anadarko Basin in the Texas and Oklahoma panhandles. The system has bi-directional capabilities and can access Texas and Midcontinent natural gas market hubs, as well as major western markets in Arizona, Nevada and California. Transwestern’s customers include local distribution companies, producers, marketers, electric power generators and industrial end-users.</w:t>
      </w:r>
    </w:p>
    <w:p>
      <w:pPr>
        <w:spacing w:after="0" w:line="63"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Panhandle Eastern Pipe Line’s transmission system consists of four large diameter pipelines with bi-directional capabilities, extending approximately 1,300 miles from producing areas in the Anadarko Basin of Texas, Oklahoma and Kansas through Missouri, Illinois, Indiana, Ohio and into Michigan. Panhandle contracts for over 73 Bcf of natural gas storage.</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Trunkline Gas Company’s transmission system consists of one large diameter pipeline with bi-directional capabilities, extending approximately 1,400 miles from the Gulf Coast areas of Texas and Louisiana through Arkansas, Mississippi, Tennessee, Kentucky, Illinois, Indiana and Michigan. Trunkline has one natural gas storage field located in Louisiana.</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Tiger Pipeline is a bi-directional system that extends through the heart of the Haynesville Shale and ends near Delhi, Louisiana, interconnecting with multiple interstate pipelines.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Fayetteville Express Pipeline originates near Conway County, Arkansas and continues eastward to Panola County, Mississippi with multiple pipeline interconnections along the route. Fayetteville Express Pipeline is owned by a 50/50 joint venture with KMI.</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 Robin Pipeline’s system consists of two offshore Louisiana natural gas supply pipelines extending 120 miles into the Gulf of Mexico.</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Stingray Pipeline is an interstate natural gas pipeline system with related assets located in the western Gulf of Mexico and Johnson Bayou, Louisiana.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Rover Pipeline is a large diameter pipeline with total capacity to transport 3.25 Bcf/d natural gas from processing plants in West Virginia, Eastern Ohio and Western Pennsylvania for delivery to other pipeline interconnects in Ohio and Michigan, where the gas is delivered for distribution to markets across the United States, as well as to Ontario, Canada.</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Midcontinent Express Pipeline originates near Bennington, Oklahoma and traverses northern Louisiana and central Mississippi to an interconnect with the Transcontinental Gas Pipeline system in Butler, Alabama. The Midcontinent Express Pipeline is owned by a 50/50 joint venture with KMI, the operator of the system.</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Gulf States Transmission is a 10-mile interstate pipeline that extends from Harrison County, Texas to Caddo Parish, Louisiana.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Regasification Facility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Charles LNG, our wholly-owned subsidiary, owns a LNG import terminal and regasification facility located on Louisiana’s Gulf Coast near Lake Charles, Louisiana. The import terminal has approximately 9.0 Bcf of above ground LNG storage capacity and the regasification facility has a send out capacity of 1.8 Bcf/d.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Liquefaction Project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LCL, our wholly-owned subsidiary, is in the process of developing an LNG liquefaction project at the site of our Lake Charles LNG import terminal and regasification facility. The liquefaction facility would be constructed on 440 acres of land, of which 80 acres are owned by Lake Charles LNG and the remaining acres are to be leased by LCL under a long-term lease from the Lake Charles Harbor and Terminal District. The liquefaction project is expected to consist of three LNG trains with a combined design nameplate outlet capacity of 16.45 metric tonnes per annum. Once completed, the liquefaction project will enable LCL to liquefy domestically produced natural gas and export it as LNG. On June 18, 2017, LCL signed a memorandum of understanding with Korea Gas Corporation and Shell to study the feasibility of a joint development of the Lake Charles liquefaction project. LCL and Shell are actively involved in a variety of activities related to the development of the project. LCL has also been marketing LNG offtake to numerous potential customers in Asia and Europe.</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2019, ET announced a comprehensive commercial tender package which was issued to engineering, procurement and construction contractors to submit final bids for the proposed Lake Charles LNG liquefaction project being developed with Shell US LNG, LLC. The commercial bids are expected to be received in the second quarter of 2020.</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export of LNG produced by the liquefaction project from the United States would be undertaken under long-term export authorizations issued by the DOE to LCL. In March 2013, LCL obtained a DOE authorization to export LNG to countries with which the United States has or will have Free Trade Agreements (“FTA”) for trade in natural gas (the “FTA Authorization”). In July 2016, LCL also obtained a conditional DOE authorization to export LNG to countries that do not have an FTA for trade in natural gas (the “Non-FTA Authorization”). The FTA Authorization and Non-FTA Authorization have 25- and 20-year terms, respectively. In addition, LCL received its wetlands permits from the United States Army Corps of Engineers (“USACE”) to perform wetlands mitigation work and to perform modification and dredging work for the temporary and permanent dock facilities at the Lake Charles LNG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in the midstream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Net Gas Processing</w:t>
            </w:r>
          </w:p>
        </w:tc>
      </w:tr>
      <w:tr>
        <w:trPr>
          <w:trHeight w:val="216"/>
        </w:trPr>
        <w:tc>
          <w:tcPr>
            <w:tcW w:w="9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30"/>
        </w:trPr>
        <w:tc>
          <w:tcPr>
            <w:tcW w:w="9940" w:type="dxa"/>
            <w:vAlign w:val="bottom"/>
            <w:gridSpan w:val="2"/>
          </w:tcPr>
          <w:p>
            <w:pPr>
              <w:ind w:left="4140"/>
              <w:spacing w:after="0"/>
              <w:rPr>
                <w:sz w:val="20"/>
                <w:szCs w:val="20"/>
                <w:color w:val="auto"/>
              </w:rPr>
            </w:pPr>
            <w:r>
              <w:rPr>
                <w:rFonts w:ascii="Arial" w:cs="Arial" w:eastAsia="Arial" w:hAnsi="Arial"/>
                <w:sz w:val="18"/>
                <w:szCs w:val="18"/>
                <w:color w:val="auto"/>
              </w:rPr>
              <w:t>Description of Assets</w:t>
            </w:r>
          </w:p>
        </w:tc>
        <w:tc>
          <w:tcPr>
            <w:tcW w:w="1480" w:type="dxa"/>
            <w:vAlign w:val="bottom"/>
          </w:tcPr>
          <w:p>
            <w:pPr>
              <w:jc w:val="center"/>
              <w:spacing w:after="0"/>
              <w:rPr>
                <w:sz w:val="20"/>
                <w:szCs w:val="20"/>
                <w:color w:val="auto"/>
              </w:rPr>
            </w:pPr>
            <w:r>
              <w:rPr>
                <w:rFonts w:ascii="Arial" w:cs="Arial" w:eastAsia="Arial" w:hAnsi="Arial"/>
                <w:sz w:val="18"/>
                <w:szCs w:val="18"/>
                <w:color w:val="auto"/>
              </w:rPr>
              <w:t>(MMcf/d)</w:t>
            </w:r>
          </w:p>
        </w:tc>
      </w:tr>
      <w:tr>
        <w:trPr>
          <w:trHeight w:val="27"/>
        </w:trPr>
        <w:tc>
          <w:tcPr>
            <w:tcW w:w="9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South Texas Region:</w:t>
            </w: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gridSpan w:val="2"/>
          </w:tcPr>
          <w:p>
            <w:pPr>
              <w:ind w:left="200"/>
              <w:spacing w:after="0"/>
              <w:rPr>
                <w:sz w:val="20"/>
                <w:szCs w:val="20"/>
                <w:color w:val="auto"/>
              </w:rPr>
            </w:pPr>
            <w:r>
              <w:rPr>
                <w:rFonts w:ascii="Arial" w:cs="Arial" w:eastAsia="Arial" w:hAnsi="Arial"/>
                <w:sz w:val="18"/>
                <w:szCs w:val="18"/>
                <w:color w:val="auto"/>
              </w:rPr>
              <w:t>Southeast Texas System</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Eagle Ford System</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Ark-La-Tex Region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1,442</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Central Texas Region</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Permian Region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2,740</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Midcontinent Region</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Eastern Region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459"/>
        </w:trPr>
        <w:tc>
          <w:tcPr>
            <w:tcW w:w="9820" w:type="dxa"/>
            <w:vAlign w:val="bottom"/>
          </w:tcPr>
          <w:p>
            <w:pPr>
              <w:ind w:left="56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midstream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Texas Region:</w:t>
      </w:r>
    </w:p>
    <w:p>
      <w:pPr>
        <w:spacing w:after="0" w:line="117" w:lineRule="exact"/>
        <w:rPr>
          <w:sz w:val="20"/>
          <w:szCs w:val="20"/>
          <w:color w:val="auto"/>
        </w:rPr>
      </w:pPr>
    </w:p>
    <w:p>
      <w:pPr>
        <w:jc w:val="both"/>
        <w:ind w:left="340" w:hanging="332"/>
        <w:spacing w:after="0" w:line="273"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Southeast Texas System is an integrated system that gathers, compresses, treats, processes, dehydrates and transports natural gas from the Austin Chalk trend and Eagle Ford shale formation. The Southeast Texas System is a large natural gas gathering system covering thirteen counties between Austin and Houston. This system is connected to the Katy Hub through the ETC Katy Pipeline and is also connected to the Oasis Pipeline. The Southeast Texas System includes two natural gas processing plants (La Grange and Alamo) with aggregate capacity of 410 MMcf/d. The La Grange and Alamo processing plants are natural gas processing plants that process the rich gas that flows through our gathering system to produce residue gas and NGLs. Residue gas is delivered into our intrastate pipelines and NGLs are delivered into our NGL pipelines to Lone Star.</w:t>
      </w:r>
    </w:p>
    <w:p>
      <w:pPr>
        <w:spacing w:after="0" w:line="70" w:lineRule="exact"/>
        <w:rPr>
          <w:rFonts w:ascii="Arial" w:cs="Arial" w:eastAsia="Arial" w:hAnsi="Arial"/>
          <w:sz w:val="17"/>
          <w:szCs w:val="17"/>
          <w:color w:val="auto"/>
        </w:rPr>
      </w:pPr>
    </w:p>
    <w:p>
      <w:pPr>
        <w:ind w:left="340" w:right="20"/>
        <w:spacing w:after="0" w:line="277" w:lineRule="auto"/>
        <w:rPr>
          <w:rFonts w:ascii="Arial" w:cs="Arial" w:eastAsia="Arial" w:hAnsi="Arial"/>
          <w:sz w:val="17"/>
          <w:szCs w:val="17"/>
          <w:color w:val="auto"/>
        </w:rPr>
      </w:pPr>
      <w:r>
        <w:rPr>
          <w:rFonts w:ascii="Arial" w:cs="Arial" w:eastAsia="Arial" w:hAnsi="Arial"/>
          <w:sz w:val="18"/>
          <w:szCs w:val="18"/>
          <w:color w:val="auto"/>
        </w:rPr>
        <w:t>Our treating facilities remove carbon dioxide and hydrogen sulfide from natural gas gathered into our system before the natural gas is introduced to transportation pipelines to ensure that the gas meets pipeline quality specifications.</w:t>
      </w:r>
    </w:p>
    <w:p>
      <w:pPr>
        <w:spacing w:after="0" w:line="62" w:lineRule="exact"/>
        <w:rPr>
          <w:rFonts w:ascii="Arial" w:cs="Arial" w:eastAsia="Arial" w:hAnsi="Arial"/>
          <w:sz w:val="17"/>
          <w:szCs w:val="17"/>
          <w:color w:val="auto"/>
        </w:rPr>
      </w:pPr>
    </w:p>
    <w:p>
      <w:pPr>
        <w:jc w:val="both"/>
        <w:ind w:left="340" w:hanging="332"/>
        <w:spacing w:after="0" w:line="276"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Eagle Ford Gathering System consists of 30-inch and 42-inch natural gas gathering pipelines with over 1.4 Bcf/d of capacity originating in Dimmitt County, Texas, and extending to both our King Ranch gas plant in Kleberg County, Texas and Jackson plant in Jackson County, Texas. The Eagle Ford Gathering System includes four processing plants (Chisholm, Kenedy, Jackson and King Ranch) with aggregate capacity of 1.92 Bcf/d. Our Chisholm, Kenedy, Jackson and King Ranch processing plants are connected to our intrastate transportation pipeline systems for deliveries of residue gas and are also connected with our NGL pipelines for delivery of NGLs to Lone Star.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Ark-La-Tex Region:</w:t>
      </w:r>
    </w:p>
    <w:p>
      <w:pPr>
        <w:spacing w:after="0" w:line="117" w:lineRule="exact"/>
        <w:rPr>
          <w:sz w:val="20"/>
          <w:szCs w:val="20"/>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Northern Louisiana assets are comprised of several gathering systems in the Haynesville Shale with access to multiple markets through interconnects with several pipelines, including our Tiger Pipeline. Our Northern Louisiana assets include the Bistineau, Creedence, and Tristate Systems, which collectively include three natural gas treating facilities, with aggregate capacity of 1.4 Bcf/d.</w:t>
      </w:r>
    </w:p>
    <w:p>
      <w:pPr>
        <w:spacing w:after="0" w:line="73"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Ark-La-Tex assets gather, compress, treat and dehydrate natural gas in several parishes in north and west Louisiana and several counties in East Texas. These assets also include cryogenic natural gas processing facilities, a refrigeration plant, a conditioning plant, amine treating plants, a residue gas pipeline that provides market access for natural gas from our processing plants, including connections with pipelines that provide access to the Perryville Hub and other markets in the Gulf Coast region, and an NGL pipeline that provides connections to the Mont Belvieu market for NGLs produced from our processing plants. Collectively, the ten natural gas processing facilities (Dubach, Dubberly, Lisbon, Salem, Elm Grove, Minden, Ada, Brookeland, Lincoln Parish and Mt. Olive) have an aggregate capacity of 1.3 Bcf/d.</w:t>
      </w:r>
    </w:p>
    <w:p>
      <w:pPr>
        <w:spacing w:after="0" w:line="70"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Through the gathering and processing systems described above and their interconnections with RIGS in north Louisiana, as well as other pipelines, we offer producers wellhead-to-market services, including natural gas gathering, compression, processing, treating and transportation.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Central Texas Region:</w:t>
      </w:r>
    </w:p>
    <w:p>
      <w:pPr>
        <w:spacing w:after="0" w:line="117" w:lineRule="exact"/>
        <w:rPr>
          <w:sz w:val="20"/>
          <w:szCs w:val="20"/>
          <w:color w:val="auto"/>
        </w:rPr>
      </w:pPr>
    </w:p>
    <w:p>
      <w:pPr>
        <w:jc w:val="both"/>
        <w:ind w:left="340" w:hanging="332"/>
        <w:spacing w:after="0" w:line="31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North Central Texas System is an integrated system located in four counties in North Central Texas that gathers, compresses, treats, processes and transports natural gas from the Barnett and Woodford Shales. Our North Central Texas assets include our Godley and Crescent plants, which process rich gas produced from the Barnett Shale and STACK play, with aggregate capacity of 700 MMcf/d. The Godley plant is integrated with the ET Fuel System.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Permian Region:</w:t>
      </w:r>
    </w:p>
    <w:p>
      <w:pPr>
        <w:spacing w:after="0" w:line="117" w:lineRule="exact"/>
        <w:rPr>
          <w:sz w:val="20"/>
          <w:szCs w:val="20"/>
          <w:color w:val="auto"/>
        </w:rPr>
      </w:pPr>
    </w:p>
    <w:p>
      <w:pPr>
        <w:jc w:val="both"/>
        <w:ind w:left="340" w:hanging="332"/>
        <w:spacing w:after="0" w:line="255"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Permian Basin Gathering System offers wellhead-to-market services to producers in eleven counties in West Texas, as well as two counties in New Mexico which surround the Waha Hub, one of Texas’s developing NGL-rich natural gas market areas. As a result of the proximity of our system to the Waha Hub, the Waha Gathering System has a variety of market outlets for the natural gas that we gather and process, including several major interstate and intrastate pipelines serving California, the midcontinent region of the United States and Texas natural gas markets. The NGL market outlets includes Lone Star’s liquids pipelines. The Permian Basin Gathering System includes eleven processing facilities (Waha, Coyanosa, Red Bluff, Halley, Jal, Keyston, Tippet, Orla, Panther, Rebel and Arrowhead) with an aggregate processing capacity of 2.4 Bcf/d and one natural gas conditioning facility with aggregate capacity of 200 MMcf/d.</w:t>
      </w:r>
    </w:p>
    <w:p>
      <w:pPr>
        <w:spacing w:after="0" w:line="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own a 50% membership interest in Mi Vida JV, a joint venture which owns a 200 MMcf/d cryogenic processing plant in West Texas. We operate the plant and related facilities on behalf of Mi Vida JV.</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own a 50% membership interest in Ranch JV, which processes natural gas delivered from the NGL-rich Bone Spring and Avalon Shale formations in West Texas. The joint venture owns a 25 MMcf/d refrigeration plant and a 125 MMcf/d cryogenic processing plant.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 Region:</w:t>
      </w:r>
    </w:p>
    <w:p>
      <w:pPr>
        <w:spacing w:after="0" w:line="117" w:lineRule="exact"/>
        <w:rPr>
          <w:sz w:val="20"/>
          <w:szCs w:val="20"/>
          <w:color w:val="auto"/>
        </w:rPr>
      </w:pPr>
    </w:p>
    <w:p>
      <w:pPr>
        <w:jc w:val="both"/>
        <w:ind w:left="340" w:hanging="332"/>
        <w:spacing w:after="0" w:line="29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Midcontinent Systems are located in two large natural gas producing regions in the United States, the Hugoton Basin in southwest Kansas, and the Anadarko Basin in western Oklahoma and the Texas Panhandle and the STACK in central Oklahoma. These mature basins have continued to provide generally long-lived, predictable production volume. Our Midcontinent assets are extensive systems that gather, compress and dehydrate low-pressure gas. The Midcontinent Systems include sixteen natural gas processing facilities (Mocane, Beaver, Antelope Hills, Woodall, Wheeler, Sunray, Hemphill, Phoenix, Hamlin, Spearman, Red Deer, Lefors, Cargray, Gray, Rose Valley, and Hopeton) with an aggregate capacity of approximately 1.4 Bcf/d.</w:t>
      </w:r>
    </w:p>
    <w:p>
      <w:pPr>
        <w:spacing w:after="0" w:line="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operate our Midcontinent Systems at low pressures to maximize the total throughput volumes from the connected wells. Wellhead pressures are therefore adequate to allow for flow of natural gas into the gathering lines without the cost of wellhead compression.</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also own the Hugoton Gathering System that has 1,900 miles of pipeline extending over nine counties in Kansas and Oklahoma. This system is operated by a third party.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Region:</w:t>
      </w:r>
    </w:p>
    <w:p>
      <w:pPr>
        <w:spacing w:after="0" w:line="117" w:lineRule="exact"/>
        <w:rPr>
          <w:sz w:val="20"/>
          <w:szCs w:val="20"/>
          <w:color w:val="auto"/>
        </w:rPr>
      </w:pPr>
    </w:p>
    <w:p>
      <w:pPr>
        <w:jc w:val="both"/>
        <w:ind w:left="340" w:hanging="332"/>
        <w:spacing w:after="0" w:line="25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Eastern Region assets are located in eleven counties in Pennsylvania, four counties in Ohio, three counties in West Virginia, and gather natural gas from the Marcellus and Utica basins. Our Eastern Region assets include approximately 600 miles of natural gas gathering pipeline, natural gas trunklines, fresh-water pipelines, and nine gathering and processing systems, as well as the 200 MMcf/d Revolution processing plant, which feeds into our Mariner East and Rover pipeline systems.</w:t>
      </w:r>
    </w:p>
    <w:p>
      <w:pPr>
        <w:spacing w:after="0" w:line="7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also own a 51% membership interest in Aqua – ETC Water Solutions LLC, a joint venture that transports and supplies fresh water to natural gas producers drilling in the Marcellus Shale in Pennsylvania.</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own a 75% membership interest in ORS. On behalf of ORS, we operate its Ohio Utica River System, which consists of 47 miles of 36-inch, 13 miles of 30-inch and 3 miles of 24-inch gathering trunklines, that delivers up to 3.6 Bcf/d to Rockies Express Pipeline, Texas Eastern Transmission, Leach Xpress, Rover and DEO TPL-18.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and Refined Products Transportation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assets in our NGL and refined products transportation and services segment: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NGL Fractionation</w:t>
            </w:r>
          </w:p>
        </w:tc>
        <w:tc>
          <w:tcPr>
            <w:tcW w:w="148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Processing</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Working Storage</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Miles of Liquids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Capacity</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57"/>
        </w:trPr>
        <w:tc>
          <w:tcPr>
            <w:tcW w:w="664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Description of Assets</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270"/>
              <w:spacing w:after="0" w:line="257" w:lineRule="exact"/>
              <w:rPr>
                <w:sz w:val="20"/>
                <w:szCs w:val="20"/>
                <w:color w:val="auto"/>
              </w:rPr>
            </w:pPr>
            <w:r>
              <w:rPr>
                <w:rFonts w:ascii="Arial" w:cs="Arial" w:eastAsia="Arial" w:hAnsi="Arial"/>
                <w:sz w:val="18"/>
                <w:szCs w:val="18"/>
                <w:color w:val="auto"/>
              </w:rPr>
              <w:t xml:space="preserve">Pipeline </w:t>
            </w:r>
            <w:r>
              <w:rPr>
                <w:rFonts w:ascii="Arial" w:cs="Arial" w:eastAsia="Arial" w:hAnsi="Arial"/>
                <w:sz w:val="25"/>
                <w:szCs w:val="25"/>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(MBbls/d)</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(MBbls)</w:t>
            </w: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Liquids Pipelines:</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Lone Star Express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West Texas Gateway Pipeline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Lone Star</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Mariner East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Mariner South</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Mariner West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White Cliffs Pipeline</w:t>
            </w:r>
            <w:r>
              <w:rPr>
                <w:rFonts w:ascii="Arial" w:cs="Arial" w:eastAsia="Arial" w:hAnsi="Arial"/>
                <w:sz w:val="25"/>
                <w:szCs w:val="25"/>
                <w:color w:val="auto"/>
                <w:vertAlign w:val="superscript"/>
              </w:rPr>
              <w:t>(3)</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 NGL Pipelines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Liquids Fractionation and Services Facilities: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Mont Belvieu Facilities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70"/>
        </w:trPr>
        <w:tc>
          <w:tcPr>
            <w:tcW w:w="676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Sea Robin Processing Plant</w:t>
            </w:r>
            <w:r>
              <w:rPr>
                <w:rFonts w:ascii="Arial" w:cs="Arial" w:eastAsia="Arial" w:hAnsi="Arial"/>
                <w:sz w:val="25"/>
                <w:szCs w:val="25"/>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6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Refinery Services</w:t>
            </w:r>
            <w:r>
              <w:rPr>
                <w:rFonts w:ascii="Arial" w:cs="Arial" w:eastAsia="Arial" w:hAnsi="Arial"/>
                <w:sz w:val="25"/>
                <w:szCs w:val="25"/>
                <w:color w:val="auto"/>
                <w:vertAlign w:val="superscript"/>
              </w:rPr>
              <w:t>(1)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Hattiesburg Storage Facilities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Cedar Bayou</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NGL Terminals: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Nederland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Marcus Hook Industrial Complex</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Inkster</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Refined Products Pipelines: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Eastern region pipelines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Midcontinent region pipelines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Southwest region pipelines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20"/>
              <w:spacing w:after="0"/>
              <w:rPr>
                <w:sz w:val="20"/>
                <w:szCs w:val="20"/>
                <w:color w:val="auto"/>
              </w:rPr>
            </w:pPr>
            <w:r>
              <w:rPr>
                <w:rFonts w:ascii="Arial" w:cs="Arial" w:eastAsia="Arial" w:hAnsi="Arial"/>
                <w:sz w:val="18"/>
                <w:szCs w:val="18"/>
                <w:color w:val="auto"/>
              </w:rPr>
              <w:t>Inland Pipeline</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JC Nolan Pipeline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Refined Products Terminals: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Eagle Point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Marcus Hook Industrial Complex</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Marcus Hook Tank Farm</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6760" w:type="dxa"/>
            <w:vAlign w:val="bottom"/>
            <w:gridSpan w:val="2"/>
          </w:tcPr>
          <w:p>
            <w:pPr>
              <w:ind w:left="200"/>
              <w:spacing w:after="0"/>
              <w:rPr>
                <w:sz w:val="20"/>
                <w:szCs w:val="20"/>
                <w:color w:val="auto"/>
              </w:rPr>
            </w:pPr>
            <w:r>
              <w:rPr>
                <w:rFonts w:ascii="Arial" w:cs="Arial" w:eastAsia="Arial" w:hAnsi="Arial"/>
                <w:sz w:val="18"/>
                <w:szCs w:val="18"/>
                <w:color w:val="auto"/>
              </w:rPr>
              <w:t>Marketing Terminals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8,000</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JC Nolan Terminal</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Additionally, the Sea Robin Processing Plant and Refinery Services have residue capacities of 850 MMcf/d and 54 MMcf/d, respectively.</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Miles of pipeline as reported to PHMSA.</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 White Cliffs Pipeline consists of two parallel, 12-inch common carrier pipelines: one crude oil pipeline and one NGL pipeline.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NGL and refined products transportation and services assets:</w:t>
      </w:r>
    </w:p>
    <w:p>
      <w:pPr>
        <w:spacing w:after="0" w:line="117"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Lone Star Express System is an interstate NGL pipeline consisting of 24-inch and 30-inch long-haul transportation pipeline, with throughput capacity of approximately 500 MBbls/d, that delivers mixed NGLs from processing plants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Permian Basin, the Barnett Shale, and from East Texas to the Mont Belvieu NGL storage facility. An expansion of the pipeline is currently underway, which will add approximately 400 MBbls/d of NGL pipeline capacity from Lone Star’s pipeline system near Wink, Texas to the Lone Star Express 30-inch pipeline south of Fort Worth, Texas. It is expected to be in service by the fourth quarter of 2020.</w:t>
      </w:r>
    </w:p>
    <w:p>
      <w:pPr>
        <w:spacing w:after="0" w:line="73" w:lineRule="exact"/>
        <w:rPr>
          <w:sz w:val="20"/>
          <w:szCs w:val="20"/>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West Texas Gateway Pipeline transports NGLs produced in the Permian and Delaware Basins and the Eagle Ford Shale to Mont Belvieu, Texas and has a throughput capacity of approximately 240 MBbls/d.</w:t>
      </w:r>
    </w:p>
    <w:p>
      <w:pPr>
        <w:spacing w:after="0" w:line="62"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Mariner East pipeline transports NGLs from the Marcellus and Utica Shales areas in Western Pennsylvania, West Virginia and Eastern Ohio to destinations in Pennsylvania, including our Marcus Hook Industrial Complex on the Delaware River, where they are processed, stored and distributed to local, domestic and waterborne markets. The first phase of the project, referred to as Mariner East 1, consisted of interstate and intrastate propane and ethane service and commenced operations in the fourth quarter of 2014 and the first quarter of 2016, respectively. The second phase of the project, referred to as Mariner East 2, began service in December 2018. The Mariner East pipeline has a throughput capacity of approximately 345 MBbls/d.</w:t>
      </w:r>
    </w:p>
    <w:p>
      <w:pPr>
        <w:spacing w:after="0" w:line="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Mariner South liquids pipeline delivers export-grade propane and butane products from Lone Star’s Mont Belvieu, Texas storage and fractionation complex to our marine terminal in Nederland, Texas and has a throughput capacity of approximately 200 MBbls/d.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Mariner West pipeline provides transportation of ethane from the Marcellus shale processing and fractionating areas in Houston, Pennsylvania to Marysville, Michigan and the Canadian border and has a throughput capacity of approximately 50 MBbls/d.</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White Cliffs NGL pipeline, which we have 51% ownership interest in and which was acquired by ET in the SemGroup acquisition and contributed to ETO in January 2020, transports NGLs produced in the DJ Basin to Cushing, where it interconnects with the Southern Hills Pipeline to move NGLs to Mont Belvieu, Texas and has a throughput capacity of approximately 40 MBbls/d.</w:t>
      </w:r>
    </w:p>
    <w:p>
      <w:pPr>
        <w:spacing w:after="0" w:line="7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NGL pipelines include the 127-mile Justice pipeline with capacity of 375 MBbls/d, the 45-mile Freedom pipeline with a capacity of 56 MBbls/d, the 20-mile Spirit pipeline with a capacity of 20 MBbls/d and a 50% interest in the 87-mile Liberty pipeline with a capacity of 140 MBbls/d.</w:t>
      </w:r>
    </w:p>
    <w:p>
      <w:pPr>
        <w:spacing w:after="0" w:line="38"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Mont Belvieu storage facility is an integrated liquids storage facility with approximately 50 MMBbls of salt dome capacity providing 100% fee-based cash flows. The Mont Belvieu storage facility has access to multiple NGL and refined products pipelines, the Houston Ship Channel trading hub, and numerous chemical plants, refineries and fractionators.</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Mont Belvieu fractionators handle NGLs delivered from several sources, including the Lone Star Express pipeline and the Justice pipeline. Fractionator VI was placed in service in February 2019, Fractionator VII was placed in service in the first quarter of 2020, and Fractionator VIII is currently under construction and is scheduled to be operational by the second quarter of 2021.</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 Robin is a rich gas processing plant located on the Sea Robin Pipeline in southern Louisiana. The plant is connected to nine interstate and four intrastate residue pipelines, as well as various deep-water production fields.</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Refinery Services consists of a refinery off-gas processing unit and an O-grade NGL fractionation / Refinery-Grade Propylene (“RGP”) splitting complex located along the Mississippi River refinery corridor in southern Louisiana. The off-gas processing unit cryogenically processes refinery off-gas, and the fractionation / RGP splitting complex fractionates the streams into higher value components. The O-grade fractionator and RGP splitting complex, located in Geismar, Louisiana, is connected by approximately 103 miles of pipeline to the Chalmette processing plant, which has a processing capacity of 54 MMcf/d.</w:t>
      </w:r>
    </w:p>
    <w:p>
      <w:pPr>
        <w:spacing w:after="0" w:line="8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Hattiesburg storage facility is an integrated liquids storage facility with approximately 3 MMBbls of salt dome capacity, providing 100% fee-based cash flows.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Cedar Bayou storage facility is an integrated liquids storage facility with approximately 1.6 MMBbls of tank storage, generating revenues from fixed fee storage contracts, throughput fees, and revenue from blending butane into refined gasoline.</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Nederland terminal, in addition to crude oil activities, also provides approximately 1.2 MMBbls of storage and distribution services for NGLs in connection with the Mariner South pipeline, which provides transportation of propane and butane products from the Mont Belvieu region to the Nederland terminal, where such products can be exported via ship.</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Marcus Hook Industrial Complex includes fractionation, terminalling and storage assets, with a capacity of approximately 2 MMbbls of NGL storage capacity in underground caverns, 4 MMbbls of above-ground refrigerated storage, and related commercial agreements. The terminal has a total active refined products storage capacity of approximately 1 MMbbls. The facility can receive NGLs and refined products via marine vessel, pipeline, truck and rail, and can deliver via marine vessel,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pipeline and truck. In addition to providing NGL storage and terminalling services to both affiliates and third-party customers, the Marcus Hook Industrial Complex currently serves as an off-take outlet for our Mariner East 1 pipeline system.</w:t>
      </w:r>
    </w:p>
    <w:p>
      <w:pPr>
        <w:spacing w:after="0" w:line="62" w:lineRule="exact"/>
        <w:rPr>
          <w:sz w:val="20"/>
          <w:szCs w:val="20"/>
          <w:color w:val="auto"/>
        </w:rPr>
      </w:pPr>
    </w:p>
    <w:p>
      <w:pPr>
        <w:jc w:val="both"/>
        <w:ind w:left="340" w:hanging="332"/>
        <w:spacing w:after="0" w:line="28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Inkster terminal, located near Detroit, Michigan, consists of multiple salt caverns with a total storage capacity of approximately 860 MBbls of NGLs. We use the Inkster terminal’s storage in connection with the Toledo North pipeline system and for the storage of NGLs from local producers and a refinery in Western Ohio. The terminal can receive and ship by pipeline in both directions and has a truck loading and unloading rack.</w:t>
      </w:r>
    </w:p>
    <w:p>
      <w:pPr>
        <w:spacing w:after="0" w:line="57"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Eastern region refined products pipelines consist of approximately 615 miles of 6-inch to 16-inch diameters refined product pipelines in Eastern, Central and North Central Pennsylvania, approximately 162 miles of 8-inch refined products pipeline in western New York and approximately 180 miles of various diameters refined products pipeline in New Jersey (including 80 miles of the 16-inch diameter Harbor Pipeline).</w:t>
      </w:r>
    </w:p>
    <w:p>
      <w:pPr>
        <w:spacing w:after="0" w:line="57"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midcontinent region refined products pipelines primarily consist of approximately 296 miles of 3-inch to 12-inch refined products pipelines in Ohio and approximately 53 miles of 6-inch and 8-inch refined products pipeline in Michigan.</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Southwest region refined products pipelines are located in Eastern Texas and consist primarily of approximately 876 miles of 8-inch diameter refined products pipeline.</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Inland refined products pipeline is approximately 580 miles of pipeline in Ohio, consisting of 72 miles of 12-inch diameter refined products pipeline in Northwest Ohio, 206 miles of 10-inch diameter refined products pipeline in vicinity of Columbus, Ohio, 135 miles of 8-inch diameter refined products pipeline in western Ohio, and 168 miles of 6-inch diameter refined products pipeline in Northeast Ohio.</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JC Nolan Pipeline is a joint venture between a wholly-owned subsidiary of the Partnership and a wholly-owned subsidiary of Sunoco LP, which transports diesel fuel from a tank farm in Hebert, Texas to Midland, Texas, and was placed into service in July 2019 and has a throughput capacity of approximately 36 MBbls/d.</w:t>
      </w:r>
    </w:p>
    <w:p>
      <w:pPr>
        <w:spacing w:after="0" w:line="73"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approximately 35 refined products terminals with an aggregate storage capacity of approximately 8 MMBbls that facilitate the movement of refined products to or from storage or transportation systems, such as a pipeline, to other transportation systems, such as trucks or other pipelines. Each facility typically consists of multiple storage tanks and is equipped with automated truck loading equipment that is operational 24 hours a day.</w:t>
      </w:r>
    </w:p>
    <w:p>
      <w:pPr>
        <w:spacing w:after="0" w:line="38"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addition to crude oil service, the Eagle Point terminal can accommodate three marine vessels (ships or barges) to receive and deliver refined products to outbound ships and barges. The tank farm has a total active refined products storage capacity of approximately 7 MMBbls, and provides customers with access to the facility via ship, barge and pipeline. The terminal can deliver via ship, barge, truck or pipeline, providing customers with access to various markets. The terminal generates revenue primarily by charging fees based on throughput, blending services and storage.</w:t>
      </w:r>
    </w:p>
    <w:p>
      <w:pPr>
        <w:spacing w:after="0" w:line="46" w:lineRule="exact"/>
        <w:rPr>
          <w:rFonts w:ascii="Arial" w:cs="Arial" w:eastAsia="Arial" w:hAnsi="Arial"/>
          <w:sz w:val="16"/>
          <w:szCs w:val="16"/>
          <w:color w:val="auto"/>
        </w:rPr>
      </w:pPr>
    </w:p>
    <w:p>
      <w:pPr>
        <w:ind w:left="340" w:hanging="332"/>
        <w:spacing w:after="0" w:line="342"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Marcus Hook Tank Farm has a total refined products storage capacity of approximately 2 MMBbls of refined products storage. The terminal receives and delivers refined products via pipeline and primarily provides terminalling services to support movements on our refined products pipelines.</w:t>
      </w:r>
    </w:p>
    <w:p>
      <w:pPr>
        <w:spacing w:after="0" w:line="15"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JC Nolan Terminal, located in Midland, Texas, is a joint venture between a wholly-owned entity of the Partnership and wholly-owned entity of Sunoco LP, which provides diesel fuel storage that was placed into service in August 2019.</w:t>
      </w:r>
    </w:p>
    <w:p>
      <w:pPr>
        <w:spacing w:after="0" w:line="6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segment also includes the following joint ventures: 15% membership interest in the Explorer Pipeline Company, a 1,850-mile pipeline which originates from refining centers in Beaumont, Port Arthur, and Houston, Texas and extends to Chicago, Illinois; 31% membership interest in the Wolverine Pipe Line Company, a 1,055-mile pipeline that originates from Chicago, Illinois and extends to Detroit, Grand Haven, and Bay City, Michigan; 17% membership interest in the West Shore Pipe Line Company, a 650-mile pipeline which originates in Chicago, Illinois and extends to Madison and Green Bay, Wisconsin; a 14% membership interest in the Yellowstone Pipe Line Company, a 710-mile pipeline which originates from Billings, Montana and extends to Moses Lake, Washington.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Crude Oil Transportation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and terminals in its crude oil transportation and services operations: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Working Storage</w:t>
            </w:r>
          </w:p>
        </w:tc>
      </w:t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color w:val="auto"/>
              </w:rPr>
              <w:t>Miles of Crude</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Capacity</w:t>
            </w:r>
          </w:p>
        </w:tc>
      </w:tr>
      <w:tr>
        <w:trPr>
          <w:trHeight w:val="257"/>
        </w:trPr>
        <w:tc>
          <w:tcPr>
            <w:tcW w:w="660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Description of Assets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Ownership Interest</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50"/>
              <w:spacing w:after="0" w:line="257" w:lineRule="exact"/>
              <w:rPr>
                <w:sz w:val="20"/>
                <w:szCs w:val="20"/>
                <w:color w:val="auto"/>
              </w:rPr>
            </w:pPr>
            <w:r>
              <w:rPr>
                <w:rFonts w:ascii="Arial" w:cs="Arial" w:eastAsia="Arial" w:hAnsi="Arial"/>
                <w:sz w:val="18"/>
                <w:szCs w:val="18"/>
                <w:color w:val="auto"/>
              </w:rPr>
              <w:t xml:space="preserve">Pipeline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(MBbls)</w:t>
            </w:r>
          </w:p>
        </w:tc>
      </w:tr>
      <w:tr>
        <w:trPr>
          <w:trHeight w:val="244"/>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Dakota Access Pipeline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Energy Transfer Crude Oil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Bayou Bridge Pipeline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Permian Express Pipelines</w:t>
            </w:r>
          </w:p>
        </w:tc>
        <w:tc>
          <w:tcPr>
            <w:tcW w:w="156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Wattenberg Oil Trunkline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70"/>
        </w:trPr>
        <w:tc>
          <w:tcPr>
            <w:tcW w:w="67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White Cliffs Pipeline</w:t>
            </w:r>
            <w:r>
              <w:rPr>
                <w:rFonts w:ascii="Arial" w:cs="Arial" w:eastAsia="Arial" w:hAnsi="Arial"/>
                <w:sz w:val="25"/>
                <w:szCs w:val="25"/>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Maurepas Pipeline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Other Crude Oil Pipelines</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Nederland Terminal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Fort Mifflin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3,175</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Eagle Point Terminal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Midland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Marcus Hook Industrial Complex</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Houston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18,200</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Cushing Facility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Patoka, Illinois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w:t>
            </w:r>
          </w:p>
        </w:tc>
      </w:tr>
    </w:tbl>
    <w:p>
      <w:pPr>
        <w:spacing w:after="0" w:line="64"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Miles of pipeline as reported to PHMSA.</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The White Cliffs Pipeline consists of two parallel, 12-inch common carrier crude oil pipelines: one crude oil pipeline and one NGL pipeline.</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crude oil operations consist of an integrated set of pipeline, terminalling, trucking and acquisition and marketing assets that service the movement of crude oil from producers to end-user markets. The following details our assets in the crude oil transportation and services segment: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Pipelines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crude oil pipelines consist of approximately 10,770 miles of crude oil trunk and gathering pipelines in the southwest, northwest and midwest United States, including our wholly-owned interests in West Texas Gulf, Permian Express Terminal LLC, Mid-Valley and Wattenberg Oil Trunkline. Additionally, we have equity ownership interests in two crude oil pipelines. Our crude oil pipelines provide access to several trading hubs, including the largest trading hub for crude oil in the United States located in Cushing, Oklahoma, and other trading hubs located in Midland, Colorado City and Longview, Texas. Our crude oil pipelines also deliver to and connect with other pipelines that deliver crude oil to a number of refineries.</w:t>
      </w:r>
    </w:p>
    <w:p>
      <w:pPr>
        <w:spacing w:after="0" w:line="64" w:lineRule="exact"/>
        <w:rPr>
          <w:sz w:val="20"/>
          <w:szCs w:val="20"/>
          <w:color w:val="auto"/>
        </w:rPr>
      </w:pPr>
    </w:p>
    <w:p>
      <w:pPr>
        <w:jc w:val="both"/>
        <w:ind w:left="340" w:hanging="332"/>
        <w:spacing w:after="0" w:line="286" w:lineRule="auto"/>
        <w:tabs>
          <w:tab w:leader="none" w:pos="34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Bakken Pipeline. </w:t>
      </w:r>
      <w:r>
        <w:rPr>
          <w:rFonts w:ascii="Arial" w:cs="Arial" w:eastAsia="Arial" w:hAnsi="Arial"/>
          <w:sz w:val="17"/>
          <w:szCs w:val="17"/>
          <w:color w:val="auto"/>
        </w:rPr>
        <w:t>Dakota Access and ETCO are collectively referred to as the “Bakken Pipeline.” The Bakken Pipeline is a 1,916 mile pipeline with</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of 570 MBbls/d, that transports domestically produced crude oil from the Bakken/Three Forks production areas in North Dakota to a storage and terminal hub outside of Patoka, Illinois, or to gulf coast connections including our crude terminal in Nederland Texas.</w:t>
      </w:r>
    </w:p>
    <w:p>
      <w:pPr>
        <w:spacing w:after="0" w:line="57" w:lineRule="exact"/>
        <w:rPr>
          <w:rFonts w:ascii="Arial" w:cs="Arial" w:eastAsia="Arial" w:hAnsi="Arial"/>
          <w:sz w:val="17"/>
          <w:szCs w:val="17"/>
          <w:i w:val="1"/>
          <w:iCs w:val="1"/>
          <w:color w:val="auto"/>
        </w:rPr>
      </w:pPr>
    </w:p>
    <w:p>
      <w:pPr>
        <w:ind w:left="340"/>
        <w:spacing w:after="0"/>
        <w:rPr>
          <w:rFonts w:ascii="Arial" w:cs="Arial" w:eastAsia="Arial" w:hAnsi="Arial"/>
          <w:sz w:val="17"/>
          <w:szCs w:val="17"/>
          <w:i w:val="1"/>
          <w:iCs w:val="1"/>
          <w:color w:val="auto"/>
        </w:rPr>
      </w:pPr>
      <w:r>
        <w:rPr>
          <w:rFonts w:ascii="Arial" w:cs="Arial" w:eastAsia="Arial" w:hAnsi="Arial"/>
          <w:sz w:val="18"/>
          <w:szCs w:val="18"/>
          <w:color w:val="auto"/>
        </w:rPr>
        <w:t>The pipeline transports light, sweet crude oil from North Dakota to major refining markets in the Midwest and Gulf Coast regions.</w:t>
      </w:r>
    </w:p>
    <w:p>
      <w:pPr>
        <w:spacing w:after="0" w:line="117" w:lineRule="exact"/>
        <w:rPr>
          <w:rFonts w:ascii="Arial" w:cs="Arial" w:eastAsia="Arial" w:hAnsi="Arial"/>
          <w:sz w:val="17"/>
          <w:szCs w:val="17"/>
          <w:i w:val="1"/>
          <w:iCs w:val="1"/>
          <w:color w:val="auto"/>
        </w:rPr>
      </w:pPr>
    </w:p>
    <w:p>
      <w:pPr>
        <w:jc w:val="both"/>
        <w:ind w:left="340"/>
        <w:spacing w:after="0" w:line="279" w:lineRule="auto"/>
        <w:rPr>
          <w:rFonts w:ascii="Arial" w:cs="Arial" w:eastAsia="Arial" w:hAnsi="Arial"/>
          <w:sz w:val="17"/>
          <w:szCs w:val="17"/>
          <w:i w:val="1"/>
          <w:iCs w:val="1"/>
          <w:color w:val="auto"/>
        </w:rPr>
      </w:pPr>
      <w:r>
        <w:rPr>
          <w:rFonts w:ascii="Arial" w:cs="Arial" w:eastAsia="Arial" w:hAnsi="Arial"/>
          <w:sz w:val="17"/>
          <w:szCs w:val="17"/>
          <w:color w:val="auto"/>
        </w:rPr>
        <w:t>Dakota Access went into service on June 1, 2017 and consists of approximately 1,172 miles of 12, 20, 24 and 30-inch diameter pipeline traversing North Dakota, South Dakota, Iowa and Illinois. Crude oil transported on the Dakota Access originates at six terminal locations in the North Dakota counties of Mountrail, Williams and McKenzie. The pipeline delivers the crude oil to a hub outside of Patoka, Illinois where it can be delivered to the ETCO Pipeline for delivery to the Gulf Coast, or can be transported via other pipelines to refining markets throughout the Midwest.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ETCO went into service on June 1, 2017 and consists of approximately 675 miles of mostly 30-inch converted natural gas pipeline and 69 miles of new 30-inch pipeline from Patoka, Illinois to Nederland, Texas, where the crude oil can be refined or further transported to additional refining markets.</w:t>
      </w:r>
    </w:p>
    <w:p>
      <w:pPr>
        <w:spacing w:after="0" w:line="16" w:lineRule="exact"/>
        <w:rPr>
          <w:sz w:val="20"/>
          <w:szCs w:val="20"/>
          <w:color w:val="auto"/>
        </w:rPr>
      </w:pPr>
    </w:p>
    <w:p>
      <w:pPr>
        <w:jc w:val="both"/>
        <w:ind w:left="340" w:hanging="332"/>
        <w:spacing w:after="0" w:line="259" w:lineRule="auto"/>
        <w:tabs>
          <w:tab w:leader="none" w:pos="3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Bayou Bridge Pipeline. </w:t>
      </w:r>
      <w:r>
        <w:rPr>
          <w:rFonts w:ascii="Arial" w:cs="Arial" w:eastAsia="Arial" w:hAnsi="Arial"/>
          <w:sz w:val="18"/>
          <w:szCs w:val="18"/>
          <w:color w:val="auto"/>
        </w:rPr>
        <w:t>The Bayou Bridge Pipeline is a joint venture between ETO and Phillips 66, in which ETO has a 60% ownership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the operator of the pipeline. Phase I of the pipeline, which consists of a 30-inch pipeline from Nederland, Texas to Lake Charles, Louisiana, went into service in April 2016. Phase II of the pipeline, which consists of 24-inch pipe from Lake Charles, Louisiana to St. James, Louisiana, which went into service in March 2019.</w:t>
      </w:r>
    </w:p>
    <w:p>
      <w:pPr>
        <w:spacing w:after="0" w:line="78" w:lineRule="exact"/>
        <w:rPr>
          <w:rFonts w:ascii="Arial" w:cs="Arial" w:eastAsia="Arial" w:hAnsi="Arial"/>
          <w:sz w:val="18"/>
          <w:szCs w:val="18"/>
          <w:i w:val="1"/>
          <w:iCs w:val="1"/>
          <w:color w:val="auto"/>
        </w:rPr>
      </w:pPr>
    </w:p>
    <w:p>
      <w:pPr>
        <w:ind w:left="340" w:right="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With the completion of Phase II, Bayou Bridge Pipeline has a capacity of approximately 480 MBbls/d of light and heavy crude oil from different sources to the St. James crude oil hub, which is home to important refineries located in the Gulf Coast region.</w:t>
      </w:r>
    </w:p>
    <w:p>
      <w:pPr>
        <w:spacing w:after="0" w:line="62" w:lineRule="exact"/>
        <w:rPr>
          <w:rFonts w:ascii="Arial" w:cs="Arial" w:eastAsia="Arial" w:hAnsi="Arial"/>
          <w:sz w:val="18"/>
          <w:szCs w:val="18"/>
          <w:i w:val="1"/>
          <w:iCs w:val="1"/>
          <w:color w:val="auto"/>
        </w:rPr>
      </w:pPr>
    </w:p>
    <w:p>
      <w:pPr>
        <w:jc w:val="both"/>
        <w:ind w:left="340" w:hanging="332"/>
        <w:spacing w:after="0" w:line="25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Permian Express Pipelines. </w:t>
      </w:r>
      <w:r>
        <w:rPr>
          <w:rFonts w:ascii="Arial" w:cs="Arial" w:eastAsia="Arial" w:hAnsi="Arial"/>
          <w:sz w:val="18"/>
          <w:szCs w:val="18"/>
          <w:color w:val="auto"/>
        </w:rPr>
        <w:t>The Permian Express pipelines are part of the PEP joint venture and include Permian Express 1, Permian Express 2, Permian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3, Permian Express 4, which became operational in May 2019, Permian Longview and Louisiana Access pipelines, as well as the Longview to Louisiana and Nederland Access pipelines contributed to this joint venture by ExxonMobil. These pipelines are comprised of crude oil trunk pipelines and crude oil gathering pipelines in Texas and Oklahoma and provide takeaway capacity from the Permian Basin, which origins in multiple locations in Western Texas.</w:t>
      </w:r>
    </w:p>
    <w:p>
      <w:pPr>
        <w:spacing w:after="0" w:line="8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White Cliffs Pipeline, which was acquired by ET in the SemGroup acquisition and contributed to ETO in January 2020, owns a12-inch common carrier, crude oil pipeline, with a throughput capacity of 100 MBbls/d, that transports crude oil from Platteville, Colorado to Cushing, Oklahoma.</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Maurepas Pipeline. </w:t>
      </w:r>
      <w:r>
        <w:rPr>
          <w:rFonts w:ascii="Arial" w:cs="Arial" w:eastAsia="Arial" w:hAnsi="Arial"/>
          <w:sz w:val="18"/>
          <w:szCs w:val="18"/>
          <w:color w:val="auto"/>
        </w:rPr>
        <w:t>The Maurepas Pipeline, which was acquired by ET in the SemGroup acquisition and contributed to ETO in January 2020,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three pipelines, with an aggregate throughput capacity of 460 MBbls/d, which service refineries in the Gulf Coast region.</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Crude Oil pipelines include the Mid-Valley pipeline system which originates in Longview, Texas and passes through Louisiana, Arkansas, Mississippi, Tennessee, Kentucky and Ohio and terminates in Samaria, Michigan. This pipeline provides crude oil to a number of refineries, primarily in the Midwest United States.</w:t>
      </w:r>
    </w:p>
    <w:p>
      <w:pPr>
        <w:spacing w:after="0" w:line="73"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In addition, we own a crude oil pipeline that runs from Marysville, Michigan to Toledo, Ohio, and a truck injection point for local production at Marysville. This pipeline receives crude oil from the Enbridge pipeline system for delivery to refineries located in Toledo, Ohio and to MPLX’s Samaria, Michigan tank farm, which supplies its Marathon Petroleum Corporation’s refinery in Detroit, Michigan.</w:t>
      </w:r>
    </w:p>
    <w:p>
      <w:pPr>
        <w:spacing w:after="0" w:line="73"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We also own and operate crude oil pipeline and gathering systems in Oklahoma and Kansas. We have the ability to deliver substantially all of the crude oil gathered on our Oklahoma and Kansas systems to Cushing. We are one of the largest purchasers of crude oil from producers in the area, and our crude oil acquisition and marketing activities business is the primary shipper on our Oklahoma crude oil system.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Terminals</w:t>
      </w:r>
    </w:p>
    <w:p>
      <w:pPr>
        <w:spacing w:after="0" w:line="117" w:lineRule="exact"/>
        <w:rPr>
          <w:sz w:val="20"/>
          <w:szCs w:val="20"/>
          <w:color w:val="auto"/>
        </w:rPr>
      </w:pPr>
    </w:p>
    <w:p>
      <w:pPr>
        <w:jc w:val="both"/>
        <w:ind w:left="340" w:hanging="332"/>
        <w:spacing w:after="0" w:line="30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Nederland. </w:t>
      </w:r>
      <w:r>
        <w:rPr>
          <w:rFonts w:ascii="Arial" w:cs="Arial" w:eastAsia="Arial" w:hAnsi="Arial"/>
          <w:sz w:val="16"/>
          <w:szCs w:val="16"/>
          <w:color w:val="auto"/>
        </w:rPr>
        <w:t>The Nederland terminal, located on the Sabine-Neches waterway between Beaumont and Port Arthur, Texas, is a large marine terminal</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storage and distribution services for refiners and other large transporters of crude oil and NGLs. The terminal receives, stores, and distributes crude oil, NGLs, feedstocks, petrochemicals and bunker oils (used for fueling ships and other marine vessels). The terminal currently has a total storage capacity of approximately 29 MMBbls in approximately 150 above ground storage tanks with individual capacities of up to 660 MBbls.</w:t>
      </w:r>
    </w:p>
    <w:p>
      <w:pPr>
        <w:spacing w:after="0" w:line="46" w:lineRule="exact"/>
        <w:rPr>
          <w:rFonts w:ascii="Arial" w:cs="Arial" w:eastAsia="Arial" w:hAnsi="Arial"/>
          <w:sz w:val="16"/>
          <w:szCs w:val="16"/>
          <w:color w:val="auto"/>
        </w:rPr>
      </w:pPr>
    </w:p>
    <w:p>
      <w:pPr>
        <w:jc w:val="both"/>
        <w:ind w:left="340"/>
        <w:spacing w:after="0" w:line="279" w:lineRule="auto"/>
        <w:rPr>
          <w:rFonts w:ascii="Arial" w:cs="Arial" w:eastAsia="Arial" w:hAnsi="Arial"/>
          <w:sz w:val="16"/>
          <w:szCs w:val="16"/>
          <w:color w:val="auto"/>
        </w:rPr>
      </w:pPr>
      <w:r>
        <w:rPr>
          <w:rFonts w:ascii="Arial" w:cs="Arial" w:eastAsia="Arial" w:hAnsi="Arial"/>
          <w:sz w:val="17"/>
          <w:szCs w:val="17"/>
          <w:color w:val="auto"/>
        </w:rPr>
        <w:t>The Nederland terminal can receive crude oil at four of its five ship docks and four barge berths. The four ship docks are capable of receiving over 2 MMBbls/d of crude oil. In addition to our crude oil pipelines, the terminal can also receive crude oil through a number of other pipelines, including the DOE. The DOE pipelines connect the terminal to the United States Strategic Petroleum Reserve’s West Hackberry caverns at Hackberry, Louisiana and Big Hill caverns near Winnie, Texas, which have an aggregate storage capacity of approximately 395 MMBbls.</w:t>
      </w:r>
    </w:p>
    <w:p>
      <w:pPr>
        <w:spacing w:after="0" w:line="63" w:lineRule="exact"/>
        <w:rPr>
          <w:rFonts w:ascii="Arial" w:cs="Arial" w:eastAsia="Arial" w:hAnsi="Arial"/>
          <w:sz w:val="16"/>
          <w:szCs w:val="16"/>
          <w:color w:val="auto"/>
        </w:rPr>
      </w:pPr>
    </w:p>
    <w:p>
      <w:pPr>
        <w:jc w:val="both"/>
        <w:ind w:left="340"/>
        <w:spacing w:after="0" w:line="259" w:lineRule="auto"/>
        <w:rPr>
          <w:rFonts w:ascii="Arial" w:cs="Arial" w:eastAsia="Arial" w:hAnsi="Arial"/>
          <w:sz w:val="16"/>
          <w:szCs w:val="16"/>
          <w:color w:val="auto"/>
        </w:rPr>
      </w:pPr>
      <w:r>
        <w:rPr>
          <w:rFonts w:ascii="Arial" w:cs="Arial" w:eastAsia="Arial" w:hAnsi="Arial"/>
          <w:sz w:val="18"/>
          <w:szCs w:val="18"/>
          <w:color w:val="auto"/>
        </w:rPr>
        <w:t>The Nederland Terminal can deliver crude oil and other petroleum products via pipeline, barge and ship. The terminal has three ship docks and three barge berths that are capable of delivering crude oils for international transport. In total, the terminal is capable of delivering over 2 MMBbls/d of crude oil to our crude oil pipelines or a number of third-party pipelines including the DOE. The Nederland terminal generates crude oil revenues primarily by providing term or spot storage services and throughput capabilities to a number of customers.</w:t>
      </w:r>
    </w:p>
    <w:p>
      <w:pPr>
        <w:spacing w:after="0" w:line="78"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Fort Mifflin. </w:t>
      </w:r>
      <w:r>
        <w:rPr>
          <w:rFonts w:ascii="Arial" w:cs="Arial" w:eastAsia="Arial" w:hAnsi="Arial"/>
          <w:sz w:val="18"/>
          <w:szCs w:val="18"/>
          <w:color w:val="auto"/>
        </w:rPr>
        <w:t>The Fort Mifflin terminal complex is located on the Delaware River in Philadelphia, Pennsylvania and includes the Fort Mifflin terminal,</w:t>
      </w:r>
      <w:r>
        <w:rPr>
          <w:rFonts w:ascii="Arial" w:cs="Arial" w:eastAsia="Arial" w:hAnsi="Arial"/>
          <w:sz w:val="18"/>
          <w:szCs w:val="18"/>
          <w:i w:val="1"/>
          <w:iCs w:val="1"/>
          <w:color w:val="auto"/>
        </w:rPr>
        <w:t xml:space="preserve"> </w:t>
      </w:r>
      <w:r>
        <w:rPr>
          <w:rFonts w:ascii="Arial" w:cs="Arial" w:eastAsia="Arial" w:hAnsi="Arial"/>
          <w:sz w:val="18"/>
          <w:szCs w:val="18"/>
          <w:color w:val="auto"/>
        </w:rPr>
        <w:t>the Hog Island wharf, the Darby Creek tank farm and connecting pipelines. Revenues are generated from the Fort Mifflin terminal complex by charging fees based on throughput.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 Fort Mifflin terminal contains two ship docks with freshwater drafts and a total storage capacity of approximately 575 MBbls. Crude oil and some refined products enter the Fort Mifflin terminal primarily from marine vessels on the Delaware River. One Fort Mifflin dock is designed to handle crude oil from very large crude carrier-class tankers and smaller crude oil vessels. The other dock can accommodate only smaller crude oil vessels.</w:t>
      </w:r>
    </w:p>
    <w:p>
      <w:pPr>
        <w:spacing w:after="0" w:line="39"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Hog Island wharf is located next to the Fort Mifflin terminal on the Delaware River and receives crude oil via two ship docks, one of which can accommodate crude oil tankers and smaller crude oil vessels, and the other of which can accommodate some smaller crude oil vessels.</w:t>
      </w:r>
    </w:p>
    <w:p>
      <w:pPr>
        <w:spacing w:after="0" w:line="3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Darby Creek tank farm is a primary crude oil storage terminal for the Philadelphia refinery. This facility has a total storage capacity of approximately 2.6 MMBbls. Darby Creek receives crude oil from the Fort Mifflin terminal and Hog Island wharf via our pipelines. The tank farm then stores the crude oil and transports it to the PES refinery via our pipelines.</w:t>
      </w:r>
    </w:p>
    <w:p>
      <w:pPr>
        <w:spacing w:after="0" w:line="73" w:lineRule="exact"/>
        <w:rPr>
          <w:sz w:val="20"/>
          <w:szCs w:val="20"/>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Eagle Point. </w:t>
      </w:r>
      <w:r>
        <w:rPr>
          <w:rFonts w:ascii="Arial" w:cs="Arial" w:eastAsia="Arial" w:hAnsi="Arial"/>
          <w:sz w:val="18"/>
          <w:szCs w:val="18"/>
          <w:color w:val="auto"/>
        </w:rPr>
        <w:t>The Eagle Point terminal is located in Westville, New Jersey and consists of docks, truck loading facilities and a tank farm. The docks are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on the Delaware River and can accommodate three marine vessels (ships or barges) to receive and deliver crude oil, intermediate products and refined products to outbound ships and barges. The tank farm has a total active storage capacity of approximately 1.3 MMBbls and can receive crude oil via barge and rail and deliver via ship and barge, providing customers with access to various markets. The terminal generates revenue primarily by charging fees based on throughput, blending services and storage.</w:t>
      </w:r>
    </w:p>
    <w:p>
      <w:pPr>
        <w:spacing w:after="0" w:line="80" w:lineRule="exact"/>
        <w:rPr>
          <w:rFonts w:ascii="Arial" w:cs="Arial" w:eastAsia="Arial" w:hAnsi="Arial"/>
          <w:sz w:val="18"/>
          <w:szCs w:val="18"/>
          <w:i w:val="1"/>
          <w:iCs w:val="1"/>
          <w:color w:val="auto"/>
        </w:rPr>
      </w:pPr>
    </w:p>
    <w:p>
      <w:pPr>
        <w:ind w:left="340" w:hanging="332"/>
        <w:spacing w:after="0" w:line="342"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Midland. </w:t>
      </w:r>
      <w:r>
        <w:rPr>
          <w:rFonts w:ascii="Arial" w:cs="Arial" w:eastAsia="Arial" w:hAnsi="Arial"/>
          <w:sz w:val="16"/>
          <w:szCs w:val="16"/>
          <w:color w:val="auto"/>
        </w:rPr>
        <w:t>The Midland terminal is located in Midland, Texas and was acquired in November 2016 from Vitol. The facility includes approximately 2</w:t>
      </w:r>
      <w:r>
        <w:rPr>
          <w:rFonts w:ascii="Arial" w:cs="Arial" w:eastAsia="Arial" w:hAnsi="Arial"/>
          <w:sz w:val="16"/>
          <w:szCs w:val="16"/>
          <w:i w:val="1"/>
          <w:iCs w:val="1"/>
          <w:color w:val="auto"/>
        </w:rPr>
        <w:t xml:space="preserve"> </w:t>
      </w:r>
      <w:r>
        <w:rPr>
          <w:rFonts w:ascii="Arial" w:cs="Arial" w:eastAsia="Arial" w:hAnsi="Arial"/>
          <w:sz w:val="16"/>
          <w:szCs w:val="16"/>
          <w:color w:val="auto"/>
        </w:rPr>
        <w:t>MMBbls of crude oil storage, a combined 20 lanes of truck loading and unloading, and provides access to the Permian Express 2 transportation system.</w:t>
      </w:r>
    </w:p>
    <w:p>
      <w:pPr>
        <w:spacing w:after="0" w:line="15" w:lineRule="exact"/>
        <w:rPr>
          <w:rFonts w:ascii="Arial" w:cs="Arial" w:eastAsia="Arial" w:hAnsi="Arial"/>
          <w:sz w:val="16"/>
          <w:szCs w:val="16"/>
          <w:i w:val="1"/>
          <w:iCs w:val="1"/>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Marcus Hook Industrial Complex. </w:t>
      </w:r>
      <w:r>
        <w:rPr>
          <w:rFonts w:ascii="Arial" w:cs="Arial" w:eastAsia="Arial" w:hAnsi="Arial"/>
          <w:sz w:val="18"/>
          <w:szCs w:val="18"/>
          <w:color w:val="auto"/>
        </w:rPr>
        <w:t>The Marcus Hook Industrial Complex can receive crude oil via marine vessel and can deliver via marine vessel and</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The terminal has a total active crude oil storage capacity of approximately 1 MMBbls.</w:t>
      </w:r>
    </w:p>
    <w:p>
      <w:pPr>
        <w:spacing w:after="0" w:line="6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Patoka, Illinois Terminal. </w:t>
      </w:r>
      <w:r>
        <w:rPr>
          <w:rFonts w:ascii="Arial" w:cs="Arial" w:eastAsia="Arial" w:hAnsi="Arial"/>
          <w:sz w:val="17"/>
          <w:szCs w:val="17"/>
          <w:color w:val="auto"/>
        </w:rPr>
        <w:t>The Patoka, Illinois terminal is a tank farm and was contributed by ExxonMobil to the PEP joint venture and is located in</w:t>
      </w:r>
      <w:r>
        <w:rPr>
          <w:rFonts w:ascii="Arial" w:cs="Arial" w:eastAsia="Arial" w:hAnsi="Arial"/>
          <w:sz w:val="17"/>
          <w:szCs w:val="17"/>
          <w:i w:val="1"/>
          <w:iCs w:val="1"/>
          <w:color w:val="auto"/>
        </w:rPr>
        <w:t xml:space="preserve"> </w:t>
      </w:r>
      <w:r>
        <w:rPr>
          <w:rFonts w:ascii="Arial" w:cs="Arial" w:eastAsia="Arial" w:hAnsi="Arial"/>
          <w:sz w:val="17"/>
          <w:szCs w:val="17"/>
          <w:color w:val="auto"/>
        </w:rPr>
        <w:t>Marion County, Illinois. The facility includes 234 acres of owned land and provides for approximately 2 MMBbls of crude oil storage.</w:t>
      </w:r>
    </w:p>
    <w:p>
      <w:pPr>
        <w:spacing w:after="0" w:line="38"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Houston Terminal. </w:t>
      </w:r>
      <w:r>
        <w:rPr>
          <w:rFonts w:ascii="Arial" w:cs="Arial" w:eastAsia="Arial" w:hAnsi="Arial"/>
          <w:sz w:val="18"/>
          <w:szCs w:val="18"/>
          <w:color w:val="auto"/>
        </w:rPr>
        <w:t>The Houston Terminal, which was acquired by ET in the SemGroup acquisition and contributed to ETO in February 2020,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storage tanks located on the Houston Ship Channel with an aggregate storage capacity of 18.2 MMBbls used to store, blend and transport refinery products and refinery feedstocks via pipeline, barge, rail, truck and ship. This facility has five deep-water ship docks on the Houston Ship Channel capable of loading and unloading Suezmax cargo vessels and seven barge docks which can accommodate 23 barges simultaneously, three crude oil pipelines connecting to four refineries and numerous rail and truck loading spots.</w:t>
      </w:r>
    </w:p>
    <w:p>
      <w:pPr>
        <w:spacing w:after="0" w:line="80"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Cushing Facilities. </w:t>
      </w:r>
      <w:r>
        <w:rPr>
          <w:rFonts w:ascii="Arial" w:cs="Arial" w:eastAsia="Arial" w:hAnsi="Arial"/>
          <w:sz w:val="18"/>
          <w:szCs w:val="18"/>
          <w:color w:val="auto"/>
        </w:rPr>
        <w:t>The Cushing Facility, which was acquired by ET in the SemGroup acquisition and contributed to ETO in January 2020, has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7.6 MMBbls crude oil storage, of which 5.6 MMBbls are leased to customer and 2.0 MMBbls are available for crude oil operations, blending and marketing activities. The storage terminal has inbound connections with the White Cliffs Pipeline from Platteville, Colorado, the Great Salt Plains Pipeline from Cherokee, Oklahoma, the Cimarron Pipeline from Boyer, Kansas, and two-way connections with all of the other major storage terminals in Cushing. The Cushing terminal also includes truck unloading facilities.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Acquisition and Marketing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acquisition and marketing operations are conducted using our assets, which include approximately 575 crude oil transport trucks, 360 trailers and approximately 150 crude oil truck unloading facilities, as well as third-party truck, rail and marine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Sunoco LP</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Sunoco LP is the exclusive wholesale supplier of the Sunoco-branded motor fuel, supplying an extensive distribution network of approximately 5,474 Sunoco-branded company and third-party operated locations throughout the East Coast, Midwest, South Central and Southeast regions of the United States. Sunoco LP believes it is one of the largest independent motor fuel distributors of Chevron, Exxon and Valero branded motor fuel in the United States. In addition to distributing motor fuels, Sunoco LP also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distributes other petroleum products such as propane and lubricating oil, and Sunoco LP receives rental income from real estate that it leases or subleases.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Sunoco LP operations primarily consist of fuel distribution and marketing.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Fuel Distribution and Marketing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Sunoco LP’s fuel distribution and marketing operations are conducted by the following consolidated subsidiaries:</w:t>
      </w:r>
    </w:p>
    <w:p>
      <w:pPr>
        <w:spacing w:after="0" w:line="117" w:lineRule="exact"/>
        <w:rPr>
          <w:sz w:val="20"/>
          <w:szCs w:val="20"/>
          <w:color w:val="auto"/>
        </w:rPr>
      </w:pPr>
    </w:p>
    <w:p>
      <w:pPr>
        <w:jc w:val="both"/>
        <w:ind w:left="340" w:right="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Sunoco, LLC (“Sunoco LLC”), a Delaware limited liability company, primarily distributes motor fuel in 30 states throughout the East Coast, Midwest, South Central and Southeast regions of the United States. Sunoco LLC also processes transmix and distributes refined product through its terminals in Alabama, Texas, Arkansas and New York;</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Sunoco Retail LLC (“Sunoco Retail”), a Pennsylvania limited liability company, owns and operates retail stores that sell motor fuel and merchandise primarily in New Jersey;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Aloha Petroleum LLC, a Delaware limited liability company, distributes motor fuel and operates terminal facilities on the Hawaiian Islands; and</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Aloha Petroleum, Ltd. (“Aloha”), a Hawaii corporation, owns and operates retail stores on the Hawaiian Islands.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Sunoco LP purchases motor fuel primarily from independent refiners and major oil companies and distributes it across more than 30 states throughout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 Coast, Midwest, South Central and Southeast regions of the United States, as well as Hawaii to approximately:</w:t>
      </w:r>
    </w:p>
    <w:p>
      <w:pPr>
        <w:spacing w:after="0" w:line="10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75 company owned and operated retail stores;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537 independently operated consignment locations where Sunoco LP sells motor fuel to customers under commission agent arrangements with such operators;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6,742 convenience stores and retail fuel outlets operated by independent operators, which are referred to as “dealers” or “distributors,” pursuant to long-term distribution agreements;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2,581 other commercial customers, including unbranded convenience stores, other fuel distributors, school districts and municipalities and other industrial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Other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Sunoco LP’s other operations include retail operations in Hawaii and New Jersey, credit card services and franchise royalties.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USAC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assets of USAC: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USAC’s modern, standardized compression unit fleet is powered primarily by the Caterpillar, Inc.’s 3400, 3500 and 3600 engine classes, which range from 401 to 5,000 horsepower per unit. These larger horsepower units, which USAC defines as 400 horsepower per unit or greater, represented 86.2% of its total fleet horsepower (including compression units on order) as of December 31, 2019. In addition, a portion of its fleet consists of smaller horsepower units ranging from 40 horsepower to 399 horsepower that are primarily used in gas lift applications.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USAC’s compression units by horsepower as of December 31,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Fleet</w:t>
            </w: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Number of</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Horsepower on</w:t>
            </w: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Number of</w:t>
            </w:r>
          </w:p>
        </w:tc>
        <w:tc>
          <w:tcPr>
            <w:tcW w:w="13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Total Number</w:t>
            </w:r>
          </w:p>
        </w:tc>
      </w:tr>
      <w:tr>
        <w:trPr>
          <w:trHeight w:val="257"/>
        </w:trPr>
        <w:tc>
          <w:tcPr>
            <w:tcW w:w="3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Unit Horsepower</w:t>
            </w:r>
          </w:p>
        </w:tc>
        <w:tc>
          <w:tcPr>
            <w:tcW w:w="1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Horsepower</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Units</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30"/>
              <w:spacing w:after="0" w:line="257" w:lineRule="exact"/>
              <w:rPr>
                <w:sz w:val="20"/>
                <w:szCs w:val="20"/>
                <w:color w:val="auto"/>
              </w:rPr>
            </w:pPr>
            <w:r>
              <w:rPr>
                <w:rFonts w:ascii="Arial" w:cs="Arial" w:eastAsia="Arial" w:hAnsi="Arial"/>
                <w:sz w:val="18"/>
                <w:szCs w:val="18"/>
                <w:color w:val="auto"/>
              </w:rPr>
              <w:t xml:space="preserve">Order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Units on Order</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Horsepower</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of Units</w:t>
            </w: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Small horsepower</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&lt;400</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516,674</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3,031</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516,674</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3,031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Large horsepower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&gt;400 and &lt;1,000</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426,384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435,384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rPr>
              <w:t>&gt;1,000</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2,739,910</w:t>
            </w:r>
          </w:p>
        </w:tc>
        <w:tc>
          <w:tcPr>
            <w:tcW w:w="12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47,500</w:t>
            </w:r>
          </w:p>
        </w:tc>
        <w:tc>
          <w:tcPr>
            <w:tcW w:w="12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2,787,410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1,709</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large horsepower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3,166,294</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56,500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3,222,794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w:t>
            </w:r>
          </w:p>
        </w:tc>
      </w:tr>
      <w:tr>
        <w:trPr>
          <w:trHeight w:val="257"/>
        </w:trPr>
        <w:tc>
          <w:tcPr>
            <w:tcW w:w="3340" w:type="dxa"/>
            <w:vAlign w:val="bottom"/>
            <w:gridSpan w:val="2"/>
          </w:tcPr>
          <w:p>
            <w:pPr>
              <w:ind w:left="520"/>
              <w:spacing w:after="0"/>
              <w:rPr>
                <w:sz w:val="20"/>
                <w:szCs w:val="20"/>
                <w:color w:val="auto"/>
              </w:rPr>
            </w:pPr>
            <w:r>
              <w:rPr>
                <w:rFonts w:ascii="Arial" w:cs="Arial" w:eastAsia="Arial" w:hAnsi="Arial"/>
                <w:sz w:val="18"/>
                <w:szCs w:val="18"/>
                <w:color w:val="auto"/>
              </w:rPr>
              <w:t>Total horsepower</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3,682,968</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56,500</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3,739,468</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5,485</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As of December 31, 2019, USAC had 56,500 large horsepower compression units on order for delivery during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significant assets in the “All Other”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Services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and operate a fleet of equipment used to provide treating services, such as carbon dioxide and hydrogen sulfide removal, natural gas cooling, dehydration and Btu management. Our contract treating services are primarily located in Texas, Louisiana and Arkansas.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Compression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own DDT, which provides compression services to customers engaged in the transportation of natural gas, including our subsidiaries in other segments.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Resources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Natural Resources operations primarily involve the management and leasing of coal properties and the subsequent collection of royalties. We also earn revenues from other land management activities, such as selling standing timber, leasing fee-based coal-related infrastructure facilities to certain lessees and end-user industrial plants, collecting oil and gas royalties and from coal transportation, or wheelage fees. As of December 31, 2019, we owned or controlled approximately 762 million tons of proven and probable coal reserves in central and northern Appalachia, properties in eastern Kentucky, southwestern Virginia and southern West Virginia, and in the Illinois Basin, properties in southern Illinois, Indiana, and western Kentucky and as the operator of end-user coal handling facilities.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Canadian operations, which were acquired in the SemGroup acquisition, include a 51% ownership interest in SemCAMS, which owns and operates natural gas processing and gathering facilities in Alberta, Canada. The Canadian operations assets include four sour natural gas processing plants and two sweet natural gas processing plants that have a combined operating capacity of 1,290 MMcf/d and a network of approximately 848 miles of natural gas gathering and transportation pipelines. The principal process performed at the processing plants is to remove contaminants and render the gas saleable to downstream pipelines and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we have engaged, and will continue to engage, in a well-balanced plan for growth through strategic acquisitions, internally generated expansion, measures aimed at increasing the profitability of our existing assets and executing cost control measures where appropriate to manage our operations.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continue to operate as a diversified, growth-oriented limited partnership. We believe that by pursuing independent operating and growth strategies we will be best positioned to achieve our objectives. We balance our desire for growth with our goal of preserving a strong balance sheet, ample liquidity and investment grade credit metrics.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business strategies of our core businesses: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Growth through acquisitions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continue to make strategic acquisitions that offer the opportunity for operational efficiencies and the potential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utilization and expansion of our existing assets while supporting our investment grade credit ratings.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Engage in construction and expansion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leverage our existing infrastructure and customer relationships by constructing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systems to meet new or increased demand for midstream and transportation services.</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Increase cash flow from fee-based businesses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intend to increase the percentage of our business conducted with third parties under fee-based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arrangements in order to provide for stable, consistent cash flows over long contract periods while reducing exposure to changes in commodity prices.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Enhance profitability of existing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increase the profitability of our existing asset base by adding new volumes under long-term producer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undertaking additional initiatives to enhance utilization and reducing costs by improving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of providing natural gas gathering, compression, treating, transportation, storage and marketing services is highly competitive. Since pipelines are generally the only practical mode of transportation for natural gas over land, the most significant competitors of our transportation and storage segment are other pipelines. Pipelines typically compete with each other based on location, capacity, price and reliability.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competition with respect to retaining and obtaining significant natural gas supplies under terms favorable to us for the gathering, treating and marketing portions of our business. Our competitors include major integrated oil and gas companies, interstate and intrastate pipelines and other companies that gather, compress, treat, process, transport and market natural gas. Many of our competitors, such as major oil and gas and pipeline companies, have capital resources and control supplies of natural gas substantially greater than ours.</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marketing natural gas, we have numerous competitors, including marketing affiliates of interstate pipelines, major integrated oil and gas companies, and local and national natural gas gatherers, brokers and marketers of widely varying sizes, financial resources and experience. Local utilities and distributors of natural gas are, in some cases, engaged directly, and through affiliates, in marketing activities that compete with our marketing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markets served by our NGL pipelines, we face competition with other pipeline companies, including those affiliated with major oil, petrochemical and natural gas companies, and barge, rail and truck fleet operations. In general, our NGL pipelines compete with these entities in terms of transportation fees, reliability and quality of customer service. We face competition with other storage facilities based on fees charged and the ability to receive and distribute the customer’s products. We compete with a number of NGL fractionators in Texas and Louisiana. Competition for such services is primarily based on the fractionation fee charged.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and Refined Products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markets served by our crude oil and refined products pipelines, we face competition from other pipelines as well as rail and truck transportation. Generally, pipelines are the safest, lowest cost method for long-haul, overland movement of products and crude oil. Therefore, the most significant competitors for large volume shipments in the areas served by our pipelines are other pipelines. In addition, pipeline operations face competition from rail and trucks that deliver products in a number of areas that our pipeline operations serve. While their costs may not be competitive for longer hauls or large volume shipments, rail and trucks compete effectively for incremental and marginal volume in many areas served by our pipelines.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competition from other pipelines, the primary competitive factors consist of transportation charges, access to crude oil supply and market demand. Competitive factors in crude oil purchasing and marketing include price and contract flexibility, quantity and quality of services, and accessibility to end markets.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refined product terminals compete with other independent terminals with respect to price, versatility and services provided. The competition primarily comes from integrated petroleum companies, refining and marketing companies, independent terminal companies and distribution companies with marketing and trading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Fuel Distribution and Retail Marketing</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wholesale fuel distribution business, we compete primarily with other independent motor fuel distributors. The markets for distribution of wholesale motor fuel and the large and growing convenience store industry are highly competitive and fragmented, which results in narrow margins. We have numerous competitors, some of which may have significantly greater resources and name recognition than we do. Significant competitive factors include the availability of major brands, customer service, price, range of services offered and quality of service, among others. We rely on our ability to provide value-added and reliable service and to control our operating costs in order to maintain our margins and competitive position.</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our retail business, we face strong competition in the market for the sale of retail gasoline and merchandise. Our competitors include service stations of large integrated oil companies, independent gasoline service stations, convenience stores, fast food stores, supermarkets, drugstores, dollar stores, club stores and other similar retail outlets, some of which are well-recognized national or regional retail systems. The number of competitors varies depending on the geographical area. It also varies with gasoline and convenience store offerings. The principal competitive factors affecting our retail marketing operations include gasoline and diesel acquisition costs, site location, product price, selection and quality, site appearance and cleanliness, hours of operation, store safety, customer loyalty and brand recognition. We compete by pricing gasoline competitively, combining our retail gasoline business with convenience stores that provide a wide variety of products, and using advertising and promotional campaigns.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and Customers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natural gas transportation and midstream revenues are derived significantly from companies that engage in exploration and production activities. The discovery and development of new shale formations across the United States has created an abundance of natural gas and crude oil resulting in a negative impact on prices in recent years for natural gas and crude oil. As a result, some of our exploration and production customers have been adversely impacted; however, we are monitoring these customers and mitigating credit risk as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none of our customers individually accounted for more than 10% of our consolidated revenues.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Regulation of Interstate Natural Gas Pipelines. </w:t>
      </w:r>
      <w:r>
        <w:rPr>
          <w:rFonts w:ascii="Arial" w:cs="Arial" w:eastAsia="Arial" w:hAnsi="Arial"/>
          <w:sz w:val="17"/>
          <w:szCs w:val="17"/>
          <w:color w:val="auto"/>
        </w:rPr>
        <w:t>The FERC has broad regulatory authority over the business and operations of interstate natural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pipelines. Under the Natural Gas Act of 1938 (“NGA”), the FERC generally regulates the transportation of natural gas in interstate commerce. For FERC regulatory purposes, “transportation” includes natural gas pipeline transmission (forwardhauls and backhauls), storage and other services. The Florida Gas Transmission, Transwestern, Panhandle Eastern, Trunkline Gas, Tiger, Fayetteville Express, Rover, Sea Robin, Gulf States and Midcontinent Express pipelines transport natural gas in interstate commerce and thus each qualifies as a “natural-gas company” under the NGA subject to the FERC’s regulatory jurisdiction. We also hold certain natural gas storage facilities that are subject to the FERC’s regulatory oversight under the NGA.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FERC’s NGA authority includes the power to:</w:t>
      </w:r>
    </w:p>
    <w:p>
      <w:pPr>
        <w:spacing w:after="0" w:line="11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approve the siting, construction and operation of new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and approve transportation rates;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 the types of services our regulated assets are permitted to perform;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regulate the terms and conditions associated with these services;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permit the extension or abandonment of services and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maintenance of accounts and records;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authorize the acquisition and disposition of facilities.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the NGA, interstate natural gas companies must charge rates that are just and reasonable. In addition, the NGA prohibits natural gas companies from unduly preferring or unreasonably discriminating against any person with respect to pipeline rates or terms and conditions of service.</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maximum rates to be charged by NGA-jurisdictional natural gas companies and their terms and conditions for service are required to be on file with the FERC. Most natural gas companies are authorized to offer discounts from their FERC-approved maximum just and reasonable rates when competition warrants such discounts. Natural gas companies are also generally permitted to offer negotiated rates different from rates established in their tariff if, among other requirements, such companies’ tariffs offer a cost-based recourse rate to a prospective shipper as an alternative to the negotiated rate. Natural gas companies must make offers of rate discounts and negotiated rates on a basis that is not unduly discriminatory. Existing tariff rates may be challenged by complaint or on the FERC’s own motion, and if found unjust and unreasonable, may be altered on a prospective basis from no earlier than the date of the complaint or initiation of a proceeding by the FERC. The FERC must also approve all rate changes. We cannot guarantee that the FERC will allow us to charge rates that fully recover our costs or continue to pursue its approach of pro-competitive policies.</w:t>
      </w:r>
    </w:p>
    <w:p>
      <w:pPr>
        <w:spacing w:after="0" w:line="1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two of our NGA-jurisdictional natural gas companies, Tiger and Fayetteville Express, the large majority of capacity in those pipelines is subscribed for lengthy terms under FERC-approved negotiated rates. However, as indicated above, cost-based recourse rates are also offered under their respective tariffs.</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FERC’s rules promulgated under the Energy Policy Act of 2005, it is unlawful for any entity, directly or indirectly, in connection with the purchase or sale of electric energy or natural gas or the purchase or sale of transmission or transportation services subject to FERC jurisdiction: (i) to defraud using any device, scheme or artifice; (ii) to make any untrue statement of material fact or omit a material fact; or (iii) to engage in any act, practice or course of business that operates or would operate as a fraud or deceit. The Commodity Futures Trading Commission (“CFTC”) also holds authority to monitor certain segments of the physical and futures energy commodities market pursuant to the Commodity Exchange Act (“CEA”). With regard to our physical purchases and sales of natural gas, NGLs or other energy commodities; our transportation of these energy commodities; and any related hedging activities that we undertake, we are required to observe these anti-market manipulation laws and related regulations enforced by the FERC and/or the CFTC. These agencies hold substantial enforcement authority, including the ability to assess or seek civil penalties in excess of $1.1 million per day per violation, to order disgorgement of profits and to recommend criminal penalties. Should we violate the anti-market manipulation laws and regulations, we could also be subject to related third-party damage claims by, among others, sellers, royalty owners and taxing authorities.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comply with the NGA, the Energy Policy Act of 2005, the CEA and the other federal laws and regulations governing our operations and business activities can result in the imposition of administrative, civil and criminal remedies.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Regulation of Intrastate Natural Gas and NGL Pipelines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Intrastate transportation of natural gas and NGLs is largely regulated by the state in which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transportation takes place. To the extent that our intrastate natural gas transportation systems transport natural gas in interstate commerce, the rates and terms and conditions of such services are subject to FERC jurisdiction under Section 311 of the Natural Gas Policy Act of 1978 (“NGPA”). The NGPA regulates, among other things, the provision of transportation services by an intrastate natural gas pipeline on behalf of a local distribution company or an interstate natural gas pipeline. The rates and terms and conditions of some transportation and storage services provided on the Oasis pipeline, HPL System, East Texas pipeline, ET Fuel System, Trans-Pecos and Comanche Trail are subject to FERC regulation pursuant to Section 311 of the NGPA. Under Section 311, rates charged for intrastate transportation must be fair and equitable, and amounts collected in excess of fair and equitable rates are subject to refund with interest. The terms and conditions of service set forth in the intrastate facility’s statement of operating conditions are also subject to FERC review and approval. Should the FERC determine not to authorize rates equal to or greater than our currently approved Section 311 rates, our business may be adversely affected. Failure to observe the service limitations applicable to transportation and storage services under Section 311, failure to comply with the rates approved by the FERC for Section 311 service, and failure to comply with the terms and conditions of service established in the pipeline’s FERC-approved statement of operating conditions could result in an alteration of jurisdictional status, and/or the imposition of administrative, civil and criminal remedies.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intrastate natural gas operations are also subject to regulation by various agencies in Texas, principally the TRRC. Our intrastate pipeline and storage operations in Texas are also subject to the Texas Utilities Code, as implemented by the TRRC. Generally, the TRRC is vested with authority to ensure that rates, operations and services of gas utilities, including intrastate pipelines, are just and reasonable and not discriminatory. The rates we charge for transportation services are deemed just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reasonable under Texas law unless challenged in a customer or TRRC complaint. We cannot predict whether such a complaint will be filed against us or whether the TRRC will change its regulation of these rates. Failure to comply with the Texas Utilities Code can result in the imposition of administrative, civil and criminal remedies.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NGL pipelines and operations are subject to state statutes and regulations which could impose additional environmental, safety and operational requirements relating to the design, siting, installation, testing, construction, operation, replacement and management of NGL transportation systems. In some jurisdictions, state public utility commission oversight may include the possibility of fines, penalties and delays in construction related to these regulations. In addition, the rates, terms and conditions of service for shipments of NGLs on our pipelines are subject to regulation by the FERC under the Interstate Commerce Act ("ICA") and the Energy Policy Act of 1992 (the "EPAct of 1992") if the NGLs are transported in interstate or foreign commerce whether by our pipelines or other means of transportation. Since we do not control the entire transportation path of all NGLs shipped on our pipelines, FERC regulation could be triggered by our customers' transportation decisions.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Regulation of Sales of Natural Gas and NGLs. </w:t>
      </w:r>
      <w:r>
        <w:rPr>
          <w:rFonts w:ascii="Arial" w:cs="Arial" w:eastAsia="Arial" w:hAnsi="Arial"/>
          <w:sz w:val="18"/>
          <w:szCs w:val="18"/>
          <w:color w:val="auto"/>
        </w:rPr>
        <w:t>The price at which we buy and sell natural gas currently is not subject to federal regulation and, for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is not subject to state regulation. The price at which we sell NGLs is not subject to federal or state regulation.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we enter into transportation contracts with natural gas pipelines that are subject to FERC regulation, we are subject to FERC requirements related to the use of such capacity. Any failure on our part to comply with the FERC’s regulations and policies, or with an interstate pipeline’s tariff, could result in the imposition of civil and criminal penalties.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sales of natural gas are affected by the availability, terms and cost of pipeline transportation. As noted above, the price and terms of access to pipeline transportation are subject to extensive federal and state regulation. The FERC is continually proposing and implementing new rules and regulations affecting those operations of the natural gas industry. These initiatives also may affect the intrastate transportation of natural gas under certain circumstances. The stated purpose of many of these regulatory changes is to promote competition among the various sectors of the natural gas industry and these initiatives generally reflect more light-handed regulation. We cannot predict the ultimate impact of these regulatory changes to our natural gas marketing operations, and we note that some of the FERC’s regulatory changes may adversely affect the availability and reliability of interruptible transportation service on interstate pipelines. We do not believe that we will be affected by any such FERC action in a manner that is materially different from other natural gas marketers with whom we compete.</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Regulation of Gathering Pipelines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1(b) of the NGA exempts natural gas gathering facilities from the jurisdiction of the FERC under the NGA.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 number of natural gas pipelines in Texas, Louisiana and West Virginia that we believe meet the traditional tests the FERC uses to establish a pipeline’s status as a gathering pipeline not subject to FERC jurisdiction. However, the distinction between FERC-regulated transmission services and federally unregulated gathering services has been the subject of substantial litigation and varying interpretations, so the classification and regulation of our gathering facilities could be subject to change based on future determinations by the FERC, the courts and Congress. State regulation of gathering facilities generally includes various safety, environmental and, in some circumstances, nondiscriminatory take requirements and complaint-based rate regulation.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Texas, our gathering facilities are subject to regulation by the TRRC under the Texas Utilities Code in the same manner as described above for our intrastate pipeline facilities. Louisiana’s Pipeline Operations Section of the Department of Natural Resources’ Office of Conservation is generally responsible for regulating intrastate pipelines and gathering facilities in Louisiana and has authority to review and authorize natural gas transportation transactions and the construction, acquisition, abandonment and interconnection of physical facilities.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Historically, apart from pipeline safety, Louisiana has not acted to exercise this jurisdiction respecting gathering facilities. In Louisiana, our Chalkley System is regulated as an intrastate transporter, and the Louisiana Office of Conservation has determined that our Whiskey Bay System is a gathering system.</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state ratable take and common purchaser statutes in all of the states in which we operate. The ratable take statutes generally require gatherers to take, without undue discrimination, natural gas production that may be tendered to the gatherer for handling. Similarly, common purchaser statutes generally require gatherers to purchase without undue discrimination as to source of supply or producer. These statutes are designed to prohibit discrimination in favor of one producer over another producer or one source of supply over another source of supply. These statutes have the effect of restricting the right of an owner of gathering facilities to decide with whom it contracts to purchase or transport natural gas.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gathering may receive greater regulatory scrutiny at both the state and federal levels. For example, the TRRC has approved changes to its regulations governing transportation and gathering services performed by intrastate pipelines and gatherers, which prohibit such entities from unduly discriminating in favor of their affiliates. Many of the producing states have adopted some form of complaint-based regulation that generally allows natural gas producers and shippers to file complaints with state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regulators in an effort to resolve grievances relating to natural gas gathering access and rate discrimination allegations. Our gathering operations could be adversely affected should they be subject in the future to the application of additional or different state or federal regulation of rates and services. Our gathering operations also may be or become subject to safety and operational regulations relating to the design, installation, testing, construction, operation, replacement and management of gathering facilities. Additional rules and legislation pertaining to these matters are considered or adopted from time to time. We cannot predict what effect, if any, such changes might have on our operations, but the industry could be required to incur additional capital expenditures and increased costs depending on future legislative and regulatory changes.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Regulation of Interstate Crude Oil, NGL and Products Pipelines. </w:t>
      </w:r>
      <w:r>
        <w:rPr>
          <w:rFonts w:ascii="Arial" w:cs="Arial" w:eastAsia="Arial" w:hAnsi="Arial"/>
          <w:sz w:val="17"/>
          <w:szCs w:val="17"/>
          <w:color w:val="auto"/>
        </w:rPr>
        <w:t>Interstate common carrier pipeline operations are subject to rate regulation by the FERC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ICA, the EPAct of 1992, and related rules and orders. The ICA requires that tariff rates for petroleum pipelines be “just and reasonable” and not unduly discriminatory and that such rates and terms and conditions of service be filed with the FERC. This statute also permits interested persons to challenge proposed new or changed rates. The FERC is authorized to suspend the effectiveness of such rates for up to seven months, though rates are typically not suspended for the maximum allowable period. If the FERC finds that the new or changed rate is unlawful, it may require the carrier to pay refunds for the period that the rate was in effect.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generally has not investigated interstate rates on its own initiative when those rates, like those we charge, have not been the subject of a protest or a complaint by a shipper. However, the FERC could investigate our rates at the urging of a third party if the third party is either a current shipper or has a substantial economic interest in the tariff rate level. Although no assurance can be given that the tariff rates charged by us ultimately will be upheld if challenged, management believes that the tariff rates now in effect for our pipelines are within the maximum rates allowed under current FERC policies and precedents.</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 many locations served by our product and crude pipelines, we are able to establish negotiated rates. Otherwise, we are permitted to charge cost-based rates, or in many cases, grandfathered rates based on historical charges or settlements with our customers. To the extent we rely on cost-of-service ratemaking to establish or support our rates, the issue of the proper allowance for federal and state income taxes could arise. In 2005, the FERC issued a policy statement stating that it would permit common carriers, among others, to include an income tax allowance in cost-of-service rates to reflect actual or potential tax liability attributable to a regulated entity’s operating income, regardless of the form of ownership. Under the FERC’s policy, a tax pass-through entity seeking such an income tax allowance must establish that its partners or members have an actual or potential income tax liability on the regulated entity’s income. Whether a pipeline’s owners have such actual or potential income tax liability is subject to review by the FERC on a case-by-case basis. Although this policy is generally favorable for common carriers that are organized as pass-through entities, it still entails rate risk due to the FERC’s case-by-case review approach. The application of this policy, as well as any decision by the FERC regarding our cost of service, may also be subject to review in the courts. In July 2016, the United States Court of Appeals for the District of Columbia Circuit issued an opinion in United Airlines, Inc., et al. v. FERC, finding that the FERC had acted arbitrarily and capriciously when it failed to demonstrate that permitting an interstate petroleum products pipeline organized as a master limited partnership, or MLP, to include an income tax allowance in the cost of service underlying its rates, in addition to the discounted cash flow return on equity, would not result in the pipeline partnership owners double recovering their income taxes. The court vacated the FERC’s order and remanded to the FERC to consider mechanisms for demonstrating that there is no double recovery as a result of the income tax allowance. In December 2016, the FERC issued a Notice of Inquiry Regarding the Commission’s Policy for Recovery of Income Tax Costs. The FERC requested comments regarding how to address any double recovery resulting from the Commission’s current income tax allowance and rate of return policies. The comment period with respect to the notice of inquiry ended in April 2017.</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March 2018, the FERC issued a Revised Policy Statement on Treatment of Income Taxes in which the FERC found that an impermissible double recovery results from granting an MLP pipeline both an income tax allowance and a return on equity pursuant to the FERC’s discounted cash flow methodology. The FERC revised its previous policy, stating that it would no longer permit an MLP pipeline to recover an income tax allowance in its cost of service. The FERC stated it will address the application of the United Airlines decision to non-MLP partnership forms as those issues arise in subsequent proceedings. Further, the FERC stated that it will incorporate the effects of the post-United Airlines policy changes and the Tax Cuts and Jobs Act of 2017 on industry-wide crude oil pipeline costs in the 2020 five-year review of the crude oil pipeline index level. The FERC will also apply the revised Policy Statement and the Tax Cuts and Jobs Act of 2017 to initial crude oil pipeline cost-of-service rates and cost-of-service rate changes on a going-forward basis under the FERC’s existing ratemaking policies, including cost-of-service rate proceedings resulting from shipper-initiated complaints. In July 2018, the FERC dismissed requests for rehearing and clarification of the March 2018 Revised Policy Statement, but provided further guidance, clarifying that a pass-through entity will not be precluded in a future proceeding from arguing and providing evidentiary support that it is entitled to an income tax allowance and demonstrating that its recovery of an income tax allowance does not result in a double recovery of investors’ income tax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2018, the 2017 Tax Cuts and Jobs Act changed several provisions of the federal tax code, including a reduction in the maximum corporate tax rate. With the lower tax rate, and as discussed immediately above, the maximum tariff rates allowed by the FERC under its rate base methodology for master limited partnerships may be impacted by a lower income tax allowance component. Many of our interstate pipelines, such as Tiger, MEP and FEP, have negotiated market rates that were agreed to by customers in connection with long-term contracts entered into to support the construction of the pipelines. Other systems, such as FGT, Transwestern and PEPL, have a mix of tariff rate, discount rate, and negotiated rate agreements. In addition, several of these pipelines are covered by approved settlements, where rate filings will be made in the future. As such, the timing and impact of these systems of any tax change is unknown at this time.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2019, following the decision of the D.C. Circuit in Emera Maine v. Federal Energy Regulatory Commission, FERC issued a Notice of Inquiry regarding its policy for determining return on equity (“ROE”). FERC specifically sought information and stakeholder views to help FERC explore whether, and if so how, it should modify its policies concerning the determination of ROE to be used in designing jurisdictional rates charged by public utilities. FERC also expressly sought comment on whether any changes to its policies concerning public utility ROEs should be applied to interstate natural gas and oil pipelines. Initial comments were due in June 2019, and reply comments were due in July 2019. FERC has not taken any further action with respect to the Notice of Inquiry as of this time, and therefore we cannot predict what effect, if any, such development could have on our cost-of-service rates in the future.</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EPAct of 1992 required the FERC to establish a simplified and generally applicable methodology to adjust tariff rates for inflation for interstate petroleum pipelines. As a result, the FERC adopted an indexing rate methodology which, as currently in effect, allows common carriers to change their rates within prescribed ceiling levels that are tied to changes in the Producer Price Index for Finished Goods, or PPIFG. The FERC’s indexing methodology is subject to review every five years. During the five-year period commencing July 1, 2011 and ending June 30, 2016, common carriers charging indexed rates are permitted to adjust their indexed ceilings annually by PPIFG plus 2.65%. Beginning July 1, 2016, the indexing method provided for annual changes equal to the change in PPIFG plus 1.23%. The indexing methodology is applicable to existing rates, including grandfathered rates, with the exclusion of market-based rates. A pipeline is not required to raise its rates up to the index ceiling, but it is permitted to do so and rate increases made under the index are presumed to be just and reasonable unless a protesting party can demonstrate that the portion of the rate increase resulting from application of the index is substantially in excess of the pipeline’s increase in costs. Under the indexing rate methodology, in any year in which the index is negative, pipelines must file to lower their rates if those rates would otherwise be above the rate ceiling. In October 2016, the FERC issued an Advance Notice of Proposed Rulemaking seeking comment on a number of proposals, including: (1) whether the Commission should deny any increase in a rate ceiling or annual index-based rate increase if a pipeline’s revenues exceed total costs by 15% for the prior two years; (2) a new percentage comparison test that would deny a proposed increase to a pipeline’s rate or ceiling level greater than 5% above the barrel-mile cost changes; and (3) a requirement that all pipelines file indexed ceiling levels annually, with the ceiling levels subject to challenge and restricting the pipeline’s ability to carry forward the full indexed increase to a future period. The comment period with respect to the proposed rules ended in March 2017. The FERC has taken no further action on the proposed rule to date.</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in November 2017, the FERC responded to a petition for declaratory order and issued an order that may have significant impacts on the way a marketer of crude oil or petroleum products that is affiliated with an interstate pipeline can price its services if those services include transportation on an affiliate’s interstate pipeline. In particular, the FERC’s November 2017 order prohibits buy/sell arrangements by a marketing affiliate if: (i) the transportation differential applicable to its affiliate’s interstate pipeline transportation service is at a discount to the affiliated pipeline’s filed rate for that service; and (ii) the pipeline affiliate subsidizes the loss. Several parties have requested that the FERC clarify its November 2017 order or, in the alternative, grant rehearing of the November 2017 order. The FERC extended the time frame to respond to such requests in January 2018, but has not yet taken final action. We are unable to predict how the FERC will respond to such requests. Depending on how the FERC responds, it could have an impact on the rates we are permitted to charge.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Regulation of Intrastate Crude Oil, NGL and Products Pipelines. </w:t>
      </w:r>
      <w:r>
        <w:rPr>
          <w:rFonts w:ascii="Arial" w:cs="Arial" w:eastAsia="Arial" w:hAnsi="Arial"/>
          <w:sz w:val="17"/>
          <w:szCs w:val="17"/>
          <w:color w:val="auto"/>
        </w:rPr>
        <w:t>Some of our crude oil, NGL and products pipelines are subject to regulation by the TRRC,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Pennsylvania Public Utility Commission and the Oklahoma Corporation Commission. The operations of our joint venture interests are also subject to regulation in the states in which they operate. The applicable state statutes require that pipeline rates be nondiscriminatory and provide no more than a fair return on the aggregate value of the pipeline property used to render services. State commissions generally have not initiated an investigation of rates or practices of petroleum pipelines in the absence of shipper complaints. Complaints to state agencies have been infrequent and are usually resolved informally. Although management cannot be certain that our intrastate rates ultimately would be upheld if challenged, we believe that, given this history, the tariffs now in effect are not likely to be challenged or, if challenged, are not likely to be ordered to be reduced.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as noted above, the rates, terms and conditions for shipments of crude oil, NGLs or products on our pipelines could be subject to regulation by the FERC under the ICA and the EPAct of 1992 if the crude oil, NGLs or products are transported in interstate or foreign commerce whether by our pipelines or other means of transportation. Since we do not control the entire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transportation path of all crude oil, NGLs or products shipped on our pipelines, FERC regulation could be triggered by our customers’ transportation decisions.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Regulation of Pipeline Safety. </w:t>
      </w:r>
      <w:r>
        <w:rPr>
          <w:rFonts w:ascii="Arial" w:cs="Arial" w:eastAsia="Arial" w:hAnsi="Arial"/>
          <w:sz w:val="16"/>
          <w:szCs w:val="16"/>
          <w:color w:val="auto"/>
        </w:rPr>
        <w:t>Our pipeline operations are subject to regulation by the DOT, through PHMSA, pursuant to the Natural Gas Pipeline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of 1968, as amended (“NGPSA”), with respect to natural gas and the Hazardous Liquids Pipeline Safety Act of 1979, as amended (“HLPSA”), with respect to crude oil, NGLs and condensates. The NGPSA and HLPSA, as amended, govern the design, installation, testing, construction, operation, replacement and management of natural gas as well as crude oil, NGL and condensate pipeline facilities. Pursuant to these acts, PHMSA has promulgated regulations governing pipeline wall thickness, design pressures, maximum operating pressures, pipeline patrols and leak surveys, minimum depth requirements, and emergency procedures, as well as other matters intended to ensure adequate protection for the public and to prevent accidents and failures. Additionally, PHMSA has established a series of rules requiring pipeline operators to develop and implement integrity management programs for certain gas and hazardous liquid pipelines that, in the event of a pipeline leak or rupture, could affect high consequence areas (“HCAs”), which are areas where a release could have the most significant adverse consequences, including high population areas, certain drinking water sources and unusually sensitive ecological areas. Failure to comply with the pipeline safety laws and regulations may result in the assessment of sanctions, including administrative, civil or criminal penalties, the imposition of investigatory, remedial or corrective action obligations, the occurrence of delays in permitting or the performance of projects, or the issuance of injunctions limiting or prohibiting some or all of our operations in the affected area.</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HLPSA and NGPSA have been amended by the Pipeline Safety, Regulatory Certainty, and Job Creation Act of 2011 (“2011 Pipeline Safety Act”) and the Protecting Our Infrastructure of Pipelines and Enhancing Safety Act of 2016 (“2016 Pipeline Safety Act”). The 2011 Pipeline Safety Act increased the penalties for safety violations, established additional safety requirements for newly constructed pipelines and required studies of safety issues that could result in the adoption of new regulatory requirements by PHMSA for existing pipelines. The 2011 Pipeline Safety Act doubled the maximum administrative fines for safety violations from $100,000 to $200,000 for a single violation and from $1 million to $2 million for a related series of violations, but provided that these maximum penalty caps do not apply to certain civil enforcement actions. In July 2019, PHMSA issued a final rule increasing those maximum civil penalties to $218,647 per day, with a maximum of $2,186,465 for a series of violations. The 2016 Pipeline Safety Act extended PHMSA’s statutory mandate through 2019 and, among other things, require PHMSA to complete certain of its outstanding mandates under the 2011 Pipeline Safety Act and develop new safety standards for natural gas storage facilities, which was issued by PHMSA in January 2020. The 2016 Pipeline Safety Act also empowers PHMSA to address imminent hazards by imposing emergency restrictions, prohibitions and safety measures on owners and operators of hazardous liquid or natural gas pipeline facilities without prior notice or an opportunity for a hearing. PHMSA issued interim regulations in October 2016 to implement the agency’s expanded authority to address unsafe pipeline conditions or practices that pose an imminent hazard to life, property, or the environment.</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states have adopted regulations, similar to existing PHMSA regulations, for intrastate gathering and transmission lines. The states in which we conduct operations typically have developed regulatory programs that parallel the federal regulatory scheme and are applicable to intrastate pipelines. Under such state regulatory programs, states have the authority to conduct pipeline inspections, to investigate accidents and to oversee compliance and enforcement, safety programs and record maintenance and reporting. Congress, PHMSA and individual states may pass or implement additional safety requirements that could result in increased compliance costs for us and other companies in our industry. For example, federal construction, maintenance and inspection standards under the NGPSA that apply to pipelines in relatively populated areas may not apply to gathering lines running through rural regions. This “rural gathering exemption” under the NGPSA presently exempts substantial portions of our gathering facilities located outside of cities, towns or any area designated as residential or commercial from jurisdiction under the NGPSA, but does not apply to our intrastate natural gas pipelines. In recent years, PHMSA has considered changes to this rural gathering exemption, including publishing an advance notice of proposed rulemaking relating to gas pipelines in 2011, in which the agency sought public comment on possible changes to the definition of “high consequence areas” and “gathering lines” and the strengthening of pipeline integrity management requirements. In April 2016, pursuant to one of the requirements of the 2011 Pipeline Safety Act, PHMSA published a proposed rulemaking that, among other things, would expand certain of PHMSA’s current regulatory safety programs for natural gas pipelines in newly defined “moderate consequence areas” that contain as few as 5 dwellings within a potential impact area; require natural gas pipelines installed before 1970 and thus excluded from certain pressure testing obligations to be tested to determine their maximum allowable operating pressures (“MAOP”); and require certain onshore and offshore gathering lines in Class I areas to comply with damage prevention, corrosion control, public education, MAOP limits, line markers and emergency planning standards. Additional requirements proposed by this proposed rulemaking would increase PHMSA’s integrity management requirements for natural gas pipelines and also require consideration of seismicity in evaluating threats to pipelines. In October 2019, PHMSA submitted three major rules to the Federal Register, including rules focused on: the safety of gas transmission pipelines (the first of three parts of the Mega Rule), the safety of hazardous liquid pipelines, and enhanced emergency order procedures. The gas transmission rule requires operators of gas transmission pipelines constructed before 1970 to determine the material strength of their lines by reconfirming MAOP. In addition, the rule updates reporting and records retention standards for gas transmission pipelines. This rule will take effect on July 1, 2020. PHMSA is then expected to issue the second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part of the Mega Rule focusing on repair criteria in HCAs and creating new repair criteria for non-HCAs, requirements for inspecting pipelines following extreme events, updates to pipeline corrosion control requirements, and various other integrity management requirements. PHMSA is expected to subsequently issue the final part of the gas Mega Rule, the Gas Gathering Rule, focusing on requirements relating to gas gathering lines.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January 2017, PHMSA issued a final rule amending federal safety standards for hazardous liquid pipelines. The final rule is the latest step in a lengthy rulemaking process that began in 2010 with a request for comments and continued with publication of a rulemaking proposal in October 2015. The general effective date of this final rule is six months from publication in the Federal Register, but it is currently subject to further administrative review in connection with the transition of Presidential administrations and thus, implementation of this final rule remains uncertain. The final rule addresses several areas including reporting requirements for gravity and unregulated gathering lines, inspections after weather or climatic events, leak detection system requirements, revisions to repair criteria and other integrity management revisions. In addition, PHMSA issued regulations on January 23, 2017, on operator qualification, cost recovery, accident and incident notification and other pipeline safety changes that are now effective. These regulations are also subject, however, to potential further review in connection with the transition of Presidential administrations. The safety and hazardous liquid pipelines rule discussed above, submitted to the Federal Register by PHMSA in October 2019, extended leak detection requirements to all non-gathering hazardous liquid pipelines and requires operators to inspect affected pipelines following extreme weather events or natural disasters to address any resulting damage. This rule will also take effect on July 1, 2020. In addition, the enhanced emergency procedures rule also mentioned above focuses on increased emergency safety measures. In particular, this rule increases the authority of PHMSA to issue an emergency order that addresses unsafe conditions or hazards that pose an imminent threat to pipeline safety. Unlike the other two rules submitted in October 2019, this rule took effect on December 2, 2019. Historically, our pipeline safety costs have not had a material adverse effect on our business or results of operations but there is no assurance that such costs will not be material in the future, whether due to elimination of the rural gathering exemption or otherwise due to changes in pipeline safety laws and regulations.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another example of how future legal requirements could result in increased compliance costs, notwithstanding the applicability of the federal OSHA’s Process Safety Management (“PSM”) regulations and the EPA’s Risk Management Planning (“RMP”) requirements at regulated facilities, PHMSA and one or more state regulators, including the TRRC, have in recent years, expanded the scope of their regulatory inspections to include certain in-plant equipment and pipelines found within NGL fractionation facilities and associated storage facilities, in order to assess compliance of such equipment and pipelines with hazardous liquid pipeline safety requirements. To the extent that these actions are pursued by PHMSA, midstream operators of NGL fractionation facilities and associated storage facilities subject to such inspection may be required to make operational changes or modifications at their facilities to meet standards beyond current PSM and RMP requirements, which changes or modifications may result in additional capital costs, possible operational delays and increased costs of operation that, in some instances, may be significant.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operation of processing plants, pipelines and associated facilities, including compression, in connection with the gathering, processing,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transmission of natural gas and the storage and transportation of NGLs, crude oil and refined products is subject to stringent federal, tribal, state and local laws and regulations, including those governing, among other things, air emissions, wastewater discharges, the use, management and disposal of hazardous and nonhazardous materials and wastes, and the cleanup of contamination. Noncompliance with such laws and regulations, or incidents resulting in environmental releases, could cause us to incur substantial costs, penalties, fines and criminal sanctions, third-party claims for personal injury or property damage, capital expenditures to retrofit or upgrade our facilities and programs, or curtailment or cancellation of permits on operations. As with the industry generally, compliance with existing and anticipated environmental laws and regulations increases our overall cost of doing business, including our cost of planning, permitting, constructing and operating our plants, pipelines and other facilities. As a result of these laws and regulations, our construction and operation costs include capital, operating and maintenance cost items necessary to maintain or upgrade our equipment and facilities.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implemented procedures designed to ensure that governmental environmental approvals for both existing operations and those under construction are updated as circumstances require. Historically, our environmental compliance costs have not had a material adverse effect on our business, results of operations or financial condition; however, there can be no assurance that such costs will not be material in the future. For example, we cannot be certain, however, that identification of presently unidentified conditions, more rigorous enforcement by regulatory agencies, enactment of more stringent environmental laws and regulations or unanticipated events will not arise in the future and give rise to environmental liabilities that could have a material adverse effect on our business, financial condition or results of operations.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Hazardous Substances and Waste Materials. </w:t>
      </w:r>
      <w:r>
        <w:rPr>
          <w:rFonts w:ascii="Arial" w:cs="Arial" w:eastAsia="Arial" w:hAnsi="Arial"/>
          <w:sz w:val="18"/>
          <w:szCs w:val="18"/>
          <w:color w:val="auto"/>
        </w:rPr>
        <w:t>To a large extent, the environmental laws and regulations affecting our operations relate to the release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substances and waste materials into soils, groundwater and surface water and include measures to prevent, minimize or remediate contamination of the environment. These laws and regulations generally regulate the generation, storage, treatment, transportation and disposal of hazardous substances and waste materials and may require investigatory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remedial actions at sites where such material has been released or disposed. For example, the Comprehensive Environmental Response, Compensation and Liability Act, as amended, (“CERCLA”), also known as the “Superfund” law, and comparable state laws, impose liability without regard to fault or the legality of the original conduct on certain classes of persons that contributed to a release of a “hazardous substance” into the environment. These persons include the owner and operator of the site where a release occurred and companies that disposed or arranged for the disposal of the hazardous substance that has been released into the environment. Under CERCLA, these persons may be subject to strict, joint and several liability, without regard to fault, for, among other things, the costs of investigating and remediating the hazardous substances that have been released into the environment, for damages to natural resources and for the costs of certain health studies. CERCLA and comparable state law also authorize the federal EPA, its state counterparts, and, in some instances, third parties to take actions in response to threats to the public health or the environment and to seek to recover from the responsible classes of persons the costs they incur. It is not uncommon for neighboring landowners and other third parties to file claims for personal injury and property damage allegedly caused by hazardous substances or other pollutants released into the environment. Although “petroleum” as well as natural gas and NGLs are excluded from CERCLA’s definition of a “hazardous substance,” in the course of our ordinary operations we generate wastes that may fall within that definition or that may be subject to other waste disposal laws and regulations. We may be responsible under CERCLA or state laws for all or part of the costs required to clean up sites at which such substances or wastes have been disposed.</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also generate both hazardous and nonhazardous wastes that are subject to requirements of the federal Resource Conservation and Recovery Act, as amended, (“RCRA”) and comparable state statutes. We are not currently required to comply with a substantial portion of the RCRA hazardous waste requirements at many of our facilities because the minimal quantities of hazardous wastes generated there make us subject to less stringent non-hazardous management standards. From time to time, the EPA has considered or third parties have petitioned the agency on the adoption of stricter handling, storage and disposal standards for nonhazardous wastes, including certain wastes associated with the exploration, development and production of crude oil and natural gas. For example, following the filing of a lawsuit by several non-governmental environmental groups against the EPA for the agency’s failure to timely assess its RCRA Subtitle D criteria regulations for oil and gas wastes, the EPA and the environmental groups entered into an agreement that was finalized in a consent decree issued by the United States District Court for the District of Columbia on December 28, 2016. Under the decree, the EPA was required to propose no later than March 15, 2019, a rulemaking for revision of certain Subtitle D criteria regulations pertaining to oil and gas wastes or sign a determination that revision of the regulations is not necessary. In response to the decree, in April 2019, the EPA signed a determination that revision of the regulations is not necessary at this time. It is possible that some wastes generated by us that are currently classified as nonhazardous may in the future be designated as “hazardous wastes,” resulting in the wastes being subject to more rigorous and costly disposal requirements, or that the full complement of RCRA standards could be applied to facilities that generate lesser amounts of hazardous waste. Changes such as these examples in applicable regulations may result in a material increase in our capital expenditures or plant operating and maintenance expense and, in the case of our oil and natural gas exploration and production customers, could result in increased operating costs for those customers and a corresponding decrease in demand for our processing, transportation and storage services.</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own or lease sites that have been used over the years by prior owners and lessees and by us for various activities related to gathering, processing, storage and transmission of natural gas, NGLs, crude oil and refined products. Waste disposal practices within the oil and gas industry have improved over the years with the passage and implementation of various environmental laws and regulations. Nevertheless, some hydrocarbons and wastes have been disposed of or otherwise released on or under various sites during the operating history of those facilities that are now owned or leased by us. Notwithstanding the possibility that these releases may have occurred during the ownership or operation of these assets by others, these sites may be subject to CERCLA, RCRA and comparable state laws. Under these laws, we could be required to remove or remediate previously disposed wastes (including wastes disposed of or released by prior owners or operators) or contamination (including soil and groundwater contamination) or to prevent the migration of contamination.</w:t>
      </w:r>
    </w:p>
    <w:p>
      <w:pPr>
        <w:spacing w:after="0" w:line="11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2019 and 2018, accruals of $320 million and $337 million, respectively, were recorded in our consolidated balance sheets as accrued and other current liabilities and other non-current liabilities to cover estimated material environmental liabilities including, for example, certain matters assumed in connection with our acquisition of the HPL System, our acquisition of Transwestern, potential environmental liabilities for three sites that were formerly owned by Titan Energy Partners, L.P. or its predecessors, and the predecessor owner’s share of certain environmental liabilities of ETC OLP.</w:t>
      </w:r>
    </w:p>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Partnership is subject to extensive and frequently changing federal, tribal, state and local laws and regulations, including those relating to the discharge of materials into the environment or that otherwise relate to the protection of the environment, waste management and the characteristics and composition of fuels. These laws and regulations require environmental assessment and remediation efforts at many of ETC Sunoco’s facilities and at formerly owned or third-party sites. Accruals for these environmental remediation activities amounted to $252 million and $263 million at December 31, 2019 and 2018, respectively, which is included in the total accruals above. These legacy sites that are subject to environmental assessments include formerly owned terminals and other logistics assets, retail sites that are no longer operated by ETC Sunoco, closed and/or sold refineries and other formerly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owned sites. In December 2013, a wholly-owned captive insurance company was established for these legacy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 As of December 31, 2019, the captive insurance company held $205 million of cash and investments.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Partnership’s accrual for environmental remediation activities reflects anticipated work at identified sites 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various environmental laws, including the RCRA, the Partnership has initiated corrective remedial action at certain of its facilities, formerly owned facilities and at certain third-party sites. At the Partnership’s major manufacturing facilities, we have typically assumed continued industrial use and a containment/remediation strategy focused on eliminating unacceptable risks to human health or the environment. The remediation accruals for these sites reflect that strategy. Accruals include amounts designed to prevent or mitigate off-site migration and to contain the impact on the facility property, as well as to address known, discrete areas requiring remediation within the plants. Remedial activities include, for example, closure of RCRA waste management units, recovery of hydrocarbons, handling of impacted soil, mitigation of surface water impacts and prevention or mitigation of off-site migration. A change in this approach as a result of changing the intended use of a property or a sale to a third party could result in a comparatively higher cost remediation strategy in the future.</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general, a remediation site or issue is typically evaluated on an individual basis based upon information available for the site or issue and no pooling or statistical analysis is used to evaluate an aggregate risk for a group of similar items (for example, service station sites) in determining the amount of probable loss accrual to be recorded. The estimates of environmental remediation costs also frequently involve evaluation of a range of estimates. In many cases, it is difficult to determine that one point in the range of loss estimates is more likely than any other. In these situations, existing accounting guidance allows us the minimum amount of the range to accrue. Accordingly, the low end of the range often represents the amount of loss which has been recorded. The Partnership’s consolidated balance sheet reflected $320 million in environmental accruals as of December 31, 2019.</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summary, 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but management can provide no assurance that it would be over many years. If changes in environmental laws or regulations occur or the assumptions used to estimate losses at multiple sites are adjusted, such changes could materially and adversely impact multiple facilities, formerly owned facilities and third-party sites at the same time. As a result, from time to time, significant charges against income for environmental remediation may occur. And while management does not believe that any such charges would have a material adverse impact on the Partnership’s consolidated financial position, it can provide no assurance.</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Transwestern conducts soil and groundwater remediation at a number of its facilities. Some of the cleanup activities include remediation of several compressor sites on the Transwestern system for contamination by PCBs, and the costs of this work are not eligible for recovery in rates. The total accrued future estimated cost of remediation activities expected to continue through 2025 is $4 million, which is included in the total environmental accruals mentioned above. Transwestern received FERC approval for rate recovery of projected soil and groundwater remediation costs not related to PCBs effective April 1, 2007. Transwestern, as part of ongoing arrangements with customers, continues to incur costs associated with containing and removing potential PCB contamination. Future costs cannot be reasonably estimated because remediation activities are undertaken as potential claims are made by customers and former customers. Such future costs are not expected to have a material impact on our financial position, results of operations or cash flows, but management can provide no assurance.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Air Emissions. </w:t>
      </w:r>
      <w:r>
        <w:rPr>
          <w:rFonts w:ascii="Arial" w:cs="Arial" w:eastAsia="Arial" w:hAnsi="Arial"/>
          <w:sz w:val="18"/>
          <w:szCs w:val="18"/>
          <w:color w:val="auto"/>
        </w:rPr>
        <w:t>Our operations are subject to the federal Clean Air Act, as amended, and comparable state laws and regulations. These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 emissions of air pollutants from various industrial sources, including our processing plants, and also impose various monitoring and reporting requirements. Such laws and regulations may require that we obtain pre-approval for the construction or modification of certain projects or facilities, such as our processing plants and compression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facilities, expected to produce air emissions or to result in the increase of existing air emissions, that we obtain and strictly comply with air permits containing various emissions and operational limitations, or that we utilize specific emission control technologies to limit emissions. We will incur capital expenditures in the future for air pollution control equipment in connection with obtaining and maintaining operating permits and approvals for air emissions. In addition, our processing plants, pipelines and compression facilities are subject to increasingly stringent regulations, including regulations that require the installation of control technology or the implementation of work practices to control hazardous air pollutants. Moreover, the Clean Air Act requires an operating permit for major sources of emissions and this requirement applies to some of our facilities. Historically, our costs for compliance with existing Clean Air Act and comparable state law requirements have not had a material adverse effect on our results of operations; however, there can be no assurance that such costs will not be material in the future. The EPA and state agencies are often considering, proposing or finalizing new regulations that could impact our existing operations and the costs and timing of new infrastructure development. For example, in October 2015, the EPA published a final rule under the Clean Air Act, lowering the National Ambient Air Quality Standard (“NAAQS”) for ground-level ozone to 70 parts per billion for the 8-hour primary and secondary ozone standards. The EPA published a final rule in November 2017 that issued area designations with respect to ground-level ozone for approximately 85% of the United States counties as either “attainment/unclassifiable” or “unclassifiable.” In April 2018 and July 2018, the EPA issued area designations for all areas not addressed in the November 2017 rule. States with moderate or high nonattainment areas must submit state implementation plans to the EPA by October 2021.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or other new regulations could, among other things, require installation of new emission controls on some of our equipment, result in longer permitting timelines, and significantly increase our capital expenditures and operating costs, which could adversely impact our business.</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Clean Water Act. </w:t>
      </w:r>
      <w:r>
        <w:rPr>
          <w:rFonts w:ascii="Arial" w:cs="Arial" w:eastAsia="Arial" w:hAnsi="Arial"/>
          <w:sz w:val="16"/>
          <w:szCs w:val="16"/>
          <w:color w:val="auto"/>
        </w:rPr>
        <w:t>The Federal Water Pollution Control Act of 1972, as amended, (“Clean Water Act”) and comparable state laws impose restrictions and strict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regarding the discharge of pollutants, including hydrocarbon-bearing wastes, into state waters and waters of the United States. Pursuant to the Clean Water Act and similar state laws, a National Pollutant Discharge Elimination System, or state permit, or both, must be obtained to discharge pollutants into federal and state waters. In addition, the Clean Water Act and comparable state laws require that individual permits or coverage under general permits be obtained by subject facilities for discharges of storm water runoff. The Clean Water Act also prohibits the discharge of dredge and fill material in regulated waters, including wetlands, unless authorized by permit. In June 2015, the EPA and the United States Army Corps of Engineers (“USACE”) published a final rule attempting to clarify the federal jurisdictional reach over waters of the United States, but legal challenges to this rule followed. The 2015 rule was stayed nationwide to determine whether federal district or appellate courts had jurisdiction to hear cases in the matter and, in January 2017, the United States Supreme Court agreed to hear the case. The EPA and USACE proposed a rulemaking in June 2017 to repeal the June 2015 rule, announced their intent to issue a new rule defining the Clean Water Act’s jurisdiction, and published a proposed rule in November 2017 specifying that the contested May 2015 rule would not take effect until two years after the November 2017 proposed rule was finalized and published in the Federal Register. In January 2018, the United States Supreme Court issued a decision finding that jurisdiction resides with the federal district courts. Also in January 2018, the EPA and USACE finalized a rule that would delay applicability of the rule to two years from the rule’s publication in the Federal Register. The EPA and USACE formally proposed a rule revising the definition of “waters of the United States” in December 2018. The proposed definition would substantially reduce the scope of waters that fall within the Clean Water Act’s jurisdiction, in part by excluding ephemeral streams. The EPA and USACE had previously determined that ephemeral streams could potentially qualify as “waters of the United States,” which would not be possible under the proposed definition. In January 2020, a new “waters of the United States” rule was finalized to replace the June 2015 rule. Under the final rule, the following four categories of waters would be defined as “waters of the United States”: traditional navigable waters and territorial seas; perennial and intermittent tributaries to those waters; lakes, ponds and impoundments of jurisdictional waters; and wetlands adjacent to jurisdictional waters. Additional litigation and administrative proceedings are expected in the future. As a result of these developments, future implementation of the June 2015 rule or any replacement rule is uncertain at this time, but to the extent any rule expands the scope of the Clean Water Act’s jurisdiction, our operations as well as our exploration and production customers’ drilling programs could incur increased costs and delays with respect to obtaining permits for dredge and fill activities in wetland areas.</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Spills. </w:t>
      </w:r>
      <w:r>
        <w:rPr>
          <w:rFonts w:ascii="Arial" w:cs="Arial" w:eastAsia="Arial" w:hAnsi="Arial"/>
          <w:sz w:val="17"/>
          <w:szCs w:val="17"/>
          <w:color w:val="auto"/>
        </w:rPr>
        <w:t>Our operations can result in the discharge of regulated substances, including NGLs, crude oil or other products. The Clean Water Act, as amended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Oil Pollution Act of 1990, as amended, (“OPA”), and comparable state laws impose restrictions and strict controls regarding the discharge of regulated substances into state waters or waters of the United States. The Clean Water Act and comparable state laws can impose substantial administrative, civil and criminal penalties for non-compliance including spills and other non-authorized discharges. The OPA subjects owners of covered facilities to strict joint and potentially unlimited liability for removal costs and other consequences of a release of oil, where the release is into navigable waters, along shorelines or in the exclusive economic zone of the United States. Spill prevention control and countermeasure requirements of the Clean Water Act and some state laws require that containment dikes and similar structures be installed to help prevent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impact on navigable waters in the event of a release of oil. PHMSA, the EPA, or various state regulatory agencies, has approved our oil spill emergency response plans that are to be used in the event of a spill incident.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some states maintain groundwater protection programs that require permits for discharges or operations that may impact groundwater conditions. Our management believes that compliance with existing permits and compliance with foreseeable new permit requirements will not have a material adverse effect on our results of operations, financial position or expected cash flows.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Endangered Species Act. </w:t>
      </w:r>
      <w:r>
        <w:rPr>
          <w:rFonts w:ascii="Arial" w:cs="Arial" w:eastAsia="Arial" w:hAnsi="Arial"/>
          <w:sz w:val="18"/>
          <w:szCs w:val="18"/>
          <w:color w:val="auto"/>
        </w:rPr>
        <w:t>The Endangered Species Act, as amended, restricts activities that may affect endangered or threatened species or their habitat.</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protections are offered to migratory birds under the Migratory Bird Treaty Act. We may operate in areas that are currently designated as a habitat for endangered or threatened species or where the discovery of previously unidentified endangered species, or the designation of additional species as endangered or threatened may occur in which event such one or more developments could cause us to incur additional costs, to develop habitat conservation plans, to become subject to expansion or operating restrictions, or bans in the affected areas. Moreover, such designation of previously unprotected species as threatened or endangered in areas where our oil and natural gas exploration and production customers operate could cause our customers to incur increased costs arising from species protection measures and could result in delays or limitations in our customers’ performance of operations, which could reduce demand for our services.</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Climate Change. </w:t>
      </w:r>
      <w:r>
        <w:rPr>
          <w:rFonts w:ascii="Arial" w:cs="Arial" w:eastAsia="Arial" w:hAnsi="Arial"/>
          <w:sz w:val="16"/>
          <w:szCs w:val="16"/>
          <w:color w:val="auto"/>
        </w:rPr>
        <w:t>Climate change continues to attract considerable public, governmental and scientific attention. As a result, numerous proposals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made and are likely to continue to be made at the international, national, regional and state levels of government to monitor and limit emissions of greenhouse gases (“GHGs”). These efforts have included consideration of cap-and-trade programs, carbon taxes and GHG reporting and tracking programs, and regulations that directly limit GHG emissions from certain sources. At the federal level, no comprehensive climate change legislation has been implemented to date. The EPA has, however,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Federal agencies also have begun directly regulating emissions of methane, a GHG,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However, the Subpart OOOOa standards have been subject to attempts by the EPA to stay portions of those standards, and the agency proposed rulemaking in June 2017 to stay the requirements for a period of two years and revisit implementation of Subpart OOOOa in its entirety. In September 2018, the EPA proposed amendments to Subpart OOOOa that would reduce the 2016 standards’ fugitive emissions monitoring requirements and expand exceptions to controlling methane emissions from pneumatic pumps, among other changes. Various industry and environmental groups have separately challenged both the original 2016 standards and the EPA’s attempts to delay the implementation of the rule. In August 2019, the EPA proposed two options for further rescinding the Subpart OOOOa standards. Under the EPA’s preferred alternative, the agency would rescind the methane limits for new, reconstructed and modified oil and natural gas production sources while leaving in place the general emission limits for volatile organic compounds, or VOCs, and relieve the EPA of its obligation to develop guidelines for methane emissions from existing sources. In addition, the proposal would remove from the oil and natural gas category the natural gas transmission and storage segment. The other proposed alternative would rescind the methane requirements of the Subpart OOOOa standards applicable to all oil and natural gas sources, without removing any sources from that source category (and still requiring control of VOCs in general). This rule, should it remain in effect, and any other new methane emission standards imposed on the oil and gas sector could result in increased costs to our operations as well as result in delays or curtailment in such operations, which costs, delays or curtailment could adversely affect our business. Additionally, in December 2015, the United States joined the international community at the 21st Conference of the Parties of the United Nations Framework Convention on Climate Change in Paris, France preparing an agreement requiring member countries to review and “represent a progression” in their intended nationally determined contributions, which set GHG emission reduction goals every five years beginning in 2020. This “Paris Agreement” was signed by the United States in April 2016 and entered into force in November 2016; however, this agreement does not create any binding obligations for nations to limit their GHG emissions, but rather includes pledges to voluntarily limit or reduce future emissions. In August 2017, the United States State Department informed the United Nations of the intent of the United States to withdraw from the Paris Agreement. The United States formally initiated the withdrawal process in November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2019, which would result in an effective exit date of November 2020. The United States’ adherence to the exit process and/or the terms on which the United States may re-enter the Paris Agreement or a separately negotiated agreement are unclear at this time.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adoption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Recently, activists concerned about the potential effects of climate change have directed their attention at sources of funding for fossil-fuel energy companies, which has resulted in certain financial institutions, funds and other sources of capital restricting or eliminating their investment in oil and natural gas activities. Ultimately, this could make it more difficult to secure funding for exploration and production or midstream activities. Notwithstanding potential risks related to climate change, the International Energy Agency estimates that global energy demand will continue to rise and will not peak until after 2040 and that oil and natural gas will continue to represent a substantial percentage of global energy use over that time. Finally, some scientists have concluded that increasing concentrations of GHG in the atmosphere may produce climate changes that have significant physical effects, such as increased frequency and severity of storms, droughts, and floods and other climate events that could have an adverse effect on our assets.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Some have suggested that one consequence of climate change could be increased severity of extreme weather, such as increased hurricanes and floods. If such effects were to occur, our operations could be adversely affected in various ways, including damages to our facilities from powerful winds or rising waters, or increased costs for insurance. Another possible consequence of climate change is increased volatility in seasonal temperatures. The market for our NGLs and natural gas is generally improved by periods of colder weather and impaired by periods of warmer weather, so any changes in climate could affect the market for the fuels that we produce. Despite the use of the term “global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Employee Health and Safety. </w:t>
      </w:r>
      <w:r>
        <w:rPr>
          <w:rFonts w:ascii="Arial" w:cs="Arial" w:eastAsia="Arial" w:hAnsi="Arial"/>
          <w:sz w:val="18"/>
          <w:szCs w:val="18"/>
          <w:color w:val="auto"/>
        </w:rPr>
        <w:t>We are subject to the requirements of the federal OSHA and comparable state laws that regulate the protection of the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safety of workers. In addition, the Occupational Safety and Health Administration’s hazard communication standard requires that information be maintained about hazardous materials used or produced in operations and that this information be provided to employees, state and local government authorities and citizens. Historically, our costs for OSHA required activities, including general industry standards, recordkeeping requirements, and monitoring of occupational exposure to regulated substances, have not had a material adverse effect on our results of operations but there is no assurance that such costs will not be material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ET and its consolidated subsidiaries employed an aggregate of 12,812 employees, 1,551 of which are represented by labor unions.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our subsidiaries believe that our relations with our employees are satisfactory.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or furnish annual reports on Form 10-K, quarterly reports on Form 10-Q, current reports on Form 8-K and any related amendments and supplements thereto with the SEC. From time to time, we may also file registration and related statements pertaining to equity or debt offerings. The SEC maintains an internet website at http://www.sec.gov that contains reports, proxy and information statements and other information regarding issuers that file electronically with the SEC.</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electronic access, free of charge, to our periodic and current reports, and amendments to these reports, on our internet website located at http://www.energytransfer.com. These reports are available on our website as soon as reasonably practicable after we electronically file such materials with the SEC. Information contained on our website is not part of this report.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risks and uncertainties in the ordinary course of business that are common to all businesses, important factors that are specific to our structure as a limited partnership, our industry and our company could materially impact our future performance and results of operations. We have provided below a list of these risk factors that should be reviewed when considering an investment in our securities. ETO, Panhandle, Sunoco LP and USAC file Annual Reports on Form 10-K that include risk factors that can be reviewed for further information. The risk factors set forth below, and those included in ETO’s, Panhandle’s, Sunoco LP’s and USAC’s Annual Reports, are not all the risks we face and other factors currently considered immaterial or unknown to us may impact our future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Inherent in an Investment in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or other external factors.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source of earnings and cash flow is cash distributions from ETO. In addition, ETO’s earnings and cash flows are generated by its subsidiaries, including ETO’s investments in Sunoco LP and USAC. Therefore, the amount of distributions we are currently able to make to our Unitholders may fluctuate based on the level of distributions ETO and its subsidiaries, including Sunoco LP and USAC, make to their partners. ETO may not be able to continue to make quarterly distributions at its current level or increase its quarterly distributions in the future. In addition, while we would expect to increase or decrease distributions to our Unitholders if ETO increases or decreases distributions to us, the timing and amount of such increased or decreased distributions, if any, will not necessarily be comparable to the timing and amount of the increase or decrease in distributions made by ETO to us.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distribute cash received from ETO to our Unitholders is limited by a number of factors, including:</w:t>
      </w:r>
    </w:p>
    <w:p>
      <w:pPr>
        <w:spacing w:after="0" w:line="11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expense and principal payments on our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distributions contained in any current or future debt agreements;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general and administrative expenses;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of our subsidiaries other than ETO and its subsidiaries, including tax liabilities of our corporate subsidiaries, if any;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reserves our general partner believes prudent for us to maintain for the proper conduct of our business or to provide for future distributions.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guarantee that in the future we will be able to pay distributions or that any distributions we do make will be at or above our current quarterly distribution. The actual amount of cash that is available for distribution to our Unitholders will depend on numerous factors, many of which are beyond our control or the control of our general partner.</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cash flow depends primarily on the cash distributions we receive from our partnership interests in ETO, Sunoco LP and USAC, including the incentive distribution rights in Sunoco LP and, therefore, our cash flow is dependent upon the ability of ETO, Sunoco LP and USAC to make distributions in respect of those partnership interests.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have any significant assets other than our partnership interests in ETO. As a result, our cash flow depends on the performance of ETO and its subsidiaries, including Sunoco LP and USAC, and their ability to make cash distributions, which is dependent on the results of operations, cash flows and financial condition of ETO and its subsidiaries, including Sunoco LP and USAC.</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cash that ETO distributes to us each quarter depends upon the amount of cash ETO generates from its operations, which will fluctuate from quarter to quarter and will depend upon, among other things:</w:t>
      </w:r>
    </w:p>
    <w:p>
      <w:pPr>
        <w:spacing w:after="0" w:line="6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natural gas, NGLs, crude oil and refined products transported through ETO’s pipelines;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throughput in processing and treating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fees charged and the margins realized by ETO, Sunoco LP and USAC for their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of natural gas, NGLs, crude oil and refined products;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relationship between natural gas, NGL and crude oil prices;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weather in their respective operating areas;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competition from other midstream, transportation and storage and retail marketing companies and other energy providers;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their respective operating costs and maintenance and integrity capital expenditures;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tax profile on any blocker entities treated as corporations for federal income tax purposes that are owned by any of our subsidiaries;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prevailing economic conditions;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and results of their respective derivative activities.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actual amount of cash that ETO, and its subsidiaries, including Sunoco LP and USAC, will have available for distribution will also depend on other factors, such as:</w:t>
      </w:r>
    </w:p>
    <w:p>
      <w:pPr>
        <w:spacing w:after="0" w:line="6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capital expenditures they make;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costs related to litigation and regulatory compliance matters;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levels of any margin calls that result from changes in commodity prices;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requirements;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working capital needs;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their ability to borrow under their respective revolving credit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their ability to access capital markets;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distributions contained in their respective debt agreements; and</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the board of directors and their respective general partners in their discretion for the proper conduct of their respective businesses.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ET does not have any control over many of these factors, including the level of cash reserves established by the board of directors. Accordingly, we cannot guarantee that ETO, Sunoco LP and USAC will have sufficient available cash to pay a specific level of cash distributions to their respective partners.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Unitholders should be aware that the amount of cash that our subsidiaries have available for distribution depends primarily upon cash flow and is not solely a function of profitability, which is affected by non-cash items. As a result, our subsidiaries may declare and/or pay cash distributions during periods when they record net losses. Please read “Risks Related to the Businesses of our Subsidiaries” included in this Item 1A for a discussion of further risks affecting ETO’s ability to generate distributable cash flow.</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issue an unlimited number of limited partner interests or other classes of equity without the consent of our Unitholders, which will dilute Unitholders’ ownership interest in us and may increase the risk that we will not have sufficient available cash to maintain or increase our per unit distribution level.</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partnership agreement allows us to issue an unlimited number of additional limited partner interests, including securities senior to the Common Units, without the approval of our Unitholders. The issuance of additional Common Units or other equity securities by us will have the following effects:</w:t>
      </w:r>
    </w:p>
    <w:p>
      <w:pPr>
        <w:spacing w:after="0" w:line="3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Unitholders’ current proportionate ownership interest in us will decrease;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or partnership security may decrease;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of our Common Units may decline.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ETO may issue additional preferred equity, and Sunoco LP and USAC may issue additional common units, which may increase the risk that each Partnership will not have sufficient available cash to maintain or increase its per unit distribution level.</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partnership agreements of ETO, Sunoco LP and USAC allow each partnership to issue an unlimited number of additional limited partner interests. The issuance of additional preferred units, common units or other equity securities by each respective partnership will have the following effects:</w:t>
      </w:r>
    </w:p>
    <w:p>
      <w:pPr>
        <w:spacing w:after="0" w:line="3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Unitholders’ current proportionate ownership interest in each partnership will decrease;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or partnership security may decrease;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of each partnership’s common units may decline.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distributions on any additional units issued by ETO, Sunoco LP and USAC may increase the risk that either partnership may not have sufficient cash available to maintain or increase its per unit distribution level, which in turn may impact the available cash that we have to meet our obligations.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Unitholders have limited voting rights and are not entitled to elect the general partner or its directors. In addition, even if Unitholders are dissatisfied, they cannot easily remove our general partner.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Unlike the holders of common stock in a corporation, Unitholders have only limited voting rights on matters affecting our business, and therefore limited ability to influence management’s decisions regarding our business. Unitholders did not elect our general partner and will have no right to elect our general partner or the officers or directors of our general partner on an annual or other continuing basis.</w:t>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Furthermore, if our Unitholders are dissatisfied with the performance of our general partner, they may be unable to remove our general partner. Our general partner may not be removed except, among other things, upon the vote of the holders of at least 66 </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units. As of December 31, 2019, our directors and executive officers directly or indirectly own approximately 14% of our outstanding Common Units. It will be particularly difficult for our general partner to be removed without the consent of our directors and executive officers. As a result, the price at which our Common Units will trade may be lower because of the absence or reduction of a takeover premium in the trading price.</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Unitholders’ voting rights are further restricted by the partnership agreement provision providing that any units held by a person that owns 20% or more of any class of units then outstanding, other than the general partner and its affiliates, cannot be voted on any matter.</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general partner may, in its sole discretion, approve the issuance of partnership securities and specify the terms of such partnership securities.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partnership agreement, our general partner has the ability, in its sole discretion and without the approval of the Unitholders, to approve the issuance of securities by the Partnership at any time and to specify the terms and conditions of such securities. The securities authorized to be issued may be issued in one or more classes or series, with such designations, preferences, rights, powers and duties (which may be senior to existing classes and series of partnership securities), as shall be determined by our general partner, including:</w:t>
      </w:r>
    </w:p>
    <w:p>
      <w:pPr>
        <w:spacing w:after="0" w:line="7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to share in the Partnership’s profits and losses;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to share in the Partnership’s distributions;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rights upon dissolution and liquidation of the Partnership;</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and the terms upon which, the Partnership may redeem the securities;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securities will be issued, evidenced by certificates and assigned or transferred; and</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if any, of the security to vote on matters relating to the Partnership, including matters relating to the relative rights, preferences and privileges of such security.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control of our general partner may be transferred to a third party without Unitholder consent.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the Unitholders. Furthermore, the members of our general partner may transfer all or part of their ownership interest in our general partner to a third party without the consent of the Unitholders. Any new owner or owners of our general partner would be in a position to replace the directors and officers of our general partner with its own choices and to control the decisions made and actions taken by the board of directors and officers.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including key personnel of ETO under a shared services agreement, to provide the financial, accounting, administrative and legal services necessary to operate our business.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the services of key personnel of ETO, including the ongoing involvement and continued leadership of Kelcy L. Warren, one of the founders of ETO’s midstream business. Mr. Warren has been integral to the success of ETO’s midstream and intrastate transportation and storage businesses because of his ability to identify and develop strategic business opportunities. Losing the leadership of Mr. Warren could make it difficult for ETO to identify internal growth projects and accretive acquisitions, which could have a material adverse effect on ETO’s ability to increase the cash distributions paid on its partnership interests.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ETO’s executive officers that provide services to us pursuant to a shared services agreement allocate their time between us and ETO. To the extent that these officers face conflicts regarding the allocation of their time, we may not receive the level of attention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them that the management of our business requires. If ETO is unable to provide us with a sufficient number of personnel with the appropriate level of technical accounting and financial expertise, our internal accounting controls could be adversely impacted.</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reimbursements due to our general partner may be substantial and may reduce our ability to pay the distributions to our Unitholders.</w:t>
      </w:r>
    </w:p>
    <w:p>
      <w:pPr>
        <w:spacing w:after="0" w:line="1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Prior to making any distributions to our Unitholders, we will reimburse our general partner for all expenses it has incurred on our behalf. In addition, our general partner and its affiliates may provide us with services for which we will be charged reasonable fees as determined by our general partner. The reimbursement of these expenses and the payment of these fees could adversely affect our ability to make distributions to our Unitholders. Our general partner has sole discretion to determine the amount of these expenses and fees.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Delaware partnership law, our general partner has unlimited liability for our obligations, such as our debts and environmental liabilities, except for our contractual obligations that are expressly made without recourse to our general partner. To the extent our general partner incurs obligations on our behalf, we are obligated to reimburse or indemnify it. If we are unable or unwilling to reimburse or indemnify our general partner, our general partner may take actions to cause us to make payments of these obligations and liabilities. Any such payments could reduce the amount of cash available for distribution to our Unitholders and cause the value of our Common Units to decline.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consolidated debt level and debt agreements of ETO and its subsidiaries, including Sunoco LP and USAC, may limit the distributions we receive from ETO, as well as our future financial and operating flexibility.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ETO’s and its subsidiaries’ levels of indebtedness affect their operations in several ways, including, among other things:</w:t>
      </w:r>
    </w:p>
    <w:p>
      <w:pPr>
        <w:spacing w:after="0" w:line="117" w:lineRule="exact"/>
        <w:rPr>
          <w:sz w:val="20"/>
          <w:szCs w:val="20"/>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significant portion of ETO’s and its subsidiaries’ cash flows from operations will be dedicated to the payment of principal and interest on outstanding debt and will not be available for other purposes, including payment of distributions to us;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covenants contained in ETO’s and its subsidiaries’ existing debt agreements require ETO and its subsidiaries, as applicable, to meet financial tests that may adversely affect their flexibility in planning for and reacting to changes in their respective businesses;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ETO’s and its subsidiaries’ ability to obtain additional financing for working capital, capital expenditures, acquisitions and general partnership, corporate or limited liability company purposes, as applicable, may be limited;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ETO and its subsidiaries may be at a competitive disadvantage relative to similar companies that have less debt;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ETO and its subsidiaries may be more vulnerable to adverse economic and industry conditions as a result of their significant debt levels;</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by ETO or its subsidiaries to comply with the various restrictive covenants of the respective debt agreements could negatively impact ETO’s and/or its subsidiaries’ ability to incur additional debt, including their ability to utilize the available capacity under their revolving credit facilities, and to pay distributions to us and their unitholders.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or to repay debt at maturity.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Unlike a corporation, our partnership agreement requires us to distribute, on a quarterly basis, 100% of our Available Cash (as defined in our partnership agreement) to our Unitholders of record and our general partner. Available Cash is generally all of 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w:t>
      </w:r>
    </w:p>
    <w:p>
      <w:pPr>
        <w:spacing w:after="0" w:line="80" w:lineRule="exact"/>
        <w:rPr>
          <w:sz w:val="20"/>
          <w:szCs w:val="20"/>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subsidiaries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our general partner for any one or more of the next four calendar quarters;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downgrade of our credit ratings could impact our and our subsidiaries’ liquidity, access to capital and costs of doing business, and maintaining credit ratings is under the control of independent third parties.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downgrade of our credit ratings may increase our and our subsidiaries’ cost of borrowing and could require us to post collateral with third parties, negatively impacting our available liquidity. Our and our subsidiaries’ ability to access capital markets could also be limited by a downgrade of our credit ratings and other disruptions. Such disruptions could include:</w:t>
      </w:r>
    </w:p>
    <w:p>
      <w:pPr>
        <w:spacing w:after="0" w:line="7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economic downturns;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deteriorating capital market conditions;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declining market prices for crude oil, natural gas, NGLs and other commodities;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terrorist attacks or threatened attacks on our facilities or those of other energy companies;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overall health of the energy industry, including the bankruptcy or insolvency of other companies.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rating agencies perform independent analysis when assigning credit ratings. The analysis includes a number of criteria including, but not limited to, business composition, market and operational risks, as well as various financial tests. Credit rating agencies continue to review the criteria for industry sectors and various debt ratings and may make changes to those criteria from time to time. Credit ratings are not recommendations to buy, sell or hold investments in the rated entity. Ratings are subject to revision or withdrawal at any time by the rating agencies, and we cannot assure you that we will maintain our current credit ratings.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subsidiaries are not prohibited from competing with us.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our partnership agreement nor the partnership agreements of our subsidiaries, including ETO, Sunoco LP and USAC, prohibit our subsidiaries from owning assets or engaging in businesses that compete directly or indirectly with us. In addition, our subsidiaries may acquire, construct or dispose of any assets in the future without any obligation to offer us the opportunity to purchase or construct any of those assets.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projects will require significant amounts of debt and equity financing, which may not be available to ETO on acceptable terms, or at all.</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ETO plans to fund its growth capital expenditures, including any new future pipeline construction projects and improvements or repairs to existing facilities that ETO may undertake, with proceeds from sales of ETO’s debt and equity securities and borrowings under its revolving credit facility; however, ETO cannot be certain that it will be able to issue debt and equity securities on terms satisfactory to it, or at all. In addition, ETO may be unable to obtain adequate funding under its current revolving credit facility because ETO’s lending counterparties may be unwilling or unable to meet their funding obligations. If ETO is unable to finance its expansion projects as expected, ETO could be required to seek alternative financing, the terms of which may not be attractive to ETO, or to revise or cancel its expansion plans.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significant increase in ETO’s indebtedness that is proportionately greater than ETO’s issuance of equity could negatively impact ETO’s credit ratings or its ability to remain in compliance with the financial covenants under its revolving credit agreement, which could have a material adverse effect on ETO’s financial condition, results of operations and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materially adversely affect our business, results of operations, cash flows and financial condition.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exposure to commodity prices, we have significant exposure to changes in interest rates. Approximately $7.97 billion of our consolidated debt as of December 31, 2019 bears interest at variable interest rates and the remainder bears interest at fixed rates. To the extent that we have debt with floating interest rates, our results of operations, cash flows and financial condition could be materially adversely affected by increases in interest rates. We manage a portion of our interest rate exposures by utilizing interest rate swaps.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increase in interest rates may also cause a corresponding decline in demand for equity investments, in general, and in particular for yield-based equity investments such as our Common Units. Any such reduction in demand for our Common Units resulting from other more attractive investment opportunities may cause the trading price of our Common Units to decline.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Changes in LIBOR reporting practices or the method in which LIBOR is determined may adversely affect the market value of our current or future debt obligations, including our revolving credit facility.</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we had outstanding approximately $7.97 billion of debt that bears interest at variable interest rates that use the LIBOR as a benchmark rate. On July 27, 2017, the Financial Conduct Authority (the “FCA”), which regulates LIBOR, announced that it intends to stop persuading or compelling banks to submit LIBOR quotations after 2021. It is unclear whether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LIBOR will cease to exist or if new methods of calculating LIBOR will be established such that it continues to exist after 2021, or whether any alternative benchmark rate will attain market acceptance as a replacement for LIBOR. It is not possible to predict the further effect of the rules of the FCA, any changes in the methods by which LIBOR is determined or any other reforms to LIBOR that may be enacted in the United Kingdom, the European Union or elsewhere. Any such developments may cause LIBOR to perform differently than in the past, or cease to exist. In addition, any other legal or regulatory changes made by the FCA, the European Commission or any other successor governance or oversight body, or future changes adopted by such body, in the method by which LIBOR is determined or the change from LIBOR to an alternative benchmark rate may result in, among other things, a sudden or prolonged increase or decrease in LIBOR, a delay in the publication of LIBOR, and changes in the rules or methodologies in LIBOR, which may discourage market participants from continuing to administer or to participate in LIBOR’s determination, and, in certain situations, could result in LIBOR no longer being determined and published.</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published U.S. dollar LIBOR rate is unavailable after 2021, the interest rates on our debt which are indexed to LIBOR will be determined using an alternative method, which may result in interest obligations which are more than or do not otherwise correlate over time with the payments that would have been made on such debt if U.S. dollar LIBOR was available in its current form or will be determined using an alternative benchmark rate as negotiated with our counterparties. Further, the same costs and risks that may lead to the discontinuation or unavailability of U.S. dollar LIBOR may make one or more of the alternative methods impossible or impracticable to determine. Alternative benchmark rate(s) may replace LIBOR and could affect our debt securities, derivative instruments, receivables, debt payments and receipts. At this time, it is not possible to predict the effect of any establishment of any alternative benchmark rate(s) and we cannot predict what alternative benchmark rate(s) will be negotiated with our counterparties. Any new benchmark rate will likely not replicate LIBOR exactly, and any changes to benchmark rates may have an uncertain impact on our cost of funds and our access to the capital markets. Any of these proposals or consequences could have a material adverse effect on our financing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certain circumstances, Unitholders may have to repay us amounts wrongfully distributed to them. Under Delaware law, we may not make a distribution to Unitholders if the distribution causes our liabilities to exceed the fair value of our assets. Liabilities to partners on account of their partnership interests and non-recourse liabilities are not counted for purposes of 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 Under Delaware law, an assignee who becomes a substituted limited partner of a limited partnership is liable for the obligations of the assignor to make contributions to the partnership. However, such an assignee is not obligated for liabilities unknown to him at the time he or she became a limited partner if the liabilities could not be determined from the partnership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do not have significant assets other than the partnership interests and the equity in our subsidiaries. As a result, our ability to pay distributions to our Unitholders and to service our debt depends on the performance of our subsidiaries and their ability to distribute funds to us. The ability of our subsidiaries to make distributions to us may be restricted by, among other things, credit facilities and applicable state partnership laws and other laws and regulations. If we are unable to obtain funds from our subsidiaries we may not be able to pay distributions to our Unitholders or to pay interest or principal on our debt when due.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debt level and debt agreements may limit our ability to make distributions to Unitholders and may limit our future financial and operating flexibility and may require asset sales.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2019, we had approximately $124 million of debt on a stand-alone basis and approximately $51 billion of consolidated debt, excluding the debt of our unconsolidated joint ventures. Our level of indebtedness affects our operations in several ways, including, among other things:</w:t>
      </w:r>
    </w:p>
    <w:p>
      <w:pPr>
        <w:spacing w:after="0" w:line="38" w:lineRule="exact"/>
        <w:rPr>
          <w:sz w:val="20"/>
          <w:szCs w:val="20"/>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significant portion of our and our subsidiaries’ cash flow from operations will be dedicated to the payment of principal and interest on outstanding debt and will not be available for other purposes, including payment of distributions;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covenants contained in our and our subsidiaries’ existing debt agreements require us and them, as applicable, to meet financial tests that may adversely affect our flexibility in planning for and reacting to changes in our business;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and our subsidiaries’ ability to obtain additional financing for working capital, capital expenditures, acquisitions and general partnership, corporate or limited liability company purposes, as applicable, may be limited;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failure by us or our subsidiaries to comply with the various restrictive covenants of our respective debt agreements could negatively impact our ability to incur additional debt, including our ability to utilize the available capacity under our revolving credit facility, and our ability to pay our distributions.</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for us to manage our debt levels, we may need to sell assets, issue additional equity securities, reduce the cash distributions we pay to our unitholders or a combination thereof. In the event that we sell assets, the future cash generating capacity of our remaining asset base may be diminished. In the event that we issue additional equity securities, we may need to issue these securities at a time when our common unit price is depressed and therefore we may not receive favorable prices for our common units or favorable prices or terms for other types of equity securities. In the event we reduce cash distributions on our common units, the public trading price of our common units could decline significantly.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at any time our general partner and its affiliates own more than 90% of our outstanding units, our general partner will have the right, but not the obligation, which it may assign to any of its affiliates or to us, to acquire all, but not less than all, of the units held by unaffiliated persons at a price not less than their then-current market price. As a result, Unitholders may be required to sell their units at an undesirable time or price and may not receive any return on their investment. Unitholders may also incur a tax liability upon a sale of their units. As of December 31, 2019, the directors and executive officers of our general partner owned approximately 14% of our Common Units.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 commenced by WMB against ET and its affiliates, if decided adverse to ET, could require ET to make a substantial payment to WMB.</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WMB filed a complaint against ET and its affiliates in the Delaware Court of Chancery, alleging that the defendants breached the merger agreement between WMB, ET, and several of ET's affiliates. Following a ruling by the Court on June 24, 2016, which allowed for the subsequent termination of the merger agreement by ET on June 29, 2016, WMB filed a notice of appeal to the Supreme Court of Delaware. WMB filed an amended complaint on September 16, 2016 and sought a $410 million termination fee and additional damages of up to $10 billion based on the purported lost value of the merger consideration. These damages claims are based on the alleged breaches of the Merger Agreement, as well as new allegations that the ET Defendants breached an additional representation and warranty in the Merger Agreement. The ET Defendants filed amended counterclaims and affirmative defenses on September 23, 2016 and sought a $1.48 billion termination fee under the Merger Agreement and additional damages caused by WMB 's misconduct. These damages claims are based on the alleged breaches of the Merger Agreement, as well as new allegations that WMB breached the Merger Agreement by failing to disclose material information that was required to be disclosed in the Form S-4. On September 29, 2016, WMB filed a motion to dismiss the ET Defendants' amended counterclaims and to strike certain of the ET Defendants' affirmative defenses. On December 1, 2017, the Court issued a Memorandum Opinion granting Williams' motion to dismiss in part and denying it in part. On March 23, 2017, the Delaware Supreme Court affirmed the Court's June 24, 2016 ruling, and as a result, Williams conceded that its $10 billion damages claim is foreclosed, although its $410 million termination fee claim remains pending.</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Trial is currently set for June 2020. Defendants cannot predict the outcome of the Williams Litigation or any lawsuits that might be filed subsequent to the date of this filing; nor can Defendants predict the amount of time and expense that will be required to resolve these lawsuits. Defendants believe that William claims are without merit and intend to defend vigorously against them.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Conflicts of Interest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Although we control ETO and its subsidiaries, including Sunoco LP and USAC through our ownership of ETO’s general partner, ETO’s, Sunoco LP’s and USAC’s general partners owe fiduciary duties to ETO and ETO’s unitholders, Sunoco LP and Sunoco LP’s unitholders and USAC and USAC’s unitholders respectively, which may conflict with our interests.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Conflicts of interest exist and may arise in the future as a result of the relationships between us and our affiliates, on the one hand, and ETO, Sunoco LP and USAC and their respective limited partners, on the other hand. The directors and officers of ETO’s, Sunoco LP’s and USAC’s general partners have fiduciary duties to manage ETO, Sunoco LP and USAC, respectively, in a manner beneficial to us. At the same time, the general partners have fiduciary duties to manage ETO, Sunoco LP and USAC in a manner beneficial to ETO, Sunoco LP and USAC and their respective limited partners. The boards of directors of ETO’s, Sunoco LP’s and USAC’s general partner will resolve any such conflict and have broad latitude to consider the interests of all parties to the conflict. The resolution of these conflicts may not always be in our best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example, conflicts of interest with ETO, Sunoco LP and USAC may arise in the following situations:</w:t>
      </w:r>
    </w:p>
    <w:p>
      <w:pPr>
        <w:spacing w:after="0" w:line="117" w:lineRule="exact"/>
        <w:rPr>
          <w:sz w:val="20"/>
          <w:szCs w:val="20"/>
          <w:color w:val="auto"/>
        </w:rPr>
      </w:pPr>
    </w:p>
    <w:p>
      <w:pPr>
        <w:ind w:left="5620" w:right="5440" w:hanging="5612"/>
        <w:spacing w:after="0" w:line="624" w:lineRule="auto"/>
        <w:tabs>
          <w:tab w:leader="none" w:pos="3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allocation of shared overhead expenses to ETO, Sunoco LP, USAC and us; 40</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interpretation and enforcement of contractual obligations between us and our affiliates, on the one hand, and ETO, Sunoco LP and USAC, on the other hand;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determination of the amount of cash to be distributed to ETO’s, Sunoco LP’s and USAC’s partners and the amount of cash to be reserved for the future conduct of ETO’s, Sunoco LP’s and USAC’s businesses;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determination whether to make borrowings under ETO’s, Sunoco LP’s and USAC’s revolving credit facilities to pay distributions to their respective partners;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determination of whether a business opportunity (such as a commercial development opportunity or an acquisition) that we may become aware of independently of ETO, Sunoco LP and USAC is made available for ETO, Sunoco LP and USAC to pursue;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decision we make in the future to engage in business activities independent of ETO, Sunoco LP and USAC.</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fiduciary duties of our general partner’s officers and directors may conflict with those of ETO’s, Sunoco LP’s or USAC’s respective general partners.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Conflicts of interest may arise because of the relationships among ETO, Sunoco LP, USAC, their general partners and us. Our General Partner’s directors and officers have fiduciary duties to manage our business in a manner beneficial to us and our Unitholders. Some of our general partner’s directors or officers are also directors and/or officers of ETO’s general partner, Sunoco LP’s general partner or USAC’s general partner, and have fiduciary duties to manage the respective businesses of ETO, Sunoco LP and USAC in a manner beneficial to ETO, Sunoco LP, USAC and their respective unitholders. The resolution of these conflicts may not always be in our best interest or that of our Unitholders.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Potential conflicts of interest may arise among our general partner, its affiliates and us. Our general partner and its affiliates have limited fiduciary duties to us, which may permit them to favor their own interests to the detriment of us.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Conflicts of interest may arise among our general partner and its affiliates, on the one hand, and us, on the other hand. As a result of these conflicts, our general partner may favor its own interests and the interests of its affiliates over our interests. These conflicts include, among others, the following:</w:t>
      </w:r>
    </w:p>
    <w:p>
      <w:pPr>
        <w:spacing w:after="0" w:line="38" w:lineRule="exact"/>
        <w:rPr>
          <w:sz w:val="20"/>
          <w:szCs w:val="20"/>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including ETO, and its subsidiaries, including Sunoco LP and USAC, and their respective affiliates and any general partners and limited partnerships acquired in the future, in resolving conflicts of interest, which has the effect of limiting its fiduciary duties to us.</w:t>
      </w:r>
    </w:p>
    <w:p>
      <w:pPr>
        <w:spacing w:after="0" w:line="73" w:lineRule="exact"/>
        <w:rPr>
          <w:rFonts w:ascii="Arial" w:cs="Arial" w:eastAsia="Arial" w:hAnsi="Arial"/>
          <w:sz w:val="18"/>
          <w:szCs w:val="18"/>
          <w:color w:val="auto"/>
        </w:rPr>
      </w:pPr>
    </w:p>
    <w:p>
      <w:pPr>
        <w:jc w:val="both"/>
        <w:ind w:left="340" w:hanging="332"/>
        <w:spacing w:after="0" w:line="31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general partner has limited its liability and reduced its fiduciary duties under the terms of our partnership agreement, while also restricting the remedies available for actions that, without these limitations, might constitute breaches of fiduciary duty. As a result of purchasing our units, Unitholders consent to various actions and conflicts of interest that might otherwise constitute a breach of fiduciary or other duties under applicable state law.</w:t>
      </w:r>
    </w:p>
    <w:p>
      <w:pPr>
        <w:spacing w:after="0" w:line="38"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our investment transactions, borrowings, issuances of additional partnership securities and reserves, each of which can affect the amount of cash that is available for distribution.</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general partner determines which costs it and its affiliates have incurred are reimbursable by us.</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or from entering into additional contractual arrangements with any of these entities on our behalf, so long as the terms of any such payments or additional contractual arrangements are fair and reasonable to us.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owed to us by it and its affiliates.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partnership agreement limits our general partner’s fiduciary duties to us and restricts the remedies available for actions taken by our general partner that might otherwise constitute breaches of fiduciary duty.</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partnership agreement contains provisions that reduce the standards to which our general partner would otherwise be held by state fiduciary duty law. For example, our partnership agreement:</w:t>
      </w:r>
    </w:p>
    <w:p>
      <w:pPr>
        <w:spacing w:after="0" w:line="62" w:lineRule="exact"/>
        <w:rPr>
          <w:sz w:val="20"/>
          <w:szCs w:val="20"/>
          <w:color w:val="auto"/>
        </w:rPr>
      </w:pPr>
    </w:p>
    <w:p>
      <w:pPr>
        <w:jc w:val="both"/>
        <w:ind w:left="34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our affiliates or any limited partner;</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provides that our general partner is entitled to make other decisions in “good faith” if it reasonably believes that the decisions are in our best interests;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hanging="332"/>
        <w:spacing w:after="0" w:line="25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generally provides that affiliated transactions and resolutions of conflicts of interest not approved by a conflicts committee of the board of directors of our general partner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general partner may consider the totality of the relationships among the parties involved, including other transactions that may be particularly favorable or advantageous to us;</w:t>
      </w:r>
    </w:p>
    <w:p>
      <w:pPr>
        <w:spacing w:after="0" w:line="80"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provides that unless our general partner has acted in bad faith, the action taken by our general partner shall not constitute a breach of its fiduciary duty;</w:t>
      </w:r>
    </w:p>
    <w:p>
      <w:pPr>
        <w:spacing w:after="0" w:line="140"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that our general partner may resolve any conflicts of interest involving us and our general partner and its affiliates, and any resolution of a conflict of interest by our general partner that is “fair and reasonable” to us will be deemed approved by all partners, including the Unitholders, and will not constitute a breach of the partnership agreement;</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provides that our general partner may, but is not required, in connection with its resolution of a conflict of interest, to seek “special approval” of such resolution by appointing a conflicts committee of the general partner’s board of directors composed of two or more independent directors to consider such conflicts of interest and to recommend action to the board of directors, and any resolution of the conflict of interest by the conflicts committee shall be conclusively deemed “fair and reasonable” to us; and</w:t>
      </w:r>
    </w:p>
    <w:p>
      <w:pPr>
        <w:spacing w:after="0" w:line="7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the general partner or those other persons acted in bad faith or engaged in fraud, willful misconduct or gross negligence.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general partner’s absolute discretion in determining the level of cash reserves may adversely affect our ability to make cash distributions to our Unitholders.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partnership agreement requires our general partner to deduct from operating surplus cash reserves that in its reasonable discretion are necessary to fund our future operating expenditures. In addition, our partnership agreement permits our general partner to reduce available cash by establishing cash reserves for the proper conduct of our business, to comply with applicable law or agreements to which we are a party or to provide funds for future distributions to partners. These cash reserves will affect the amount of cash available for distribution to unitholders.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Businesses of our Subsidiaries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cash flows consist exclusively of distributions from our subsidiaries, risks to the businesses of our subsidiaries are also risks to us. We have set forth below risks to the businesses of our subsidiaries, the occurrence of which could have a negative impact on their respective financial performance and decrease the amount of cash they are able to distribute to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control, and therefore may not be able to cause or prevent certain actions by, certain of our joint ventures.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Certain of our operations are conducted through joint ventures, some of which have their own governing boards. With respect to our joint ventures, we share ownership and management responsibilities with partners that may not share our goals and objectives. Consequently, it may be difficult or impossible for us to cause the joint venture entity to take actions that we believe would be in their or the joint venture’s best interests. Likewise, we may be unable to prevent actions of the joint venture. </w:t>
      </w:r>
      <w:r>
        <w:rPr>
          <w:rFonts w:ascii="Arial" w:cs="Arial" w:eastAsia="Arial" w:hAnsi="Arial"/>
          <w:sz w:val="16"/>
          <w:szCs w:val="16"/>
          <w:color w:val="212529"/>
        </w:rPr>
        <w:t>Differences in views among joint venture partners may result in delayed decisions or failures to agree on major matters, such as</w:t>
      </w:r>
      <w:r>
        <w:rPr>
          <w:rFonts w:ascii="Arial" w:cs="Arial" w:eastAsia="Arial" w:hAnsi="Arial"/>
          <w:sz w:val="16"/>
          <w:szCs w:val="16"/>
          <w:color w:val="auto"/>
        </w:rPr>
        <w:t xml:space="preserve"> </w:t>
      </w:r>
      <w:r>
        <w:rPr>
          <w:rFonts w:ascii="Arial" w:cs="Arial" w:eastAsia="Arial" w:hAnsi="Arial"/>
          <w:sz w:val="16"/>
          <w:szCs w:val="16"/>
          <w:color w:val="212529"/>
        </w:rPr>
        <w:t>large expenditures or contractual commitments, the construction or acquisition of assets or borrowing money, among others. Delay or failure to agree may prevent action with respect to such matters, even though such action may serve our best interest or that of the joint venture. Accordingly, delayed decisions and disagreements could adversely affect the business and operations of the joint ventures and, in turn, our business and operations.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ETO and its subsidiaries, including Sunoco LP and USAC, are exposed to the credit risk of their respective customers and derivative counterparties, and an increase in the nonpayment or nonperformance by their respective customers or derivative counterparties could reduce their respective ability to make distributions to their unitholders, including to us.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risks of nonpayment or nonperformance by ETO’s and its subsidiaries, including Sunoco LP’s and USAC’s respective customers, are a major concern in their respective businesses. Participants in the energy industry have been subjected to heightened scrutiny from the financial markets in light of past collapses and failures of other energy companies. ETO and its subsidiaries are subject to risks of loss resulting from nonpayment or nonperformance by their respective customers, especially during the current low commodity price environment impacting many oil and gas producers. As a result, the current commodity price volatility and the tightening of credit in the financial markets may make it more difficult for customers to obtain financing and, depending on the degree to which this occurs, there may be a material increase in the nonpayment or nonperformance by ETO’s and its subsidiaries’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customers. To the extent one or more of our customers is in financial distress or commences bankruptcy proceedings, contracts with these customers may be subject to renegotiation or rejection under applicable provisions of the United States Bankruptcy Code. In addition, our risk management activities are subject to the risks that a counterparty may not perform its obligation under the applicable derivative instrument, the terms of the derivative instruments are imperfect, and our risk management policies and procedures are not properly followed. Any material nonpayment or nonperformance by our customers or our derivative counterparties could reduce our ability to make distributions to our Unitholders. Any substantial increase in the nonpayment and nonperformance by ETO’s or its subsidiaries’ customers could have a material adverse effect on ETO’s or its subsidiaries’ respective results of operations and operating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other businesses in our market with respect to attracting and retaining qualified employees.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continued success depends on our ability to attract and retain qualified personnel in all areas of our business. We compete with other businesses in our market with respect to attracting and retaining qualified employees. A tight labor market, increased overtime and a higher full-time employee ratio may cause labor costs to increase. A shortage of qualified employees may require us to enhance wage and benefits packages in order to compete effectively in the hiring and retention of such employees or to hire more expensive temporary employees. No assurance can be given that our labor costs will not increase, or that such increases can be recovered through increased prices charged to customers. We are especially vulnerable to labor shortages in oil and gas drilling areas when energy prices drive higher exploration and production activity.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derivative financial instruments could result in material financial losses by ETO and its subsidiaries.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ETO and its subsidiary Sunoco LP have sought to reduce their exposure to fluctuations in commodity prices and interest rates by using derivative financial instruments and other risk management mechanisms and by their trading, marketing and/or system optimization activities. To the extent that either ETO or Sunoco LP hedges its commodity price and interest rate exposures, it foregoes the benefits it would otherwise experience if commodity prices or interest rates were to change favorably. In addition, ETO’s and Sunoco LP’s derivatives activities can result in losses. Such losses could occur under various circumstances, including if a counterparty does not perform its obligations under the derivative arrangement, the hedge is imperfect, commodity prices move unfavorably related to ETO’s or Sunoco LP’s physical or financial positions, or internal hedging policies and procedures are not followed.</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standards regarding hedge accounting are very complex, and even when we engage in hedging transactions that are effective economically (whether to mitigate our exposure to fluctuations in commodity prices or to balance our exposure to fixed and variable interest rates), these transactions may not be considered effective for accounting purposes. Accordingly, our consolidated financial statements may reflect some volatility due to these hedges, even when there is no underlying economic impact at that point. It is also not always possible for us to engage in a hedging transaction that completely mitigates our exposure to commodity prices. Our consolidated financial statements may reflect a gain or loss arising from an exposure to commodity prices for which we are unable to enter into a completely effective hedge.</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derivatives activities can result in losses. Such losses could occur under various circumstances, including if a counterparty does not perform its obligations under the derivative arrangement, the hedge is imperfect, commodity prices move unfavorably related to our physical or financial positions or hedging policies and procedures are not followed.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inability to continue to access lands owned by third parties, including tribal lands, could adversely affect ETO’s and its subsidiaries’ ability to operate and adversely affect their financial results.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ETO’s ability to operate its pipeline systems and terminal facilities on certain lands owned by third parties, including lands held in trust by the United States for the benefit of a Native American tribe, will depend on their success in maintaining existing rights-of-way and obtaining new rights-of-way on those lands. Securing extensions of existing and any additional rights-of-way is also critical to ETO’s ability to pursue expansion projects. ETO cannot provide any assurance that they will be able to acquire new rights-of-way or maintain access to existing rights-of-way upon the expiration of the current grants or that all of the rights-of-way will be obtainable in a timely fashion. Transwestern’s existing right-of-way agreements with the Navajo Nation, Southern Ute, Pueblo of Laguna and Fort Mojave tribes extend through November 2029, September 2020, December 2022 and April 2019, respectively. ETO’s financial position could be adversely affected if the costs of new or extended right-of-way grants cannot be recovered in rates.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Further, whether ETO has the power of eminent domain for its pipelines varies from state to state, depending upon the type of pipeline and the laws of the particular state. In either case, ETO must compensate landowners for the use of their property and, in eminent domain actions, such compensation may be determined by a court. The inability to exercise the power of eminent domain could negatively affect ETO’s business if it were to lose the right to use or occupy the property on which their pipelines are located. For example, following a decision issued in May 2017 by the federal Tenth Circuit Court of Appeals, tribal ownership of even a very small fractional interest in an allotted land, that is, tribal land owned or at one time owned by an individual Indian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landowner, bars condemnation of any interest in the allotment. Consequently, the inability to condemn such allotted lands under circumstances where an existing pipeline rights-of-way may soon lapse or terminate serves as an additional impediment for pipeline operators. Any loss of rights with respect to ETO’s real property, through its inability to renew right-of-way contracts or otherwise, could have a material adverse effect on its business, results of operations, financial condition and ability to make cash distributions.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Sunoco LP, ETO’s subsidiary, does not own all of the land on which its retail service stations are located. Sunoco LP has rental agreements for approximately 38.0% of the company-operated retail service stations where Sunoco LP currently controls the real estate and has rental agreements for certain logistics facilities. As such, Sunoco LP is subject to the possibility of increased costs under rental agreements with landowners, primarily through rental increases and renewals of expired agreements. Sunoco LP is also subject to the risk that such agreements may not be renewed. Additionally, certain facilities and equipment (or parts thereof) used by Sunoco LP are leased from third parties for specific periods. Sunoco LP’s inability to renew leases or otherwise maintain the right to utilize such facilities and equipment on acceptable terms, or the increased costs to maintain such rights, could have a material adverse effect on its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ETO and its subsidiaries may not be able to fully execute their growth strategies if they encounter increased competition for qualified assets.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ETO, and its subsidiaries, including Sunoco LP and USAC, have strategies that contemplate growth through the development and acquisition of a wide range of midstream, retail and wholesale fuel distribution assets and other energy infrastructure assets while maintaining strong balance sheets. These strategies include constructing and acquiring additional assets and businesses to enhance their ability to compete effectively and diversify their respective asset portfolios, thereby providing more stable cash flow. ETO and its subsidiaries regularly consider and enter into discussions regarding the acquisition of additional assets and businesses, stand-alone development projects or other transactions that ETO and its subsidiaries believe will present opportunities to realize synergies and increase cash flow.</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Consistent with their strategies, managements of ETO, Sunoco LP and USAC may, from time to time, engage in discussions with potential sellers regarding the possible acquisition of additional assets or businesses. Such acquisition efforts may involve ETO, Sunoco LP and USAC management’s participation in processes that involve a number of potential buyers, commonly referred to as “auction” processes, as well as situations in which ETO and its subsidiaries believe it is the only party or one of a very limited number of potential buyers in negotiations with the potential seller. We cannot assure that ETO’s and its subsidiaries’ acquisition efforts will be successful or that any acquisition will be completed on favorable terms.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ETO its subsidiaries are experiencing increased competition for the assets they purchase or contemplate purchasing. Increased competition for a limited pool of assets could result in ETO and its subsidiaries losing to other bidders more often or acquiring assets at higher prices, both of which would limit ETO’s, Sunoco LP’s and USAC’s ability to fully execute their respective growth strategies. Inability to execute their respective growth strategies may materially adversely impact ETO’s and its subsidiaries’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goodwill and intangible assets could reduce our earnings.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our consolidated balance sheets reflected $5.17 billion of goodwill and $6.15 billion of intangible assets. Goodwill is recorded when the purchase price of a business exceeds the fair value of the tangible and separately measurable intangible net assets. Accounting principles generally accepted in the United States require us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If we determine that any of our goodwill or intangible assets were impaired, we would be required to take an immediate charge to earnings with a correlative effect on partners’ capital and balance sheet leverage as measured by debt to total capitalization.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2019, the Partnership recognized a goodwill impairment of $12 million related to the Southwest Gas operations within the interstate segment primarily due to decreases in projected future revenues and cash flows. During the fourth quarter of 2019, the Partnership recognized a goodwill impairment of $9 million related to our North Central operations within the midstream segment primarily due to changes in assumptions related to projected future revenues and cash flows.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2018, the Partnership recognized goodwill impairments of $378 million related to our Northeast operations within the midstream segment primarily due to changes in assumptions related to projected future revenues and cash flows from the dates the goodwill was originally recorded. These changes in assumptions reflect delays in the construction of third-party takeaway capacity in the Northeast. During 2019, Sunoco LP recognized a $30 million impairment charge on its contractual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2017, the Partnership performed goodwill impairment tests on our reporting units and recognized goodwill impairments. The goodwill impairments consisted of $262 million in the interstate transportation and storage segment, $79 million in the NGL and refined products transportation and services segment and $452 million in the all other segment primarily due to decreases in projected future revenues and cash flows driven by declines in commodity prices and changes in the markets that these assets serve. During the year 2017, Sunoco LP recorded a goodwill impairment charge of $102 million on its retail reporting unit.</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ETO, and its subsidiaries, including Sunoco LP and USAC do not make acquisitions on economically acceptable terms, their future growth could be limited.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 and its subsidiaries’ results of operations and their ability to grow and to increase distributions to Unitholders will depend in part on their ability to make acquisitions that are accretive to their respective distributable cash flow.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ETO and its subsidiaries may be unable to make accretive acquisitions for any of the following reasons, among others:</w:t>
      </w:r>
    </w:p>
    <w:p>
      <w:pPr>
        <w:spacing w:after="0" w:line="117"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identify attractive acquisition candidates or negotiate acceptable purchase contracts with them;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raise financing for such acquisitions on economically acceptable terms; or</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outbid by competitors, some of which are substantially larger than ETO or its subsidiaries and may have greater financial resources and lower costs of capital.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even if ETO or its subsidiaries consummates acquisitions that it believes will be accretive, those acquisitions may in fact adversely affect its results of operations or result in a decrease in distributable cash flow per unit. Any acquisition involves potential risks, including the risk that ETO and its subsidiaries may:</w:t>
      </w:r>
    </w:p>
    <w:p>
      <w:pPr>
        <w:spacing w:after="0" w:line="73"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 its liquidity by using a significant portion of its available cash or borrowing capacity to finance acquisitions;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significantly increase its interest expense or financial leverage if the acquisition is financed with additional debt;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encounter difficulties operating in new geographic areas or new lines of business;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assets acquired for which there is no indemnity or the indemnity is inadequate;</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 unable to hire, train or retrain qualified personnel to manage and operate its growing business and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effectively manage its historical assets, due to the diversion of management’s attention from other business concerns;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 other significant charges, such as impairment of goodwill or other intangible assets, asset devaluation or restructuring charges.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ETO and its subsidiaries consummate future acquisitions, their respective capitalization and results of operations may change significantly. As ETO and its subsidiaries determine the application of their funds and other resources, Unitholders will not have an opportunity to evaluate the economic, financial and other relevant information that ETO and its subsidiaries will consider.</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Integration of assets acquired in past acquisitions or future acquisitions with our existing business will be a complex and time-consuming process. A failure to successfully integrate the acquired assets with our existing business in a timely manner may have a material adverse effect on our business, financial condition, results of operations or cash available for distribution to our Unitholders.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difficulties of integrating past and future acquisitions with our business include, among other things:</w:t>
      </w:r>
    </w:p>
    <w:p>
      <w:pPr>
        <w:spacing w:after="0" w:line="117"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a larger combined organization in new geographic areas and new lines of business;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hiring, training or retaining qualified personnel to manage and operate our growing business and assets;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integrating management teams and employees into existing operations and establishing effective communication and information exchange with such management teams and employees;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assimilation of acquired assets and operations, including additional regulatory programs;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loss of customers or key employees;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right="20" w:hanging="332"/>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 in compliance with the Sarbanes-Oxley Act of 2002 as well as other regulatory compliance and corporate governance matters;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integrating new technology systems for financial reporting.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risks or other unanticipated liabilities or costs were to materialize, then desired benefits from past acquisitions and future acquisitions resulting in a negative impact to our future results of operations. In addition, acquired assets may perform at levels below the forecasts used to evaluate their acquisition, due to factors beyond our control. If the acquired assets perform at levels below the forecasts, then our future results of operations could be negatively impacted.</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our reviews of proposed business or asset acquisitions are inherently imperfect because it is generally not feasible to perform an in-depth review of each such proposal given time constraints imposed by sellers. Even if performed, a detailed review of assets and businesses may not reveal existing or potential problems, and may not provide sufficient familiarity with such business or assets to fully assess their deficiencies and potential. Inspections may not be performed on every asset, and environmental problems, may not be observable even when an inspection is undertaken.</w:t>
      </w:r>
    </w:p>
    <w:p>
      <w:pPr>
        <w:spacing w:after="0" w:line="11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b w:val="1"/>
          <w:bCs w:val="1"/>
          <w:i w:val="1"/>
          <w:iCs w:val="1"/>
          <w:color w:val="auto"/>
        </w:rPr>
        <w:t>Legal or regulatory actions related to the Dakota Access Pipeline could cause an interruption to current or future operations, which could have an adverse effect on our business and results of operations.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27, 2016, the Standing Rock Sioux Tribe (“SRST”) filed a lawsuit in the United States District Court for the District of Columbia challenging permits issued by the United States Army Corps of Engineers (“USACE”) permitting Dakota Access, LLC (“Dakota Access”) to cross the Missouri River at Lake Oahe in North Dakota. The case was subsequently amended to challenge an easement issued by the USACE allowing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Plaintiffs and Defendants filed cross motions for summary judgment which are pending before the court.</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we believe that the pending lawsuits are unlikely to adversely affect the continued operation or potential expansion of the pipeline, we cannot assure this outcome. At this time, we cannot determine when or how these lawsuits will be resolved or the impact they may have on the Dakota Access project.</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Income from ETO’s midstream, transportation, terminalling and storage operations is exposed to risks due to fluctuations in the demand for and price of natural gas, NGLs, crude oil and refined products that are beyond our control.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prices for natural gas, NGLs, crude oil and refined products reflect market demand that fluctuates with changes in global and United States economic conditions and other factors, including:</w:t>
      </w:r>
    </w:p>
    <w:p>
      <w:pPr>
        <w:spacing w:after="0" w:line="6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domestic natural gas, NGL, and oil production;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natural gas, NGL, and oil imports and exports, including liquefied natural gas;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actions taken by natural gas and oil producing nations;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instability or other events affecting natural gas and oil producing nations;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weather and other events of nature on the demand for natural gas, NGLs and oil;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availability of storage, terminal and transportation systems, and refining, processing and treating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 availability and marketing of competitive fuels;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demand for electricity;</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activities by non-governmental organizations to limit certain sources of funding for the energy sector or restrict the exploration, development and production of oil and natural gas;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capital needed to maintain or increase production levels and to construct and expand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energy conservation and fuel efficiency efforts;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of governmental regulation, taxation, fees and duties.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In the past, the prices of natural gas, NGLs and oil have been extremely volatile, and we expect this volatility to continue.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loss of business from existing customers or our inability to attract new customers due to a decline in demand for natural gas, NGLs, or oil could have a material adverse effect on our revenues and results of operations. In addition, significant price fluctuations for natural gas, NGL and oil commodities could materially affect our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competition from other midstream, transportation and storage and retail marketing companies.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experience competition in all of our business segments. With respect to ETO’s midstream operations, ETO competes for both natural gas supplies and customers for its services. Competitors include major integrated oil companies, interstate and intrastate pipelines and companies that gather, compress, treat, process, transport, store and market natural gas.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ETO’s natural gas and NGL transportation pipelines and storage facilities compete with other interstate and intrastate pipeline companies and storage providers in the transportation and storage of natural gas and NGLs. The principal elements of competition among pipelines are rates, terms of service, access to sources of supply and the flexibility and reliability of service. Natural gas and NGLs also compete with other forms of energy, including electricity, coal, fuel oils and renewable or alternative energy. Competition among fuels and energy supplies is primarily based on price; however, non-price factors, including governmental regulation, environmental impacts, efficiency, ease of use and handling, and the availability of subsidies and tax benefits also affects competitive outcomes.</w:t>
      </w:r>
    </w:p>
    <w:p>
      <w:pPr>
        <w:spacing w:after="0" w:line="13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markets served by our NGL pipelines, we compete with other pipeline companies and barge, rail and truck fleet operations. We also face competition with other storage and fractionation facilities based on fees charged and the ability to receive, distribute and/or fractionate the customer’s products.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ETO’s crude oil and refined petroleum products pipelines face significant competition from other pipelines for large volume shipments. These operations also face competition from trucks for incremental and marginal volumes in the areas we serve. Further, our crude and refined product terminals compete with terminals owned by integrated petroleum companies, refining and marketing companies, independent terminal companies and distribution companies with marketing and trading operations.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We are subject to competition from other gathering, transportation, processing, storage and marketing operations that may be able to supply our customers with the same or comparable services at a lower price or otherwise on better terms. ETO competes with national, regional and local gathering, transportation and storage companies of widely varying sizes, financial resources and experience, including the major integrated oil companies. Its ability to compete could be harmed by numerous factors, including:</w:t>
      </w:r>
    </w:p>
    <w:p>
      <w:pPr>
        <w:spacing w:after="0" w:line="7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212529"/>
        </w:rPr>
      </w:pPr>
      <w:r>
        <w:rPr>
          <w:rFonts w:ascii="Arial" w:cs="Arial" w:eastAsia="Arial" w:hAnsi="Arial"/>
          <w:sz w:val="18"/>
          <w:szCs w:val="18"/>
          <w:color w:val="212529"/>
        </w:rPr>
        <w:t>price competition;</w:t>
      </w:r>
    </w:p>
    <w:p>
      <w:pPr>
        <w:spacing w:after="0" w:line="117" w:lineRule="exact"/>
        <w:rPr>
          <w:rFonts w:ascii="Arial" w:cs="Arial" w:eastAsia="Arial" w:hAnsi="Arial"/>
          <w:sz w:val="18"/>
          <w:szCs w:val="18"/>
          <w:color w:val="212529"/>
        </w:rPr>
      </w:pPr>
    </w:p>
    <w:p>
      <w:pPr>
        <w:ind w:left="340" w:hanging="332"/>
        <w:spacing w:after="0"/>
        <w:tabs>
          <w:tab w:leader="none" w:pos="340" w:val="left"/>
        </w:tabs>
        <w:numPr>
          <w:ilvl w:val="0"/>
          <w:numId w:val="57"/>
        </w:numPr>
        <w:rPr>
          <w:rFonts w:ascii="Arial" w:cs="Arial" w:eastAsia="Arial" w:hAnsi="Arial"/>
          <w:sz w:val="18"/>
          <w:szCs w:val="18"/>
          <w:color w:val="212529"/>
        </w:rPr>
      </w:pPr>
      <w:r>
        <w:rPr>
          <w:rFonts w:ascii="Arial" w:cs="Arial" w:eastAsia="Arial" w:hAnsi="Arial"/>
          <w:sz w:val="18"/>
          <w:szCs w:val="18"/>
          <w:color w:val="212529"/>
        </w:rPr>
        <w:t>the perception that another company can provide better service; and</w:t>
      </w:r>
    </w:p>
    <w:p>
      <w:pPr>
        <w:spacing w:after="0" w:line="117" w:lineRule="exact"/>
        <w:rPr>
          <w:rFonts w:ascii="Arial" w:cs="Arial" w:eastAsia="Arial" w:hAnsi="Arial"/>
          <w:sz w:val="18"/>
          <w:szCs w:val="18"/>
          <w:color w:val="212529"/>
        </w:rPr>
      </w:pPr>
    </w:p>
    <w:p>
      <w:pPr>
        <w:ind w:left="340" w:hanging="332"/>
        <w:spacing w:after="0"/>
        <w:tabs>
          <w:tab w:leader="none" w:pos="340" w:val="left"/>
        </w:tabs>
        <w:numPr>
          <w:ilvl w:val="0"/>
          <w:numId w:val="57"/>
        </w:numPr>
        <w:rPr>
          <w:rFonts w:ascii="Arial" w:cs="Arial" w:eastAsia="Arial" w:hAnsi="Arial"/>
          <w:sz w:val="18"/>
          <w:szCs w:val="18"/>
          <w:color w:val="212529"/>
        </w:rPr>
      </w:pPr>
      <w:r>
        <w:rPr>
          <w:rFonts w:ascii="Arial" w:cs="Arial" w:eastAsia="Arial" w:hAnsi="Arial"/>
          <w:sz w:val="18"/>
          <w:szCs w:val="18"/>
          <w:color w:val="212529"/>
        </w:rPr>
        <w:t>the availability of alternative supply points, or supply points located closer to the operations of our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Some of our competitors have greater financial, managerial and other resources than we do, and control substantially more storage or transportation capacity than we do. The competitors may expand their assets or operations, creating additional competition for the services we provide to our customers. In addition, our customers may develop their own gathering, transportation and storage systems or marketing operations in lieu of using our services. Our ability to renew or replace existing contracts with our customers at rates sufficient to maintain current revenues and cash flow could be adversely affected by the activities of our competitors and our customers.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ETO may be unable to retain or replace existing midstream, transportation, terminalling and storage customers or volumes due to declining demand or increased competition in crude oil, refined products, natural gas and NGL markets, which would reduce revenues and limit future profitability.</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retention or replacement of existing customers and the volume of services that ETO provides at rates sufficient to maintain or increase current revenues and cash flows depends on a number of factors beyond our control, including the price of and demand for crude oil, refined products, natural gas and NGLs in the markets we serve and competition from other service providers.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ETO’s sales of natural gas are to industrial customers and utilities. As a consequence of the volatility of natural gas prices and increased competition in the industry and other factors, industrial customers, utilities and other gas customers are increasingly reluctant to enter into long-term purchase contracts. Many customers purchase natural gas from more than one supplier and have the ability to change suppliers at any time. Some of these customers also have the ability to switch between gas and alternate fuels in response to relative price fluctuations in the market. Because there are many companies of greatly varying size and financial capacity that compete with us in the marketing of natural gas, we often compete in natural gas sales markets primarily on the basis of price.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ETO also receives a substantial portion of revenues by providing natural gas gathering, processing, treating, transportation and storage services. While a substantial portion of their services are sold under long-term contracts for reserved service, they also provide service on an unreserved or short-term basis. Demand for our services may be substantially reduced due to changing market prices. Declining prices may result in lower rates of natural gas production resulting in less use of services, while rising prices may diminish consumer demand and also limit the use of services. In addition, our competitors may attract our customers’ business. If demand declines or competition increases, we may not be able to sustain existing levels of unreserved service or renew or extend long-term contracts as they expire or we may reduce our rates to meet competitive pressures.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from ETO’s NGL transportation systems and refined products storage is also exposed to risks due to fluctuations in demand for transportation and storage service as a result of unfavorable commodity prices, competition from nearby pipelines, and other factors. ETO receives substantially all of their transportation revenues through dedicated contracts under which the customer agrees to deliver the total output from particular processing plants that are connected only to their transportation system. Reduction in demand for natural gas or NGLs due to unfavorable prices or other factors, however, may result lower rates of production under dedicated contracts and lower demand for our services. In addition, ETO’s refined products storage revenues are primarily derived from fixed capacity arrangements between us and our customers, a portion of its revenue is derived from fungible storage and throughput arrangements, under which ETO’s revenue is more dependent upon demand for storage from its customers.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volume of crude oil and refined products transported through ETO’s crude oil and refined products pipelines and terminal facilities depends on the availability of attractively priced crude oil and refined products in the areas serviced by our assets. A period of sustained price reductions for crude oil or refined products could lead to a decline in drilling activity, production and refining of crude oil or import levels in these areas. A period of sustained increases in the price of crude oil or refined products supplied from or delivered to any of these areas could materially reduce demand for crude oil or refined products in these areas. In either case, the volumes of crude oil or refined products transported in our crude oil and refined products pipelines and terminal facilities could decline.</w:t>
      </w:r>
    </w:p>
    <w:p>
      <w:pPr>
        <w:spacing w:after="0" w:line="1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loss of existing customers by ETO’s midstream, transportation, terminalling and storage facilities or a reduction in the volume of the services customers purchase from them, or their inability to attract new customers and service volumes would negatively affect revenues, be detrimental to growth, and adversely affect results of operations.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ETO’s midstream facilities and transportation pipelines provide services related to natural gas wells that experience production declines over time, which ETO may not be able to replace with natural gas production from newly drilled wells in the same natural gas basins or in other new natural gas producing areas.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maintain or increase throughput levels on ETO’s gathering systems and transportation pipeline systems and asset utilization rates at our treating and processing plants, ETO must continually contract for new natural gas supplies and natural gas transportation services.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substantial portion of ETO’s assets, including its gathering systems and processing and treating plants, are connected to natural gas reserves and wells that experience declining production over time. ETO’s gas transportation pipelines are also dependent upon natural gas production in areas served by our gathering systems or in areas served by other gathering systems or transportation pipelines that connect with our transportation pipelines. ETO may not be able to obtain additional contracts for natural gas supplies for its natural gas gathering systems, and may be unable to maintain or increase the levels of natural gas throughput on its transportation pipelines. The primary factors affecting our ability to connect new supplies of natural gas to our gathering systems include our success in contracting for existing natural gas supplies that are not committed to other systems and the level of drilling activity and production of natural gas near our gathering systems or in areas that provide access to its transportation pipelines or markets to which ETO’s systems connect. ETO has no control over the level of drilling activity in its areas of operation, the amount of reserves underlying the wells and the rate at which production from a well will decline. In addition, ETO has no control over producers or their production and contracting decisions.</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a substantial portion of ETO’s services are provided under long-term contracts for reserved service, it also provides service on an unreserved basis. The reserves available through the supply basins connected to our gathering, processing, treating, transportation and storage facilities may decline and may not be replaced by other sources of supply. A decrease in development or production activity could cause a decrease in the volume of unreserved services ETO provides and a decrease in the number and volume of its contracts for reserved transportation service over the long run, which in each case would adversely affect revenues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replace any significant volume declines with additional volumes from other sources, our results of operations and cash flows could be materially and adversely affected.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profitability of certain activities in ETO’s natural gas gathering, processing, transportation and storage operations is largely dependent upon natural gas commodity prices, price spreads between two or more physical locations and market demand for natural gas and NGLs.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portion of the natural gas gathered on ETO’s systems, natural gas is purchased from producers at the wellhead and then gathered and delivered to pipelines where it is typically resold various arrangements, including sales at index prices. Generally, the gross margins realized under these arrangements decrease in periods of low natural gas prices. ETO also enters into percent-of-proceeds arrangements, keep-whole arrangements, and processing fee agreements pursuant to which ETO agrees to gather and process natural gas received from producers.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percent-of-proceeds arrangements, ETO generally sells the residue gas and NGLs at market prices and remits to the producers an agreed upon percentage of the proceeds based on an index price. In other cases, instead of remitting cash payments to the producer, ETO delivers an agreed upon percentage of the residue gas and NGL volumes to the producer and sells the volumes kept to third parties at market prices. Under these arrangements, ETO’s revenues and gross margins decline when natural gas prices and NGL prices decrease. Accordingly, a decrease in the price of natural gas or NGLs could have an adverse effect on ETO’s revenues and results of operations.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keep-whole arrangements, ETO generally sells the NGLs produced from its gathering and processing operations at market prices. Because the extraction of the NGLs from the natural gas during processing reduces the Btu content of the natural gas, ETO must either purchase natural gas at market prices for return to producers or make a cash payment to producers equal to the value of this natural gas. Under these arrangements, gross margins generally decrease when the price of natural gas increases relative to the price of NGLs.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ETO processes the gas for a fee under processing fee agreements, it may guarantee recoveries to the producer. If recoveries are less than those guaranteed to the producer, ETO may suffer a loss by having to supply liquids or its cash equivalent to keep the producer whole.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 also receives fees and retains gas in kind from natural gas transportation and storage customers. The fuel retention fees and the value of gas that ETO retains in kind are directly affected by changes in natural gas prices. Decreases in natural gas prices tend to decrease these fuel retention fees and the value of retained gas.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ETO receives revenue from its off-gas processing and fractionating system in south Louisiana primarily through customer agreements that are a combination of keep-whole and percent-of-proceeds arrangements, as well as from transportation and fractionation fees. Consequently, a large portion of ETO’s off-gas processing and fractionation revenue is exposed to risks due to fluctuations in commodity prices. In addition, a decline in NGL prices could cause a decrease in demand for off-gas processing and fractionation services and could have an adverse effect on our results of operations.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ETO’s midstream operations, gross margin is generally analyzed based on fee-based margin (which includes revenues from processing fee arrangements) and non-fee based margin (which includes gross margin earned on percent-of-proceeds and keep-whole arrangements). For the years ended December 31, 2019, 2018 and 2017, segment margin (a non-GAAP measure discussed in “Item 7. Management’s Discussion and Analysis of Financial Condition and Results of Operations”) from ETO’s midstream operations totaled $2.45 billion, $2.38 billion, and $2.18 billion, respectively, of which fee-based revenues constituted 82%, 75% and 77%, respectively, and non-fee based margin constituted 18%, 25% and 23%, respectively. The amount of segment margin earned by ETO’s midstream operations from fee-based and non-fee based arrangements (individually and as a percentage of total revenues) will be impacted by the volumes associated with both types of arrangements, as well as commodity prices; therefore, the dollar amounts and the relative magnitude of gross margin from fee-based and non-fee based arrangements in future periods may be significantly different from results reported in previous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ETO’s revenues depend on its customers’ ability to use ETO’s pipelines and third-party pipelines over which we have no control.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ETO’s natural gas transportation, storage and NGL businesses depend, in part, on their customers’ ability to obtain access to pipelines to deliver gas to and receive gas from ETO. Many of these pipelines are owned by parties not affiliated with us. Any interruption of service on our pipelines or third-party pipelines due to testing, line repair, reduced operating pressures, or other causes or adverse change in terms and conditions of service could have a material adverse effect on ETO’s ability, and the ability of its customers, to transport natural gas to and from ETO’s pipelines and facilities and a corresponding material adverse effect on its transportation and storage revenues. In addition, the rates charged by interconnected pipelines for transportation to and from ETO’s facilities affect the utilization and value of ETO’s storage services. Significant changes in the rates charged by those pipelines or the rates charged by other pipelines with which the interconnected pipelines compete could also have a material adverse effect on storage revenues.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Shippers using ETO’s oil pipelines and terminals are also dependent upon ETO’s pipelines and connections to third-party pipelines to receive and deliver crude oil and products. Any interruptions or reduction in the capabilities of these pipelines due to testing, line repair, reduced operating pressures, or other causes could result in reduced volumes transported in ETO’s pipelines or through its terminals. Similarly, if additional shippers begin transporting volume over interconnecting oil pipelines, the allocations of pipeline capacity to ETO existing shippers on these interconnecting pipelines could be reduced, which also could reduce volumes transported in ETO’s pipelines or through its terminals. Allocation reductions of this nature are not infrequent and are beyond our control. Any such interruptions or allocation reductions that, individually or in the aggregate, are material or continue for a sustained period of time could have a material adverse effect on ETO’s results of operations, financial position,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ETO does not continue to construct new pipelines, its future growth could be limited.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ETO’s results of operations and its ability to grow and to increase distributable cash flow per unit will depend, in part, on ETO’s ability to construct pipelines that are accretive to its distributable cash flow. ETO may be unable to construct pipelines that are accretive to distributable cash flow for any of the following reasons, among others:</w:t>
      </w:r>
    </w:p>
    <w:p>
      <w:pPr>
        <w:spacing w:after="0" w:line="73"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inability to identify pipeline construction opportunities with favorable projected financial returns;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inability to raise financing for its identified pipeline construction opportunities; or</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inability to secure sufficient transportation commitments from potential customers due to competition from other pipeline construction projects or for other reasons.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even if ETO constructs a pipeline that it believes will be accretive, the pipeline may in fact adversely affect its results of operations or fail to achieve results projected prior to commencement of construction.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ETO’s business by constructing new pipelines and related facilities subjects ETO to risks.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One of the ways that ETO has grown its business is through the construction of additions to existing gathering, compression, treating, processing and transportation systems. The construction of a new pipeline and related facilities (or the improvement and repair of existing facilities) involves numerous regulatory, environmental, political and legal uncertainties beyond ETO’s control and requires the expenditure of significant amounts of capital to be financed through borrowings, the issuance of additional equity or from operating cash flow. If ETO undertakes these projects, they may not be completed on schedule or at all or at the budgeted cost. A variety of factors outside ETO’s control, such as weather, natural disasters and difficulties in obtaining permits and rights-of-way or other regulatory approvals, as well as the performance by third-party contractors may result in increased costs or delays in construction. Cost overruns or delays in completing a project could have a material adverse effect on ETO’s results of operations and cash flows. Moreover, revenues may not increase immediately following the completion of a particular project. For instance, if ETO builds a new pipeline, the construction will occur over an extended period of time, but ETO may not materially increase its revenues until long after the project’s completion. In addition, the success of a pipeline construction project will likely depend upon the level of oil and natural gas exploration and development drilling activity and the demand for pipeline transportation in the areas proposed to be serviced by the project as well as ETO’s ability to obtain commitments from producers in the area to utilize the newly constructed pipelines. In this regard, ETO may construct facilities to capture anticipated future growth in oil or natural gas production in a region in which such growth does not materialize. As a result, new facilities may be unable to attract enough throughput or contracted capacity reservation commitments to achieve ETO’s expected investment return, which could adversely affect its results of operations and financial condition.</w:t>
      </w:r>
    </w:p>
    <w:p>
      <w:pPr>
        <w:spacing w:after="0" w:line="1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ETO depends on certain key producers for our supply of natural gas and the loss of any of these key producers could adversely affect ETO’s financial results.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ETO relies on a limited number of producers for a significant portion of its natural gas supplies. These contracts have terms that range from month-to-month to life of lease. As these contracts expire, ETO will have to negotiate extensions or renewals or replace the contracts with those of other suppliers. ETO may be unable to obtain new or renewed contracts on favorable terms, if at all. The loss of all or even a portion of the volumes of natural gas supplied by these producers and other customers, as a result of competition or otherwise, could have a material adverse effect on ETO’s business,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depends on key customers to transport natural gas through its pipelines.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ETO relies on a limited number of major shippers to transport certain minimum volumes of natural gas on its pipelines. The failure of the major shippers on ETO’s or its joint ventures’ pipelines or of other key customers to fulfill their contractual obligations under these contracts could have a material adverse effect on the cash flow and results of operations of us, ETO or its joint ventures, as applicable. If ETO were unable to replace these customers under arrangements that provide similar economic benefits as these existing contracts, it could have a material adverse effect on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ETO’s contract compression operations depend on particular suppliers and are vulnerable to parts and equipment shortages and price increases, which could have a negative impact on results of operations.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substantial majority of the components for ETO’s natural gas compression equipment are supplied by Caterpillar Inc., Cummins Inc. and Arrow Engine Company for engines, Air-X-Changers and Alfa Laval (US) for coolers, and Ariel Corporation, GE Oil &amp; Gas Gemini products and Arrow Engine Company for compressor frames and cylinders. ETO’s reliance on these suppliers involves several risks, including price increases and a potential inability to obtain an adequate supply of required components in a timely manner. ETO also relies primarily on four vendors, A G Equipment Company, Alegacy Equipment, LLC, Standard Equipment Corp. and Genis Holdings LLC, to package and assemble its compression units. ETO does not have long-term contracts with these suppliers or packagers, and a partial or complete loss of any of these sources could have a negative impact on its results of operations and could damage its customer relationships. Some of these suppliers manufacture the components ETO purchases in a single facility, and any damage to that facility could lead to significant delays in delivery of completed compression units to ETO.</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material decrease in demand or distribution of crude oil available for transport through ETO’s pipelines or terminal facilities could materially and adversely affect our results of operations, financial position, or cash flows.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volume of crude oil transported through ETO’s crude oil pipelines and terminal facilities depends on the availability of attractively priced crude oil produced or received in the areas serviced by its assets. A period of sustained crude oil price declines could lead to a decline in drilling activity, production and import levels in these areas. Similarly, a period of sustained increases in the price of crude oil supplied from any of these areas, as compared to alternative sources of crude oil available to ETO’s customers, could materially reduce demand for crude oil in these areas. In either case, the volumes of crude oil transported in ETO’s crude oil pipelines and terminal facilities could decline, and it could be difficult to secure alternative sources of attractively priced crude oil supply in a timely fashion or at all. If ETO is unable to replace any significant volume declines with additional volumes from other sources, its results of operations, financial position, or cash flows could be materially and adversely affected.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Shifts in the overall supply of, and demand for, crude oil in regional, national and global markets, over which we have no control, can have an adverse impact on crude oil index prices in the markets we serve relative to other index prices. A prolonged decline in the WTI Index price, relative to other index prices, may cause reduced demand for our transportation to, and storage in, Cushing, which could have a material adverse effect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interruption of supply of crude oil to ETO’s facilities could materially and adversely affect our results of operations and revenues.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ETO is well positioned to transport and receive crude oil by pipeline, marine transport and trucks, rail transportation also serves as a critical link in the supply of domestic crude oil production to United States refiners, especially for crude oil from regions such as the Bakken that are not sourced near pipelines or waterways that connect to all of the major United States refining centers. Federal regulators have issued a safety advisory warning that Bakken crude oil may be more volatile than many other North American crude oils and reinforcing the requirement to properly test, characterize, classify, and, if applicable, sufficiently degasify hazardous materials prior to and during transportation. The domestic crude oil received by our facilities, especially from the Bakken region, may be transported by railroad. If the ability to transport crude oil by rail is disrupted because of accidents, weather interruptions, governmental regulation, congestion on rail lines, terrorism, other third-party action or casualty or other events, then ETO could experience an interruption of supply or delivery or an increased cost of receiving crude oil, and could experience a decline in volumes received. Recent railcar accidents in Quebec, Alabama, North Dakota, Pennsylvania and Virginia, in each case involving trains carrying crude oil from the Bakken region, have led to increased legislative and regulatory scrutiny over the safety of transporting crude oil by rail. In 2015, the DOT, through PHMSA, issued a rule implementing new rail car standards and railroad operating procedures. Changing operating practices, as well as new regulations on tank car standards and shipper classifications, could increase the time required to move crude oil from production areas of facilities, increase the cost of rail transportation, and decrease the efficiency of transportation of crude oil by rail, any of which could materially reduce the volume of crude oil received by rail and adversely affect our financial condition, results of operations, and cash flows.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portion of ETO’s general and administrative services have been outsourced to third-party service providers. Fraudulent activity or misuse of proprietary data involving its outsourcing partners could expose us to additional liability.</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ETO utilizes both affiliate entities and third parties in the processing of its information and data. Breaches of its security measures or the accidental loss, inadvertent disclosure or unapproved dissemination of proprietary information or sensitive or confidential data about ETO or its customers, including the potential loss or disclosure of such information or data as a result of fraud or other forms of deception, could expose ETO to a risk of loss or misuse of this information, result in litigation and potential liability for ETO, lead to reputational damage, increase compliance costs, or otherwise harm its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 significant decrease in demand for motor fuel, including increased consumer preference for alternative motor fuels or improvements in fuel efficiency, in the areas Sunoco LP, ETO’s subsidiary, serves would reduce their ability to make distributions to its unitholders.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refined motor fuels account for approximately 97% of Sunoco LP’s total revenues and 74% of continuing operations gross profit. A significant decrease in demand for motor fuel in the areas Sunoco LP serves could significantly reduce revenues and their ability to make distributions to its unitholders. Sunoco LP revenues are dependent on various trends, such as trends in commercial truck traffic, travel and tourism in their areas of operation, and these trends can change. Regulatory action, including government imposed fuel efficiency standards, may also affect demand for motor fuel. Because certain of Sunoco LP’s operating costs and expenses are fixed and do not vary with the volumes of motor fuel distributed, their costs and expenses might not decrease ratably or at all should they experience such a reduction. As a result, Sunoco LP may experience declines in their profit margin if fuel distribution volumes decrease.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technological advancements, regulatory changes or changes in consumer preferences causing a significant shift toward alternative motor fuels could reduce demand for the conventional petroleum based motor fuels Sunoco LP currently sells. Additionally, a shift toward electric, hydrogen, natural gas or other alternative-power vehicles could fundamentally change customers' shopping habits or lead to new forms of fueling destinations or new competitive pressures.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technologies have been developed and governmental mandates have been implemented to improve fuel efficiency, which may result in decreased demand for petroleum-based fuel. Any of these outcomes could result in fewer visits to Sunoco LP’s convenience stores or independently operated commission agents and dealer locations, a reduction in demand from their wholesale customers, decreases in both fuel and merchandise sales revenue, or reduced profit margins, any of which could have a material adverse effect on Sunoco LP’s business, financial condition, results of operations and cash available for distribution to its unitholders.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industries in which Sunoco LP, ETO’s subsidiary, operates are subject to seasonal trends, which may cause our operating costs to fluctuate, affecting our cash flow.</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relies in part on customer travel and spending patterns, and may experience more demand for gasoline in the late spring and summer months than during the fall and winter. Travel, recreation and construction are typically higher in these months in the geographic areas in which Sunoco LP or its commission agents and dealers operate, increasing the demand for motor fuel that they sell and distribute. Therefore, Sunoco LP’s revenues and cash flows are typically higher in the second and third quarters of our fiscal year. As a result, Sunoco LP’s results from operations may vary widely from period to period, affecting Sunoco LP’s cash flow.</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Sunoco LP’s financial condition and results of operations are influenced by changes in the prices of motor fuel, which may adversely impact margins, customers’ financial condition and the availability of trade credit.</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Sunoco LP’s operating results are influenced by prices for motor fuel. General economic and political conditions, acts of war or terrorism and instability in oil producing regions, particularly in the Middle East and South America, could significantly impact crude oil supplies and petroleum costs. Significant increases or high volatility in petroleum costs could impact consumer demand for motor fuel and convenience merchandise. Such volatility makes it difficult to predict the impact that future petroleum costs fluctuations may have on Sunoco LP’s operating results and financial condition. Sunoco LP is subject to dealer tank wagon pricing structures at certain locations further contributing to margin volatility. A significant change in any of these factors could materially impact both wholesale and retail fuel margins, the volume of motor fuel distributed or sold at retail, and overall customer traffic, each of which in turn could have a material adverse effect on Sunoco LP’s business, financial condition, results of operations and cash available for distribution to its unitholders.</w:t>
      </w:r>
    </w:p>
    <w:p>
      <w:pPr>
        <w:spacing w:after="0" w:line="1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Significant increases in wholesale motor fuel prices could impact Sunoco LP as some of their customers may have insufficient credit to purchase motor fuel from us at their historical volumes. Higher prices for motor fuel may also reduce access to trade credit support or cause it to become more expensive.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dangers inherent in the storage and transportation of motor fuel could cause disruptions in Sunoco LP’s operations and could expose them to potentially significant losses, costs or liabilities.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stores motor fuel in underground and aboveground storage tanks. Sunoco LP transports the majority of its motor fuel in its own trucks, instead of by third-party carriers. Sunoco LP’s operations are subject to significant hazards and risks inherent in transporting and storing motor fuel. These hazards and risks include, but are not limited to, traffic accidents, fires, explosions, spills, discharges, and other releases, any of which could result in distribution difficulties and disruptions, environmental pollution, governmentally-imposed fines or clean-up obligations, personal injury or wrongful death claims, and other damage to its properties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the properties of others. Any such event not covered by Sunoco LP’s insurance could have a material adverse effect on its business, financial condition, results of operations and cash available for distribution to its unitholders.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Sunoco LP’s fuel storage terminals are subject to operational and business risks which may adversely affect their financial condition, results of operations, cash flows and ability to make distributions to its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Sunoco LP’s fuel storage terminals are subject to operational and business risks, the most significant of which include the following:</w:t>
      </w:r>
    </w:p>
    <w:p>
      <w:pPr>
        <w:spacing w:after="0" w:line="117"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inability to renew a ground lease for certain of their fuel storage terminals on similar terms or at all;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dependence on third parties to supply their fuel storage terminals;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outages at their fuel storage terminals or interrupted operations due to weather-related or other natural causes;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threat that the nation’s terminal infrastructure may be a future target of terrorist organizations;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volatility in the prices of the products stored at their fuel storage terminals and the resulting fluctuations in demand for storage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effects of a sustained recession or other adverse economic conditions;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possibility of federal and/or state regulations that may discourage their customers from storing gasoline, diesel fuel, ethanol and jet fuel at their fuel storage terminals or reduce the demand by consumers for petroleum products;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competition from other fuel storage terminals that are able to supply their customers with comparable storage capacity at lower prices;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climate change legislation or regulations that restrict emissions of GHGs could result in increased operating and capital costs and reduced demand for our storage services.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occurrence of any of the above situations, amongst others, may affect operations at their fuel storage terminals and may adversely affect Sunoco LP’s business, financial condition, results of operations, cash flows and ability to make distributions to its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events or developments associated with Sunoco LP’s branded suppliers could have an adverse impact on its revenues.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Sunoco LP believes that the success of its operations is dependent, in part, on the continuing favorable reputation, market value, and name recognition associated with the motor fuel brands sold at Sunoco LP’s convenience stores and at stores operated by its independent, branded dealers and commission agents. Erosion of the value of those brands could have an adverse impact on the volumes of motor fuel Sunoco LP distributes, which in turn could have a material adverse effect on its business, financial condition, results of operations and ability to make distributions to its unitholders.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wholesale motor fuel distribution industry and convenience store industry are characterized by intense competition and fragmentation and impacted by new entrants. Failure to effectively compete could result in lower margins.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 for distribution of wholesale motor fuel is highly competitive and fragmented, which results in narrow margins. Sunoco LP has numerous competitors, some of which may have significantly greater resources and name recognition than it does. Sunoco LP relies on its ability to provide value-added, reliable services and to control its operating costs in order to maintain our margins and competitive position. If Sunoco LP fails to maintain the quality of its services, certain of its customers could choose alternative distribution sources and margins could decrease. While major integrated oil companies have generally continued to divest retail sites and the corresponding wholesale distribution to such sites, such major oil companies could shift from this strategy and decide to distribute their own products in direct competition with Sunoco LP, or large customers could attempt to buy directly from the major oil companies. The occurrence of any of these events could have a material adverse effect on Sunoco LP’s business, financial condition, results of operations and cash available for distribution to its unitholders.</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geographic areas in which Sunoco LP operates and supplies independently operated commission agent and dealer locations are highly competitive and marked by ease of entry and constant change in the number and type of retailers offering products and services of the type we and our independently operated commission agents and dealers sell in stores. Sunoco LP competes with other convenience store chains, independently owned convenience stores, motor fuel stations, supermarkets, drugstores, discount stores, dollar stores, club stores, mass merchants and local restaurants. Over the past two decades, several non-traditional retailers, such as supermarkets, hypermarkets, club stores and mass merchants, have impacted the convenience store industry, particularly in the geographic areas in which Sunoco LP operates, by entering the motor fuel retail business. These non-traditional motor fuel retailers have captured a significant share of the motor fuels market, and Sunoco LP expects their market share will continue to grow.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some of Sunoco LP’s markets, its competitors have been in existence longer and have greater financial, marketing, and other resources than they or their independently operated commission agents and dealers do. As a result, Sunoco LP’s competitors may be able to better respond to changes in the economy and new opportunities within the industry. To remain competitive, Sunoco LP must constantly analyze consumer preferences and competitors’ offerings and prices to ensure that they offer a selection of convenience products and services at competitive prices to meet consumer demand. Sunoco LP must also maintain and upgrade our customer service levels, facilities and locations to remain competitive and attract customer traffic to our stores. Sunoco LP may not be able to compete successfully against current and future competitors, and competitive pressures faced by Sunoco LP could have a material adverse effect on its business, results of operations and cash available for distribution to its unitholders.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Sunoco LP currently depends on a limited number of principal suppliers in each of its operating areas for a substantial portion of its merchandise inventory and its products and ingredients for its food service facilities. A disruption in supply or a change in either relationship could have a material adverse effect on its business.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Sunoco LP currently depends on a limited number of principal suppliers in each of its operating areas for a substantial portion of its merchandise inventory and its products and ingredients for its food service facilities. If any of Sunoco LP’s principal suppliers elect not to renew their contracts, Sunoco LP may be unable to replace the volume of merchandise inventory and products and ingredients currently purchased from them on similar terms or at all in those operating areas. Further, a disruption in supply or a significant change in Sunoco LP’s relationship with any of these suppliers could have a material adverse effect on Sunoco LP’s business, financial condition and results of operations and cash available for distribution to its unitholders.</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Sunoco LP may be subject to adverse publicity resulting from concerns over food quality, product safety, health or other negative events or developments that could cause consumers to avoid its retail locations or independently operated commission agent or dealer locations.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Sunoco LP may be the subject of complaints or litigation arising from food-related illness or product safety which could have a negative impact on its business. Negative publicity, regardless of whether the allegations are valid, concerning food quality, food safety or other health concerns, food service facilities, employee relations or other matters related to its operations may materially adversely affect demand for its food and other products and could result in a decrease in customer traffic to its retail stores or independently operated commission agent or dealer locations.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critical to Sunoco LP’s reputation that they maintain a consistent level of high quality at their food service facilities and other franchise or fast food offerings. Health concerns, poor food quality or operating issues stemming from one store or a limited number of stores could materially and adversely affect the operating results of some or all of their stores and harm the company-owned brands, continuing favorable reputation, market value and name recognition.</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USAC’s customers may choose to vertically integrate their operations by purchasing and operating their own compression fleet, increasing the number of compression units they currently own or using alternative technologies for enhancing crude oil production.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USAC’s customers that are significant producers, processors, gatherers and transporters of natural gas and crude oil may choose to vertically integrate their operations by purchasing and operating their own compression fleets in lieu of using USAC’s compression services. The historical availability of attractive financing terms from financial institutions and equipment manufacturers facilitates this possibility by making the purchase of individual compression units increasingly affordable to USAC's customers. In addition, there are many technologies available for the artificial enhancement of crude oil production, and USAC's customers may elect to use these alternative technologies instead of the gas lift compression services USAC provides. Such vertical integration, increases in vertical integration or use of alternative technologies could result in decreased demand for USAC's compression services, which may have a material adverse effect on its business, results of operations, financial condition and reduce its cash available for distribution.</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USAC's services are provided to customers on a month-to-month basis, and USAC cannot be sure that such customers will continue to utilize its services.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USAC's contracts typically have an initial term of between six months and five years, depending on the application and location of the compression unit. After the expiration of the initial term, the contract continues on a month-to-month or longer basis until terminated by USAC or USAC's customers upon notice as provided for in the applicable contract. For the year ended December 31, 2019, approximately 36% of USAC's compression services on a revenue basis were provided on a month-to-month basis to customers who continue to utilize its services following expiration of the primary term of their contracts. These customers can generally terminate their month-to-month compression services contracts on 30-days’ written notice. If a significant number of these customers were to terminate their month-to-month services, or attempt to renegotiate their month-to-month contracts at substantially lower rates, it could have a material adverse effect on USAC's business, results of operations, financial condition and cash available for distribution.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USAC’s Preferred Units have rights, preferences and privileges that are not held by, and are preferential to the rights of, holders of its common units.</w:t>
      </w:r>
    </w:p>
    <w:p>
      <w:pPr>
        <w:spacing w:after="0" w:line="19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USAC’s Preferred Units rank senior to all of its other classes or series of equity securities with respect to distribution rights and rights upon liquidation. These preferences could adversely affect the market price for its common units, or could make it more difficult for USAC to sell its common units in the future.</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distributions on USAC’s Preferred Units accrue and are cumulative, at the rate of 9.75% per annum on the original issue price, which amounts to a quarterly distribution of $24.375 per Preferred Unit. If USAC does not pay the required distributions on its Preferred Units, USAC will be unable to pay distributions on its common units. Additionally, because distributions on USAC’s Preferred Units are cumulative, USAC will have to pay all unpaid accumulated distributions on the Preferred Units before USAC can pay any distributions on its common units. Also, because distributions on USAC’s common units are not cumulative, if USAC does not pay distributions on its common units with respect to any quarter, USAC’s common unitholders will not be entitled to receive distributions covering any prior periods if USAC later recommences paying distributions on its common units.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USAC’s Preferred Units are convertible into common units by the holders of USAC’s Preferred Units or by USAC in certain circumstances. USAC’s obligation to pay distributions on USAC’s Preferred Units, or on the common units issued following the conversion of USAC’s Preferred Units, could impact USAC’s liquidity and reduce the amount of cash flow available for working capital, capital expenditures, growth opportunities, acquisitions and other general Partnership purposes. USAC’s obligations to the holders of USAC’s Preferred Units could also limit its ability to obtain additional financing or increase its borrowing costs, which could have an adverse effect on its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results of operations for our Canadian operations.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A portion of SemGroup’s revenue is generated from its operations in Canada, which use the Canadian dollar as the functional currency. Therefore, changes in the exchange rate between the U.S. dollar and the Canadian dollar could adversely affect SemGroup’s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are subject to the risks of doing business outside of the U.S.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The success of our business depends, in part, on continued performance in SemGroup’s non-U.S. operations. We currently have operations in Canada, which are expected to expand with SemGroup’s recent acquisition of Meritage Midstream and further organic growth. In addition to the other risks described in this report on Form 10-K, there are numerous risks and uncertainties that specifically affect our non-U.S. operations. These risks and uncertainties include political and economic instability, changes in local governmental laws, regulations and policies, including those related to tariffs, investments, taxation, exchange controls, employment regulations and repatriation of earnings, and enforcement of contract and intellectual property rights. International transactions may also involve increased financial and legal risks due to differing legal systems and customs, including risks of non-compliance with U.S. and local laws affecting our activities abroad, including compliance with the U.S. Foreign Corrupt Practices Act. While these factors and the impact of these factors are difficult to predict, any one or more of them could adversely affect our financial and operational results.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212529"/>
        </w:rPr>
        <w:t>SemGroup’s trucking fleet operations are subject to the Federal Motor Carrier Safety Regulations which are enacted, reviewed and amended by the FMCSA. Our fleet currently has a "satisfactory" safety rating; however, if our safety rating were downgraded to "unsatisfactory," our business and results of operations could be adversely affected.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its operating authority by the FMCSA could have an adverse effect on our business, results of operations and financial condition.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212529"/>
        </w:rPr>
        <w:t>Our storage operations are influenced by the overall forward market for crude oil and other products we store, and certain market conditions may adversely affect its financial and operating results.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12529"/>
        </w:rPr>
        <w:t>Our storage operations are influenced by the overall forward market for crude oil and other products we store. A contango market (meaning that the price of crude oil or other products for future delivery is higher than the current price) is associated with greater demand for storage capacity, because a party can simultaneously purchase crude oil or other products at current prices for storage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12529"/>
        </w:rPr>
        <w:t>and sell at higher prices for future delivery. A backwardated market (meaning that the price of crude oil or other products for future delivery is lower than the current price) is associated with lower demand for storage capacity because a party can capture a premium for prompt delivery of crude oil or other products rather than storing it for future sale. A prolonged backwardated market, or other adverse market conditions, could have an adverse impact on its ability to negotiate favorable prices under new or renewing storage contracts, which could have an adverse impact on our storage revenues. As a result, the overall forward market for crude oil or other products may have an adverse effect on our financial condition or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An increase in interest rates could impact demand for our storage capacity.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There is a financing cost for a storage capacity user to own crude oil while it is stored. That financing cost is impacted by the cost of capital or interest rate incurred by the storage user, in addition to the commodity cost of the crude oil in inventory. Absent other factors, a higher financing cost adversely impacts the economics of storing crude oil for future sale. As a result, a significant increase in interest rates could adversely affect the demand for our storage capacity independent of other market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Increasing levels of congestion in the Houston Ship Channel could result in a diversion of business to less busy ports.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212529"/>
        </w:rPr>
        <w:t>Our Gulf Coast facilities are strategically situated on prime real estate located in the Houston Ship Channel, which is in close proximity to both supply sources and demand sources. In recent years, the success of the Port of Houston has led to an increase in vessel traffic driven in part by the growing overseas demand for U.S. crude, gasoline, liquefied natural gas and petrochemicals and in part by the Port of Houston’s recent decision to accept large container vessels, which can restrict the flow of other cargo. Increasing congestion in the Port of Houston could cause our customers or potential customers to divert their business to smaller ports in the Gulf of Mexico, which could result in lower utilization of our facilities.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Increased regulation of hydraulic fracturing or produced water disposal could result in reductions or delays in crude oil and natural gas production in our areas of operation, which could adversely impact its business and results of operations.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The hydraulic fracturing process has come under considerable scrutiny from sections of the public as well as environmental and other groups asserting that chemicals used in the hydraulic fracturing process could adversely affect drinking water supplies and may have other detrimental impacts on public health, safety, welfare and the environment. In addition, the water disposal process has come under scrutiny from sections of the public as well as environmental and other groups asserting that the operation of certain water disposal wells has caused increased seismic activity. The adoption of new laws or regulations imposing additional permitting, disclosures, restrictions or costs related to hydraulic fracturing or produced water disposal or prohibiting hydraulic fracturing in proximity to areas considered to be environmentally sensitive could make drilling certain wells impossible or less economically attractive. As a result, the volume of crude oil and natural gas we gather, transport and store for our customers could be substantially reduced which could have an adverse effect on our financial condition or results of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Competition for water resources or limitations on water usage for hydraulic fracturing could disrupt crude oil and natural gas production from shale formations.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Hydraulic fracturing is the process of creating or expanding cracks by pumping water, sand and chemicals under high pressure into an underground formation in order to increase the productivity of crude oil and natural gas wells. Water used in the process is generally fresh water, recycled produced water or salt water. There is competition for fresh water from municipalities, farmers, ranchers and industrial users. In addition, the available supply of fresh water can also be reduced directly by drought. Prolonged drought conditions increase the intensity of competition for fresh water. Limitations on oil and gas producers’ access to fresh water may restrict their ability to use hydraulic fracturing and could reduce new production. Such disruptions could potentially have a material adverse impact on our financial condition or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ETO’s interstate natural gas pipelines are subject to laws, regulations and policies governing the rates they are allowed to charge for their services, which may prevent us from fully recovering our costs.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Laws, regulations and policies governing interstate natural gas pipeline rates could affect the ability of ETO’s interstate pipelines to establish rates, to charge rates that would cover future increases in its costs, or to continue to collect rates that cover current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ETO is required to file tariff rates (also known as recourse rates) with the FERC that shippers may elect to pay for interstate natural gas transportation services. We may also agree to discount these rates on a not unduly discriminatory basis or negotiate rates with shippers who elect not to pay the recourse rates. ETO must also file with the FERC all negotiated rates that do not conform to our tariff rates and all changes to our tariff or negotiated rates. The FERC must approve or accept all rate filings for us to be allowed to charge such rates.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FERC may review existing tariff rates on its own initiative or upon receipt of a complaint filed by a third party. The FERC may, on a prospective basis, order refunds of amounts collected if it finds the rates to have been shown not to be just and reasonable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or to have been unduly discriminatory. The FERC has recently exercised this authority with respect to several other pipeline companies. If the FERC were to initiate a proceeding against ETO and find that its rates were not just and reasonable or unduly discriminatory, the maximum rates customers could elect to pay ETO may be reduced and the reduction could have an adverse effect on our revenues and results of operations.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ETO’s interstate pipeline operations may increase and ETO may not be able to recover all of those costs due to FERC regulation of its rates. If ETO proposes to change its tariff rates, its proposed rates may be challenged by the FERC or third parties, and the FERC may deny, modify or limit ETO’s proposed changes if ETO is unable to persuade the FERC that changes would result in just and reasonable rates that are not unduly discriminatory. ETO also may be limited by the terms of rate case settlement agreements or negotiated rate agreements with individual customers from seeking future rate increases, or ETO may be constrained by competitive factors from charging their tariff rates.</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the extent ETO’s costs increase in an amount greater than its revenues increase, or there is a lag between its cost increases and ability to file for and obtain rate increases, ETO’s operating results would be negatively affected. Even if a rate increase is permitted by the FERC to become effective, the rate increase may not be adequate. ETO cannot guarantee that its interstate pipelines will be able to recover all of their costs through existing or future rates.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ability of interstate pipelines held in tax-pass-through entities, like ETO, to include an allowance for income taxes as a cost-of-service element in their regulated rates has been subject to extensive litigation before the FERC and the courts for a number of years. Effective January 2018, the 2017 Tax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 of 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issued an order denying requests for rehearing and clarification of its Revised Policy Statement because it is a non-binding policy and parties will have the opportunity to address the policy as applied in future cases. In the rehearing order,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Included in the March 15, 2018 proposals is a Notice of Proposed Rulemaking (“NOPR”) proposing rules for implementation of the Revised Policy Statement and the corporate income tax rate reduction with respect to natural gas pipeline rates. On July 18, 2018, the FERC issued a Final Rule (Order No. 849) adopting procedures that are generally the same as proposed in the NOPR with a few clarifications and modifications. With limited exceptions, the Final Rule requires all FERC-regulated natural gas pipelines that have cost-based rates for service to make a one-time Form No. 501-G filing providing certain financial information and to make an election on how to treat its existing rates. The Final Rule suggests that this information will allow the FERC and other stakeholders to evaluate the impacts of the Tax Act and the Revised Policy Statement on each individual pipeline’s rates. The Final Rule also requires that each FERC-regulated natural gas pipeline select one of four options: file a limited Natural Gas Act (“NGA”) Section 4 filing reducing its rates only as required related to the Tax Act and the Revised Policy Statement, commit to filing a general NGA Section 4 rate case in the near future, file a statement explaining why an adjustment to rates is not needed, or take no other action. For the limited NGA Section 4 option, the FERC clarified that, notwithstanding the Revised Policy Statement, a pipeline organized as a master limited partnership does not need to eliminate its income tax allowance but, instead, can reduce its rates to reflect the reduction in the maximum corporate tax rate. Trunkline, ETC Tiger Pipeline, LLC and Panhandle filed their respective FERC Form No. 501-Gs on October 11, 2018. FEP, Lake Charles LNG and certain other operating subsidiaries filed their respective FERC Form No. 501-Gs on or about November 8, 2018. Rover, FGT, Transwestern and MEP filed their respective FERC Form No. 501-Gs on or about December 6, 2018. Because our existing jurisdictional rates were established based on a higher corporate tax rate, the FERC or our shippers may challenge these rates in the future, and the resulting new rate may be lower than the rates we currently charge. For example, the FERC has recently initiated reviews of Panhandle’s and Southwest Gas Storage Company’s existing rates pursuant to Section 5 of the Natural Gas Act to determine whether the rates currently charged are just and reasonable. These reviews will require the filing of a cost and revenue study prior to the FERC issuing a decision.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Rate regulation or market conditions may not allow ETO to recover the full amount of increases in the costs of its crude oil, NGL and refined products pipeline operations.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Transportation provided on ETO’s common carrier interstate crude oil, NGL and refined products pipelines is subject to rate regulation by the FERC, which requires that tariff rates for transportation on these pipelines be just and reasonable and not unduly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discriminatory. If ETO proposes new or changed rates, the FERC or interested persons may challenge those rates and the FERC is authorized to suspend the effectiveness of such rates for up to seven months and to investigate such rates. If, upon completion of an investigation, the FERC finds that the proposed rate is unjust or unreasonable, it is authorized to require the carrier to refund revenues in excess of the prior tariff during the term of the investigation.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ratemaking methodology used by the FERC to authorize increases in the tariff rates of petroleum pipelines is price indexing. The FERC’s ratemaking methodologies may limit ETO’s ability to set rates based on its costs or may delay the use of rates that reflect increased costs. In October 2016, the FERC issued an Advance Notice of Proposed Rulemaking seeking comment on a number of proposals, including: (i) whether the Commission should deny any increase in a rate ceiling or annual index-based rate increase if a pipeline’s revenues exceed total costs by 15 percent for the prior two years; (ii) a new percentage comparison test that would deny a proposed increase to a pipeline’s rate or ceiling level greater than 5 percent above the barrel-mile cost changes; and (iii) a requirement that all pipelines file indexed ceiling levels annually, with the ceiling levels subject to challenge and restricting the pipeline’s ability to carry forward the full indexed increase to a future period. The comment period with respect to the proposed rules ended March 17, 2017. The FERC has not yet taken any further action on the proposed rule. If the FERC’s indexing methodology changes, the new methodology could materially and adversely affect ETO’s financial condition, results of operations or cash flows.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Energy Policy Act of 1992, certain interstate pipeline rates were deemed just and reasonable or “grandfathered.” Revenues are derived from such grandfathered rates on most of ETO’s FERC regulated pipelines. A person challenging a grandfathered rate must, as a threshold matter, establish a substantial change since the date of enactment of the Energy Policy Act, in either the economic circumstances or the nature of the service that formed the basis for the rate. If the FERC were to find a substantial change in circumstances, then the existing rates could be subject to detailed review and there is a risk that some rates could be found to be in excess of levels justified by the pipeline’s costs. In such event, the FERC could order ETO to reduce pipeline rates prospectively and to pay refunds to shippers.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FERC’s petroleum pipeline ratemaking methodologies procedures changes, the new methodology or procedures could adversely affect ETO’s business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 regulatory measures could adversely affect the business and operations of ETO’s midstream and intrastate pipeline and storage assets.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ETO’s midstream and intrastate transportation and storage operations are generally exempt from FERC regulation under the NGA, but FERC regulation still significantly affects ETO’s business and the market for its products. The rates, terms and conditions of service for the interstate services ETO provides in its intrastate gas pipelines and gas storage are subject to FERC regulation under Section 311 of the NGPA. ETO’s HPL System, East Texas pipeline, Oasis pipeline and ET Fuel System provide such services. Under Section 311, rates charged for transportation and storage must be fair and equitable. Amounts collected in excess of fair and equitable rates are subject to refund with interest, and the terms and conditions of service, set forth in the pipeline’s statement of operating conditions, are subject to FERC review and approval. Should the FERC determine not to authorize rates equal to or greater than ETO’s costs of service, its cash flow would be negatively affected.</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ETO’s midstream and intrastate gas and oil transportation pipelines and its intrastate gas storage operations are subject to state regulation. All of the states in which we operate midstream assets, intrastate pipelines or intrastate storage facilities have adopted some form of complaint-based regulation, which allow producers and shippers to file complaints with state regulators in an effort to resolve grievances relating to the fairness of rates and terms of access. The states in which ETO operates have ratable take statutes, which generally require gatherers to take, without undue discrimination, production that may be tendered to the gatherer for handling. Similarly, common purchaser statutes generally require gatherers to purchase without undue discrimination as to source of supply or producer. These statutes have the effect of restricting our right as an owner of gathering facilities to decide with whom we contract to purchase or transport natural gas. Should a complaint be filed in any of these states or should regulation become more active, ETO’s businesses may be adversely affected.</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ETO’s intrastate transportation operations located in Texas are also subject to regulation as gas utilities by the TRRC. Texas gas utilities must publish the rates they charge for transportation and storage services in tariffs filed with the TRRC, although such rates are deemed just and reasonable under Texas law unless challenged in a complaint.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 is subject to other forms of state regulation, including requirements to obtain operating permits, reporting requirements, and safety rules (see description of federal and state pipeline safety regulation below). Violations of state laws, regulations, orders and permit conditions can result in the modification, cancellation or suspension of a permit, civil penalties and other relief.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ETO’s assets may become subject to regulation.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distinction between federally unregulated gathering facilities and FERC-regulated transmission pipelines under the NGA has been the subject of extensive litigation and may be determined by the FERC on a case-by-case basis, although the FERC has made no determinations as to the status of our facilities. Consequently, the classification and regulation of our gathering facilities could change based on future determinations by the FERC, the courts or Congress. If our gas gathering operations become subject to FERC jurisdiction, the result may adversely affect the rates we are able to charge and the services we currently provide, and may include the potential for a termination of our gathering agreements with our customers.</w:t>
      </w:r>
    </w:p>
    <w:p>
      <w:pPr>
        <w:spacing w:after="0" w:line="1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Intrastate transportation of NGLs is largely regulated by the state in which such transportation takes place. Lone Star’s NGL pipeline transports NGLs within the state of Texas and is subject to regulation by the TRRC. This NGL transportation system offers services pursuant to an intrastate transportation tariff on file with the TRRC. In 2013, Lone Star’s NGL pipeline also commenced the interstate transportation of NGLs, which is subject to the FERC’s jurisdiction under the Interstate Commerce Act and the Energy Policy Act of 1992. Both intrastate and interstate NGL transportation services must be provided in a manner that is just, reasonable, and non-discriminatory. The tariff rates established for interstate services were based on a negotiated agreement; however, if the FERC’s ratemaking methodologies were imposed, they may, among other things, delay the use of rates that reflect increased costs and subject us to potentially burdensome and expensive operational, reporting and other requirements. In addition, the rates, terms and conditions for shipments of crude oil, petroleum products and NGLs on our pipelines are subject to regulation by the FERC if the NGLs are transported in interstate or foreign commerce, whether by our pipelines or other means of transportation. Since we do not control the entire transportation path of all crude oil, petroleum products and NGLs on our pipelines, FERC regulation could be triggered by our customers’ transportation decisions.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if any of our pipelines were found to have provided services or otherwise operated in violation of the NGA, NGPA, or ICA, this could result in the imposition of administrative and criminal remedies and civil penalties, as well as a requirement to disgorge charges collected for such services in excess of the rate established by the FERC. Any of the foregoing could adversely affect revenues and cash flow related to these assets.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may incur significant costs and liabilities resulting from performance of pipeline integrity programs and related repairs.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authority under the NGPSA and HLPSA, PHMSA has established a series of rules requiring pipeline operators to develop and implement integrity management programs for natural gas transmission and hazardous liquid pipelines that, in the event of a pipeline leak or rupture, could affect HCAs which are areas where a release could have the most significant adverse consequences, including high population areas, certain drinking water sources, and unusually sensitive ecological areas.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These regulations require operators of covered pipelines to:</w:t>
      </w:r>
    </w:p>
    <w:p>
      <w:pPr>
        <w:spacing w:after="0" w:line="117"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operations that could impact a high consequence area;</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improve data collection, integration and analysis;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repair and remediate the pipeline as necessary;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states have adopted regulations similar to existing PHMSA regulations for intrastate gathering and transmission lines. At this time, we cannot predict the ultimate cost of compliance with applicable pipeline integrity management regulations, as the cost will vary significantly depending on the number and extent of any repairs found to be necessary as a result of the pipeline integrity testing.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 Any changes to pipeline safety laws by Congress and regulations by PHMSA that result in more stringent or costly safety standards could have a significant adverse effect on us and similarly situated midstream operators. For example, in January 2017, PHMSA issued a final rule for hazardous liquid pipelines that significantly expands the reach of certain PHMSA integrity management requirements, such as, for example, periodic assessments, leak detection and repairs, regardless of the pipeline’s proximity to a HCA. The final rule also imposes new reporting requirements for certain unregulated pipelines, including all hazardous liquid gathering lines. However, the date of implementation of this final rule by publication in the Federal Register is uncertain given the recent change in Presidential administrations. In a second example, in April 2016, PHMSA published a proposed rulemaking that would impose new or more stringent requirements for certain natural gas lines and gathering lines including, among other things, expanding certain of PHMSA’s current regulatory safety programs for natural gas pipelines in newly defined “moderate consequence areas” that contain as few as 5 dwellings within a potential impact area; requiring gas pipelines installed before 1970 and thus excluded from certain pressure testing obligations to be tested to determine their maximum allowable operating pressure (“MOAP”); and requiring certain onshore and offshore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gathering lines in Class I areas to comply with damage prevention, corrosion control, public education, MAOP limits, line markers and emergency planning standards. Additional requirements proposed by this proposed rulemaking would increase PHMSA’s integrity management requirements and also require consideration of seismicity in evaluating threats to pipelines. In 2018, PHMSA announced its intention to divide the original proposed rulemaking into three parts and issue three separate final rulemakings in 2019. In October 2019, PHMSA submitted three major rules to the Federal Register, including rules focused on: the safety of gas transmission pipelines (the first of three parts of the so-called gas Mega Rule), the safety of hazardous liquid pipelines, and enhanced emergency order procedures. The gas transmission rule requires operators of gas transmission pipelines constructed before 1970 to determine the material strength of their lines by reconfirming MAOP. In addition, the rule updates reporting and records retention standards for gas transmission pipelines. PHMSA is expected to issue the second and third parts of the gas Mega Rule in the near future. The safety and hazardous liquid pipelines rule would extend leak detection requirements to all non-gathering hazardous liquid pipelines and require operators to inspect affected pipelines following extreme weather events or natural disasters to address any resulting damage. Finally, the enhanced emergency procedures rule focuses on increased emergency safety measures. In particular, this rule increases the authority of PHMSA to issue an emergency order that addresses unsafe conditions or hazards that pose an imminent threat to pipeline safety. The changes adopted or proposed by these rulemakings or made in future legal requirements could have a material adverse effect on ETO’s results of operations and costs of transportation services.</w:t>
      </w:r>
    </w:p>
    <w:p>
      <w:pPr>
        <w:spacing w:after="0" w:line="121"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r>
        <w:rPr>
          <w:rFonts w:ascii="Arial" w:cs="Arial" w:eastAsia="Arial" w:hAnsi="Arial"/>
          <w:sz w:val="15"/>
          <w:szCs w:val="15"/>
          <w:color w:val="auto"/>
        </w:rPr>
        <w:t>.</w:t>
      </w:r>
    </w:p>
    <w:p>
      <w:pPr>
        <w:spacing w:after="0" w:line="4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NGPSA and HLPSA were amended by the 2011 Pipeline Safety Act. Among other things, the 2011 Pipeline Safety Act increased the penalties for safety violations and directed the Secretary of Transportation to promulgate rules or standards relating to expanded integrity management requirements, automatic or remote-controlled valve use, excess flow valve use, leak detection system installation, testing to confirm that the material strength of certain pipelines are above 30% of specified minimum yield strength, and operator verification of records confirming the MAOP of certain interstate natural gas transmission pipelines. In July 2019, PHMSA issued a final rule increasing the maximum administrative fines for safety violations were increased to account for inflation, with maximum civil penalties set at $218,647 per day, with a maximum of $2,186,465 for a series of violations. In June 2016, the 2016 Pipeline Safety Act was passed, extending PHMSA’s statutory mandate through 2019 and, among other things, requiring PHMSA to complete certain of its outstanding mandates under the 2011 Pipeline Safety Act and developing new safety standards for natural gas storage facilities, which were issued in January 2020. The 2016 Pipeline Safety Act also empowers PHMSA to address imminent hazards by imposing emergency restrictions, prohibitions and safety measures on owners and operators of natural gas or hazardous liquid pipeline facilities without prior notice or an opportunity for a hearing. PHMSA issued interim regulations in October 2016 to implement the agency’s expanded authority to address unsafe pipeline conditions or practices that pose an imminent hazard to life, property, or the environment. In 2018, PHMSA announced its intention to divide the original proposed rulemaking into three parts and issue three separate final rulemakings in 2019. In October 2019, PHMSA submitted the first of the three parts of the so-called gas Mega Rule to the Federal Register. That rule, application to gas transmission pipelines, requires operators of gas transmission pipelines constructed before 1970 to determine the material strength of their lines by reconfirming MAOP. In addition, the rule updates reporting and records retention standards for gas transmission pipelines. This rule will take effect on July 1, 2020. PHMSA is then expected to issue the second part of the Mega Rule focusing on repair criteria in HCAs and creating new repair criteria for non-HCAs, requirements for inspecting pipelines following extreme events, updates to pipeline corrosion control requirements, and various other integrity management requirements. PHMSA is expected to subsequently issue the final part of the gas Mega Rule, the Gas Gathering Rule, focusing on requirements relating to gas gathering lines. The safety enhancement requirements and other provisions of the 2011 Pipeline Safety Act, as further amended by the 2016 Pipeline Safety Act, as well as any implementation of PHMSA rules thereunder or any issuance or reinterpretation of guidance by PHMSA or any state agencies with respect thereto, could require us to install new or modified safety controls, pursue additional capital projects, or conduct maintenance programs on an accelerated basis, any or all of which tasks could result in our incurring increased operating costs that could be significant and have a material adverse effect on our results of operations or financial condition.</w:t>
      </w:r>
    </w:p>
    <w:p>
      <w:pPr>
        <w:spacing w:after="0" w:line="3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ETO’s business involves the generation, handling and disposal of hazardous substances, hydrocarbons and wastes, which activities are subject to environmental and worker health and safety laws and regulations that may cause ETO to incur significant costs and liabilities.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ETO’s business is subject to stringent federal, tribal, state and local laws and regulations governing the discharge of materials into the environment, worker health and safety and protection of the environment. These laws and regulations may require the acquisition of permits for the construction and operation of our pipelines, plants and facilities, result in capital expenditures to manage, limit, or prevent emissions, discharges or releases of various materials from ETO’s pipelines, plants and facilities, impose specific health and safety standards addressing worker protection, and impose substantial liabilities for pollution resulting from ETO’s construction and operations activities. Several governmental authorities, such as the EPA and analogous state agencies have the power to enforce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compliance with these laws and regulations and the permits issued under them and frequently mandate difficult and costly remediation measures and other actions. Failure to comply with these laws, regulations and permits may result in the assessment of significant administrative, civil and criminal penalties, the imposition of investigatory remedial and corrective action obligations, the occurrence of delays in permitting and completion of projects, and the issuance of injunctive relief. Certain environmental laws impose strict, joint and several liability for costs required to clean up and restore sites where hazardous substances, hydrocarbons or wastes have been disposed or released, even under circumstances where the substances, hydrocarbons or wastes have been released by a predecessor operator. Moreover, it is not uncommon for neighboring landowners and other third parties to file claims for personal injury and property and natural resource damage allegedly caused by noise, odor or the release of hazardous substances, hydrocarbons or wastes into the environment.</w:t>
      </w:r>
    </w:p>
    <w:p>
      <w:pPr>
        <w:spacing w:after="0" w:line="1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ETO may incur substantial environmental costs and liabilities because of the underlying risk arising out of its operations. Although we have established financial reserves for our estimated environmental remediation liabilities, additional contamination or conditions may be discovered, resulting in increased remediation costs, liabilities or natural resource damages that could substantially increase our costs for site remediation projects. Accordingly, we cannot assure you that our current reserves are adequate to cover all future liabilities, even for currently known contamination.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Changes in environmental laws and regulations occur frequently, and any such changes that result in more stringent and costly waste handling, emission standards, or storage, transport, disposal or remediation requirements could have a material adverse effect on ETO’s operations or financial position. For example, in October 2015, the EPA published a final rule under the Clean Air Act, lowering the NAAQS for ground-level ozone to 70 parts per billion for the 8-hour primary and secondary ozone standards. The EPA published a final rule in November 2017 that issued area designations with respect to ground-level ozone for approximately 85% of the United States counties as either “attainment/unclassifiable” or “unclassifiable.” The EPA finalized its non-attainment designations for the remaining areas of the United States not addressed under the November 2017 final rule in April and July of 2018.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ETO’s customers’ operations. Compliance with this final rule or any other new regulations could, among other things, require installation of new emission controls on some of ETO’s equipment, result in longer permitting timelines or new restrictions or prohibitions with respect to permits or projects, and significantly increase its capital expenditures and operating costs, which could adversely impact its business. Historically, ETO has been able to satisfy the more stringent nitrogen oxide emission reduction requirements that affect its compressor units in ozone non-attainment areas at reasonable cost, but there is no assurance that it will not incur material costs in the future to meet the new, more stringent ozone standard.</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Regulations under the Clean Water Act, OPA and state laws impose regulatory burdens on terminal operations. Spill prevention control and countermeasure requirements of federal and state laws require containment to mitigate or prevent contamination of waters in the event of a refined product overflow, rupture, or leak from above-ground pipelines and storage tanks. The Clean Water Act also requires ETO to maintain spill prevention control and countermeasure plans at ETO’s terminal facilities with above-ground storage tanks and pipelines. In addition, OPA requires that most fuel transport and storage companies maintain and update various oil spill prevention and oil spill contingency plans. Facilities that are adjacent to water require the engagement of Federally Certified Oil Spill Response Organizations (“OSRO”s) to be available to respond to a spill on water from above-ground storage tanks or pipelines.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Transportation and storage of refined products over and adjacent to water involves risk and potentially subjects ETO to strict, joint, and potentially unlimited liability for removal costs and other consequences of an oil spill where the spill is into navigable waters, along shorelines or in the exclusive economic zone of the United States. In the event of an oil spill into navigable waters, substantial liabilities could be imposed upon ETO. The Clean Water Act imposes restrictions and strict controls regarding the discharge of pollutants into navigable waters, with the potential of substantial liability for the violation of permits or permitting requirements.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Terminal operations and associated facilities are subject to the Clean Air Act as well as comparable state and local statutes. Under these laws, permits may be required before construction can commence on a new source of potentially significant air emissions, and operating permits may be required for sources that are already constructed. If regulations become more stringent, additional emission control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 and litigation could adversely affect our subsidiaries business and results of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liability is a significant commercial risk. Substantial damage awards have been made in certain jurisdictions against manufacturers and resellers based upon claims for injuries caused by the use of or exposure to various products. There can be no assurance that product liability claims against us would not have a material adverse effect on our business or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Along with other refiners, manufacturers and sellers of gasoline, ETC Sunoco is a defendant in numerous lawsuits that allege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MTBE contamination in groundwater. Plaintiffs, who include water purveyors and municipalities responsible for supplying drinking water and private well owners, are seeking compensatory damages (and in some cases injunctive relief, punitive damages and attorneys’ fees) for claims relating to the alleged manufacture and distribution of a defective product (MTBE-containing gasoline) that contaminates groundwater, and general allegations of product liability, nuisance, trespass, negligence, violation of environmental laws and deceptive business practices. There has been insufficient information developed about the plaintiffs’ legal theories or the facts that would be relevant to an analysis of the ultimate liability to Sunoco Inc. An adverse determination of liability related to these allegations or other product liability claims against ETC Inc. could have a material adverse effect on our business or results of operations.</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Climate change legislation or regulations restricting emissions of GHGs could result in increased operating costs and reduced demand for the services we provide.</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Climate change continues to attract considerable public, governmental and scientific attention. As a result, numerous proposals have been made and are likely to continue to be made at the international, national, regional and state levels of government to monitor and limit emissions of GHGs. These efforts have included consideration of cap-and-trade programs, carbon taxes and GHG reporting and tracking programs, and regulations that directly limit GHG emissions from certain sources. At the federal level, no comprehensive climate change legislation has been implemented to date. The EPA has, however, adopted rules under authority of the Clean Air Act that, among other things, establish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Federal agencies also have begun directly regulating emissions of methane, a GHG,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However, the Subpart OOOOa standards have been subject to attempts by the EPA to stay portions of those standards, and the agency proposed rulemaking in June 2017 to stay the requirements for a period of two years and revisit implementation of Subpart OOOOa in its entirety. In September 2018, the EPA proposed amendments to Subpart OOOOa that would reduce the 2016 standards’ fugitive emissions monitoring requirements and expand exceptions to controlling methane emissions from pneumatic pumps, among other changes. Various industry and environmental groups have separately challenged both the original 2016 standards and the EPA’s attempts to delay the implementation of the rule. In August 2019, the EPA proposed two options for further rescinding the Subpart OOOOa standards. Under the EPA’s preferred alternative, the agency would rescind the methane limits for new, reconstructed and modified oil and natural gas production sources while leaving in place the general emission limits for volatile organic compounds, or VOCs, and relieve the EPA of its obligation to develop guidelines for methane emissions from existing sources. In addition, the proposal would remove from the oil and natural gas category the natural gas transmission and storage segment. The other proposed alternative would rescind the methane requirements of the Subpart OOOOa standards applicable to all oil and natural gas sources, without removing any sources from that source category (and still requiring control of VOCs in general). This rule, should it remain in effect, and any other new methane emission standards imposed on the oil and gas sector could result in increased costs to ETO’s operations as well as result in delays or curtailment in such operations, which costs, delays or curtailment could adversely affect ETO’s business. Additionally, in December 2015, the United States joined the international community at the 21st Conference of the Parties of the United Nations Framework Convention on Climate Change in Paris, France preparing an agreement requiring member countries to review and “represent a progression” in their intended nationally determined contributions, which set GHG emission reduction goals every five years beginning in 2020. This “Paris Agreement” was signed by the United States in April 2016 and entered into force in November 2016; however, this agreement does not create any binding obligations for nations to limit their GHG emissions, but rather includes pledges to voluntarily limit or reduce future emissions. In August 2017, the United States State Department informed the United Nations of the intent of the United States to withdraw from the Paris Agreement. The United States formally initiated the withdrawal process in November 2019, which would result in an effective exit date of November 2020. The United States’ adherence to the exit process and/or the terms on which the United States may re-enter the Paris Agreement or a separately negotiated agreement are unclear at this time.</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adoption and implementation of any international, federal or state legislation or regulations that require reporting of GHGs or otherwise restrict emissions of GHGs could result in increased compliance costs or additional operating restrictions, and could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have a material adverse effect on ETO’s business, financial condition, demand for its services, results of operations, and cash flows. Recently, activists concerned about the potential effects of climate change have directed their attention at sources of funding for fossil-fuel energy companies, which has resulted in certain financial institutions, funds and other sources of capital restricting or eliminating their investment in oil and natural gas activities. Ultimately, this could make it more difficult to secure funding for exploration and production or midstream activities. Notwithstanding potential risks related to climate change, the International Energy Agency estimates that global energy demand will continue to rise and will not peak until after 2040 and that oil and natural gas will continue to represent a substantial percentage of global energy use over that time. Finally, some scientists have concluded that increasing concentrations of GHG in the atmosphere may produce climate changes that have significant physical effects, such as increased frequency and severity of storms, droughts, and floods and other climate events that could have an adverse effect on ETO’s assets.</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swaps regulatory provisions of the Dodd-Frank Act and the rules adopted thereunder could have an adverse effect on our ability to use derivative instruments to mitigate the risks of changes in commodity prices and interest rates and other risks associated with our business.</w:t>
      </w:r>
    </w:p>
    <w:p>
      <w:pPr>
        <w:spacing w:after="0" w:line="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Provisions of the Dodd-Frank Wall Street Reform and Consumer Protection Act (the “Dodd-Frank Act”) and rules adopted by the Commodity Futures Trading Commission (the “CFTC”), the SEC and other prudential regulators establish federal regulation of the physical and financial derivatives, including over-the-counter derivatives market and entities, such as us, participating in that market. While most of these regulations are already in effect, the implementation process is still ongoing and the CFTC continues to review and refine its initial rulemakings through additional interpretations and supplemental rulemakings. As a result, any new regulations or modifications to existing regulations could significantly increase the cost of derivative contracts, materially alter the terms of derivative contracts, reduce the availability and/or liquidity of derivatives to protect against risks we encounter, reduce our ability to monetize or restructure our existing derivative contracts, and increase our exposure to less creditworthy counterparties. Any of these consequences could have a material adverse effect on our financial condition, results of operations and cash available for distribution to our Unitholders.</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CFTC has re-proposed speculative position limits for certain futures and option contracts in the major energy markets and for swaps that are their economic equivalents, although certain bona fide hedging transactions would be exempt from these position limits provided that various conditions are satisfied. The CFTC has also finalized a related aggregation rule that requires market participants to aggregate their positions with certain other persons under common ownership and control, unless an exemption applies, for purposes of determining whether the position limits have been exceeded. If adopted, the revised position limits rule and its finalized companion rule on aggregation may create additional implementation or operational exposure. In addition to the CFTC federal speculative position limit regime, designated contract markets (“DCMs”) also maintain speculative position limit and accountability regimes with respect to contracts listed on their platform as well as aggregation requirements similar to the CFTC’s final aggregation rule. Any speculative position limit regime, whether imposed at the federal-level or at the DCM-level may impose added operating costs to monitor compliance with such position limit levels, addressing accountability level concerns and maintaining appropriate exemptions, if applicable.</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Dodd-Frank Act requires that certain classes of swaps be cleared on a derivatives clearing organization and traded on a DCM or other regulated exchange, unless exempt from such clearing and trading requirements, which could result in the application of certain margin requirements imposed by derivatives clearing organizations and their members. The CFTC and prudential regulators have also adopted mandatory margin requirements for uncleared swaps entered into between swap dealers and certain other counterparties. We currently qualify for and rely upon an end-user exception from such clearing and margin requirements for the swaps we enter into to hedge our commercial risks. However, the application of the mandatory clearing and trade execution requirements and the uncleared swaps margin requirements to other market participants, such as swap dealers, may adversely affect the cost and availability of the swaps that we use for hedging.</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transactions involving cross-border swaps more expensive and burdensome. Additionally, the lack of regulatory equivalency across jurisdictions may increase compliance costs and make it more difficult to satisfy our regulatory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natural disaster, catastrophe or other event could result in severe personal injury, property damage and environmental damage, which could curtail ETO’s operations and otherwise materially adversely affect its cash flow.</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ETO’s operations involve risks of personal injury, property damage and environmental damage, which could curtail its operations and otherwise materially adversely affect its cash flow. For example, natural gas pipeline and other facilities operate at high pressures. Virtually all of ETO’s operations are exposed to potential natural disasters, including hurricanes, tornadoes, storms, floods and/or earthquakes.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one or more facilities that are owned by ETO or that deliver natural gas or other products to ETO are damaged by severe weather or any other disaster, accident, catastrophe or event, ETO’s operations could be significantly interrupted. Similar interruptions could result from damage to production or other facilities that supply ETO’s facilities or other stoppages arising from factors beyond its control. These interruptions might involve significant damage to people, property or the environment, and repairs might take from a week or less for a minor incident to six months or more for a major interruption. Any event that interrupts the revenues generated by ETO’s operations, or which causes it to make significant expenditures not covered by insurance, could reduce ETO’s cash available for distributions to us.</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market conditions, premiums and deductibles for certain insurance policies can increase substantially, and in some instances, certain insurance may become unavailable or available only for reduced amounts of coverage. As a result, ETO may not be able to renew existing insurance policies or procure other desirable insurance on commercially reasonable terms, if at all. If ETO were to incur a significant liability for which it was not fully insured, it could have a material adverse effect on ETO’s financial position and results of operations, as applicable. In addition, the proceeds of any such insurance may not be paid in a timely manner and may be insufficient if such an event were to occur.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aimed at our facilities could adversely affect its business, results of operations, cash flows and financial condition.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United States government has issued warnings that energy assets, including the nation’s pipeline infrastructure, may be the future target of terrorist organizations. Some of our facilities are subject to standards and procedures required by the Chemical Facility Anti-Terrorism Standards. We believe we are in compliance with all material requirements; however, such compliance may not prevent a terrorist attack from causing material damage to our facilities or pipelines. Any such terrorist attack on ETO’s or Sunoco LP’s facilities or pipelines, those of their customers, or in some cases, those of other pipelines could have a material adverse effect on ETO’s or Sunoco LP’s business, financial condition and results of operations.</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Additional deepwater drilling laws and regulations, delays in the processing and approval of drilling permits and exploration, development, oil spill-response and decommissioning plans, and other related developments may have a material adverse effect on our business, financial condition, or results of operations.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federal Bureau of Ocean Energy Management (“BOEM”) and the federal Bureau of Safety and Environmental Enforcement (“BSEE”), each agencies of the United States Department of the Interior, have imposed more stringent permitting procedures and regulatory safety and performance requirements for new wells to be drilled in federal waters. Compliance with these more stringent regulatory requirements and with existing environmental and oil spill regulations, together with any uncertainties or inconsistencies in decisions and rulings by governmental agencies, delays in the processing and approval of drilling permits or exploration, development, oil spill-response and decommissioning plans, and possible additional regulatory initiatives could result in difficult and more costly actions and adversely affect or delay new drilling and ongoing development efforts.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new regulatory initiatives may be adopted or enforced by the BOEM or the BSEE in the future that could result in additional costs, delays, restrictions, or obligations with respect to oil and natural gas exploration and production operations conducted offshore by certain of ETO’s customers. For example, in April 2016, the BOEM published a proposed rule that would update existing air-emissions requirements relating to offshore oil and natural-gas activity on federal Outer Continental Shelf waters. However, in May 2017, Order 3350 was issued by the Department of the Interior Secretary Ryan Zinke, directing the BOEM to reconsider a number of regulatory initiatives governing oil and gas exploration in offshore waters, including, among other things, a cessation of all activities to promulgate the April 2016 proposed rulemaking (“Order 3350”). In an unrelated legal initiative, BOEM issued a Notice to Lessees and Operators (“NTL #2016-N01”) that became effective in September 2016 and imposes more stringent requirements relating to the provision of financial assurance to satisfy decommissioning obligations. Together with a recent re-assessment by BSEE in 2016 in how it determines the amount of financial assurance required, the revised BOEM-administered offshore financial assurance program that is currently being implemented is expected to result in increased amounts of financial assurance being required of operators on the OCS, which amounts may be significant. However, as directed under Order 3350, the BOEM has delayed implementation of NTL #2016-N01 so that it may reconsider this regulatory initiative and, currently, this NTL’s implementation timeline has been extended indefinitely beyond June 30, 2017, except in certain circumstances where there is a substantial risk of nonperformance of the interest holder’s decommissioning liabilities. The April 2016 proposed rule and NTL #2016-N01, should they be finalized and/or implemented, as well as any new rules, regulations, or legal initiatives could delay or disrupt our customers operations, increase the risk of expired leases due to the time required to develop new technology, result in increased supplemental bonding and costs, limit activities in certain areas, or cause our customers’ to incur penalties, or shut-in production or lease cancellation. Also, if material spill events were to occur in the future, the United States or other countries could elect to issue directives to temporarily cease drilling activities offshore and, in any event, may from time to time issue further safety and environmental laws and regulations regarding offshore oil and gas exploration and development. The overall costs imposed on ETO’s customers to implement and complete any such spill response activities or any decommissioning obligations could exceed estimated accruals, insurance limits, or supplemental bonding amounts, which could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 in the incurrence of additional costs to complete. We cannot predict with any certainty the full impact of any new laws or regulations on ETO’s customers’ drilling operations or on the cost or availability of insurance to cover some or all of the risks associated with such operations. The occurrence of any one or more of these developments could result in decreased demand for ETO’s services, which could have a material adverse effect on its business as well as its financial position, results of operation and liquidity.</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federal, state and local laws and regulations that govern the product quality specifications of the petroleum products that we store and transport.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petroleum products that we store and transport through ETO’s operations are sold by our customers for consumption into the public market. Various federal, state and local agencies have the authority to prescribe specific product quality specifications to commodities sold into the public market. Changes in product quality specifications could reduce our throughput volume, require us to incur additional handling costs or require the expenditure of significant capital. In addition, different product specifications for different markets impact the fungibility of products transported and stored in our pipeline systems and terminal facilities and could require the construction of additional storage to segregate products with different specifications. We may be unable to recover these costs through increased revenues.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our patented butane blending services are reliant upon gasoline vapor pressure specifications. Significant changes in such specifications could reduce butane blending opportunities, which would affect our ability to market our butane blending service licenses and which would ultimately affect our ability to recover the costs incurred to acquire and integrate our butane blending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adversely by union disputes and strikes or work stoppages by unionized employees.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approximately 12% of our workforce is covered by a number of collective bargaining agreements with various terms and dates of expiration. There can be no assurances that we will not experience a work stoppage in the future as a result of labor disagreements. Any work stoppage could, depending on the affected operations and the length of the work stoppage, have a material adverse effect on our business,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disrupted if our information systems fail, causing increased expenses and loss of sales.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is highly dependent on financial, accounting and other data processing systems and other communications and information systems, including our enterprise resource planning tools. We process a large number of transactions on a daily basis and rely upon the proper functioning of computer systems. If a key system was to fail or experience unscheduled downtime for any reason, even if only for a short period, our operations and financial results could be affected adversely. Our systems could be damaged or interrupted by a security breach, fire, flood, power loss, telecommunications failure or similar event. We have a formal disaster recovery plan in place, but this plan may not entirely prevent delays or other complications that could arise from an information systems failure. Our business interruption insurance may not compensate us adequately for losses that may occur.</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and operations, and expose us to liability, which would cause our business and reputation to suffer.</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our proprietary business information and that of our customers, suppliers and business partners, and personally identifiable information of our employees, in our data centers and on our networks.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products and services, which could adversely affect our business.</w:t>
      </w:r>
    </w:p>
    <w:p>
      <w:pPr>
        <w:spacing w:after="0" w:line="1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information technology infrastructure is critical to the efficient operation of our business and essential to our ability to perform day-today operations. Breaches in our information technology infrastructure or physical facilities, or other disruptions, could result in damage to our assets, safety incidents, damage to the environment, potential liability or the loss of contracts, and have a material adverse effect on our operations, financial position and results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costs of providing pension and other postretirement health care benefits and related funding requirements are subject to changes in pension fund values, changing demographics and fluctuating actuarial assumptions and may have a material adverse effect on our financial results.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of our subsidiaries provide pension plan and other postretirement healthcare benefits to certain of their employees. The costs of providing pension and other postretirement health care benefits and related funding requirements are subject to changes in pension and other postretirement fund values, changing demographics and fluctuating actuarial assumptions that may have a material adverse effect on the Partnership’s future consolidated financial results. While certain of the costs incurred in providing such pension and other postretirement healthcare benefits are recovered through the rates charged by the Partnership’s regulated businesses, the Partnership’s subsidiaries may not recover all of the costs and those rates are generally not immediately responsive to current market conditions or funding requirements. Additionally, if the current cost recovery mechanisms are changed or eliminated, the impact of these benefits on operating results could significantly increase.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Mergers among customers and competitors could result in lower volumes being shipped on our pipelines or products stored in or distributed through our terminals, or reduced crude oil marketing margins or volumes.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Mergers between existing customers could provide strong economic incentives for the combined entities to utilize their existing systems instead of our systems in those markets where the systems compete. As a result, we could lose some or all of the volumes and associated revenues from these customers and could experience difficulty in replacing those lost volumes and revenues, which could materially and adversely affect our results of operations, financial position, or cash flows.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liquefaction project is dependent upon securing long-term contractual arrangements for the off-take of LNG on terms sufficient to support the financial viability of the project.</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LCL, our wholly-owned subsidiary, is in the process of developing a liquefaction project at the site of our existing regasification facility in Lake Charles, Louisiana. The project development agreement previously entered into in September 2013 with BG Group plc, a subsidiary of Shell, related to this project expired in February 2017. On June 28, 2017, LCL signed a memorandum of understanding with Korea Gas Corporation and Shell to study the feasibility of a joint development of the Lake Charles liquefaction project. The project would utilize existing dock and storage facilities owned by us located on the Lake Charles site. The parties’ determination as to the feasibility of the project will be particularly dependent upon the prospects for securing long-term contractual arrangements for the off-take of LNG which in turn will be dependent upon supply and demand factors affecting the price of LNG in foreign markets. The financial viability of the project will also be dependent upon a number of other factors, including the expected cost to construct the liquefaction facility, the terms and conditions of the financing for the construction of the liquefaction facility, the cost of the natural gas supply, the costs to transport natural gas to the liquefaction facility, the costs to operate the liquefaction facility and the costs to transport LNG from the liquefaction facility to customers in foreign markets (particularly Europe and Asia). Some of these costs fluctuate based on a variety of factors, including supply and demand factors affecting the price of natural gas in the United States, supply and demand factors affecting the costs for construction services for large infrastructure projects in the United States, and general economic conditions, there can be no assurance that the parties will determine to proceed to develop this project.</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construction of the liquefaction project remains subject to further approvals and some approvals may be subject to further conditions, review and/or revocation.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LCL has received authorization from the DOE to export LNG to non-FTA countries, the non-FTA authorization is subject to review, and the DOE may impose additional approval and permit requirements in the future or revoke the non-FTA authorization should the DOE conclude that such export authorization is inconsistent with the public interest. The original FERC order issued on December 17, 2015 authorized LCL to site, construct and operate the liquefaction project, subject to a a condition requiring all phases of the liquefaction project to be completed and in-service within five years of the date of the order. The order also required the modifications to our Trunkline pipeline facilities that connect to our Lake Charles facility be complete by December 17, 2019 and additionally requires execution of a transportation contract for natural gas supply to the liquefaction facility prior to the initiation of construction of the liquefaction facility. In December 2019, LCL received an extension of these completion dates for the project to December 2025. There can be no assurances that these projects will be completed prior to the new construction deadlines.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is subject to federal laws related to the Renewable Fuel Standard.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laws, new interpretations of existing laws, increased governmental enforcement of existing laws or other developments could require us to make additional capital expenditures or incur additional liabilities. For example, certain independent refiners have initiated discussions with the EPA to change the way the Renewable Fuel Standard (“RFS”) is administered in an attempt to shift the burden of compliance from refiners and importers to blenders and distributors. Under the RFS, which requires an annually increasing amount of biofuels to be blended into the fuels used by U.S. drivers, refiners/importers are obligated to obtain renewable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identification numbers (“RINS”) either by blending biofuel into gasoline or through purchase in the open market. If the obligation was shifted from the importer/refiner to the blender/distributor, the Partnership would potentially have to utilize the RINS it obtains through its blending activities to satisfy a new obligation and would be unable to sell RINS to other obligated parties, which may cause an impact on the fuel margins associated with Sunoco LP’s sale of gasoline.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of the events described above could have a material adverse effect on Sunoco LP’s business, financial condition, results of operations and cash available for distribution to its unitholders.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Sunoco LP is subject to federal, state and local laws and regulations that govern the product quality specifications of refined petroleum products it purchases, stores, transports, and sells to its distribution customers.</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Various federal, state, and local government agencies have the authority to prescribe specific product quality specifications for certain commodities, including commodities that Sunoco LP distributes. Changes in product quality specifications, such as reduced sulfur content in refined petroleum products, or other more stringent requirements for fuels, could reduce Sunoco LP’s ability to procure product, require it to incur additional handling costs and/or require the expenditure of capital. If Sunoco LP is unable to procure product or recover these costs through increased selling price, it may not be able to meet its financial obligations. Failure to comply with these regulations could result in substantial penalties for Sunoco LP.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NYSE does not require a publicly traded partnership like us to comply with certain corporate governance requirements.</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Because we are a publicly traded partnership, the NYSE does not require us to have a majority of independent directors on our general partner’s board of directors or to establish a compensation committee or a nominating and corporate governance committee. Accordingly, our Unitholders do not have the same protections afforded to stockholders of corporations that are subject to all of the corporate governance requirements of the applicable stock exchange.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Risks to Unitholders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tax treatment depends on our continuing status as a partnership for federal income tax purposes, as well as our not being subject to a material amount of additional entity-level taxation by individual states. If the IRS were to treat us, ETO or its subsidiaries, including Sunoco LP and USAC as a corporation for federal income tax purposes or if we, ETO, Sunoco LP or USAC become subject to a material amount of entity-level taxation for state tax purposes, then our cash available for distribution would be substantially reduced.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anticipated after-tax economic benefit of an investment in our Common Units depends largely on our being treated as a partnership for federal income tax purposes. We have not requested, and do not plan to request, a ruling from the IRS on this matter. The value of our investments in ETO and its subsidiaries, including Sunoco LP and USAC, depend largely on ETO, Sunoco LP and USAC being treated as partnerships for federal income tax purposes. Despite the fact that we, ETO, Sunoco LP and USAC are each a limited partnership under Delaware law, we would each be treated as a corporation for federal income tax purposes unless we satisfy a “qualifying income” requirement. Based upon our current operations, we believe we, ETO, Sunoco LP and USAC satisfy the qualifying income requirement. Failing to meet the qualifying income requirement or a change in current law could cause us, ETO, Sunoco LP or USAC to be treated as a corporation for federal income tax purposes or otherwise subject us to taxation as an entity.</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we, ETO, Sunoco LP or USAC were treated as a corporation, we would pay federal income tax at the corporate tax rate and we would likely pay additional state income taxes at varying rates. Distributions to Unitholders would generally be taxed again as corporate distributions, and none of our income, gains, losses or deductions would flow through to Unitholders. Because a tax would then be imposed upon us as a corporation, our cash available for distribution to Unitholders would be substantially reduced. Therefore, treatment of us as a corporation would result in a material reduction in the anticipated cash flow and after-tax return to the Unitholders, likely causing a substantial reduction in the value of our Common Units.</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 Our partnership agreement provides that if a law is enacted or existing law is modified or interpreted in a manner that subjects us to taxation as a corporation or to additional taxation as an entity for federal, state or local income tax purposes, the minimum quarterly distribution amount and the target distribution amounts may be adjusted to reflect the impact of that law on us.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 United States federal income tax treatment of publicly traded partnerships, including us, or an investment in our Common Units may be modified by administrative, legislative or judicial changes or differing interpretations at any time.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time to time, members of Congress propose and consider substantive changes to the existing United States federal income tax laws that affect publicly traded partnerships. Although there is no current legislative proposal, a prior legislative proposal would have eliminated the qualifying income exception to the treatment of all publicly traded partnerships as corporations upon which we rely for our treatment as a partnership for United States federal income tax purposes.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However, any modification to the United States federal income tax laws may be applied retroactively and could make it more difficult or impossible for us to meet the exception for certain publicly traded partnerships to be treated as partnerships for United States federal income tax purposes. We are unable to predict whether any of these changes or other proposals will ultimately be enacted. Any similar or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IRS contests the federal income tax positions we take, the market for our Common Units may be adversely affected and the costs of any such contest will reduce cash available for distributions to our Unitholders.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requested a ruling from the IRS with respect to our treatment as a partnership for federal income tax purposes. 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prices at which they trade. In addition, the costs of any contest with the IRS will be borne by us reducing the cash available for distribution to our Unitholders.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 directly from us, in which case our cash available for distribution to our Unitholders might be substantially reduced.</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 directly from us. To the extent possible under the new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required to pay taxes on their share of our income even if they do not receive any cash distributions from 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which will be different in amount than the cash we distribute, our Unitholders will be required to pay any federal income taxes and, in some cases, state and local income taxes on their share of our taxable income even if they receive no cash distributions from us. Our Unitholders may not receive cash distributions from us equal to their share of our taxable income or even equal to the actual tax liability that result from that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disposition of our Common Units could be more or less than expected.</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Unitholders sell their Common Units, they will recognize a gain or loss equal to the difference between the amount realized and their tax basis in those Common Units. Prior distributions to our Unitholders in excess of the total net taxable income the Unitholder was allocated for a unit, which decreased their tax basis in that unit, will, in effect, become taxable income to our Unitholders if the Common Unit is sold at a price greater than their tax basis in that Common Unit, even if the price they receive is less than their original cost. A substantial portion of the amount realized, whether or not representing gain, may be ordinary income. In addition, if our Unitholders sell their units, they may incur a tax liability in excess of the amount of cash received from the 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units that may result in adverse tax consequences to them.</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 in our units by tax-exempt entities, including employee benefit plans and individual retirement accounts (known as IRAs) raises issues unique to them. For example, virtually all of our income allocated to Unitholders who are organizations exempt from federal income tax, including IRAs and other retirement plans, will be “unrelated business taxable income” and will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taxable to them. Further, with respect to taxable years beginning after December 31, 2017, a tax-exempt entity with more than one unrelated trade or business (including by attribution from investment in a partnership such as ours that is engaged in one or more unrelated trade or business) is required to compute the unrelated business taxable income of such tax-exempt entity separately with respect to each such trade or business (including for purposes of determining any net operating loss deduction). As a result, for years beginning after December 31, 2017, it may not be possible for tax-exempt entities to utilize losses from an investment in our partnership to offset unrelated business taxable income from another unrelated trade or business and vice versa. Tax-exempt entities should consult a tax advisor before investing in our units.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Non-United States Unitholders will be subject to United States taxes and withholding with respect to their income and gain from owning our units.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Non-United States Unitholders are generally taxed and subject to income tax filing requirements by the United States on income effectively connected with a United States trade or business (“effectively connected income”). Income allocated to our Unitholders and any gain from the sale of our units will generally be considered to be “effectively connected” with a United States trade or business. As a result, distributions to a non-United States Unitholder will be subject to withholding at the highest applicable effective tax rate and a non-United States Unitholder who sells or otherwise disposes of a unit will also be subject to United States federal income tax on the gain realized from the sale or disposition of that unit.</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Tax Cuts and Jobs Act imposes a withholding obligation of 10% of the amount realized upon a non-United States Unitholder’s sale or exchange of an interest in a partnership that is engaged in a United States trade or business. However, due to challenges of administering a withholding obligation applicable to open market trading and other complications, the IRS has temporarily suspended the application of this withholding rule to open market transfers of interests in publicly traded partnerships pending promulgation of regulations or other guidance that resolves the challenges. It is not clear if or when such regulations or other guidance will be finalized. Non-United States Unitholders should consult a tax advisor before investing in our units.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subsidiaries that will be treated as corporations for federal income tax purposes and subject to corporate-level income taxes.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though we (as a partnership for United States federal income tax purposes) are not subject to United States federal income tax, some of our operations are conducted through subsidiaries that are organized as corporations for United States federal income tax purposes. The taxable income, if any, of subsidiaries that are treated as corporations for United States federal income tax purposes, is subject to corporate-level United States federal income taxes, which may reduce the cash available for distribution to us and, in turn, to our Unitholders. If the IRS or other state or local jurisdictions were to successfully assert that these corporations have more tax liability than we anticipate or legislation was enacted that increased the corporate tax rate, the cash available for distribution could be further reduced. The income tax return filings positions taken by these corporate subsidiaries require significant judgment, use of estimates, and the interpretation and application of complex tax laws. Significant judgment is also required in assessing the timing and amounts of deductible and taxable items. Despite our belief that the income tax return positions taken by these subsidiaries are fully supportable, certain positions may be successfully challenged by the IRS, state or local jurisdictions.</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treat each purchaser of Common Units as having the same tax benefits without regard to the actual Common Units purchased. The IRS may challenge this treatment, which could result in a Unitholder owing more tax and may adversely affect the value of the Common Units.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we cannot match transferors and transferees of Common Units and because of other reasons, we have adopted depreciation, depletion and amortization positions that may not conform to all aspects of existing Treasury Regulations. A successful IRS challenge to those positions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tax returns of our Unitholders. Moreover, because we have subsidiaries that are organized as C corporations for federal income tax purposes owns units in us, a successful IRS challenge could result in this subsidiary having a greater tax liability than we anticipate and, therefore, reduce the cash available for distribution to our partnership and, in turn, to our Unitholders.</w:t>
      </w:r>
    </w:p>
    <w:p>
      <w:pPr>
        <w:spacing w:after="0" w:line="135"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prorate our items of income, gain, loss and deduction between transferors and transferees of our units each month based upon the ownership of our units on the first business day of each month, instead of on the basis of the date a particular unit is transferred. The IRS may challenge aspects of our proration method, and if successful, we would be required to change the allocation of items of income, gain, loss and deduction among our Unitholders.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generally prorate our items of income, gain, loss and deduction between transferors and transferees of our units each month based upon the ownership of our units on the first business day of each month (the “Allocation Date”), instead of on the basis of the date a particular unit is transferred. Similarly, we generally allocate certain deductions for depreciation of capital additions, gain or loss realized on a sale or other disposition of our assets and, in the discretion of the general partner, any other extraordinary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item of income, gain, loss or deduction based upon ownership on the Allocation Date. Treasury Regulations allow a similar monthly simplifying convention, but such regulations do not specifically authorize all aspects of the proration method we have adopted. If the IRS were to challenge our proration method, we may be required to change the allocation of items of income, gain, loss and deduction among our Unitholders.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as having disposed of those units. If so, the Unitholder would no longer be treated for tax purposes as a partner with respect to those units during the period of the loan and may recognize gain or loss from the disposition.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there are no specific rules governing the federal income tax consequences of loaning a partnership interest, a Unitholder whose units are the subject of a securities loan may be considered as having disposed of the loaned units. In that case, the Unitholder may no longer be treated for tax purposes as a partner with respect to those units during the period of the loan and may recognize gain or loss from such disposition. 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loan of their units are urged to consult a tax advisor to determine whether it is advisable to modify any applicable brokerage account agreements to prohibit their brokers from borrowing their units.</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adopted certain valuation methodologies in determining Unitholder’s allocations of income, gain, loss and deduction. The IRS may challenge these methods or the resulting allocations, and such a challenge could adversely affect the value of our Common Units.</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When we issue additional units or engage in certain other transactions, we determine the fair market value of our assets and allocate any unrealized gain or loss attributable to such assets to the capital accounts of our Unitholders and our general partner. Although we may from time to time consult with professional appraisers regarding valuation matters, including the valuation of our assets, we make many of the fair market value estimates of our assets ourselves using a methodology based on the market value of our Common Units as a means to measure the fair market value of our assets. Our methodology may be viewed as understating the value of our assets. In that case, there may be a shift of income, gain, loss and deduction between certain Unitholders and our general partner, which may be unfavorable to such Unitholders. Moreover, under our current valuation methods, subsequent purchasers of our Common Units may have a greater portion of their Internal Revenue Code Section 743(b) adjustment allocated to our tangible assets and a lesser portion allocated to our intangible assets. The IRS may challenge our valuation methods, or our allocation of Section 743(b) adjustment attributable to our tangible and intangible assets, and allocations of income, gain, loss and deduction between our general partner and certain of our Unitholders.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successful IRS challenge to these methods or allocations could adversely affect the amount of taxable income or loss being allocated to our Unitholders. It also could affect the amount of gain on the sale of Common Units by our Unitholders and could have a negative impact on the value of our Common Units or result in audit adjustments to the tax returns of our Unitholders without the benefit of additional deductions.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Unitholders will likely be subject to state and local taxes and return filing requirements in states where they do not live as a result of investing in our units.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federal income taxes, the Unitholders may be subject to other taxes, including state and local taxes, unincorporated business taxes and estate, inheritance or intangible taxes that are imposed by the various jurisdictions in which we or our subsidiaries conduct business or own property now or in the future, even if they do not live in any of those jurisdictions. We currently own property or conduct business in many states, most of which impose an income tax on individuals, corporations and other entities. As we make acquisitions or expand our business, we may control assets or conduct business in additional states that impose a personal or corporate income tax. Unitholders may be required to file state and local income tax returns and pay state and local income taxes in some or all of the jurisdictions. Further, Unitholders may be subject to penalties for failure to comply with those requirements. It is the responsibility of each Unitholder to file all federal, state and local tax returns.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general, our Unitholders are entitled to a deduction for the interest we have paid or accrued on indebtedness properly allocable to our trade or business during our taxable year. However, under the Tax Cuts and Jobs Act, for taxable years beginning after December 31, 2017, our deduction for “business interest” is limited to the sum of our business interest income and 30% of our “adjusted taxable income.” For the purposes of this limitation, adjusted taxable income is computed without regard to any business interest expense or business interest income, and in the case of taxable years beginning before January 1, 2022, any deduction allowable for depreciation, amortization, or depletion. Although the interest limitation does not apply to certain regulated pipeline businesses, application of the interest limitation to tiered businesses like ours that hold interests in regulated and unregulated businesses is not clear. Pending further guidance specific to this issue, we have not yet determined the impact the limitation could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have on our Unitholders’ ability to deduct our interest expense, but it is possible that our Unitholders’ interest expense deduction will be limited.</w:t>
      </w:r>
    </w:p>
    <w:p>
      <w:pPr>
        <w:spacing w:after="0" w:line="16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our properties is included in “Item 1. Business.” In addition, we own office buildings for our executive offices in Dallas, Texas and office buildings in Newton Square, Pennsylvania; Houston, Texas and San Antonio, Texas. While we may require additional office space as our business expands, we believe that our existing facilities are adequate to meet our needs for the immediate future, and that additional facilities will be available on commercially reasonable terms as needed.</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we have satisfactory title to or valid rights to use all of our material properties. Although some of our properties are subject to liabilities and leases, liens for taxes not yet due and payable, encumbrances securing payment obligations under non-competition agreements and immaterial encumbrances, easements and restrictions, we do not believe that any such burdens will materially interfere with our continued use of such properties in our business, taken as a whole. In addition, we believe that we have, or are in the process of obtaining, all required material approvals, authorizations, orders, licenses, permits, franchises and consents of, and have obtained or made all required material registrations, qualifications and filings with, the various state and local government and regulatory authorities which relate to ownership of our properties or the operations of our business.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our pipelines, which are described in “Item 1. Business,” are constructed on rights-of-way granted by the apparent record owners of the property. Lands over which pipeline rights-of-way have been obtained may be subject to prior liens that have not been subordinated to the right-of-way grants. We have obtained, where necessary, easement agreements from public authorities and railroad companies to cross over or under, or to lay facilities in or along, watercourses, county roads, municipal streets, railroad properties and state highways, as applicable. In some cases, properties on which our pipelines were built were purchased in fee. We also own and operate multiple natural gas and NGL storage facilities and own or lease other processing, treating and conditioning facilities in connection with our midstream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ETC Sunoco Holdings LLC and Sunoco (R&amp;M), LLC (collectively, “Sunoco”)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Sunoco is a defendant in five cases, including one case each initiated by the States of Maryland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ETO, ETP Holdco Corporation, and Sunoco Partners Marketing &amp; Terminals L.P. (“SPMT”).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PHMSA issued a Notice of Probable Violation (“NOPVs”) and a Proposed Compliance Order (“PCO”) related to ETO’s West Texas Gulf pipeline in connection with repairs being carried out on the pipeline and other administrative and procedural findings. The case went to hearing in March 2017. On November 14, 2019, PHMSA issued a Final Order that upheld the two alleged violations and resultant civil penalty in the amount of $251,800. The full payment was made on November 27, 2019, and the case is now closed.</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2016, PHMSA issued a NOPV, PCO and Proposed Civil Penalty related to certain welding practices and procedures followed during construction of ETO’s Permian Express 2 pipeline system in Texas. The case went to hearing before an Administrative Hearing Officer in November 2016. Recently, PHMSA issued a Final Order withdrawing two of the five alleged violations and resulting in a reduction of the civil penalty from $1,278,100 to $882,600 along with ordering compliance actions.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2016, PHMSA issued a NOPV, PCO and proposed civil penalty to our West Texas Gulf pipeline in connection with inspection and maintenance activities related to a 2013 incident on our crude oil pipeline near Wortham, Texas. The case went to hearing in March 2017. The Proposed Compliance Order was fully withdrawn. On November 8, 2019, PHMSA issued a Final Order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withdrew three alleged violations and reduced the civil penalty from $1,539,800 to $1,019,200. The full payment was made on December 9, 2019 and the case is now closed.</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late 2016, FERC Enforcement Staff began a non-public investigation of Rover’s removal of the Stoneman House, a potential historic structure, in connection with Rover’s application for permission to construct a new interstate natural gas pipeline and related facilities. 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investigations. Enforcement Staff has provided Rover its non-public preliminary findings regarding those investigations. The company disagrees with those findings and intends to vigorously defend against any potential penalty. Given the stage of the proceedings, and the non-public nature of the investigation, the Partnership is unable at this time to provide an assessment of the potential outcome or range of potential liability, if any.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3, 2017, the State of Ohio and the Ohio Environmental Protection Agency (“Ohio EPA”) filed suit against Rover and other defendants (collectively, the “Defendants”) seeking to recover approximately $2.6 million in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which Defendants intend to oppose.</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Energy Transfer Company Field Services received NOV REG-0569-1701 on June 6, 2017 for emission events that occurred January 1, 2017 through April 16, 2017 at the Jal 3 gas plant. On September 11, 2017, the New Mexico Environmental Department sent ETO a settlement offer to resolve the NOV for a penalty of $596,278. Negotiations for this settlement offer are ongoing.</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Energy Transfer Company Field Services received NOV REG-0569-1702 on December 8, 2017 for emission events that occurred April 17, 2017 through September 23, 2017 at the Jal 3 gas plant. On January 31, 2018, ETO received a settlement offer to resolve the NOV for a penalty of $602,138. Negotiations for this settlement offer are ongoing.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Energy Transfer Company Field Services received NOV REG-0569-1801 on February 13, 2018 for emission events that occurred September 25, 2017 through December 29, 2017 at the Jal 3 gas plant. On June, 11, 2018, the New Mexico Environmental Department sent ETO a settlement offer to resolve the NOV for a penalty of $268,213. Negotiations for this settlement offer are ongoing.</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2018, ETC Northeast Pipeline LLC (“ETC Northeast”) entered into a Consent Order and Agreement with the PADEP, pursuant to which ETC Northeast agreed to pay $150,242 to the PADEP to settle various statutory and common law claims relating to soil discharge into, and erosion of the stream bed of, Raccoon Creek in Center Township, Pennsylvania during construction of the Revolution Pipeline. ETC Northeast has paid the settlement amount and continues to monitor the construction site and work with the landowner to resolve any remaining issues related to the restoration of the construction site.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Energy Transfer Company Field Services received NOV REG-0569-1802 from the New Mexico Environmental Department on July 25, 2018 for emission events that occurred January 1, 2018 through April 30, 2018 at the Jal 3 gas plant. On September 25, 2018, ETO received a settlement offer to resolve the NOV for a penalty of $1,151,499. Negotiations for this settlement offer are ongoing.</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Energy Transfer Field Company Services received NOV REG-0569-1803 from the New Mexico Environmental Department on November 8, 2018 for emission events that occurred May 1, 2018 through August 31, 2018 at the Jal 3 gas plant. On December 28, 2018, ETO received a settlement offer to resolve the NOV for a penalty of $1,405,652. Negotiations for this settlement offer are ongoing.</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2019, we received notice from the DOJ on behalf of the EPA that a civil penalty enforcement action was being pursued under the Clean Water Act for an estimated 450 barrel crude oil release from the Mid-Valley Pipeline operated by SPLP and owned by Mid-Valley Pipeline Corporation. The release purportedly occurred in October 2014 on a nature preserve located in Hamilton County, Ohio, near Cincinnati, Ohio. After discovery and notification of the release, SPLP conducted substantial emergency response, remedial work and primary restoration in three phases and the primary restoration has been acknowledged to be complete. Operation and maintenance (O&amp;M) activities will continue for several years. In December of 2019, SPLP reached an agreement in principal with the EPA regarding payment of a civil penalty which will be subject to public comment. The DOJ, on behalf of United States Department of Interior Fish and Wildlife, and the Ohio Attorney General, on behalf of the Ohio EPA, along with technical representatives from those agencies have been discussing natural resource damage assessment claims related to state endangered species and compensatory restoration. The timing and outcome of these matters cannot be reasonably determined at this time; however, we do not expect there to be a material impact to our results of operations, cash flows or financial position.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10, 2018, a pipeline release and fire (the “Incident”) occurred on the Revolution pipeline, a natural gas gathering line located in Center Township, Beaver County, Pennsylvania. There were no injuries. On February 8, 2019, the Pennsylvania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Department of Environmental Protection (“PADEP”) issued a Permit Hold on any requests for approvals/permits or permit amendments for any project in Pennsylvania pursuant to the state’s water laws. The Partnership filed an appeal of the Permit Hold with the Pennsylvania Environmental Hearing Board. On January 3, 2020, the Partnership entered into a Consent Order and Agreement with the Department in which, among other things, the Permit Hold was lifted, the Partnership agreed to pay a $28.6 million civil penalty and fund a $2 million community environmental project, and all related appeals were withdrawn.</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Pennsylvania Office of Attorney General has commenced an investigation regarding the Incident, and the United States Attorney for the Western District of Pennsylvania has issued a federal grand jury subpoena for documents relevant to the Incident. The scope of these investigations is not further known at this time.</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4, 2019, the Oklahoma Corporation Commission’s (“OCC”) Transportation Division filed a complaint against SPLP seeking a penalty of up to $1 million related to a May 2018 rupture near Edmond, Oklahoma. The rupture occurred on the Noble to Douglas 8” pipeline in an area of external corrosion and caused the release of approximately fifteen barrels of crude oil. SPLP responded immediately to the release and remediated the surrounding environment and pipeline in cooperation with the OCC. The OCC filed the complaint alleging that SPLP failed to provide adequate cathodic protection to the pipeline causing the failure. SPLP is negotiating a settlement agreement with the OCC for a lesser penalty.</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environmental proceedings listed above were decided against us, it would not be material to our financial position, results of operations or cash flows, we are required to report environmental governmental proceedings if we reasonably believe that such proceedings will result in monetary sanctions in excess of $100,000.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other legal proceedings, see Note 11 to our consolidated financial statements included in “Item 8. Financial Statements and Supplementary Data.”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5380"/>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MARKET FOR REGISTRANT’S COMMON UNITS, RELATED UNITHOLDER MATTERS AND ISSUER PURCHASES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Parent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Units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14, 2020, there were approximately 590,000 registered common unitholders, which includes common units held in street name. Common units represent limited partner interests in us that entitle the holders to the rights and privileges specified in the Parent Company’s Third Amended and Restated Agreement of Limited Partnership, as amended to date (the “Partnership Agreement”).</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2019, limited partners own an aggregate 99.9% limited partner interest in us. Our General Partner owns an aggregate 0.1% General Partner interest in us. Our common units are registered under the Securities Exchange Act of 1934, as amended (the “Exchange Act”), and are listed for trading on the NYSE under the ticker symbol “ET.” Each holder of a common unit is entitled to one vote per unit on all matters presented to the limited partners for a vote. In addition, if at any time any person or group (other than our General Partner and its affiliates) owns beneficially 20% or more of all common units, any Common Units owned by that person or group may not be voted on any matter and are not considered to be outstanding when sending notices of a meeting of unitholders (unless otherwise required by law), calculating required votes, determining the presence of a quorum or for other similar purposes under our Partnership Agreement. The common units are entitled to distributions of Available Cash as described below under “Cash Distribution Policy.”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 Class A Units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Energy Transfer Merger, the Partnership issued 647,745,099 Class A units (“ET Class A Units”) representing limited partner interests in the Partnership to the General Partner. The number of ET Class A Units issued allows the General Partner and its affiliates to retain a voting interest in the Partnership that is identical to their voting interest in the Partnership prior to the completion of the Energy Transfer Merger. The ET Class A Units are entitled to vote together with the Partnership’s common units, as a single class, except as required by law. Additionally, ET’s partnership agreement provides that, under certain circumstances, upon the issuance by the Partnership of additional common units or any securities that have voting rights that are pari passu with the Partnership common units, the Partnership will issue to any holder of ET Class A Units additional ET Class A Units such that the holder maintains a voting interest in the Partnership that is identical to its voting interest in the Partnership prior to such issuance of common units. In connection with the SemGroup Transaction, we issued an additional 14,246,973 ET Class A Units in December 2019. The ET Class A Units are not entitled to distributions and otherwise have no economic attributes.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Parent Company will distribute all of its “Available Cash” to its unitholders and its General Partner within 50 days following the end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quarter.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Definition of Available Cash. </w:t>
      </w:r>
      <w:r>
        <w:rPr>
          <w:rFonts w:ascii="Arial" w:cs="Arial" w:eastAsia="Arial" w:hAnsi="Arial"/>
          <w:sz w:val="18"/>
          <w:szCs w:val="18"/>
          <w:color w:val="auto"/>
        </w:rPr>
        <w:t>Available Cash is defined in the Parent Company’s Partnership Agreement and generally means, with respect to any calendar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all cash on hand at the end of such quarter less the amount of cash reserves that are necessary or appropriate in the reasonable discretion of the General Partner to:</w:t>
      </w:r>
    </w:p>
    <w:p>
      <w:pPr>
        <w:spacing w:after="0" w:line="73"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for the proper conduct of its business;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comply with applicable law and/or debt instrument or other agreement;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its General Partner in respect of any one or more of the next four quarters.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discloses purchases of ET Common Units made by us or on our behalf in the quarter ended December 31, 2019:</w:t>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Number of Units Purchased</w:t>
            </w:r>
          </w:p>
        </w:tc>
        <w:tc>
          <w:tcPr>
            <w:tcW w:w="2600" w:type="dxa"/>
            <w:vAlign w:val="bottom"/>
          </w:tcPr>
          <w:p>
            <w:pPr>
              <w:jc w:val="center"/>
              <w:spacing w:after="0"/>
              <w:rPr>
                <w:sz w:val="20"/>
                <w:szCs w:val="20"/>
                <w:color w:val="auto"/>
              </w:rPr>
            </w:pPr>
            <w:r>
              <w:rPr>
                <w:rFonts w:ascii="Arial" w:cs="Arial" w:eastAsia="Arial" w:hAnsi="Arial"/>
                <w:sz w:val="18"/>
                <w:szCs w:val="18"/>
                <w:color w:val="auto"/>
                <w:w w:val="94"/>
              </w:rPr>
              <w:t>Approximate Dollar Value of Units</w:t>
            </w: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Total Number of Units</w:t>
            </w: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 Price Paid per</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as Part of Publicly Announced</w:t>
            </w:r>
          </w:p>
        </w:tc>
        <w:tc>
          <w:tcPr>
            <w:tcW w:w="2600" w:type="dxa"/>
            <w:vAlign w:val="bottom"/>
          </w:tcPr>
          <w:p>
            <w:pPr>
              <w:jc w:val="center"/>
              <w:spacing w:after="0"/>
              <w:rPr>
                <w:sz w:val="20"/>
                <w:szCs w:val="20"/>
                <w:color w:val="auto"/>
              </w:rPr>
            </w:pPr>
            <w:r>
              <w:rPr>
                <w:rFonts w:ascii="Arial" w:cs="Arial" w:eastAsia="Arial" w:hAnsi="Arial"/>
                <w:sz w:val="18"/>
                <w:szCs w:val="18"/>
                <w:color w:val="auto"/>
                <w:w w:val="89"/>
              </w:rPr>
              <w:t>That May Yet be Purchased Under</w:t>
            </w:r>
          </w:p>
        </w:tc>
      </w:tr>
      <w:tr>
        <w:trPr>
          <w:trHeight w:val="230"/>
        </w:trPr>
        <w:tc>
          <w:tcPr>
            <w:tcW w:w="2180" w:type="dxa"/>
            <w:vAlign w:val="bottom"/>
            <w:gridSpan w:val="2"/>
          </w:tcPr>
          <w:p>
            <w:pPr>
              <w:ind w:left="800"/>
              <w:spacing w:after="0"/>
              <w:rPr>
                <w:sz w:val="20"/>
                <w:szCs w:val="20"/>
                <w:color w:val="auto"/>
              </w:rPr>
            </w:pPr>
            <w:r>
              <w:rPr>
                <w:rFonts w:ascii="Arial" w:cs="Arial" w:eastAsia="Arial" w:hAnsi="Arial"/>
                <w:sz w:val="18"/>
                <w:szCs w:val="18"/>
                <w:color w:val="auto"/>
              </w:rPr>
              <w:t>Period</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44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Unit</w:t>
            </w:r>
          </w:p>
        </w:tc>
        <w:tc>
          <w:tcPr>
            <w:tcW w:w="27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Plans or Programs</w:t>
            </w:r>
          </w:p>
        </w:tc>
        <w:tc>
          <w:tcPr>
            <w:tcW w:w="2600" w:type="dxa"/>
            <w:vAlign w:val="bottom"/>
          </w:tcPr>
          <w:p>
            <w:pPr>
              <w:jc w:val="center"/>
              <w:spacing w:after="0"/>
              <w:rPr>
                <w:sz w:val="20"/>
                <w:szCs w:val="20"/>
                <w:color w:val="auto"/>
              </w:rPr>
            </w:pPr>
            <w:r>
              <w:rPr>
                <w:rFonts w:ascii="Arial" w:cs="Arial" w:eastAsia="Arial" w:hAnsi="Arial"/>
                <w:sz w:val="18"/>
                <w:szCs w:val="18"/>
                <w:color w:val="auto"/>
                <w:w w:val="88"/>
              </w:rPr>
              <w:t>the Plans or Programs</w:t>
            </w:r>
          </w:p>
        </w:tc>
      </w:tr>
      <w:tr>
        <w:trPr>
          <w:trHeight w:val="27"/>
        </w:trPr>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2019</w:t>
            </w: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color w:val="auto"/>
              </w:rPr>
              <w:t>—</w:t>
            </w:r>
          </w:p>
        </w:tc>
      </w:tr>
      <w:tr>
        <w:trPr>
          <w:trHeight w:val="243"/>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November 2019</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0" w:type="dxa"/>
            <w:vAlign w:val="bottom"/>
          </w:tcPr>
          <w:p>
            <w:pPr>
              <w:ind w:left="2320"/>
              <w:spacing w:after="0"/>
              <w:rPr>
                <w:sz w:val="20"/>
                <w:szCs w:val="20"/>
                <w:color w:val="auto"/>
              </w:rPr>
            </w:pPr>
            <w:r>
              <w:rPr>
                <w:rFonts w:ascii="Arial" w:cs="Arial" w:eastAsia="Arial" w:hAnsi="Arial"/>
                <w:sz w:val="18"/>
                <w:szCs w:val="18"/>
                <w:color w:val="auto"/>
              </w:rPr>
              <w:t>—</w:t>
            </w:r>
          </w:p>
        </w:tc>
      </w:tr>
      <w:tr>
        <w:trPr>
          <w:trHeight w:val="27"/>
        </w:trPr>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43"/>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2019</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1,916,795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21"/>
                <w:szCs w:val="21"/>
                <w:color w:val="auto"/>
              </w:rPr>
            </w:pPr>
          </w:p>
        </w:tc>
        <w:tc>
          <w:tcPr>
            <w:tcW w:w="2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1,916,795</w:t>
            </w:r>
          </w:p>
        </w:tc>
        <w:tc>
          <w:tcPr>
            <w:tcW w:w="12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$910,831,303</w:t>
            </w:r>
          </w:p>
        </w:tc>
      </w:tr>
      <w:tr>
        <w:trPr>
          <w:trHeight w:val="27"/>
        </w:trPr>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on the securities authorized for issuance under ET’s equity compensation plans, see “Item 12. Security Ownership of Certain Beneficial Owners and Management and Related Unitholder Matters.”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historical financial data should be read in conjunction with “Item 7. Management’s Discussion and Analysis of Financial Condition and Results of Operations” and the historical consolidated financial statements and accompanying notes thereto included elsewhere in this report. The amounts in the table below, except per unit data, are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color w:val="auto"/>
              </w:rPr>
              <w:t>Years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Basic income from continuing operations per limited partner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unit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Diluted income from continuing operations per limited partner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Basic loss from discontinued operations per limited partner unit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Diluted loss from discontinued operations per limited partner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distribution per common unit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 (at period end):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Liabilities associated with assets held for sale</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30,850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29,980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22,431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Energy Transfer LP is a Delaware limited partnership whose common units are publicly traded on the NYSE under the ticker symbol “ET.” ET was formed in September 2002 and completed its initial public offering in February 2006.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of our historical consolidated financial condition and results of operations should be read in conjunction with our historical consolidated financial statements and accompanying notes thereto included in “Item 8. Financial Statements and Supplementary Data” of this report. This discussion includes forward-looking statements that are subject to risk and uncertainties. Actual results may differ substantially from the statements we make in this section due to a number of factors that are discussed in “Item 1A. Risk Factors” of this report.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the context requires otherwise, references to “we,” “us,” “our,” the “Partnership” and “ET” mean Energy Transfer LP and its consolidated subsidiaries, which include ETO, ETP GP, ETP LLC, Panhandle, Sunoco LP and Lake Charles LNG. References to the “Parent Company” mean Energy Transfer LP on a stand-alone basis.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Energy Transfer LP directly and indirectly owns equity interests in ETO, Sunoco LP and USAC, all of which are limited partnerships engaged in diversified energy-related services. Sunoco LP and USAC have publicly traded common units.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Parent Company’s principal sources of cash flow are derived from its direct and indirect investments in the limited partner and general partner interests in ETO. ETO’s earnings and cash flows are generated by its subsidiaries, including ETO’s investments in Sunoco LP and USAC. The amount of cash that ETO, Sunoco LP and USAC distribute to their respective partners, including the Parent Company, each quarter is based on earnings from their respective business activities and the amount of available cash, as discussed below.</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fully understand the financial condition and results of operations of the Parent Company on a stand-alone basis, we have included discussions of Parent Company matters apart from those of our consolidated group.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objective is to increase the level of our distributable cash flow to our unitholders over time by pursuing a business strategy that is currently focused on growing our subsidiaries’ natural gas and liquids businesses through, among other things, pursuing certain construction and expansion opportunities relating to our subsidiaries’ existing infrastructure and acquiring certain strategic operations and businesses or assets. The actual amounts of cash that we will have available for distribution will primarily depend on the amount of cash our subsidiaries generate from their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as follows:</w:t>
      </w:r>
    </w:p>
    <w:p>
      <w:pPr>
        <w:spacing w:after="0" w:line="117"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general partner of ETO has separate operating management and boards of directors. We control ETO through our owner ship of its respective general partners.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Series F and Series G Preferred Units Issuance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22, 2020, ETO issued 500,000 of its 6.750% Series F Preferred Units at a price of $1,000 per unit and 1,100,000 of its 7.125% Series G Preferred Units at a price of $1,000 per unit. The net proceeds were used to repay amounts outstanding under ETO’s revolving credit facility and for general partnership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22, 2020, ETO completed a registered offering (the “January 2020 Senior Notes Offering”) of $1.00 billion aggregate principal amount of ETO’s 2.900% Senior Notes due 2025, $1.50 billion aggregate principal amount of ETO’s 3.750% Senior Notes due 2030, and $2.00 billion aggregate principal amount of ETO’s 5.000% Senior Notes due 2050, (collectively, the “Notes”).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are fully and unconditionally guaranteed by the Partnership’s wholly-owned subsidiary, Sunoco Logistics Partners Operations L.P., on a senior unsecured basis.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 amount of 5.50% Senior Notes due February 15, 2020, ET’s $52 million aggregate principal amount of 7.50% Senior Notes due October 15, 2020 and Transwestern’s $175 million aggregate principal amount of 5.36% Senior Notes due December 9,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Term Loan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October 17, 2019, ETO entered into a term loan credit agreement (the “ETO Term Loan”) providing for a $2.00 billion three-year term loan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term loan agreement mature on October 17, 2022 and are available for working capital purposes and for general partnership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 loan agreement is unsecured and is guaranteed by our subsidiary, Sunoco Logistics Partners Operations L.P.</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ETO Term Loan had $2.00 billion outstanding and was fully drawn. The weighted average interest rate on the total amount outstanding as of December 31, 2019 was 2.78%.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SemGroup Acquisition and ET Contribution of SemGroup Assets to ETO</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5, 2019, ET completed the acquisition of SemGroup pursuant to the terms of the Agreement and Plan of Merger, dated as of September 15, 2019 (the “Merger Agreement”). Under the terms of the Merger Agreement, a wholly owned subsidiary of ET merged with and into SemGroup (the “SemGroup Transaction”), with SemGroup surviving the Merger. At the effective time of the SemGroup Transaction on December 5, 2019, each share of class A common stock, par value $0.01 per share, of SemGroup issued and outstanding immediately prior to the effective time was converted into the right to receive (i) $6.80 in cash, without interest, and (ii) 0.7275 ET Common Units representing limited partner interests in ET. Each share of Series A Cumulative Perpetual Convertible Preferred Stock, par value $0.01 per share, of SemGroup that was issued and outstanding as of immediately prior to the effective time was redeemed by SemGroup for cash at a price per share equal to 101% of the liquidation preference.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ET contributed certain SemGroup assets to ETO through sale and contribution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JC Nolan Pipeline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2019, ETO and Sunoco LP entered into a joint venture on the JC Nolan diesel fuel pipeline to West Texas and the JC Nolan terminal. ETO operates the pipeline for the joint venture, which transports diesel fuel from Hebert, Texas to a terminal in the Midland, Texas area. The diesel fuel pipeline has an initial capacity of 30,000 barrels per day and was successfully commissioned in August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Preferred Units Issuance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ETO issued 32 million of its 7.600% Series E Preferred Units at a price of $25 per unit, including 4 million Series E Preferred Units pursuant to the underwriters’ exercise of their option to purchase additional preferred units. The total gross proceeds from the Series E Preferred Unit issuance were $800 million, including $100 million from the underwriters’ exercise of their option to purchase additional preferred units. The net proceeds were used to repay amounts outstanding under ETO’s revolving credit facility and for general partnership purposes.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ET-ETO Senior Notes Exchange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2019, ETO issued approximately $4.21 billion aggregate principal amount of senior notes to settle and exchange approximately 97% of ET’s outstanding senior notes. In connection with this exchange, ETO issued $1.14 billion aggregate principal amount of 7.50% senior notes due 2020, $995 million aggregate principal amount of 4.25% senior notes due 2023, $1.13 billion aggregate principal amount of 5.875% senior notes due 2024 and $956 million aggregate principal amount of 5.50% senior notes due 2027.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2019 Senior Notes Offering and Redemption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2019, ETO issued $750 million aggregate principal amount of 4.50% senior notes due 2024, $1.50 billion aggregate principal amount of 5.25% senior notes due 2029 and $1.75 billion aggregate principal amount of 6.25% senior notes due 2049. The $3.96 billion net proceeds from the offering were used to repay in full ET’s outstanding senior secured term loan, to redeem outstanding senior notes, to repay a portion of the borrowings under the Partnership’s revolving credit facility and for general partnership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Panhandle Senior Notes Redemption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Panhandle’s $150 million aggregate principal amount of 8.125% senior notes matured and were repaid with borrowings under an affiliate loan agreement with 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Bakken Senior Notes Offering</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2019, Midwest Connector Capital Company LLC, a wholly-owned subsidiary of Dakota Access, issued $650 million aggregate principal amount of 3.625% senior notes due 2022, $1.00 billion aggregate principal amount of 3.90% senior notes due 2024 and $850 million aggregate principal amount of</w:t>
      </w:r>
    </w:p>
    <w:p>
      <w:pPr>
        <w:jc w:val="both"/>
        <w:spacing w:after="0" w:line="261" w:lineRule="auto"/>
        <w:rPr>
          <w:sz w:val="20"/>
          <w:szCs w:val="20"/>
          <w:color w:val="auto"/>
        </w:rPr>
      </w:pPr>
      <w:r>
        <w:rPr>
          <w:rFonts w:ascii="Arial" w:cs="Arial" w:eastAsia="Arial" w:hAnsi="Arial"/>
          <w:sz w:val="18"/>
          <w:szCs w:val="18"/>
          <w:color w:val="auto"/>
        </w:rPr>
        <w:t>4.625% senior notes due 2029. The $2.48 billion in net proceeds from the offering were used to repay in full all amounts outstanding on the Bakken credit facility and the facility was terminated.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Senior Notes Offering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Sunoco LP issued $600 million aggregate principal amount of 6.00% senior notes due 2027 in a private placement to eligible purchasers. The net proceeds from this offering were used to repay a portion of Sunoco LP’s existing borrowings under its credit facility. In July 2019, Sunoco LP completed an exchange of these notes for registered notes with substantially identical terms.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Senior Notes Offering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USAC issued $750 million aggregate principal amount of 6.875% senior notes due 2027 in a private placement, and in December 2019, USAC exchanged those notes for substantially identical senior notes registered under the Securities Act. The net proceeds from this offering were used to repay a portion of USAC’s existing borrowings under its credit facility and for general partnership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Natural Gas Transportation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Rate Regulation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Effective January 2018, the 2017 Tax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 of 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issued an order denying requests for rehearing and clarification of its Revised Policy Statement. In the rehearing order, the FERC clarified that a pipeline organized as a master limited partnership will not be not be precluded in a future proceeding from arguing and providing evidentiary support that it is entitled to an income tax allowance and demonstrating that its recovery of an income tax allowance does not result in a double-recovery of investors’ income tax costs. In light of the rehearing order, the impacts of the FERC’s policy on the treatment of income taxes may have on the rates ETO can charge for the FERC-regulated transportation services are unknown at this time.</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FERC also issued a Notice of Inquiry (“2017 Tax Law NOI”) on March 15, 2018, requesting comments on the effect of the Tax Act on FERC jurisdictional rates. The 2017 Tax Law NOI states that of particular interest to the FERC is whether, and if so how, the FERC should address changes relating to accumulated deferred income taxes and bonus depreciation. Comments in response to the 2017 Tax Law NOI were due on or before May 21, 2018.</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2019, following the decision of the D.C. Circuit in Emera Maine v. Federal Energy Regulatory Commission, the FERC issued a Notice of Inquiry regarding its policy for determining return on equity (“ROE”). The FERC specifically sought information and stakeholder views to help the FERC explore whether, and if so how, it should modify its policies concerning the determination of ROE to be used in designing jurisdictional rates charged by public utilities. The FERC also expressly sought comment on whether any changes to its policies concerning public utility ROEs should be applied to interstate natural gas and oil pipelines. Initial comments were due in June 2019, and reply comments were due in July 2019. The FERC has not taken any further action with respect to the Notice of Inquiry as of this time, and therefore we cannot predict what effect, if any, such development could have on our cost-of-service rates in the future.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Also included in the March 15, 2018 proposals is a Notice of Proposed Rulemaking (“NOPR”) proposing rules for implementation of the Revised Policy Statement and the corporate income tax rate reduction with respect to natural gas pipeline rates. On July 18, 2018, the FERC issued a Final Rule adopting procedures that are generally the same as proposed in the NOPR with a few clarifications and modifications. With limited exceptions, the Final Rule requires all FERC-regulated natural gas pipelines that have cost-based rates for service to make a one-time Form No. 501-G filing providing certain financial information and to make an election on how to treat its existing rates. The Final Rule suggests that this information will allow the FERC and other stakeholders to evaluate the impacts of the Tax Act and the Revised Policy Statement on each individual pipeline’s rates. The Final Rule also requires that each FERC-regulated natural gas pipeline select one of four options to address changes to the pipeline’s revenue requirements as a result of the tax reductions: file a limited Natural Gas Act (“NGA”) Section 4 filing reducing its rates to reflect the reduced tax rates, commit to filing a general NGA Section 4 rate case in the near future, file a statement explaining why an adjustment to rates is not needed, or take no other action. For the limited NGA Section 4 option, the FERC clarified that, notwithstanding the Revised Policy Statement, a pipeline organized as a master limited partnership does not need to eliminate its income tax allowance but, instead, can reduce its rates to reflect the reduction in the maximum corporate tax rate. Trunkline, ETC Tiger Pipeline, LLC and Panhandle filed their respective FERC Form No. 501-Gs on October 11, 2018. FEP, Lake Charles LNG and certain other operating subsidiaries filed their respective FERC Form No. 501-Gs on or about November 8, 2018, and Rover, FGT, Transwestern and MEP filed their respective FERC Form No. 501-Gs on or about December 6, 2018.</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order issued January 16, 2019, the FERC initiated a review of Panhandle’s existing rates pursuant to Section 5 of the Natural Gas Act to determine whether the rates currently charged by Panhandle are just and reasonable and set the matter for hearing. Panhandle filed a cost and revenue study on April 1, 2019. Panhandle filed a NGA Section 4 rate case on August 30, 2019.</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By order issued October 1, 2019, the Panhandle Section 5 and Section 4 cases were consolidated. An initial decision is expected to be issued in the first quarter of 2021. By order issued February 19, 2019, the FERC initiated a review of Southwest Gas’ existing rates pursuant to Section 5 of the Natural Gas Act to determine whether the rates currently charged by Southwest Gas are just and reasonable and set the matter for hearing. Southwest Gas filed a cost and revenue study on May 6, 2019. On July 10, 2019, Southwest filed an Offer of Settlement in this Section 5 proceeding, which settlement was supported or not opposed by Commission Trial Staff and all active parties. The settlement was approved on October 29, 2019.</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Sea Robin Pipeline Company filed a Section 4 rate case on November 30, 2018. A procedural schedule was ordered with a hearing date in the 4th quarter of 2019. Sea Robin Pipeline Company has reached a settlement of this proceeding, with a settlement filed July 22, 2019. The settlement was approved by the FERC by order dated October 17, 2019.</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Even without action on the 2017 Tax Law NOI or as contemplated in the Final Rule, the FERC or our shippers may challenge the cost of service rates we charge. The FERC’s establishment of a just and reasonable rate is based on many components, and tax-related changes will affect two such components, the allowance for income taxes and the amount for accumulated deferred income taxes, while other pipeline costs also will continue to affect the FERC’s determination of just and reasonable cost of service rates. Although changes in these two tax related components may decrease, other components in the cost of service rate calculation may increase and result in a newly calculated cost of service rate that is the same as or greater than the prior cost of service rate. Moreover, we receive revenues from our pipelines based on a variety of rate structures, including cost of service rates, negotiated rates, discounted rates and market-based rates. Many of our interstate pipelines, such as ETC Tiger Pipeline, LLC, MEP and FEP,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We do not expect market-based rates, negotiated rates or discounted rates that are not tied to the cost of service rates to be affected by the Revised Policy Statement or any final regulations that may result from the March 15, 2018 proposals. The revenues we receive from natural gas transportation services we provide pursuant to cost of service based rates may decrease in the future as a result of the ultimate outcome of the NOI, the Final Rule, and the Revised Policy Statement, combined with the reduced corporate federal income tax rate established in the Tax Act. The extent of any revenue reduction related to our cost of service rates, if any, will depend on a detailed review of all of ETO’s cost of service components and the outcomes of any challenges to our rates by the FERC or our shippers.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 Certification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FERC issued a Notice of Inquiry on April 19, 2018 (“Pipeline Certification NOI”),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We are unable to predict what, if any, changes may be proposed as a result of the Pipeline Certification NOI that will affect our natural gas pipeline business or when such proposals, if any, might become effective. Comments in response to the Pipeline Certification NOI were due on or before July 25, 2018. We do not expect that any change in this policy would affect us in a materially different manner than any other natural gas pipeline company operating in the United States.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Common Carrier Regulation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FERC utilizes an indexing rate methodology which, as currently in effect, allows common carriers to change their rates within prescribed ceiling levels that are tied to changes in the Producer Price Index, or PPI. The indexing methodology is applicable to existing rates, with the exclusion of market-based rates. The FERC’s indexing methodology is subject to review every five years. During the five-year period commencing July 1, 2016 and ending June 30, 2021, common carriers charging indexed rates are permitted to adjust their indexed ceilings annually by PPI plus 1.23 percent. Many existing pipelines utilize the FERC liquids index to change transportation rates annually every July 1. With respect to liquids and refined products pipelines subject to FERC jurisdiction, the Revised Policy Statement requires the pipeline to reflect the impacts to its cost of service from the Revised Policy Statement and the Tax Act on Page 700 of FERC Form No. 6. This information will be used by the FERC in its next five year review of the liquids pipeline index to generate the index level to be effective July 1, 2021, thereby including the effect of the Revised Policy Statement and the Tax Act in the determination of indexed rates prospectively, effective July 1, 2021. The FERC’s establishment of a just and reasonable rate, including the determination of the appropriate liquids pipeline index, is based on many components, and tax related changes will affect two such components, the allowance for income taxes and the amount for accumulated deferred income taxes, while other pipeline costs also will continue to affect the FERC’s determination of the appropriate pipeline index. Accordingly, depending on the FERC’s application of its indexing rate methodology for the next five year term of index rates, the Revised Policy Statement and tax effects related to the Tax Act may impact our revenues associated with any transportation services we may provide pursuant to cost of service based rates in the future, including indexed rates.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Trends and Outlook</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evaluate and execute strategies to enhance unitholder value through growth, as well as the integration and optimization of our diversified asset portfolio. We intend to target a minimum distribution coverage ratio of 1.50x, thereby promoting a prudent balance between distribution rates and enhanced financial flexibility and strength while maintaining our investment grade ratings. We anticipate continued earnings growth in 2020 from the recently completed projects, as well as our current project backlog. We also continue to seek asset optimization opportunities through strategic transactions among us and our subsidiaries and/or affiliates, and we expect to continue to evaluate and execute on such opportunities. As we have in the past, we will evaluate growth projects and acquisitions as such opportunities may be identified in the future, and we believe that the current capital markets are conducive to funding such future projects.</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 respect to commodity prices, natural gas prices have remained comparatively low in recent months as associated gas from shale oil resources has provided additional supply to the market, increasing domestic supply to highs above 100 Bcf/d. Global oil and natural gas demand growth is likely to continue into the foreseeable future and will support U.S. production increases and, in turn U.S. natural gas export projects to Mexico as well as LNG exports.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crude oil, new pipelines that came online during 2019 have resulted in Permian barrels now pricing closer to other regional hubs, which is a departure from the substantial discounts seen a year ago. These pipelines have enabled Permian producers to realize higher crude oil revenues, supporting continued growth in the region. Crude oil exports from the U.S. are continuing to increase as a result, providing additional opportunity for U.S. midstream sector growth.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Segment Adjusted EBITDA, as reported for each segment in the table below, is analyzed for each segment in the section titled “Segment Operating Results.” Adjusted EBITDA is a non-GAAP measure used by industry analysts, investors, lenders and rating agencies to assess the financial performance and the operating results of the Partnership’s fundamental business activities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should not be considered in isolation or as a substitution for net income, income from operations, cash flows from operating activities or other GAAP measures.</w:t>
      </w:r>
    </w:p>
    <w:p>
      <w:pPr>
        <w:spacing w:after="0" w:line="112" w:lineRule="exact"/>
        <w:rPr>
          <w:sz w:val="20"/>
          <w:szCs w:val="20"/>
          <w:color w:val="auto"/>
        </w:rPr>
      </w:pPr>
    </w:p>
    <w:p>
      <w:pPr>
        <w:ind w:right="5220"/>
        <w:spacing w:after="0" w:line="470" w:lineRule="auto"/>
        <w:rPr>
          <w:sz w:val="20"/>
          <w:szCs w:val="20"/>
          <w:color w:val="auto"/>
        </w:rPr>
      </w:pPr>
      <w:r>
        <w:rPr>
          <w:rFonts w:ascii="Arial" w:cs="Arial" w:eastAsia="Arial" w:hAnsi="Arial"/>
          <w:sz w:val="18"/>
          <w:szCs w:val="18"/>
          <w:b w:val="1"/>
          <w:bCs w:val="1"/>
          <w:color w:val="auto"/>
        </w:rPr>
        <w:t>Year Ended December 31, 2019 Compared to the Year Ended December 31, 2018 Consolidated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8"/>
                <w:szCs w:val="18"/>
                <w:color w:val="auto"/>
                <w:w w:val="97"/>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Investment in Sunoco LP</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USAC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interest rate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Inventory valuation adjustments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extinguishments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discontinued operations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Income from continuing operations before income tax expense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7"/>
        </w:trPr>
        <w:tc>
          <w:tcPr>
            <w:tcW w:w="67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w:t>
      </w:r>
      <w:r>
        <w:rPr>
          <w:rFonts w:ascii="Arial" w:cs="Arial" w:eastAsia="Arial" w:hAnsi="Arial"/>
          <w:sz w:val="16"/>
          <w:szCs w:val="16"/>
          <w:i w:val="1"/>
          <w:iCs w:val="1"/>
          <w:color w:val="auto"/>
        </w:rPr>
        <w:t>consolidated</w:t>
      </w:r>
      <w:r>
        <w:rPr>
          <w:rFonts w:ascii="Arial" w:cs="Arial" w:eastAsia="Arial" w:hAnsi="Arial"/>
          <w:sz w:val="16"/>
          <w:szCs w:val="16"/>
          <w:color w:val="auto"/>
        </w:rPr>
        <w:t>). For the year ended December 31, 2019 compared to the prior year, Adjusted EBITDA increased approximately $1.7 billion,</w:t>
      </w:r>
      <w:r>
        <w:rPr>
          <w:rFonts w:ascii="Arial" w:cs="Arial" w:eastAsia="Arial" w:hAnsi="Arial"/>
          <w:sz w:val="16"/>
          <w:szCs w:val="16"/>
          <w:i w:val="1"/>
          <w:iCs w:val="1"/>
          <w:color w:val="auto"/>
        </w:rPr>
        <w:t xml:space="preserve"> </w:t>
      </w:r>
      <w:r>
        <w:rPr>
          <w:rFonts w:ascii="Arial" w:cs="Arial" w:eastAsia="Arial" w:hAnsi="Arial"/>
          <w:sz w:val="16"/>
          <w:szCs w:val="16"/>
          <w:color w:val="auto"/>
        </w:rPr>
        <w:t>or 18%. The increase was primarily due to the impact of multiple revenue-generating assets being placed in service and recent acquisitions, as well as increased demand for services on existing assets. The impact of new assets and acquisitions was approximately $784 million, of which the largest increases were from increased volumes to our Mariner East pipeline and terminal assets due to the addition of pipeline capacity in the fourth quarter of 2018 (a $274 million impact to the NGL and refined products transportation and services segment), the commissioning of our fifth and sixth fractionators (a $131 million impact to the NGL and refined products transportation and services segment), the ramp up of volumes on our Bayou Bridge system due to placing phase II in service in the second quarter of 2019 (a $60 million impact to our crude oil transportation and services segment), the Rover pipeline (a $78 million impact to the interstate transportation and storage segment), the addition of gas processing capacity to our Arrowhead gas plant (a $31 million impact to our midstream segment), placing our Permian Express 4 pipeline in service in October 2019 (a $26 million impact to our crude oil transportation and services segment) and the acquisition of USAC (a net impact of $131 million among the investment in USAC and all other segments). The remainder of the increase in Adjusted EBITDA was primarily due to stronger demand on existing assets, particularly due to increased throughput on our Bakken Pipeline system as well as increased production in the Permian, which impacted multiple segments. Additional discussion of these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and other factors affecting Adjusted EBITDA is included in the analysis of Segment Adjusted EBITDA in the “Segment Operating Results” section below.</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expense increased primarily due to additional depreciation from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placed in service and recent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of Interest Capitalized. </w:t>
      </w:r>
      <w:r>
        <w:rPr>
          <w:rFonts w:ascii="Arial" w:cs="Arial" w:eastAsia="Arial" w:hAnsi="Arial"/>
          <w:sz w:val="18"/>
          <w:szCs w:val="18"/>
          <w:color w:val="auto"/>
        </w:rPr>
        <w:t>Interest expense, net of interest capitalized, increased primarily due to the following:</w:t>
      </w:r>
    </w:p>
    <w:p>
      <w:pPr>
        <w:spacing w:after="0" w:line="117" w:lineRule="exact"/>
        <w:rPr>
          <w:sz w:val="20"/>
          <w:szCs w:val="20"/>
          <w:color w:val="auto"/>
        </w:rPr>
      </w:pPr>
    </w:p>
    <w:p>
      <w:pPr>
        <w:ind w:left="3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$198 million recognized by the Partnership (excluding Sunoco LP and USAC, which are discussed below) primarily due to increases in ETO’s long-term debt;</w:t>
      </w:r>
    </w:p>
    <w:p>
      <w:pPr>
        <w:spacing w:after="0" w:line="6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 increase of $49 million recognized by USAC primarily attributable to higher overall debt balances and higher interest rates on borrowings under the credit agreement. These increases were partially offset by the decrease in borrowings under the credit agreement; and</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$29 million recognized by Sunoco LP due to an increase in total long-term debt; offset by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Impairment Losses</w:t>
      </w:r>
      <w:r>
        <w:rPr>
          <w:rFonts w:ascii="Arial" w:cs="Arial" w:eastAsia="Arial" w:hAnsi="Arial"/>
          <w:sz w:val="18"/>
          <w:szCs w:val="18"/>
          <w:color w:val="auto"/>
        </w:rPr>
        <w:t>. During the year ended December 31, 2019, the Partnership recognized goodwill impairments of $12 million related to the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within the interstate transportation and storage segment and $9 million related to our North Central operations within the midstream segment, both of which were primarily due to changes in assumptions related to projected future revenues and cash flows. Also during the year ended December 31, 2019, Sunoco LP recognized a $47 million write-down on assets held for sale related to its ethanol plant in Fulton, New York, and USAC recognized a $6 million fixed asset impairment related to certain idle compressor assets.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2018, the Partnership recognized goodwill impairments of $378 million and asset impairments of $4 million related to our midstream operations and asset impairments of $9 million related to idle leased assets in our crude operations. Sunoco LP recognized a $30 million indefinite-lived intangible asset impairment related to contractual rights. USAC recognized a $9 million fixed asset impairment related to certain idle compressor assets. Additional discussion on these impairments is included in “Estimates and Critical Accounting Policies” below.</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Gains (Losses) on Interest Rate Derivatives. </w:t>
      </w:r>
      <w:r>
        <w:rPr>
          <w:rFonts w:ascii="Arial" w:cs="Arial" w:eastAsia="Arial" w:hAnsi="Arial"/>
          <w:sz w:val="18"/>
          <w:szCs w:val="18"/>
          <w:color w:val="auto"/>
        </w:rPr>
        <w:t>Our interest rate derivatives are not designated as hedges for accounting purposes; therefore, changes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are recorded in earnings each period. Losses on interest rate derivatives during the year ended December 31, 2019 resulted from a decrease in forward interest rates and gains in 2018 resulted from an increase in forward interest rates.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Unrealized Gains (Losses) on Commodity Risk Management Activities. </w:t>
      </w:r>
      <w:r>
        <w:rPr>
          <w:rFonts w:ascii="Arial" w:cs="Arial" w:eastAsia="Arial" w:hAnsi="Arial"/>
          <w:sz w:val="17"/>
          <w:szCs w:val="17"/>
          <w:color w:val="auto"/>
        </w:rPr>
        <w:t>The unrealized gains and losses on our commodity risk management activities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fair value of commodity derivatives and the hedged inventory included in designated fair value hedging relationships. Information on the unrealized gains and losses within each segment are included in “Segment Operating Results” below, and additional information on the commodity-related derivatives, including notional volumes, maturities and fair values, is available in “Item 7A. Quantitative and Qualitative Disclosures About Market Risk” and in Note 13 to our consolidated financial statements included in “Item 8. Financial Statements and Supplementary Data.”</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Inventory Valuation Adjustments. </w:t>
      </w:r>
      <w:r>
        <w:rPr>
          <w:rFonts w:ascii="Arial" w:cs="Arial" w:eastAsia="Arial" w:hAnsi="Arial"/>
          <w:sz w:val="18"/>
          <w:szCs w:val="18"/>
          <w:color w:val="auto"/>
        </w:rPr>
        <w:t>Inventory valuation reserve adjustments were recorded for the inventory associated with Sunoco LP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fuel prices between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Losses on Extinguishments of Debt. </w:t>
      </w:r>
      <w:r>
        <w:rPr>
          <w:rFonts w:ascii="Arial" w:cs="Arial" w:eastAsia="Arial" w:hAnsi="Arial"/>
          <w:sz w:val="18"/>
          <w:szCs w:val="18"/>
          <w:color w:val="auto"/>
        </w:rPr>
        <w:t>Amounts were related to Sunoco LP’s senior note and term loan redemption in January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Operation Results” below.</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Related to Discontinued Operations. </w:t>
      </w:r>
      <w:r>
        <w:rPr>
          <w:rFonts w:ascii="Arial" w:cs="Arial" w:eastAsia="Arial" w:hAnsi="Arial"/>
          <w:sz w:val="18"/>
          <w:szCs w:val="18"/>
          <w:color w:val="auto"/>
        </w:rPr>
        <w:t>Amounts were related to the operations of Sunoco LP’s retail business that were disposed of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amortization of regulatory assets and other income and expense amounts.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the year ended December 31, 2019 compared to the same period in the prior year, income tax expense increased due to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income before tax expense at our corporate subsidiaries and the recognition of a favorable state tax rate change in the prior period.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8"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Supplemental Information on Unconsolidated Affiliates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table presents financial information related to unconsolidated affiliates: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640" w:type="dxa"/>
            <w:vAlign w:val="bottom"/>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Equity in earnings of unconsolidated affiliates:</w:t>
            </w: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gridSpan w:val="2"/>
            <w:vMerge w:val="continue"/>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equity in earnings of unconsolidated affiliates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5"/>
                <w:szCs w:val="25"/>
                <w:color w:val="auto"/>
                <w:vertAlign w:val="superscript"/>
              </w:rPr>
              <w:t>(1)</w:t>
            </w:r>
            <w:r>
              <w:rPr>
                <w:rFonts w:ascii="Arial" w:cs="Arial" w:eastAsia="Arial" w:hAnsi="Arial"/>
                <w:sz w:val="18"/>
                <w:szCs w:val="18"/>
                <w:b w:val="1"/>
                <w:bCs w:val="1"/>
                <w:color w:val="auto"/>
              </w:rPr>
              <w:t>:</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7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distributions received from unconsolidated affiliates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26" w:lineRule="auto"/>
        <w:tabs>
          <w:tab w:leader="none" w:pos="34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identify the components of Segment Adjusted EBITDA, which is calculated as follows:</w:t>
      </w:r>
    </w:p>
    <w:p>
      <w:pPr>
        <w:spacing w:after="0" w:line="117" w:lineRule="exact"/>
        <w:rPr>
          <w:sz w:val="20"/>
          <w:szCs w:val="20"/>
          <w:color w:val="auto"/>
        </w:rPr>
      </w:pPr>
    </w:p>
    <w:p>
      <w:pPr>
        <w:ind w:left="340" w:hanging="332"/>
        <w:spacing w:after="0" w:line="277"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Segment margin, operating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general and administrative expenses</w:t>
      </w:r>
      <w:r>
        <w:rPr>
          <w:rFonts w:ascii="Arial" w:cs="Arial" w:eastAsia="Arial" w:hAnsi="Arial"/>
          <w:sz w:val="18"/>
          <w:szCs w:val="18"/>
          <w:color w:val="auto"/>
        </w:rPr>
        <w:t>. These amounts represent the amounts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that are attributable to each segment.</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Unrealized gains or losses on commodity risk management activities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inventory valuation adjustments</w:t>
      </w:r>
      <w:r>
        <w:rPr>
          <w:rFonts w:ascii="Arial" w:cs="Arial" w:eastAsia="Arial" w:hAnsi="Arial"/>
          <w:sz w:val="18"/>
          <w:szCs w:val="18"/>
          <w:color w:val="auto"/>
        </w:rPr>
        <w:t>. These are the unrealized amounts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cost of products sold to calculate segment margin. These amounts are not included in Segment Adjusted EBITDA; therefore, the unrealized losses are added back and the unrealized gains are subtracted to calculate the segment measure.</w:t>
      </w:r>
    </w:p>
    <w:p>
      <w:pPr>
        <w:spacing w:after="0" w:line="73"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Non-cash compensation expense</w:t>
      </w:r>
      <w:r>
        <w:rPr>
          <w:rFonts w:ascii="Arial" w:cs="Arial" w:eastAsia="Arial" w:hAnsi="Arial"/>
          <w:sz w:val="16"/>
          <w:szCs w:val="16"/>
          <w:color w:val="auto"/>
        </w:rPr>
        <w:t>. These amounts represent the total non-cash compensation recorded in operating expenses and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This expense is not included in Segment Adjusted EBITDA and therefore is added back to calculate the segment measure.</w:t>
      </w:r>
    </w:p>
    <w:p>
      <w:pPr>
        <w:spacing w:after="0" w:line="15"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Adjusted EBITDA related to unconsolidated affiliates</w:t>
      </w:r>
      <w:r>
        <w:rPr>
          <w:rFonts w:ascii="Arial" w:cs="Arial" w:eastAsia="Arial" w:hAnsi="Arial"/>
          <w:sz w:val="18"/>
          <w:szCs w:val="18"/>
          <w:color w:val="auto"/>
        </w:rPr>
        <w:t>. Adjusted EBITDA related to unconsolidated affiliates excludes the same items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13"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control over the operations and resulting revenues and expenses of such affiliates. We do not control our unconsolidated affiliates; therefore, we do not control the earnings or cash flows of such affiliates.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business segments, see “Item 1. Business” and Notes 1 and 16 to our consolidated financial statements in “Item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Intrastate Transportation and Storage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transported (BBtu/d)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transported volumes increased primarily due to the impact of reflecting RIGS as</w:t>
      </w:r>
      <w:r>
        <w:rPr>
          <w:rFonts w:ascii="Arial" w:cs="Arial" w:eastAsia="Arial" w:hAnsi="Arial"/>
          <w:sz w:val="18"/>
          <w:szCs w:val="18"/>
          <w:i w:val="1"/>
          <w:iCs w:val="1"/>
          <w:color w:val="auto"/>
        </w:rPr>
        <w:t xml:space="preserve"> </w:t>
      </w:r>
      <w:r>
        <w:rPr>
          <w:rFonts w:ascii="Arial" w:cs="Arial" w:eastAsia="Arial" w:hAnsi="Arial"/>
          <w:sz w:val="18"/>
          <w:szCs w:val="18"/>
          <w:color w:val="auto"/>
        </w:rPr>
        <w:t>a consolidated subsidiary beginning April 2018 and the impact of the Red Bluff Express pipeline coming online in May 2018, as well as the impact of favorable market pricing spreads.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intrastate transportation and storage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fees</w:t>
            </w:r>
          </w:p>
        </w:tc>
        <w:tc>
          <w:tcPr>
            <w:tcW w:w="234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w w:val="98"/>
              </w:rPr>
              <w:t>Natural gas sales and other (excluding unrealized gains and losses)</w:t>
            </w: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fuel revenues (excluding unrealized gains and losses)</w:t>
            </w:r>
          </w:p>
        </w:tc>
        <w:tc>
          <w:tcPr>
            <w:tcW w:w="1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w w:val="94"/>
              </w:rPr>
              <w:t>Storage margin, including fees (excluding unrealized gains and losses)</w:t>
            </w:r>
          </w:p>
        </w:tc>
        <w:tc>
          <w:tcPr>
            <w:tcW w:w="1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commodity risk management activities</w:t>
            </w:r>
          </w:p>
        </w:tc>
        <w:tc>
          <w:tcPr>
            <w:tcW w:w="1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5360" w:type="dxa"/>
            <w:vAlign w:val="bottom"/>
          </w:tcPr>
          <w:p>
            <w:pPr>
              <w:ind w:left="200"/>
              <w:spacing w:after="0"/>
              <w:rPr>
                <w:sz w:val="20"/>
                <w:szCs w:val="20"/>
                <w:color w:val="auto"/>
              </w:rPr>
            </w:pPr>
            <w:r>
              <w:rPr>
                <w:rFonts w:ascii="Arial" w:cs="Arial" w:eastAsia="Arial" w:hAnsi="Arial"/>
                <w:sz w:val="18"/>
                <w:szCs w:val="18"/>
                <w:color w:val="auto"/>
              </w:rPr>
              <w:t>Total segment margin</w:t>
            </w:r>
          </w:p>
        </w:tc>
        <w:tc>
          <w:tcPr>
            <w:tcW w:w="13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1,190</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1,072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80" w:type="dxa"/>
            <w:vAlign w:val="bottom"/>
            <w:vMerge w:val="restart"/>
          </w:tcPr>
          <w:p>
            <w:pPr>
              <w:jc w:val="right"/>
              <w:ind w:right="850"/>
              <w:spacing w:after="0"/>
              <w:rPr>
                <w:sz w:val="20"/>
                <w:szCs w:val="20"/>
                <w:color w:val="auto"/>
              </w:rPr>
            </w:pPr>
            <w:r>
              <w:rPr>
                <w:rFonts w:ascii="Arial" w:cs="Arial" w:eastAsia="Arial" w:hAnsi="Arial"/>
                <w:sz w:val="18"/>
                <w:szCs w:val="18"/>
                <w:color w:val="auto"/>
              </w:rPr>
              <w:t>84</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intrastate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right="2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$64 million in transportation fees, excluding the impact of consolidating RIGS beginning April 2018 as discussed below, primarily due to the Red Bluff Express pipeline coming online in May 2018, as well as new contracts;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net increase of $11 million primarily due to the consolidation of RIGS beginning April 2018, resulting in increases in transportation fees, retained fuel revenues and operating expenses of $24 million, $2 million and $6 million, respectively, partially offset by a decrease in Adjusted EBITDA related to unconsolidated affiliates of $9 million;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$7 million in realized storage margin primarily due to a realized adjustment to the Bammel storage inventory of $25 million in 2018 and higher storage fees, partially offset by a $20 million decrease due to lower physical withdrawals; partially offset by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decrease of $9 million in retained fuel revenues primarily due to lower gas prices;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decrease of $5 million in realized natural gas sales and other due to lower realized gains from pipeline optimization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Transportation and Storage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transported (BBtu/d)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sold (BBtu/d)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89"/>
              </w:rPr>
              <w:t>Operating expenses, excluding non-cash compensation, amortization and accretion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 excluding non-cash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amortization and accretion expenses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transported volumes increased as a result of the addition of new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for delivery out of the Haynesville Shale, higher volumes on our Rover pipeline as a result of the full year availability of new supply connections, and higher throughput on Trunkline and Panhandle due to increased utilization of higher contracted capacity.</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in margin of $231 million from the Rover pipeline due to higher reservation and usage resulting from additional connections and utilization of additional compression;</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$40 million in reservation and usage fees due to improved market conditions allowing us to successfully bring new volumes to the system at improved rates, primarily on our Transwestern, Tiger and Panhandle Eastern systems;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$6 million from the Sea Robin pipeline due to higher rates resulting from the rate case filed in June 2019, as well as fewer third party supply interruptions on the Sea Robin system; partially offset by</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$138 million in operating expense primarily due to an increase in ad valorem taxes of $126 million on the Rover pipeline system resulting from placing the final portions of this asset into service in November 2018, an increase of $24 million in transportation expense on Rover due to an increase in transportation volumes, an increase of $5 million in allocated overhead costs and additional operating expense of $4 million for assets acquired in June 2019, partially offset by lower gas imbalance and system gas activity of $15 million and lower storage capacity leased on the Panhandle Eastern system of $8 million;</w:t>
      </w:r>
    </w:p>
    <w:p>
      <w:pPr>
        <w:spacing w:after="0" w:line="80" w:lineRule="exact"/>
        <w:rPr>
          <w:rFonts w:ascii="Arial" w:cs="Arial" w:eastAsia="Arial" w:hAnsi="Arial"/>
          <w:sz w:val="18"/>
          <w:szCs w:val="18"/>
          <w:color w:val="auto"/>
        </w:rPr>
      </w:pPr>
    </w:p>
    <w:p>
      <w:pPr>
        <w:jc w:val="both"/>
        <w:ind w:left="340" w:hanging="332"/>
        <w:spacing w:after="0" w:line="342"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increase of $9 million in selling, general and administrative expenses primarily due to an increase in insurance expense of $8 million, an increase in employee cost of $4 million, and an increase in allocated overhead costs of $3 million, partially offset by lower Ohio excise tax on our Rover system;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hanging="332"/>
        <w:spacing w:after="0" w:line="264"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decrease of $15 million in adjusted EBITDA related to unconsolidated affiliates primarily resulting from a $20 million decrease due to lower earnings from MEP as a result of lower capacity being re-contracted at lower rates on expiring contracts, partially offset by a $5 million increase from our Citrus joint venture as we brought new volumes to the system in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Gathered volumes (BBtu/d)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NGLs produced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NGLs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gathered volumes increased primarily due to increases in the Northeast, Permian,</w:t>
      </w:r>
      <w:r>
        <w:rPr>
          <w:rFonts w:ascii="Arial" w:cs="Arial" w:eastAsia="Arial" w:hAnsi="Arial"/>
          <w:sz w:val="18"/>
          <w:szCs w:val="18"/>
          <w:i w:val="1"/>
          <w:iCs w:val="1"/>
          <w:color w:val="auto"/>
        </w:rPr>
        <w:t xml:space="preserve"> </w:t>
      </w:r>
      <w:r>
        <w:rPr>
          <w:rFonts w:ascii="Arial" w:cs="Arial" w:eastAsia="Arial" w:hAnsi="Arial"/>
          <w:sz w:val="18"/>
          <w:szCs w:val="18"/>
          <w:color w:val="auto"/>
        </w:rPr>
        <w:t>Ark-La-Tex, South Texas and North Texas regions. NGL production increased due to increases in the Permian and North Texas regions partially offset by ethane rejection in the South Texas region.</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table below presents the components of our midstream segment margin. For the year ended December 31, 2018,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reported for fee-based and non-fee-based margin have been adjusted to reflect reclassification of certain contractual minimum fees from fee-based margin to non-fee-based margin in order to conform to the current period classification.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and processing fee-based 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Non-fee based contracts and processing</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2,454</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2,377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midstream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due to the net impacts of the following:</w:t>
      </w:r>
    </w:p>
    <w:p>
      <w:pPr>
        <w:spacing w:after="0" w:line="62" w:lineRule="exact"/>
        <w:rPr>
          <w:sz w:val="20"/>
          <w:szCs w:val="20"/>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decrease of $137 million in non fee-based margin due to lower NGL prices of $131 million and lower gas prices of $58 million, offset by an increase of $52 million in non fee-based margin due to increased throughput volume in North Texas, South Texas and Permian regions;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$86 million in operating expenses due to increases of $33 million in outside services, $29 million in maintenance project costs, $17 million in employee costs and $6 million in office expenses and materials;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$9 million in selling, general and administrative expenses primarily due to a decrease of $5 million in capitalized overhead and an increase of $4 million in insurance expense; partially offset by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increase of $214 million in fee-based margin due to volume growth in the Northeast, Permian, Ark-La-Tex, North Texas and South Texas regions.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1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01"/>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40"/>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NGL transportation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Refined products transportation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NGL and refined products terminal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NGL fractionation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57"/>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687</w:t>
            </w: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Volumes. </w:t>
      </w:r>
      <w:r>
        <w:rPr>
          <w:rFonts w:ascii="Arial" w:cs="Arial" w:eastAsia="Arial" w:hAnsi="Arial"/>
          <w:sz w:val="17"/>
          <w:szCs w:val="17"/>
          <w:color w:val="auto"/>
        </w:rPr>
        <w:t>For the year ended December 31, 2019 compared to the prior year, throughput barrels on our Texas NGL pipeline system increased due to higher</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liquids production from both wholly-owned and third-party gas plants primarily in the Permian and North Texas regions. In addition, NGL transportation volumes on our Northeast assets increased due to the initiation of service on the Mariner East 2 pipeline system.</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Refined products transportation volumes decreased for the year ended December 31, 2019 compared to prior year due to the closure of a third party refinery during the third quarter of 2019, negatively impacting supply to our refined products transportation system. These decreases in volumes are partially offset by the initiation of service on the JC Nolan Pipeline in the third quarter of 2019.</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NGL and refined products terminal volumes increased for the year ended December 31, 2019 compared to the prior year primarily due to the initiation of service on our Mariner East 2 pipeline system which commenced operations in the fourth quarter of 2018.</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Average volumes fractionated at our Mont Belvieu, Texas fractionation facility increased for the year ended December 31, 2019 compared to the prior year primarily due to the commissioning of our fifth and sixth fractionators in July 2018 and February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NGL and refined products transportation and services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Fractionators and refinery services margin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Transportation margin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1,716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Terminal Services margin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3,248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NGL and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transportation and services segment increased due to the net impacts of the following:</w:t>
      </w:r>
    </w:p>
    <w:p>
      <w:pPr>
        <w:spacing w:after="0" w:line="62" w:lineRule="exact"/>
        <w:rPr>
          <w:sz w:val="20"/>
          <w:szCs w:val="20"/>
          <w:color w:val="auto"/>
        </w:rPr>
      </w:pPr>
    </w:p>
    <w:p>
      <w:pPr>
        <w:jc w:val="both"/>
        <w:ind w:left="340" w:hanging="332"/>
        <w:spacing w:after="0" w:line="259"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$483 million in transportation margin primarily due to a $265 million increase resulting from the initiation of service on our Mariner East 2 pipeline in the fourth quarter of 2018, a $212 million increase resulting from higher throughput volumes received from the Permian region on our Texas NGL pipelines, a $29 million increase due to higher throughput volumes from the Barnett region, a $9 million increase from the Eagle Ford region, and a $9 million increase due to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14"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initiation of service on the JC Nolan Pipeline. These increases were partially offset by a $21 million decrease resulting from Mariner East 1 pipeline downtime, a $13 million decrease due to the closure of a third-party refinery during the third quarter of 2019, negatively impacting refined product supply to our system, and a $5 million decrease due to the timing of deficiency fees on Mariner West;</w:t>
      </w:r>
    </w:p>
    <w:p>
      <w:pPr>
        <w:spacing w:after="0" w:line="73" w:lineRule="exact"/>
        <w:rPr>
          <w:sz w:val="20"/>
          <w:szCs w:val="20"/>
          <w:color w:val="auto"/>
        </w:rPr>
      </w:pPr>
    </w:p>
    <w:p>
      <w:pPr>
        <w:jc w:val="both"/>
        <w:ind w:left="340" w:hanging="332"/>
        <w:spacing w:after="0" w:line="286"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increase of $153 million in fractionation and refinery services margin primarily due to a $167 million increase resulting from the commissioning of our fifth and sixth fractionators in July 2018 and February 2019, respectively, and higher NGL volumes from the Permian region feeding our Mont Belvieu fractionation facility. This increase was partially offset by a reclassification between our fractionation and storage margins;</w:t>
      </w:r>
    </w:p>
    <w:p>
      <w:pPr>
        <w:spacing w:after="0" w:line="57" w:lineRule="exact"/>
        <w:rPr>
          <w:rFonts w:ascii="Arial" w:cs="Arial" w:eastAsia="Arial" w:hAnsi="Arial"/>
          <w:sz w:val="17"/>
          <w:szCs w:val="17"/>
          <w:color w:val="auto"/>
        </w:rPr>
      </w:pPr>
    </w:p>
    <w:p>
      <w:pPr>
        <w:jc w:val="both"/>
        <w:ind w:left="340" w:hanging="332"/>
        <w:spacing w:after="0" w:line="255"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$136 million in terminal services margin primarily due to a $171 million increase from the initiation of service of our Mariner East 2 pipeline which commenced operations in the fourth quarter of 2018 and a $7 million increase due to increased tank lease revenue from third-party customers. These increases were partially offset by a $16 million decrease in volumes and expense reimbursements from third parties on Mariner East 1, a $16 million decrease due to lower volumes from third party pipeline, truck and rail deliveries into our Marcus Hook terminal, a $5 million decrease due to fewer vessels exported out of our Nederland terminal, and a $4 million decrease due to the closure of a third party refinery during the third quarter of 2019; and</w:t>
      </w:r>
    </w:p>
    <w:p>
      <w:pPr>
        <w:spacing w:after="0" w:line="85"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increase of $12 million in storage margin primarily due to a reclassification between our storage and fractionation margins; partially offset by</w:t>
      </w:r>
    </w:p>
    <w:p>
      <w:pPr>
        <w:spacing w:after="0" w:line="128"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decrease of $30 million in marketing margin primarily due to capacity lease fees incurred by our marketing affiliate on our Mariner East 2 pipeline, offset by increased gains from our butane blending business due to more favorable market conditions and increased volumes, as well as increased optimization gains from the sale of NGL component products at our Mont Belvieu facility;</w:t>
      </w:r>
    </w:p>
    <w:p>
      <w:pPr>
        <w:spacing w:after="0" w:line="7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$52 million in operating expenses primarily due to a $26 million increase in employee and ad valorem tax expenses on our terminals, fractionation, and transportation operations, a $14 million increase in utility costs to operate our pipelines and our fifth and sixth fractionators which commenced July 2018 and February 2019, respectively, and an $8 million increase in maintenance project costs due to the timing of multiple projects on our transportation assets; and</w:t>
      </w:r>
    </w:p>
    <w:p>
      <w:pPr>
        <w:spacing w:after="0" w:line="7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$19 million in general and administrative expenses primarily due to a $10 million increase in allocated overhead costs, a $5 million increase in insurance expenses, a $4 million increase in legal fees, and a $2 million increase in employee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Transportation and Services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transportation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Crude terminals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increased due to the net impacts of the following:</w:t>
      </w:r>
    </w:p>
    <w:p>
      <w:pPr>
        <w:spacing w:after="0" w:line="62" w:lineRule="exact"/>
        <w:rPr>
          <w:sz w:val="20"/>
          <w:szCs w:val="20"/>
          <w:color w:val="auto"/>
        </w:rPr>
      </w:pPr>
    </w:p>
    <w:p>
      <w:pPr>
        <w:jc w:val="both"/>
        <w:ind w:left="340" w:hanging="332"/>
        <w:spacing w:after="0" w:line="259"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increase of $672 million in segment margin (excluding unrealized gains and losses on commodity risk management activities) primarily due to a $282 million increase resulting from higher throughput on our Texas crude pipeline system primarily due to increased production from the Permian region and contributions from capacity expansion projects placed into service, a $219 million increase in throughput on our Bakken pipeline, a favorable inventory valuation adjustment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$111 million for the 2019 year as compared to an unfavorable inventory adjustment of $54 million for the 2018 year, partially offset by a $50 million reduction due to lower pipeline basis spreads net of hedges. We also realized a $66 million increase from higher volumes on our Bayou Bridge Pipeline, a $31 million increase due to the inclusion of assets acquired in 2019, and a $26 million increase primarily from higher throughput, ship loading and tank rental fees at our Nederland terminal; partially offset by a $54 million decrease from our Oklahoma assets resulting from lower volumes to the system as well as from the timing of a deficiency payment made in the prior year, $12 million decrease due to the closure of a third party refinery which was the primary customer utilizing one of our northeast crude terminals. The remainder of the offsetting decrease was primarily attributable to a change in the presentation of certain intrasegment transactions, which were eliminated in the current period presentation but were shown on a gross basis in revenues and operating expenses in the prior period; partially offset by</w:t>
      </w:r>
    </w:p>
    <w:p>
      <w:pPr>
        <w:spacing w:after="0" w:line="71" w:lineRule="exact"/>
        <w:rPr>
          <w:sz w:val="20"/>
          <w:szCs w:val="20"/>
          <w:color w:val="auto"/>
        </w:rPr>
      </w:pPr>
    </w:p>
    <w:p>
      <w:pPr>
        <w:jc w:val="both"/>
        <w:ind w:left="340" w:hanging="332"/>
        <w:spacing w:after="0" w:line="264"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$23 million in operating expenses primarily due to a $30 million increase in throughput-related costs on existing assets and a $10 million increase due to the inclusion of expenses acquired in 2019, partially offset by a $14 million decrease in management fees as well as the impact of certain intrasegment transactions discussed above;</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decrease of $7 million in Adjusted EBITDA related to unconsolidated affiliates due to lower margin from jet fuel sales by our joint ventures.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Sunoco LP</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gridSpan w:val="5"/>
          </w:tcPr>
          <w:p>
            <w:pPr>
              <w:ind w:left="24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ind w:left="24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Segment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Segment Adjusted EBITDA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Segment Adjusted EBITDA. </w:t>
      </w:r>
      <w:r>
        <w:rPr>
          <w:rFonts w:ascii="Arial" w:cs="Arial" w:eastAsia="Arial" w:hAnsi="Arial"/>
          <w:sz w:val="17"/>
          <w:szCs w:val="17"/>
          <w:color w:val="auto"/>
        </w:rPr>
        <w:t>For the year ended December 31, 2019 compared to the prior year, Segment Adjusted EBITDA related to the Investment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Sunoco LP segment increased due to the net impacts of the following:</w:t>
      </w:r>
    </w:p>
    <w:p>
      <w:pPr>
        <w:spacing w:after="0" w:line="103" w:lineRule="exact"/>
        <w:rPr>
          <w:sz w:val="20"/>
          <w:szCs w:val="20"/>
          <w:color w:val="auto"/>
        </w:rPr>
      </w:pPr>
    </w:p>
    <w:p>
      <w:pPr>
        <w:ind w:left="340" w:right="2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in operating costs of $76 million, primarily as a result of the conversion of 207 retail sites to commission agent sites during April 2018. These expenses include other operating expense, general and administrative expense and lease expense;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$25 million related to Adjusted EBITDA from discontinued operations related to the divestment of 1,030 company-operated fuel sites to 7-Eleven in January 2018;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$4 million in Adjusted EBITDA related to unconsolidated affiliates due to Sunoco LP’s investment in the JC Nolan joint venture; partially offset by</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in the gross profit on motor fuel sales of $76 million (excluding the change in inventory fair value adjustments and unrealized gains and losses on commodity risk management activities) primarily due to lower fuel margins, a one-time benefit of approximately $25 million related to a cash settlement with a fuel supplier recorded in 2018 and an $8 million one-time charge related to a reserve for an open contractual dispute recorded in 2019, partially offset by an increase in gallons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 USAC</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40"/>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80" w:type="dxa"/>
            <w:vAlign w:val="bottom"/>
            <w:gridSpan w:val="4"/>
          </w:tcPr>
          <w:p>
            <w:pPr>
              <w:ind w:left="580"/>
              <w:spacing w:after="0"/>
              <w:rPr>
                <w:sz w:val="20"/>
                <w:szCs w:val="20"/>
                <w:color w:val="auto"/>
              </w:rPr>
            </w:pPr>
            <w:r>
              <w:rPr>
                <w:rFonts w:ascii="Arial" w:cs="Arial" w:eastAsia="Arial" w:hAnsi="Arial"/>
                <w:sz w:val="18"/>
                <w:szCs w:val="18"/>
                <w:color w:val="auto"/>
                <w:w w:val="89"/>
              </w:rPr>
              <w:t>Years Ended December 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9"/>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10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Segment margin</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r>
      <w:tr>
        <w:trPr>
          <w:trHeight w:val="20"/>
        </w:trPr>
        <w:tc>
          <w:tcPr>
            <w:tcW w:w="4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reflected above for the year ended December 31, 2019 represents the results of operations for USAC from April 2, 2018, the date ET obtained control of USAC, through December 31, 2019. Changes between periods are due to the consolidation of USAC beginning April 2,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1,504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2,006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and eliminations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primarily include:</w:t>
      </w:r>
    </w:p>
    <w:p>
      <w:pPr>
        <w:spacing w:after="0" w:line="117"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non-controlling interest in PES. Prior to PES’s reorganization in August 2018, ETO’s 33% interest in PES was reflected as an unconsolidated affiliate; subsequent the August 2018 reorganization, ETO holds an approximately 7.4% interest in PES and no longer reflects PES as an affiliate;</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investment in coal handling facilities;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Canadian operations, which were acquired in the SemGroup acquisition in December 2019 and include natural gas gathering and processing assets.</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increased due to the net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w:t>
      </w:r>
    </w:p>
    <w:p>
      <w:pPr>
        <w:spacing w:after="0" w:line="6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increase of $8 million in gains from park and loan and storage activity;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increase of $11 million in optimized gains on residue gas sales;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increase of $7 million from settled derivatives;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increase of $15 million from a legal settlement;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$12 million from payments related to the PES bankruptcy;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$6 million from the recognition of deferred revenue related to a bankruptcy;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$3 million from power trading activities;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of $3 million from the SemCAMS joint venture for the period subsequent to our acquisition of SemGroup on December 5, 2019, net of an increase in SemGroup corporate expenses;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of $40 million in merger and acquisition expenses; partially offset by</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of $36 million due to the contribution of CDM to USAC in April 2018, subsequent to which CDM is reflected in the Investment in USAC segment;</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of $8 million due to lower gas prices and increased power costs;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of $11 million due to lower revenue from our compressor equipment business.</w:t>
      </w:r>
    </w:p>
    <w:p>
      <w:pPr>
        <w:spacing w:after="0" w:line="167" w:lineRule="exact"/>
        <w:rPr>
          <w:sz w:val="20"/>
          <w:szCs w:val="20"/>
          <w:color w:val="auto"/>
        </w:rPr>
      </w:pPr>
    </w:p>
    <w:p>
      <w:pPr>
        <w:ind w:right="5220"/>
        <w:spacing w:after="0" w:line="470" w:lineRule="auto"/>
        <w:rPr>
          <w:sz w:val="20"/>
          <w:szCs w:val="20"/>
          <w:color w:val="auto"/>
        </w:rPr>
      </w:pPr>
      <w:r>
        <w:rPr>
          <w:rFonts w:ascii="Arial" w:cs="Arial" w:eastAsia="Arial" w:hAnsi="Arial"/>
          <w:sz w:val="18"/>
          <w:szCs w:val="18"/>
          <w:b w:val="1"/>
          <w:bCs w:val="1"/>
          <w:color w:val="auto"/>
        </w:rPr>
        <w:t>Year Ended December 31, 2018 Compared to the Year Ended December 31, 2017 Consolidated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jc w:val="right"/>
              <w:ind w:right="660"/>
              <w:spacing w:after="0"/>
              <w:rPr>
                <w:sz w:val="20"/>
                <w:szCs w:val="20"/>
                <w:color w:val="auto"/>
              </w:rPr>
            </w:pPr>
            <w:r>
              <w:rPr>
                <w:rFonts w:ascii="Arial" w:cs="Arial" w:eastAsia="Arial" w:hAnsi="Arial"/>
                <w:sz w:val="18"/>
                <w:szCs w:val="18"/>
                <w:color w:val="auto"/>
                <w:w w:val="97"/>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Investment in Sunoco LP</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USAC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losses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Gains (losses) on interest rate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Inventory valuation adjustments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extinguishments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 of investments in unconsolidated affiliates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 before income tax (expense) benefit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income taxes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w:t>
      </w:r>
      <w:r>
        <w:rPr>
          <w:rFonts w:ascii="Arial" w:cs="Arial" w:eastAsia="Arial" w:hAnsi="Arial"/>
          <w:sz w:val="18"/>
          <w:szCs w:val="18"/>
          <w:i w:val="1"/>
          <w:iCs w:val="1"/>
          <w:color w:val="auto"/>
        </w:rPr>
        <w:t>consolidated</w:t>
      </w:r>
      <w:r>
        <w:rPr>
          <w:rFonts w:ascii="Arial" w:cs="Arial" w:eastAsia="Arial" w:hAnsi="Arial"/>
          <w:sz w:val="18"/>
          <w:szCs w:val="18"/>
          <w:color w:val="auto"/>
        </w:rPr>
        <w:t>). For the year ended December 31, 2018 compared to the prior year, Adjusted EBITDA increased approximately $2.2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30%. The increase was primarily due to the impact of multiple revenue-generating assets being</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18" w:right="239" w:bottom="1440" w:gutter="0" w:footer="0" w:header="0"/>
          <w:type w:val="continuous"/>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placed in service and recent acquisitions, as well as increased demand for services on existing assets. The impact of new assets and acquisitions was approximately $1.2 billion, of which the largest increases were from the Bakken pipeline (a $546 million impact to the crude oil transportation and services segment), the Rover pipeline (a $359 million impact to the interstate transportation and storage segment) and the acquisition of USAC (a net impact of $191 million among the investment in USAC and all other segments). The remainder of the increase in Adjusted EBITDA was primarily due to stronger demand on existing assets, particularly due to increased production in the Permian, which impacted multiple segments. Additional discussion of these and other factors affecting Adjusted EBITDA is included in the analysis of Segment Adjusted EBITDA in the “Segment Operating Results” section below.</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increased primarily due to additional depreciation and amortization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recently placed in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of Interest Capitalized. </w:t>
      </w:r>
      <w:r>
        <w:rPr>
          <w:rFonts w:ascii="Arial" w:cs="Arial" w:eastAsia="Arial" w:hAnsi="Arial"/>
          <w:sz w:val="18"/>
          <w:szCs w:val="18"/>
          <w:color w:val="auto"/>
        </w:rPr>
        <w:t>Interest expense, net of interest capitalized, increased primarily due to the following:</w:t>
      </w:r>
    </w:p>
    <w:p>
      <w:pPr>
        <w:spacing w:after="0" w:line="117" w:lineRule="exact"/>
        <w:rPr>
          <w:sz w:val="20"/>
          <w:szCs w:val="20"/>
          <w:color w:val="auto"/>
        </w:rPr>
      </w:pPr>
    </w:p>
    <w:p>
      <w:pPr>
        <w:ind w:left="34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of $121 million recognized by ETO primarily related to an increase in long-term debt, including additional senior note issuances and borrowings under our revolving credit facilities;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of $78 million due to the acquisition of USAC on April 2, 2018; partially offset by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decrease of $65 million recognized by Sunoco LP primarily due to the repayment in full of its term loan and refinancing of its senior notes at lower rates.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Impairment Losses. </w:t>
      </w:r>
      <w:r>
        <w:rPr>
          <w:rFonts w:ascii="Arial" w:cs="Arial" w:eastAsia="Arial" w:hAnsi="Arial"/>
          <w:sz w:val="18"/>
          <w:szCs w:val="18"/>
          <w:color w:val="auto"/>
        </w:rPr>
        <w:t>During the year ended December 31, 2018, the Partnership recognized goodwill impairments of $378 million and asset impairments of $4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our midstream operations and asset impairments of $9 million related to our crude operations idle leased assets. Sunoco LP recognized a $30 million indefinite-lived intangible impairment related to its contractual rights. USAC recognized a $9 million fixed asset impairment related to certain idle compressor assets.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2017, the Partnership recorded goodwill impairments of $223 million related to the compression business, $229 million related to Panhandle, $262 million related to the interstate transportation and storage segment and $79 million related to the NGL and refined products transportation and services segment. Sunoco LP recognized goodwill impairments of $387 million in 2017, of which $102 million was allocated to continuing operations. In addition, during the year ended December 31, 2017, the Partnership recorded an impairment to the property, plant and equipment of Sea Robin of $127 million. Additional discussion on these impairments is included in “Estimates and Critical Accounting Policies” below.</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Gains (Losses) on Interest Rate Derivatives. </w:t>
      </w:r>
      <w:r>
        <w:rPr>
          <w:rFonts w:ascii="Arial" w:cs="Arial" w:eastAsia="Arial" w:hAnsi="Arial"/>
          <w:sz w:val="16"/>
          <w:szCs w:val="16"/>
          <w:color w:val="auto"/>
        </w:rPr>
        <w:t>Our interest rate derivatives are not designated as hedges for accounting purposes; therefore, changes in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are recorded in earnings each period. Gains (losses) on interest rate derivatives during the years ended December 31, 2018 and 2017 resulted from an increase in forward interest rates in 2018 and a decrease in forward interest rates in 2017, which caused our forward-starting swaps to change in value.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Unrealized Gains (Losses) on Commodity Risk Management Activities. </w:t>
      </w:r>
      <w:r>
        <w:rPr>
          <w:rFonts w:ascii="Arial" w:cs="Arial" w:eastAsia="Arial" w:hAnsi="Arial"/>
          <w:sz w:val="18"/>
          <w:szCs w:val="18"/>
          <w:color w:val="auto"/>
        </w:rPr>
        <w:t>See discussion of the unrealized gains (losses) on commodity risk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included in the discussion of segment results below.</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Inventory Valuation Adjustments. </w:t>
      </w:r>
      <w:r>
        <w:rPr>
          <w:rFonts w:ascii="Arial" w:cs="Arial" w:eastAsia="Arial" w:hAnsi="Arial"/>
          <w:sz w:val="18"/>
          <w:szCs w:val="18"/>
          <w:color w:val="auto"/>
        </w:rPr>
        <w:t>Inventory valuation reserve adjustments were recorded for the inventory associated with Sunoco LP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 changes in between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Losses on Extinguishments of Debt. </w:t>
      </w:r>
      <w:r>
        <w:rPr>
          <w:rFonts w:ascii="Arial" w:cs="Arial" w:eastAsia="Arial" w:hAnsi="Arial"/>
          <w:sz w:val="18"/>
          <w:szCs w:val="18"/>
          <w:color w:val="auto"/>
        </w:rPr>
        <w:t>Amounts were related to Sunoco LP’s senior note and term loan redemption in January 2018.</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Operation Results” below.</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Impairment of Investments in Unconsolidated Affiliates. </w:t>
      </w:r>
      <w:r>
        <w:rPr>
          <w:rFonts w:ascii="Arial" w:cs="Arial" w:eastAsia="Arial" w:hAnsi="Arial"/>
          <w:sz w:val="18"/>
          <w:szCs w:val="18"/>
          <w:color w:val="auto"/>
        </w:rPr>
        <w:t>During the year ended December 31, 2017, the Partnership recorded impairments to its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FEP of $141 million and HPC of $172 million. Additional discussion on these impairments is included in “Estimates and Critical Accounting Policies” below.</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Related to Discontinued Operations. </w:t>
      </w:r>
      <w:r>
        <w:rPr>
          <w:rFonts w:ascii="Arial" w:cs="Arial" w:eastAsia="Arial" w:hAnsi="Arial"/>
          <w:sz w:val="18"/>
          <w:szCs w:val="18"/>
          <w:color w:val="auto"/>
        </w:rPr>
        <w:t>Amounts were related to the operations of Sunoco LP’s retail business that were disposed of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amortization of regulatory assets and other income and expense amounts.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On December 22, 2017, the Tax Cuts and Jobs Act was signed into law. Among other provisions, the highest corporate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was reduced from 35% to 21% for taxable years beginning after December 31, 2017. As a result, the Partnership recognized a deferred tax benefit of 1.81 billion in December 2017. For the year ended December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2018, the Partnership recorded an income tax expense due to pre-tax income at its corporate subsidiaries, partially offset by a statutory rate reduction.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 on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related to unconsolidated affiliates: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69" w:lineRule="exact"/>
              <w:rPr>
                <w:sz w:val="20"/>
                <w:szCs w:val="20"/>
                <w:color w:val="auto"/>
              </w:rPr>
            </w:pPr>
            <w:r>
              <w:rPr>
                <w:rFonts w:ascii="Arial" w:cs="Arial" w:eastAsia="Arial" w:hAnsi="Arial"/>
                <w:sz w:val="31"/>
                <w:szCs w:val="31"/>
                <w:color w:val="auto"/>
                <w:vertAlign w:val="subscript"/>
              </w:rPr>
              <w:t>HPC</w:t>
            </w:r>
            <w:r>
              <w:rPr>
                <w:rFonts w:ascii="Arial" w:cs="Arial" w:eastAsia="Arial" w:hAnsi="Arial"/>
                <w:sz w:val="12"/>
                <w:szCs w:val="12"/>
                <w:color w:val="auto"/>
              </w:rPr>
              <w:t xml:space="preserve"> (1)(2)</w:t>
            </w:r>
          </w:p>
        </w:tc>
        <w:tc>
          <w:tcPr>
            <w:tcW w:w="10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equity in earnings of unconsolidated affiliates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5"/>
                <w:szCs w:val="25"/>
                <w:color w:val="auto"/>
                <w:vertAlign w:val="superscript"/>
              </w:rPr>
              <w:t>(3)</w:t>
            </w:r>
            <w:r>
              <w:rPr>
                <w:rFonts w:ascii="Arial" w:cs="Arial" w:eastAsia="Arial" w:hAnsi="Arial"/>
                <w:sz w:val="18"/>
                <w:szCs w:val="18"/>
                <w:b w:val="1"/>
                <w:bCs w:val="1"/>
                <w:color w:val="auto"/>
              </w:rPr>
              <w:t>:</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7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HPC </w:t>
            </w:r>
            <w:r>
              <w:rPr>
                <w:rFonts w:ascii="Arial" w:cs="Arial" w:eastAsia="Arial" w:hAnsi="Arial"/>
                <w:sz w:val="25"/>
                <w:szCs w:val="25"/>
                <w:color w:val="auto"/>
                <w:vertAlign w:val="superscript"/>
              </w:rPr>
              <w:t>(2)</w:t>
            </w:r>
          </w:p>
        </w:tc>
        <w:tc>
          <w:tcPr>
            <w:tcW w:w="10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Citrus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FEP</w:t>
            </w:r>
          </w:p>
        </w:tc>
        <w:tc>
          <w:tcPr>
            <w:tcW w:w="10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HPC </w:t>
            </w:r>
            <w:r>
              <w:rPr>
                <w:rFonts w:ascii="Arial" w:cs="Arial" w:eastAsia="Arial" w:hAnsi="Arial"/>
                <w:sz w:val="25"/>
                <w:szCs w:val="25"/>
                <w:color w:val="auto"/>
                <w:vertAlign w:val="superscript"/>
              </w:rPr>
              <w:t>(2)</w:t>
            </w:r>
          </w:p>
        </w:tc>
        <w:tc>
          <w:tcPr>
            <w:tcW w:w="104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distributions received from unconsolidated affiliates</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26" w:lineRule="auto"/>
        <w:tabs>
          <w:tab w:leader="none" w:pos="34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The partnership previously owned a 49.99% interest in HPC, which owns RIGS. In April 2018, we acquired the remaining 50.01% interest in HPC. Prior to April 2018, HPC was reflected as an unconsolidated affiliate in our financial statements; beginning in April 2018, RIGS is reflected as a wholly-owned subsidiary in our financial statements.</w:t>
      </w:r>
    </w:p>
    <w:p>
      <w:pPr>
        <w:spacing w:after="0" w:line="95"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For the year ended December 31, 2017, equity in earnings of unconsolidated affiliates includes the impact of non-cash impairments recorded by HPC, which reduced the Partnership’s equity in earnings by $185 million.</w:t>
      </w:r>
    </w:p>
    <w:p>
      <w:pPr>
        <w:spacing w:after="0" w:line="95" w:lineRule="exact"/>
        <w:rPr>
          <w:rFonts w:ascii="Arial" w:cs="Arial" w:eastAsia="Arial" w:hAnsi="Arial"/>
          <w:sz w:val="25"/>
          <w:szCs w:val="25"/>
          <w:color w:val="auto"/>
          <w:vertAlign w:val="superscript"/>
        </w:rPr>
      </w:pPr>
    </w:p>
    <w:p>
      <w:pPr>
        <w:jc w:val="both"/>
        <w:ind w:left="340" w:hanging="332"/>
        <w:spacing w:after="0" w:line="226" w:lineRule="auto"/>
        <w:tabs>
          <w:tab w:leader="none" w:pos="34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8"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01"/>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Results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40"/>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Natural gas transported (BBtu/d)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654</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37"/>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2018 compared to the prior year, transported volumes increased primarily due to favorable market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spreads, as well as the impact of reflecting RIGS assets as a consolidated subsidiary beginning in April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intrastate transportation and storage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640" w:type="dxa"/>
            <w:vAlign w:val="bottom"/>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fees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sales and other (excluding unrealized gains and losses)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fuel revenues (excluding unrealized gains and losses)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Storage margin, including fees (excluding unrealized gains and losses)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1,072</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intrastate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$314 million in realized natural gas sales and other due to higher realized gains from pipeline optimization activity;</w:t>
      </w:r>
    </w:p>
    <w:p>
      <w:pPr>
        <w:spacing w:after="0" w:line="11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net increase of $14 million due to the consolidation of RIGS beginning in April 2018, resulting in increases in transportation fees, operating expenses, and selling, general and administrative expenses of $73 million, $16 million and $6 million, respectively, and a decrease of $37 million in Adjusted EBITDA related to unconsolidated affiliates;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$4 million in transportation fees, excluding the impact of consolidating RIGS as discussed above, primarily due to new contracts and the impact of the Red Bluff Express pipeline coming online in May 2018;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decrease of $33 million in realized storage margin primarily due to an adjustment to the Bammel storage inventory, lower storage fees and lower realized derivative gains.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1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01"/>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40"/>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Natural gas transported (BBtu/d)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9,542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Natural gas sold (BBtu/d)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1,682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w w:val="89"/>
              </w:rPr>
              <w:t>Operating expenses, excluding non-cash compensation, amortization and accretion expenses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Selling, general and administrative, excluding non-cash compensation, amortization and</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accretion expenses</w:t>
            </w: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6740" w:type="dxa"/>
            <w:vAlign w:val="bottom"/>
            <w:gridSpan w:val="2"/>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1,680</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1,274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2018 compared to the prior year, transported volumes reflected increases of 1,919 BBtu/d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initiation of service on the Rover pipeline; increases of 572 BBtu/d and 439 BBtu/d on the Panhandle and Trunkline pipelines, respectively, due to higher demand resulting from colder weather and increased utilization by the Rover pipeline; 375 BBtu/d on the Tiger pipeline as a result of production increases in the Haynesville Shale, and 145 BBtu/d on the Transwestern pipeline resulting from favorable market opportunities in the West, midcontinent and Waha areas from the Permian supply basin.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increase of $359 million associated with the Rover pipeline with increases of $485 million in revenues, $105 million in net operating expenses and $21 million in selling, general and administrative expenses and other;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aggregate increase of $66 million in revenues, excluding the incremental revenue related to the Rover pipeline discussed above, primarily due to capacity sold at higher rates on the Transwestern and Panhandle pipelines; partially offset by</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increase of $11 million in operating expenses, excluding the incremental expenses related to the Rover pipeline discussed above, primarily due to increases in maintenance project costs due to scope and level of activity; and</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decrease of $6 million in Adjusted EBITDA related to unconsolidated affiliates primarily due to lower margins on MEP due to lower rates on renewals of expiring long term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Gathered volumes (BBtu/d):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NGLs produced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NGLs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6740" w:type="dxa"/>
            <w:vAlign w:val="bottom"/>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Gathered volumes and NGL production increased during the year ended December 31, 2018 compared to the prior year primarily due to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North Texas, Permian and Northeast regions, partially offset by smaller declines in other regions.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table below presents the components of our midstream segment margin. For the years ended December 31, 2018 and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previously reported for fee-based and non-fee-based margin have been adjusted to reflect reclassification of certain contractual minimum fees from fee-based margin to non-fee-based margin in order to conform to the current period classification.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and processing fee-based revenues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1,788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Non-fee based contracts and processing (excluding unrealized gains and losses)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2,377</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2,182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midstream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due to the net impacts of the following:</w:t>
      </w:r>
    </w:p>
    <w:p>
      <w:pPr>
        <w:spacing w:after="0" w:line="62" w:lineRule="exact"/>
        <w:rPr>
          <w:sz w:val="20"/>
          <w:szCs w:val="20"/>
          <w:color w:val="auto"/>
        </w:rPr>
      </w:pPr>
    </w:p>
    <w:p>
      <w:pPr>
        <w:ind w:left="3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$98 million in fee-based margin due to growth in the North Texas, Permian and Northeast regions, offset by declines in the Ark-La-Tex and midcontinent/Panhandle regions;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$79 million in non fee-based margin due to increased throughput volume in the North Texas and Permian regions;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$33 million in non fee-based margin due to higher crude oil and NGL prices; and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$5 million in Adjusted EBITDA related to unconsolidated affiliates due to higher earnings from our Aqua, Mi Vida and Ranch joint ventures;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$67 million in operating expenses primarily due to increases of $20 million in outside services, $19 million in materials, $8 million in maintenance project costs, $7 million in ad valorem taxes, $6 million in employee costs and $6 million in office expenses;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$3 million in selling, general and administrative expenses due to higher professional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transportation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Refined products transportation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refined products terminal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NGL fractionation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620"/>
              <w:spacing w:after="0"/>
              <w:rPr>
                <w:sz w:val="20"/>
                <w:szCs w:val="20"/>
                <w:color w:val="auto"/>
              </w:rPr>
            </w:pPr>
            <w:r>
              <w:rPr>
                <w:rFonts w:ascii="Arial" w:cs="Arial" w:eastAsia="Arial" w:hAnsi="Arial"/>
                <w:sz w:val="18"/>
                <w:szCs w:val="18"/>
                <w:color w:val="auto"/>
              </w:rPr>
              <w:t>96</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2018 compared to the prior year, NGL transportation volumes increased primarily due to increased volumes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Permian region resulting from a ramp up in production from existing customers, higher throughput volumes on Mariner West driven by end-user facility constraints in the prior year and higher throughput from Mariner South resulting from increased export volumes.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Refined products transportation volumes decreased for the year ended December 31, 2018 compared to prior year, primarily due to timing of turnarounds at third-party refineries in the Midwest and Northeast regions.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NGL and Refined products terminal volumes increased for the year ended December 31, 2018 compared to prior year, primarily due to more volumes loaded at our Nederland terminal as propane export demand increased and higher throughput volumes at our refined products terminals in the Northeast.</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Average volumes fractionated at our Mont Belvieu, Texas fractionation facility increased for the year ended December 31, 2018 compared to the prior year primarily due to increased volumes from the Permian region, as well as an increase in fractionation capacity as our fifth fractionator at Mont Belvieu came online in July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NGL and refined products transportation and services segment margin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Fractionators and refinery services margin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Transportation margin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1,233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Terminal Services margin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segment margin</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2,661</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NGL and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transportation and services segment increased due to the net impacts of the following:</w:t>
      </w:r>
    </w:p>
    <w:p>
      <w:pPr>
        <w:spacing w:after="0" w:line="62" w:lineRule="exact"/>
        <w:rPr>
          <w:sz w:val="20"/>
          <w:szCs w:val="20"/>
          <w:color w:val="auto"/>
        </w:rPr>
      </w:pPr>
    </w:p>
    <w:p>
      <w:pPr>
        <w:jc w:val="both"/>
        <w:ind w:left="340" w:hanging="332"/>
        <w:spacing w:after="0" w:line="291"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increase in transportation margin of $243 million primarily due to a $216 million increase resulting from increased producer volumes from the Permian region on our Texas NGL pipelines, a $31 million increase due to higher throughput volumes on Mariner West driven by end-user facility constraints in the prior period, a $15 million increase resulting from a reclassification between our transportation and fractionation margins, a $9 million increase due to higher throughput volumes from the Barnett region, a $5 million increase due to higher throughput volumes on Mariner South due to system downtime in the prior period and a $4 million increase in prior period customer credits. These increases were partially offset by a $16 million decrease resulting from lower throughput volumes on Mariner East 1 due to system downtime in 2018, a $14 million decrease due to lower throughput volumes from the Southeast Texas region and a $7 million decrease resulting from the timing of deficiency fee revenue recognition;</w:t>
      </w:r>
    </w:p>
    <w:p>
      <w:pPr>
        <w:spacing w:after="0" w:line="59"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in fractionation and refinery services margin of $96 million primarily due to a $106 million increase resulting from the commissioning of our fifth fractionator in July 2018 and a $7 million increase from blending gains as a result of improved market pricing. These increases were partially offset by a $16 million decrease resulting from a reclassification between our transportation and fractionation margins and a $2 million decrease from higher affiliate storage fees paid;</w:t>
      </w:r>
    </w:p>
    <w:p>
      <w:pPr>
        <w:spacing w:after="0" w:line="7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in terminal services margin of $70 million due to a $36 million increase resulting from a change in the classification of certain customer reimbursements previously recorded in operating expenses, a $23 million increase at our Nederland terminal due to increased export demand and a $12 million increase due to higher throughput at our Marcus Hook Industrial Complex. These increases were partially offset by lower terminal throughput fees in part due to the sale of one of our terminals in April 2017;</w:t>
      </w:r>
    </w:p>
    <w:p>
      <w:pPr>
        <w:spacing w:after="0" w:line="7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in marketing margin of $55 million due to a $48 million increase from our butane blending operations and a $22 million increase in sales of NGLs and other products at our Marcus Hook Industrial Complex due to more favorable market prices. These increases were partially offset by a $15 million decrease from the timing of optimization gains from our Mont Belvieu fractionators; and</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of $14 million to adjusted EBITDA related to unconsolidated affiliates due to improved contributions from our unconsolidated refined products joint venture interests; partially offset 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hanging="332"/>
        <w:spacing w:after="0" w:line="293"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 increase of $126 million in operating expenses primarily due to a $30 million increase in costs to operate our fractionators and a $20 million increase in operating costs on our NGL pipelines as a result of higher throughput and the commissioning of our fifth fractionator in July 2018, a $36 million increase resulting from a change in the classification of certain customer reimbursements previously recorded as a reduction to operating expenses that are now classified as revenue following the adoption of ASC 606 on January 1, 2018, increases of $24 million and $7 million to operating costs at our Marcus Hook and Nederland terminals, respectively, as a result of significantly higher volumes through both terminals in 2018, an $8 million increase to environmental reserves and a $1 million increase to overhead allocations and maintenance repairs performed on our refinery services assets; and</w:t>
      </w:r>
    </w:p>
    <w:p>
      <w:pPr>
        <w:spacing w:after="0" w:line="56"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$10 million in selling, general and administrative expenses primarily due to a $6 million increase in overhead costs allocated to the segment, a $2 million increase in legal fees, a $1 million increase in management fees previously recorded in operating expenses and a $1 million increase in employee costs.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Transportation and Services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Transportation Volumes (MBbls/d)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Crude Terminals Volumes (MBbls/d)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4,613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losses on commodity risk management activities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increased due to the net impacts of the following:</w:t>
      </w:r>
    </w:p>
    <w:p>
      <w:pPr>
        <w:spacing w:after="0" w:line="62" w:lineRule="exact"/>
        <w:rPr>
          <w:sz w:val="20"/>
          <w:szCs w:val="20"/>
          <w:color w:val="auto"/>
        </w:rPr>
      </w:pPr>
    </w:p>
    <w:p>
      <w:pPr>
        <w:jc w:val="both"/>
        <w:ind w:left="340" w:hanging="332"/>
        <w:spacing w:after="0" w:line="25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$1.07 billion in segment margin (excluding unrealized losses on commodity risk management activities) primarily due to the following: a $586 million increase resulting from placing the Bakken pipeline in service in the second quarter of 2017, a $266 million increase resulting from higher throughput on our Texas crude pipeline system primarily due to increased production from Permian producers; and gains of $355 million due to more favorable basis spreads; partially offset by an unfavorable inventory valuation adjustment of $54 million for the 2018 year as compared to a favorable inventory valuation adjustment of $82 million for the 2017 year; and</w:t>
      </w:r>
    </w:p>
    <w:p>
      <w:pPr>
        <w:spacing w:after="0" w:line="8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$2 million in Adjusted EBITDA related to unconsolidated affiliates due to increased jet fuel sales from our joint ventures; partially offset by</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$117 million in operating expenses primarily due to a $67 million increase to throughput related costs on existing assets; a $36 million increase resulting from placing the Bakken pipeline in service in the second quarter of 2017; a $26 million increase resulting from the addition of certain joint venture transportation assets in the second quarter of 2017; and a $5 million increase from ad valorem taxes; partially offset by an $17 million decrease in insurance and environmental related expenses; and</w:t>
      </w:r>
    </w:p>
    <w:p>
      <w:pPr>
        <w:spacing w:after="0" w:line="7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$4 million in selling, general and administrative expenses primarily due to increases associated with placing our Bakken Pipeline in service in the second quarter of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18"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01"/>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40"/>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ind w:left="220"/>
              <w:spacing w:after="0"/>
              <w:rPr>
                <w:sz w:val="20"/>
                <w:szCs w:val="20"/>
                <w:color w:val="auto"/>
              </w:rPr>
            </w:pPr>
            <w:r>
              <w:rPr>
                <w:rFonts w:ascii="Arial" w:cs="Arial" w:eastAsia="Arial" w:hAnsi="Arial"/>
                <w:sz w:val="18"/>
                <w:szCs w:val="18"/>
                <w:color w:val="auto"/>
              </w:rPr>
              <w:t>Years Ended December 31,</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5,257</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Unrealized (gains) losses on commodity risk management activities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 valuation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Adjusted EBITDA from discontinued operations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6740" w:type="dxa"/>
            <w:vAlign w:val="bottom"/>
            <w:gridSpan w:val="2"/>
          </w:tcPr>
          <w:p>
            <w:pPr>
              <w:ind w:left="18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Segment Adjusted EBITDA. </w:t>
      </w:r>
      <w:r>
        <w:rPr>
          <w:rFonts w:ascii="Arial" w:cs="Arial" w:eastAsia="Arial" w:hAnsi="Arial"/>
          <w:sz w:val="17"/>
          <w:szCs w:val="17"/>
          <w:color w:val="auto"/>
        </w:rPr>
        <w:t>For the year ended December 31, 2018 compared to the prior year, Segment Adjusted EBITDA related to the Investment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Sunoco LP segment decreased due to the net impacts of the following:</w:t>
      </w:r>
    </w:p>
    <w:p>
      <w:pPr>
        <w:spacing w:after="0" w:line="103" w:lineRule="exact"/>
        <w:rPr>
          <w:sz w:val="20"/>
          <w:szCs w:val="20"/>
          <w:color w:val="auto"/>
        </w:rPr>
      </w:pPr>
    </w:p>
    <w:p>
      <w:pPr>
        <w:ind w:left="34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decrease of $248 million in Adjusted EBITDA from discontinued operations primarily due to Sunoco LP’s retail divestment in January 2018; partially offset by</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increase of $109 million in inventory fair value adjustments due to changes in fuel prices between periods;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increase of $14 million in margin primarily due to an increase in rental income as a result of the increase in commission agent sites in the current year, offset by decreases in the gross profit on motor fuel sales;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net decrease of $8 million in operating and selling, general and administrative expenses primarily due to decreased rent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2680" w:type="dxa"/>
            <w:vAlign w:val="bottom"/>
            <w:gridSpan w:val="4"/>
          </w:tcPr>
          <w:p>
            <w:pPr>
              <w:jc w:val="right"/>
              <w:ind w:right="50"/>
              <w:spacing w:after="0"/>
              <w:rPr>
                <w:sz w:val="20"/>
                <w:szCs w:val="20"/>
                <w:color w:val="auto"/>
              </w:rPr>
            </w:pPr>
            <w:r>
              <w:rPr>
                <w:rFonts w:ascii="Arial" w:cs="Arial" w:eastAsia="Arial" w:hAnsi="Arial"/>
                <w:sz w:val="18"/>
                <w:szCs w:val="18"/>
                <w:color w:val="auto"/>
              </w:rPr>
              <w:t>Years Ended December 31,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investment in USAC segment reflects the consolidated results of USAC from April 2, 2018, the date ET obtained control of USAC, through December 31, 2018. Changes between periods are due to the consolidation of USAC beginning April 2,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1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01"/>
        </w:trPr>
        <w:tc>
          <w:tcPr>
            <w:tcW w:w="6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All Other</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40"/>
        </w:trPr>
        <w:tc>
          <w:tcPr>
            <w:tcW w:w="11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110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Change</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2,006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2,509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Segment margin</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Unrealized gains on commodity risk management activities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11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 related to unconsolidated affiliates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and eliminations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10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11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during the periods presented above primarily include:</w:t>
      </w:r>
    </w:p>
    <w:p>
      <w:pPr>
        <w:spacing w:after="0" w:line="117"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non-controlling interest in PES. Prior to PES’s reorganization in August 2018, ETO’s 33% interest in PES was reflected as an unconsolidated affiliate; subsequent the August 2018 reorganization, ETO holds an approximately 8% interest in PES and no longer reflects PES as an affiliate; and</w:t>
      </w:r>
    </w:p>
    <w:p>
      <w:pPr>
        <w:spacing w:after="0" w:line="15" w:lineRule="exact"/>
        <w:rPr>
          <w:rFonts w:ascii="Arial" w:cs="Arial" w:eastAsia="Arial" w:hAnsi="Arial"/>
          <w:sz w:val="16"/>
          <w:szCs w:val="16"/>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investment in coal handling facilities.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2018 compared to the prior year, Segment Adjusted EBITDA decreased due to the net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following:</w:t>
      </w:r>
    </w:p>
    <w:p>
      <w:pPr>
        <w:spacing w:after="0" w:line="62" w:lineRule="exact"/>
        <w:rPr>
          <w:sz w:val="20"/>
          <w:szCs w:val="20"/>
          <w:color w:val="auto"/>
        </w:rPr>
      </w:pPr>
    </w:p>
    <w:p>
      <w:pPr>
        <w:ind w:left="34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decrease of $98 million due to the contribution of CDM to USAC in April 2018, subsequent to which CDM is reflected in the Investment in USAC segment;</w:t>
      </w:r>
    </w:p>
    <w:p>
      <w:pPr>
        <w:spacing w:after="0" w:line="6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decrease of $38 million in Adjusted EBITDA related to unconsolidated affiliates from our investment in PES primarily due to our lower ownership in PES subsequent to its reorganization, which resulted in PES no longer being reflected as an affiliate beginning in the third quarter of 2018;</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decrease of $4 million due to merger and acquisition expenses related to the Energy Transfer Merger in 2018;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decrease of $15 million due to a one-time fee received from a joint venture affiliate in 2017; partially offset by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$7 million due to lower transport fees resulting from the expiration of a capacity commitment on Trunkline pipeline;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$6 million due to a decrease in losses from mark-to-market of physical system gas;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$7 million due to increased margin from ETO’s compression equipment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Company Only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Merger with ETO, substantially all of the Partnership’s cash flows are derived from distributions related to its investment in ETO, whose cash flows are derived from its subsidiaries, including ETO’s investments in Sunoco LP and USAC.</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Parent Company’s primary cash requirements are for general and administrative expenses, debt service requirements and distributions to its partners. The Parent Company currently expects to fund its short-term needs for such items with cash flows from its direct and indirect investments in ETO. The Parent Company distributes its available cash remaining after satisfaction of the aforementioned cash requirements to its Unitholders on a quarterly basis.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14"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Parent Company expects ETO and its respective subsidiaries and investments in Sunoco LP and USAC to utilize their resources, along with cash from their operations, to fund their announced growth capital expenditures and working capital needs; however, the Parent Company may issue debt or equity securities from time to time, as it deems prudent to provide liquidity for new capital projects of its subsidiaries or for other partnership purposes.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ETO’s ability to satisfy its obligations and pay distributions to the Parent Company will depend on its future performance, which will be subject to prevailing economic, financial, business and weather conditions, and other factors, many of which are beyond the control of ETO’s management.</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ETO currently expects capital expenditures in 2020 to be within the following ranges (excluding capital expenditures related to our investments in Sunoco LP and USAC):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gridSpan w:val="3"/>
          </w:tcPr>
          <w:p>
            <w:pPr>
              <w:jc w:val="right"/>
              <w:ind w:right="630"/>
              <w:spacing w:after="0"/>
              <w:rPr>
                <w:sz w:val="20"/>
                <w:szCs w:val="20"/>
                <w:color w:val="auto"/>
              </w:rPr>
            </w:pPr>
            <w:r>
              <w:rPr>
                <w:rFonts w:ascii="Arial" w:cs="Arial" w:eastAsia="Arial" w:hAnsi="Arial"/>
                <w:sz w:val="18"/>
                <w:szCs w:val="18"/>
                <w:color w:val="auto"/>
              </w:rPr>
              <w:t>Growth</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96"/>
              </w:rPr>
              <w:t>Maintenance</w:t>
            </w:r>
          </w:p>
        </w:tc>
        <w:tc>
          <w:tcPr>
            <w:tcW w:w="98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Low</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High</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Low</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High</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Intrastate transportation and storage</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Interstate transportation and storage </w:t>
            </w:r>
            <w:r>
              <w:rPr>
                <w:rFonts w:ascii="Arial" w:cs="Arial" w:eastAsia="Arial" w:hAnsi="Arial"/>
                <w:sz w:val="25"/>
                <w:szCs w:val="25"/>
                <w:color w:val="auto"/>
                <w:vertAlign w:val="superscript"/>
              </w:rPr>
              <w:t>(1)</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NGL and refined products transportation and services </w:t>
            </w:r>
            <w:r>
              <w:rPr>
                <w:rFonts w:ascii="Arial" w:cs="Arial" w:eastAsia="Arial" w:hAnsi="Arial"/>
                <w:sz w:val="25"/>
                <w:szCs w:val="25"/>
                <w:color w:val="auto"/>
                <w:vertAlign w:val="superscript"/>
              </w:rPr>
              <w:t>(1)</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2,550</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2,650</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transportation and services </w:t>
            </w:r>
            <w:r>
              <w:rPr>
                <w:rFonts w:ascii="Arial" w:cs="Arial" w:eastAsia="Arial" w:hAnsi="Arial"/>
                <w:sz w:val="25"/>
                <w:szCs w:val="25"/>
                <w:color w:val="auto"/>
                <w:vertAlign w:val="superscript"/>
              </w:rPr>
              <w:t>(1)</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All other (including eliminations)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capital expenditures</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3,920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4,130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hanging="332"/>
        <w:spacing w:after="0" w:line="216" w:lineRule="auto"/>
        <w:tabs>
          <w:tab w:leader="none" w:pos="340" w:val="left"/>
        </w:tabs>
        <w:numPr>
          <w:ilvl w:val="0"/>
          <w:numId w:val="89"/>
        </w:numPr>
        <w:rPr>
          <w:rFonts w:ascii="Arial" w:cs="Arial" w:eastAsia="Arial" w:hAnsi="Arial"/>
          <w:sz w:val="25"/>
          <w:szCs w:val="25"/>
          <w:color w:val="auto"/>
          <w:vertAlign w:val="superscript"/>
        </w:rPr>
      </w:pPr>
      <w:r>
        <w:rPr>
          <w:rFonts w:ascii="Arial" w:cs="Arial" w:eastAsia="Arial" w:hAnsi="Arial"/>
          <w:sz w:val="18"/>
          <w:szCs w:val="18"/>
          <w:color w:val="auto"/>
        </w:rPr>
        <w:t>Includes capital expenditures related to ETO’s proportionate ownership of the Bakken, Rover, and Bayou Bridge pipeline projects and our proportionate ownership of the Orbit Gulf Coast NGL export project.</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and other factors beyond our control. However, we include these factors in our anticipated growth capital expenditures for each year.</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 generally funds maintenance capital expenditures and distributions with cash flows from operating activities. ETO generally expects to funds growth capital expenditures with proceeds of borrowings under ETO credit facilities, along with cash from operations.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in addition to $253 million of cash on hand, ETO had available capacity under the ETO Credit Facilities of $1.71 billion. Based on ETO’s current estimates, ETO expects to utilize capacity under the ETO Credit Facilities, along with cash from operations, to fund ETO’s announced growth capital expenditures and working capital needs through the end of 2020; however, ETO may issue debt or equity securities prior to that time as ETO deems prudent to provide liquidity for new capital projects, to maintain investment grade credit metrics or other partnership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Sunoco LP’s primary sources of liquidity consist of cash generated from operating activities, borrowings under its $1.50 billion credit facility and the issuance of additional long-term debt or partnership units as appropriate given market conditions. At December 31, 2019, Sunoco LP had available borrowing capacity of $1.33 billion under its revolving credit facility and $21 million of cash and cash equivalents on hand.</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2020, Sunoco LP expects to invest approximately $130 million in growth capital expenditures and approximately $45 million on maintenance capital expenditures. Sunoco LP may revise the timing of these expenditures as necessary to adapt to economic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USAC</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compression services business is capital intensive, requiring significant investment to maintain, expand and upgrade existing operations. USAC’s capital requirements have consisted primarily of, and it anticipates that its capital requirements will continue to consist primarily of, the following:</w:t>
      </w:r>
    </w:p>
    <w:p>
      <w:pPr>
        <w:spacing w:after="0" w:line="38" w:lineRule="exact"/>
        <w:rPr>
          <w:sz w:val="20"/>
          <w:szCs w:val="20"/>
          <w:color w:val="auto"/>
        </w:rPr>
      </w:pPr>
    </w:p>
    <w:p>
      <w:pPr>
        <w:jc w:val="both"/>
        <w:ind w:left="340" w:right="20" w:hanging="332"/>
        <w:spacing w:after="0" w:line="26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maintenance capital expenditures, which are capital expenditures made to maintain the operating capacity of its assets and extend their useful lives, to replace partially or fully depreciated assets, or other capital expenditures that are incurred in maintaining its existing business and related operating income; and</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expansion capital expenditures, which are capital expenditures made to expand the operating capacity or operating income capacity of assets, including by acquisition of compression units or through modification of existing compression units to increase their capacity, or to replace certain partially or fully depreciated assets that were not currently generating operating income.</w:t>
      </w:r>
    </w:p>
    <w:p>
      <w:pPr>
        <w:spacing w:after="0" w:line="12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USAC classifies capital expenditures as maintenance or expansion on an individual asset basis. Over the long-term, USAC expects that its maintenance capital expenditure requirements will continue to increase as the overall size and age of its fleet increase. USAC currently plans to spend approximately $32 million in maintenance capital expenditures during 2020, including parts consumed from inventory.</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Without giving effect to any equipment USAC may acquire pursuant to any future acquisitions, it currently has budgeted between $110 million and $120 million in expansion capital expenditures during 2020. As of December 31, 2019, USAC has binding commitments to purchase $49 million of additional compression units, all of which USAC expects to be delivered in 2020.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flows may change in the future due to a number of factors, some of which we cannot control. These include regulatory changes, the price of our products and services, the demand for such products and services, margin requirements resulting from significant changes in commodity prices, operational risks, the successful integration of our acquisitions, and other factors.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Changes in cash flows from operating activities between periods primarily result from changes in earnings (as discussed in “Results of Operations” above),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acquisitions of assets, while changes in non-cash compensation expense resulted from changes in the number of units granted and changes in the grant date fair value estimated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ETO has a significant amount of interstate pipeline construction in progress. Changes in operating assets and liabilities between periods result from factors such as the changes in the value of derivative assets and liabilities, timing of accounts receivable collection, payments on accounts payable, the timing of purchases and sales of inventories, and the timing of advances and deposits received from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operating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2019 was $8.00 billion and income from continuing operations was $4.90 billion. The difference between net income and cash provided by operating activities in 2019 primarily consisted of non-cash items totaling $3.37 billion offset by net changes in operating assets and liabilities of $518 million. The non-cash activity in 2019 consisted primarily of depreciation, depletion and amortization of $3.15 billion, impairment losses of $74 million, non-cash compensation expense of $113 million, equity in earnings of unconsolidated affiliates of $302 million, inventory valuation adjustments of $79 million, losses on extinguishment of debt of $18 million, and deferred income tax expense of $217 million. The Partnership also received distributions of $290 million from unconsolidated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in 2018 was $7.51 billion and income from continuing operations was $3.63 billion. The difference between net income and cash provided by operating activities in 2018 primarily consisted of non-cash items totaling $3.30 billion offset by net changes in operating assets and liabilities of $289 million. The non-cash activity in 2018 consisted primarily of depreciation, depletion and amortization of $2.86 billion, impairment losses of $431 million, non-cash compensation expense of $105 million, equity in earnings of unconsolidated affiliates of $344 million, inventory valuation adjustments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18" w:right="2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$85 million, losses on extinguishment of debt of $112 million, and deferred income tax benefit of $7 million. The Partnership also received distributions of $328 million from unconsolidated affiliates.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provided by operating activities in 2017 was $4.43 billion and income from continuing operations was $2.54 billion. The difference between net income and cash provided by operating activities in 2017 primarily consisted of non-cash items totaling $1.82 billion offset by net changes in operating assets and liabilities of $192 million. The non-cash activity in 2017 consisted primarily of depreciation, depletion and amortization of $2.55 billion, impairment losses of $1.04 billion, impairment in unconsolidated affiliates of $313 million, non-cash compensation expense of $99 million, equity in earnings of unconsolidated affiliates of $144 million, inventory valuation adjustments of $24 million, losses on extinguishment of debt of $89 million, and deferred income tax benefit of $1.87 billion. The Partnership also received distributions of $297 million from unconsolidated affiliates.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from investing activities primarily consist of cash amounts paid for acquisitions, capital expenditures, cash distributions from our joint ventures, and cash proceeds from sales or contributions of assets or businesses. Changes in capital expenditures between periods primarily result from increases or decreases in our growth capital expenditures to fund our construction and expansion projects.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investing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in 2019 was $6.93 billion. Total capital expenditures (excluding the allowance for equity funds used during construction and net of contributions in aid of construction costs) were $5.88 billion. Additional detail related to our capital expenditures is provided in the table below. During 2019, we received $93 million of cash proceeds from the sale of a noncontrolling interest in a subsidiary, paid $787 million in net cash for the SemGroup acquisition, and paid $7 million in cash for all other acquisitions. We received $54 million of cash proceeds from the sale of assets. The Partnership also received distributions of $98 million from unconsolidated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investing activities in 2018 was $7.08 billion. Total capital expenditures (excluding the allowance for equity funds used during construction and net of contributions in aid of construction costs) were $7.30 billion. Additional detail related to our capital expenditures is provided in the table below. We recorded a net increase in cash of $461 million related to the USAC acquisition and paid $429 million in cash for all other acquisitions. We received $87 million of cash proceeds from the sale of assets. The Partnership also received distributions of $69 million from unconsolidated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in 2017 was $5.61 billion. Total capital expenditures (excluding the allowance for equity funds used during construction and net of contributions in aid of construction costs) were $8.41 billion. Additional detail related to our capital expenditures is provided in the table below. We paid $280 million in cash related to the acquisition of PennTex’s remaining noncontrolling interest and $303 million in cash for all other acquisitions. We received $2.00 billion in cash related to the Bakken equity sale to MarEn Bakken Company LLC, $1.48 billion in cash related to the Rover equity sale to Blackstone Capital Partners. We received $48 million of cash proceeds from the sale of assets. The Partnership also received distributions of $135 million from unconsolidated affiliates.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is a summary of the Partnership’s capital expenditures (including only our proportionate share of the Bakken, Rover, and Bayou Bridge pipeline projects, our proportionate share of the Orbit Gulf Coast NGL export project, and net of contributions in aid of construction costs) by period: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80" w:type="dxa"/>
            <w:vAlign w:val="bottom"/>
            <w:gridSpan w:val="7"/>
          </w:tcPr>
          <w:p>
            <w:pPr>
              <w:jc w:val="center"/>
              <w:ind w:right="170"/>
              <w:spacing w:after="0"/>
              <w:rPr>
                <w:sz w:val="20"/>
                <w:szCs w:val="20"/>
                <w:color w:val="auto"/>
              </w:rPr>
            </w:pPr>
            <w:r>
              <w:rPr>
                <w:rFonts w:ascii="Arial" w:cs="Arial" w:eastAsia="Arial" w:hAnsi="Arial"/>
                <w:sz w:val="18"/>
                <w:szCs w:val="18"/>
                <w:color w:val="auto"/>
                <w:w w:val="91"/>
              </w:rPr>
              <w:t>Capital Expenditures Recorded During Period</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Growth</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Maintenance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6740" w:type="dxa"/>
            <w:vAlign w:val="bottom"/>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2019:</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Investment in Sunoco LP</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USAC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All other (including eliminations)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jc w:val="center"/>
              <w:ind w:right="4070"/>
              <w:spacing w:after="0"/>
              <w:rPr>
                <w:sz w:val="20"/>
                <w:szCs w:val="20"/>
                <w:color w:val="auto"/>
              </w:rPr>
            </w:pPr>
            <w:r>
              <w:rPr>
                <w:rFonts w:ascii="Arial" w:cs="Arial" w:eastAsia="Arial" w:hAnsi="Arial"/>
                <w:sz w:val="18"/>
                <w:szCs w:val="18"/>
                <w:color w:val="auto"/>
                <w:w w:val="90"/>
              </w:rPr>
              <w:t>Total capital expenditures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0"/>
        </w:trPr>
        <w:tc>
          <w:tcPr>
            <w:tcW w:w="6740" w:type="dxa"/>
            <w:vAlign w:val="bottom"/>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2018:</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Midstream</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Investment in Sunoco LP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 in USAC</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All other (including eliminations)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jc w:val="center"/>
              <w:ind w:right="4070"/>
              <w:spacing w:after="0"/>
              <w:rPr>
                <w:sz w:val="20"/>
                <w:szCs w:val="20"/>
                <w:color w:val="auto"/>
              </w:rPr>
            </w:pPr>
            <w:r>
              <w:rPr>
                <w:rFonts w:ascii="Arial" w:cs="Arial" w:eastAsia="Arial" w:hAnsi="Arial"/>
                <w:sz w:val="18"/>
                <w:szCs w:val="18"/>
                <w:color w:val="auto"/>
                <w:w w:val="90"/>
              </w:rPr>
              <w:t>Total capital expenditures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
        </w:trPr>
        <w:tc>
          <w:tcPr>
            <w:tcW w:w="6740" w:type="dxa"/>
            <w:vAlign w:val="bottom"/>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2017:</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rPr>
                <w:sz w:val="20"/>
                <w:szCs w:val="20"/>
                <w:color w:val="auto"/>
              </w:rPr>
            </w:pPr>
            <w:r>
              <w:rPr>
                <w:rFonts w:ascii="Arial" w:cs="Arial" w:eastAsia="Arial" w:hAnsi="Arial"/>
                <w:sz w:val="18"/>
                <w:szCs w:val="18"/>
                <w:color w:val="auto"/>
              </w:rPr>
              <w:t>Intrastate transportation and storage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Interstate transportation and storage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Midstream</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and refined products transportation and services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Crude oil transportation and services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Investment in Sunoco LP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All other (including eliminations)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jc w:val="center"/>
              <w:ind w:right="4070"/>
              <w:spacing w:after="0"/>
              <w:rPr>
                <w:sz w:val="20"/>
                <w:szCs w:val="20"/>
                <w:color w:val="auto"/>
              </w:rPr>
            </w:pPr>
            <w:r>
              <w:rPr>
                <w:rFonts w:ascii="Arial" w:cs="Arial" w:eastAsia="Arial" w:hAnsi="Arial"/>
                <w:sz w:val="18"/>
                <w:szCs w:val="18"/>
                <w:color w:val="auto"/>
                <w:w w:val="90"/>
              </w:rPr>
              <w:t>Total capital expenditures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25"/>
          <w:szCs w:val="25"/>
          <w:color w:val="auto"/>
          <w:vertAlign w:val="superscript"/>
        </w:rPr>
      </w:pPr>
      <w:r>
        <w:rPr>
          <w:rFonts w:ascii="Arial" w:cs="Arial" w:eastAsia="Arial" w:hAnsi="Arial"/>
          <w:sz w:val="18"/>
          <w:szCs w:val="18"/>
          <w:color w:val="auto"/>
        </w:rPr>
        <w:t>Amounts related to Sunoco LP’s capital expenditures include capital expenditures related to 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cash flows from financing activities between periods primarily result from changes in the levels of borrowings and equity issuances, which are primarily used to fund our acquisitions and growth capital expenditures. Distributions to partners increased between the periods as a result of increases in the number of common units outstanding or increases in the distribution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financing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financing activities was $1.20 billion in 2019. In 2019, our subsidiaries received $780 million in proceeds from the issuance of preferred units. In 2019, we had a consolidated increase in our debt level of $2.48 billion, primarily due to the issuance of subsidiary senior notes. During 2019, we paid distributions of $3.05 billion to our partners and we paid distributions of $1.60 billion to noncontrolling interests. In addition, we received capital contributions of $348 million in cash from noncontrolling interests. During 2019, we incurred debt issuance costs of $117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used in financing activities was $3.08 billion in 2018. Our subsidiaries received $1.40 billion in proceeds from the issuance of common units, including $58 million from the issuance of ETO Common Units and $1.34 billion from the issuance of other subsidiary common units. In 2018, we had a consolidated increase in our debt level of $53 million, primarily due to the issuance of Parent Company and subsidiary senior notes. During 2018, we paid distributions of $1.68 billion to our partners and we paid distributions of $3.12 billion to noncontrolling interests. In addition, we received capital contributions of $649 million in cash from noncontrolling interests. During 2018, we incurred debt issuance costs of $171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financing activities was $953 million in 2017. In 2017, we received $568 million in cash from the issuance of common units and our subsidiaries received $3.24 billion in proceeds from the issuance of common units, including $2.28 billion from the issuance of ETO Common Units and $952 million from the issuance of other subsidiary common units. In 2017, we had a consolidated increase in our debt level of $340 million, primarily due to the issuance of Parent Company and subsidiary senior notes. During 2017, we paid distributions of $1.01 billion to our partners and we paid distributions of $2.96 billion to noncontrolling interests. In addition, we received capital contributions of $1.21 billion in cash from noncontrolling interests. During 2017, we incurred debt issuance costs of $131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activities related to discontinued operations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discontinued operations was $2.73 billion for the year ended December 31, 2018 resulting from cash used in operating activities of $484 million, cash provided by investing activities of $3.21 billion, and changes in cash included in current assets held for sale of $11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discontinued operations was $93 million for the year ended December 31, 2017 resulting from cash provided by operating activities of $136 million, cash used in investing activities of $38 million and changes in cash included in current assets held for sale of $5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18"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680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1"/>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Description of Indebtedness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gridSpan w:val="2"/>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00" w:type="dxa"/>
            <w:vAlign w:val="bottom"/>
            <w:gridSpan w:val="3"/>
          </w:tcPr>
          <w:p>
            <w:pPr>
              <w:spacing w:after="0"/>
              <w:rPr>
                <w:sz w:val="20"/>
                <w:szCs w:val="20"/>
                <w:color w:val="auto"/>
              </w:rPr>
            </w:pPr>
            <w:r>
              <w:rPr>
                <w:rFonts w:ascii="Arial" w:cs="Arial" w:eastAsia="Arial" w:hAnsi="Arial"/>
                <w:sz w:val="18"/>
                <w:szCs w:val="18"/>
                <w:color w:val="auto"/>
              </w:rPr>
              <w:t>Our outstanding consolidated indebtedness was as follows:</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December 31,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9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Parent Company Indebtedness:</w:t>
            </w: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gridSpan w:val="3"/>
            <w:vMerge w:val="continue"/>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ET Senior Notes due October 2020</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43"/>
        </w:trPr>
        <w:tc>
          <w:tcPr>
            <w:tcW w:w="7900" w:type="dxa"/>
            <w:vAlign w:val="bottom"/>
            <w:gridSpan w:val="3"/>
          </w:tcPr>
          <w:p>
            <w:pPr>
              <w:ind w:left="180"/>
              <w:spacing w:after="0"/>
              <w:rPr>
                <w:sz w:val="20"/>
                <w:szCs w:val="20"/>
                <w:color w:val="auto"/>
              </w:rPr>
            </w:pPr>
            <w:r>
              <w:rPr>
                <w:rFonts w:ascii="Arial" w:cs="Arial" w:eastAsia="Arial" w:hAnsi="Arial"/>
                <w:sz w:val="18"/>
                <w:szCs w:val="18"/>
                <w:color w:val="auto"/>
              </w:rPr>
              <w:t>ET Senior Notes due March 2023</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ET Senior Notes due January 2024</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7900" w:type="dxa"/>
            <w:vAlign w:val="bottom"/>
            <w:gridSpan w:val="3"/>
          </w:tcPr>
          <w:p>
            <w:pPr>
              <w:ind w:left="180"/>
              <w:spacing w:after="0"/>
              <w:rPr>
                <w:sz w:val="20"/>
                <w:szCs w:val="20"/>
                <w:color w:val="auto"/>
              </w:rPr>
            </w:pPr>
            <w:r>
              <w:rPr>
                <w:rFonts w:ascii="Arial" w:cs="Arial" w:eastAsia="Arial" w:hAnsi="Arial"/>
                <w:sz w:val="18"/>
                <w:szCs w:val="18"/>
                <w:color w:val="auto"/>
              </w:rPr>
              <w:t>ET Senior Notes due June 2027</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ET Senior Secured Term Loan</w:t>
            </w: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b w:val="1"/>
                <w:bCs w:val="1"/>
                <w:color w:val="auto"/>
              </w:rPr>
              <w:t>Subsidiary Indebtedness: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ETO Senior Notes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36,118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28,755</w:t>
            </w:r>
          </w:p>
        </w:tc>
        <w:tc>
          <w:tcPr>
            <w:tcW w:w="0" w:type="dxa"/>
            <w:vAlign w:val="bottom"/>
          </w:tcPr>
          <w:p>
            <w:pPr>
              <w:spacing w:after="0"/>
              <w:rPr>
                <w:sz w:val="1"/>
                <w:szCs w:val="1"/>
                <w:color w:val="auto"/>
              </w:rPr>
            </w:pPr>
          </w:p>
        </w:tc>
      </w:tr>
      <w:tr>
        <w:trPr>
          <w:trHeight w:val="243"/>
        </w:trPr>
        <w:tc>
          <w:tcPr>
            <w:tcW w:w="7900" w:type="dxa"/>
            <w:vAlign w:val="bottom"/>
            <w:gridSpan w:val="3"/>
          </w:tcPr>
          <w:p>
            <w:pPr>
              <w:ind w:left="180"/>
              <w:spacing w:after="0"/>
              <w:rPr>
                <w:sz w:val="20"/>
                <w:szCs w:val="20"/>
                <w:color w:val="auto"/>
              </w:rPr>
            </w:pPr>
            <w:r>
              <w:rPr>
                <w:rFonts w:ascii="Arial" w:cs="Arial" w:eastAsia="Arial" w:hAnsi="Arial"/>
                <w:sz w:val="18"/>
                <w:szCs w:val="18"/>
                <w:color w:val="auto"/>
              </w:rPr>
              <w:t>Transwestern Senior Notes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Panhandle Senior Notes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7900" w:type="dxa"/>
            <w:vAlign w:val="bottom"/>
            <w:gridSpan w:val="3"/>
          </w:tcPr>
          <w:p>
            <w:pPr>
              <w:ind w:left="180"/>
              <w:spacing w:after="0"/>
              <w:rPr>
                <w:sz w:val="20"/>
                <w:szCs w:val="20"/>
                <w:color w:val="auto"/>
              </w:rPr>
            </w:pPr>
            <w:r>
              <w:rPr>
                <w:rFonts w:ascii="Arial" w:cs="Arial" w:eastAsia="Arial" w:hAnsi="Arial"/>
                <w:sz w:val="18"/>
                <w:szCs w:val="18"/>
                <w:color w:val="auto"/>
              </w:rPr>
              <w:t>Bakken Senior Notes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Sunoco LP Senior Notes, Term Loan and lease-related obligations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43"/>
        </w:trPr>
        <w:tc>
          <w:tcPr>
            <w:tcW w:w="7900" w:type="dxa"/>
            <w:vAlign w:val="bottom"/>
            <w:gridSpan w:val="3"/>
          </w:tcPr>
          <w:p>
            <w:pPr>
              <w:ind w:left="180"/>
              <w:spacing w:after="0"/>
              <w:rPr>
                <w:sz w:val="20"/>
                <w:szCs w:val="20"/>
                <w:color w:val="auto"/>
              </w:rPr>
            </w:pPr>
            <w:r>
              <w:rPr>
                <w:rFonts w:ascii="Arial" w:cs="Arial" w:eastAsia="Arial" w:hAnsi="Arial"/>
                <w:sz w:val="18"/>
                <w:szCs w:val="18"/>
                <w:color w:val="auto"/>
              </w:rPr>
              <w:t>USAC Senior Notes</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Credit Facilities and Commercial Paper: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3"/>
          </w:tcPr>
          <w:p>
            <w:pPr>
              <w:ind w:left="200"/>
              <w:spacing w:after="0"/>
              <w:rPr>
                <w:sz w:val="20"/>
                <w:szCs w:val="20"/>
                <w:color w:val="auto"/>
              </w:rPr>
            </w:pPr>
            <w:r>
              <w:rPr>
                <w:rFonts w:ascii="Arial" w:cs="Arial" w:eastAsia="Arial" w:hAnsi="Arial"/>
                <w:sz w:val="18"/>
                <w:szCs w:val="18"/>
                <w:color w:val="auto"/>
              </w:rPr>
              <w:t>ETO $2.00 billion Term Loan facility due October 2022</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ETO $5.00 billion Revolving Credit Facility due December 2023</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43"/>
        </w:trPr>
        <w:tc>
          <w:tcPr>
            <w:tcW w:w="7900" w:type="dxa"/>
            <w:vAlign w:val="bottom"/>
            <w:gridSpan w:val="3"/>
          </w:tcPr>
          <w:p>
            <w:pPr>
              <w:ind w:left="200"/>
              <w:spacing w:after="0"/>
              <w:rPr>
                <w:sz w:val="20"/>
                <w:szCs w:val="20"/>
                <w:color w:val="auto"/>
              </w:rPr>
            </w:pPr>
            <w:r>
              <w:rPr>
                <w:rFonts w:ascii="Arial" w:cs="Arial" w:eastAsia="Arial" w:hAnsi="Arial"/>
                <w:sz w:val="18"/>
                <w:szCs w:val="18"/>
                <w:color w:val="auto"/>
              </w:rPr>
              <w:t>Sunoco LP $1.50 billion Revolving Credit Facility due July 2023</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USAC $1.60 billion Revolving Credit Facility due April 2023</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7900" w:type="dxa"/>
            <w:vAlign w:val="bottom"/>
            <w:gridSpan w:val="3"/>
          </w:tcPr>
          <w:p>
            <w:pPr>
              <w:ind w:left="200"/>
              <w:spacing w:after="0"/>
              <w:rPr>
                <w:sz w:val="20"/>
                <w:szCs w:val="20"/>
                <w:color w:val="auto"/>
              </w:rPr>
            </w:pPr>
            <w:r>
              <w:rPr>
                <w:rFonts w:ascii="Arial" w:cs="Arial" w:eastAsia="Arial" w:hAnsi="Arial"/>
                <w:sz w:val="18"/>
                <w:szCs w:val="18"/>
                <w:color w:val="auto"/>
              </w:rPr>
              <w:t>Bakken $2.50 billion Credit Facility due August 2019</w:t>
            </w:r>
          </w:p>
        </w:tc>
        <w:tc>
          <w:tcPr>
            <w:tcW w:w="10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HFOTCO Tax Exempt Notes due 2050</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gridSpan w:val="3"/>
          </w:tcPr>
          <w:p>
            <w:pPr>
              <w:ind w:left="200"/>
              <w:spacing w:after="0"/>
              <w:rPr>
                <w:sz w:val="20"/>
                <w:szCs w:val="20"/>
                <w:color w:val="auto"/>
              </w:rPr>
            </w:pPr>
            <w:r>
              <w:rPr>
                <w:rFonts w:ascii="Arial" w:cs="Arial" w:eastAsia="Arial" w:hAnsi="Arial"/>
                <w:sz w:val="18"/>
                <w:szCs w:val="18"/>
                <w:color w:val="auto"/>
              </w:rPr>
              <w:t>SemCAMS Revolver due February 2024</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SemCAMS Term Loan A due February 2024</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Other long-term 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Unamortized premiums, net of discounts and fair value adjustments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Deferred debt issuance costs</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51,054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46,028</w:t>
            </w:r>
          </w:p>
        </w:tc>
        <w:tc>
          <w:tcPr>
            <w:tcW w:w="0" w:type="dxa"/>
            <w:vAlign w:val="bottom"/>
          </w:tcPr>
          <w:p>
            <w:pPr>
              <w:spacing w:after="0"/>
              <w:rPr>
                <w:sz w:val="1"/>
                <w:szCs w:val="1"/>
                <w:color w:val="auto"/>
              </w:rPr>
            </w:pPr>
          </w:p>
        </w:tc>
      </w:tr>
      <w:tr>
        <w:trPr>
          <w:trHeight w:val="243"/>
        </w:trPr>
        <w:tc>
          <w:tcPr>
            <w:tcW w:w="7900" w:type="dxa"/>
            <w:vAlign w:val="bottom"/>
            <w:gridSpan w:val="3"/>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Long-term debt, less current maturities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51,028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43,373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of our consolidated indebtedness and that of our subsidiaries are described in more detail below and in Note 6 to our consolidated financial statements, included in “Item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22, 2020, ETO completed a registered offering (the “January 2020 Senior Notes Offering”) of $1.00 billion aggregate principal amount of ETO’s 2.900% Senior Notes due 2025, $1.50 billion aggregate principal amount of ETO’s 3.750% Senior Notes due 2030, and $2.00 billion aggregate principal amount of ETO’s 5.000% Senior Notes due 2050, (collectively, the “Notes”). The Notes are fully and unconditionally guaranteed by the Partnership’s wholly-owned subsidiary, Sunoco Logistics Partners Operations L.P., on a senior unsecured basis.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14" w:right="2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 of 5.50% Senior Notes due February 15, 2020, ET’s $52 million aggregate principal amount of 7.50% Senior Notes due October 15, 2020 and Transwestern’s $175 million aggregate principal amount of 5.36% Senior Notes due December 9,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Term Loan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October 17, 2019, ETO entered into a term loan credit agreement (the “ETO Term Loan”) providing for a $2.00 billion three-year term loan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term loan agreement mature on October 17, 2022 and are available for working capital purposes and for general partnership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 loan agreement is unsecured and is guaranteed by our subsidiary, Sunoco Logistics Partners Operations L.P.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ET-ETO Senior Notes Exchange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2019, ETO commenced offers to exchange all of ET’s outstanding senior notes for senior notes issued by ETO (the “ET-ETO senior notes exchange”). Approximately 97% of ET’s outstanding senior notes were tendered and accepted, and substantially all the exchanges settled on March 25, 2019. In connection with the exchange, ETO issued approximately $4.21 billion aggregate principal amount of the following senior notes:</w:t>
      </w:r>
    </w:p>
    <w:p>
      <w:pPr>
        <w:spacing w:after="0" w:line="57"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$1.14 billion aggregate principal amount of 7.50% senior notes due 2020;</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$995 million aggregate principal amount of 4.25% senior notes due 2023;</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$1.13 billion aggregate principal amount of 5.875% senior notes due 2024;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$956 million aggregate principal amount of 5.50% senior notes due 2027.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2019 Senior Notes Offering and Redemption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ETO issued the following senior notes:</w:t>
      </w:r>
    </w:p>
    <w:p>
      <w:pPr>
        <w:spacing w:after="0" w:line="117"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$750 million aggregate principal amount of 4.50% senior notes due 2024;</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$1.50 billion aggregate principal amount of 5.25% senior notes due 2029;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$1.75 billion aggregate principal amount of 6.25% senior notes due 2049.</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$3.96 billion net proceeds from the offering were used to make an intercompany loan to ET (which ET used to repay its term loan in full), for general partnership purposes and to redeem at maturity all of the following:</w:t>
      </w:r>
    </w:p>
    <w:p>
      <w:pPr>
        <w:spacing w:after="0" w:line="62"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ETO’s $400 million aggregate principal amount of 9.70% senior notes due March 15, 2019;</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ETO’s $450 million aggregate principal amount of 9.00% senior notes due April 15, 2019;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Panhandle’s $150 million aggregate principal amount of 8.125% senior notes due June 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Panhandle Senior Notes Redemption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June 2019, Panhandle’s $150 million aggregate principal amount of 8.125% senior notes matured and were repaid with borrowings under an affiliate loan agreement with 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Bakken Senior Notes Offering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March 2019, Midwest Connector Capital Company LLC, a wholly-owned subsidiary of Dakota Access, issued the following senior notes related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Bakken pipeline:</w:t>
      </w:r>
    </w:p>
    <w:p>
      <w:pPr>
        <w:spacing w:after="0" w:line="103"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$650 million aggregate principal amount of 3.625% senior notes due 2022;</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$1.00 billion aggregate principal amount of 3.90% senior notes due 2024;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$850 million aggregate principal amount of 4.625% senior notes due 2029.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$2.48 billion in net proceeds from the offering were used to repay in full all amounts outstanding on the Bakken credit facility and the facility was terminated.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Senior Notes Offering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Sunoco LP issued $600 million aggregate principal amount of 6.00% senior notes due 2027 in a private placement to eligible purchasers. The net proceeds from this offering were used to repay a portion of Sunoco LP’s existing borrowings under its credit facility. In July 2019, Sunoco LP completed an exchange of these notes for registered notes with substantially identical terms.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Senior Notes Offering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2019, USAC issued $750 million aggregate principal amount of 6.875% senior notes due 2027 in a private placement, and in December 2019, USAC exchanged those notes for substantially identical senior notes registered under the Securities Act. The net proceeds from this offering were used to repay a portion of USAC’s existing borrowings under its credit facility and for general partnership purposes.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and Commercial Paper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Energy Transfer Merger, on October 19, 2018, the Partnership repaid in full all outstanding borrowings under the facility and the facility was terminated.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Credit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ETO Credit Facilities are unsecured and initially guaranteed by Sunoco Logistics Partners Operations L.P. Borrowings under the ETO Credit Facilities will bear interest at a eurodollar rate or a base rate, at our option, plus an applicable margin. In addition, we will be required to pay a quarterly commitment fee to each lender equal to the product of the applicable rate and such lender’s applicable percentage of the unused portion of the aggregate commitments under the ETO Credit Facilities.</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repay amounts outstanding under the ETO Credit Facilities with proceeds from unit offerings or long-term notes offerings. The timing of borrowings depends on the Partnership’s activities and the cash available to fund those activities. The repayments of amounts outstanding under the ETO Credit Facilities depend on multiple factors, including market conditions and expectations of future working capital needs, and ultimately are a financing decision made by management. Therefore, the balance outstanding under the ETO Credit Facilities may vary significantly between periods. We do not believe that such fluctuations indicate a significant change in our liquidity position, because we expect to continue to be able to repay amounts outstanding under the ETO Credit Facilities with proceeds from unit offerings or long-term note offerings.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Term Loan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October 17, 2019, ETO entered into a term loan credit agreement (the “ETO Term Loan”) providing for a $2.00 billion three-year term loan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term loan agreement mature on October 17, 2022 and are available for working capital purposes and for general partnership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 loan agreement is unsecured and is guaranteed by our subsidiary, Sunoco Logistics Partners Operations L.P.</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ETO Term Loan had $2.00 billion outstanding and was fully drawn. The weighted average interest rate on the total amount outstanding as of December 31, 2019 was 2.78%.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Five-Year Credit Facility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ETO’s revolving credit facility (the “ETO Five-Year Credit Facility”) allows for unsecured borrowings up to $5.00 billion and matures on December 1, 2023. The ETO Five-Year Credit Facility contains an accordion feature, under which the total aggregate commitment may be increased up to $6.00 billion under certain conditions.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the ETO Five-Year Credit Facility had $4.21 billion outstanding, of which $1.64 billion was commercial paper. The amount available for future borrowings was $709 million after taking into account letters of credit of $77 million. The weighted average interest rate on the total amount outstanding as of December 31, 2019 was 2.88%.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364-Day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ETO’s 364-day revolving credit facility (the “ETO 364-Day Facility”) allows for unsecured borrowings up to $1.00 billion and matures on November 27, 2020. As of December 31, 2019, the ETO 364-Day Facility had no outstanding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the Sunoco LP Credit Facility had $162 million outstanding borrowings and $8 million in standby letters of credit. The amount available for future borrowings was at December 31, 2019 was $1.33 billion. The weighted average interest rate on the total amount outstanding as of December 31, 2019 was 3.75%.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18"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USAC had $403 million of outstanding borrowings and no outstanding letters of credit under the credit agreement. As of December 31, 2019, USAC had $1.20 billion of availability under its credit facility. The weighted average interest rate on the total amount outstanding as of December 31, 2019 was 4.31%.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SemCAMS Credit Facilities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 xml:space="preserve">SemCAMS is party to a credit agreement providing for a C$350 million (US$270 million at the </w:t>
      </w:r>
      <w:r>
        <w:rPr>
          <w:rFonts w:ascii="Arial" w:cs="Arial" w:eastAsia="Arial" w:hAnsi="Arial"/>
          <w:sz w:val="16"/>
          <w:szCs w:val="16"/>
          <w:color w:val="000000"/>
        </w:rPr>
        <w:t>December 31, 2019</w:t>
      </w:r>
      <w:r>
        <w:rPr>
          <w:rFonts w:ascii="Arial" w:cs="Arial" w:eastAsia="Arial" w:hAnsi="Arial"/>
          <w:sz w:val="16"/>
          <w:szCs w:val="16"/>
          <w:color w:val="212529"/>
        </w:rPr>
        <w:t xml:space="preserve"> exchange rate) senior secured term loan facility, a C$$525 million (US$404 million at the December 31, 2019 exchange rate) senior secured revolving credit facility, and a C$300 million (US$231 million at the December 31, 2019 exchange rate) senior secured construction loan facility (the “KAPS Facility”). The term loan facility and the revolving credit facility mature on February 25, 2024. The KAPS Facility matures on June 13, 2024. SemCAMS may incur additional term loans and revolving commitments in an aggregate amount not to exceed C$250 million (US$193 million at the December 31, 2019 exchange rate), subject to receiving commitments for such additional term loans or revolving commitments from either new lenders or increased commitments from existing lenders.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Related to Our Credit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the Parent Company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Facility and ET Revolving Credit Facility previously contained customary representations, warranties, covenants, and events of default, including a change of control event of default and limitations on incurrence of liens, new lines of business, merger, transactions with affiliates and restrictive agreements. Both facilities have been paid off and terminated.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ETO</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agreements relating to the ETO senior notes contain restrictive covenants customary for an issuer with an investment-grade rating from the rating agencies, which covenants include limitations on liens and a restriction on sale-leaseback transactions.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ETO Credit Facilities contain covenants that limit (subject to certain exceptions) the Partnership’s and certain of the Partnership’s subsidiaries’ ability to, among other things:</w:t>
      </w:r>
    </w:p>
    <w:p>
      <w:pPr>
        <w:spacing w:after="0" w:line="62"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Distributions (as defined in the ETO Credit Facilities) during certain Defaults (as defined in the ETO Credit Facilities) and during any Event of Default (as defined in the ETO Credit Facilities);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engage in business substantially different in nature than the business currently conducted by the Partnership and its subsidiaries;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ETO Credit Facilities applicable margin and rate used in connection with the interest rates and commitment fees, respectively, are based on the credit ratings assigned to our senior, unsecured, non-credit enhanced long-term debt. The applicable margin for eurodollar rate loans under the ETO Five-Year Facility ranges from 1.125% to 2.000% and the applicable margin for base rate loans ranges from 0.125% to 1.000%. The applicable rate for commitment fees under the ETO Five-Year Facility ranges from 0.125% to 0.300%. The applicable margin for eurodollar rate loans under the ETO 364-Day Facility ranges from 1.250% to 1.750% and the applicable margin for base rate loans ranges from 0.250% to 0.750%. The applicable rate for commitment fees under the ETO 364-Day Facility ranges from 0.125% to 0.225%.</w:t>
      </w:r>
    </w:p>
    <w:p>
      <w:pPr>
        <w:spacing w:after="0" w:line="13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ETO Credit Facilities contain various covenants including limitations on the creation of indebtedness and liens, and related to the operation and conduct of our business. The ETO Credit Facilities also limit us, on a rolling four quarter basis, to a maximum Consolidated Funded Indebtedness to Consolidated EBITDA ratio, as defined in the underlying credit agreements, of 5.0 to 1, which can generally be increased to 5.5 to 1 during a Specified Acquisition Period. Our Leverage Ratio was 4.04 to 1 at December 31, 2019, as calculated in accordance with the credit agreements.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18" w:right="2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Panhandle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Panhandle’s restrictive covenants include restrictions on liens securing debt and guarantees and restrictions on mergers and on the sales of assets. A breach of any of these covenants could result in acceleration of Panhandle’s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Sunoco LP</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Sunoco LP Credit Facility contains various customary representations, warranties, covenants and events of default, including a change of control event of default, as defined therein. Sunoco LP’s Credit Facility requires Sunoco LP to maintain a Net Leverage Ratio of not more than 5.5 to 1. The maximum Net Leverage Ratio is subject to upwards adjustment of not more than 6.0 to 1 for a period not to exceed three fiscal quarters in the event Sunoco LP engages in certain specified acquisitions of not less than $50 million (as permitted under Sunoco LP’s Credit Facility agreement). The Sunoco LP Credit Facility also requires Sunoco LP to maintain an Interest Coverage Ratio (as defined in the Sunoco LP’s Credit Facility agreement) of not less than 2.25 to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USAC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incur additional indebtedness or guarantee other indebtedness;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sell our assets;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make certain acquisitions.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credit facility is also subject to the following financial covenants, including covenants requiring us to maintain:</w:t>
      </w:r>
    </w:p>
    <w:p>
      <w:pPr>
        <w:spacing w:after="0" w:line="117"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minimum EBITDA to interest coverage ratio of 2.5 to 1.0, determined as of the last day of each fiscal quarter; and</w:t>
      </w:r>
    </w:p>
    <w:p>
      <w:pPr>
        <w:spacing w:after="0" w:line="17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maximum funded debt to EBITDA ratio, determined as of the last day of each fiscal quarter, for the annualized trailing three months of (i) 5.5 to 1 through the end of the fiscal quarter ending December 31, 2019 and (ii) 5.0 to 1.0 thereafter, in each case subject to a provision for increases to such thresholds by 0.50 in connection with certain future acquisitions for the six consecutive month period following the period in which any such acquisition occurs.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Covenants Related to the HFOTCO Tax Exempt Notes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The indentures covering HFOTCO's tax exempt notes due 2050 ("IKE Bonds") include customary representations and warranties and affirmative and negative covenants. Such covenants include limitations on the creation of new liens, indebtedness, making of certain restricted payments and payments on indebtedness, making certain dispositions, making material changes in business activities, making fundamental changes including liquidations, mergers or consolidations, making certain investments, entering into certain transactions with affiliates, making amendments to certain credit or organizational agreements, modifying the fiscal year, creating or dealing with hazardous materials in certain ways, entering into certain hedging arrangements, entering into certain restrictive agreements, funding or engaging in sanctioned activities, taking actions or causing the trustee to take actions that materially adversely affect the rights, interests, remedies or security of the bondholders, taking actions to remove the trustee, making certain amendments to the bond documents, and taking actions or omitting to take actions that adversely impact the tax exempt status of the IKE Bonds.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18" w:right="2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and our subsidiaries were in compliance with all requirements, tests, limitations, and covenants related to our debt agreements as of December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long-term debt and other contractual obligations as of December 31,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gridSpan w:val="6"/>
          </w:tcPr>
          <w:p>
            <w:pPr>
              <w:jc w:val="center"/>
              <w:spacing w:after="0"/>
              <w:rPr>
                <w:sz w:val="20"/>
                <w:szCs w:val="20"/>
                <w:color w:val="auto"/>
              </w:rPr>
            </w:pPr>
            <w:r>
              <w:rPr>
                <w:rFonts w:ascii="Arial" w:cs="Arial" w:eastAsia="Arial" w:hAnsi="Arial"/>
                <w:sz w:val="18"/>
                <w:szCs w:val="18"/>
                <w:color w:val="auto"/>
                <w:w w:val="89"/>
              </w:rPr>
              <w:t>Payments Due by Period</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3440" w:type="dxa"/>
            <w:vAlign w:val="bottom"/>
          </w:tcPr>
          <w:p>
            <w:pPr>
              <w:ind w:left="860"/>
              <w:spacing w:after="0"/>
              <w:rPr>
                <w:sz w:val="20"/>
                <w:szCs w:val="20"/>
                <w:color w:val="auto"/>
              </w:rPr>
            </w:pPr>
            <w:r>
              <w:rPr>
                <w:rFonts w:ascii="Arial" w:cs="Arial" w:eastAsia="Arial" w:hAnsi="Arial"/>
                <w:sz w:val="18"/>
                <w:szCs w:val="18"/>
                <w:color w:val="auto"/>
              </w:rPr>
              <w:t>Contractual Obligations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w w:val="94"/>
              </w:rPr>
              <w:t>Less Than 1 Year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1-3 Years</w:t>
            </w: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3-5 Years</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w w:val="90"/>
              </w:rPr>
              <w:t>More Than 5 Years</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27,366</w:t>
            </w:r>
          </w:p>
        </w:tc>
      </w:tr>
      <w:tr>
        <w:trPr>
          <w:trHeight w:val="270"/>
        </w:trPr>
        <w:tc>
          <w:tcPr>
            <w:tcW w:w="3440" w:type="dxa"/>
            <w:vAlign w:val="bottom"/>
          </w:tcPr>
          <w:p>
            <w:pPr>
              <w:ind w:left="40"/>
              <w:spacing w:after="0" w:line="27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41,196</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29,387</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40" w:type="dxa"/>
            <w:vAlign w:val="bottom"/>
          </w:tcPr>
          <w:p>
            <w:pPr>
              <w:ind w:left="40"/>
              <w:spacing w:after="0" w:line="27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Transportation, natural gas storage and</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fractionation contracts</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Service concession arrangement</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70"/>
        </w:trPr>
        <w:tc>
          <w:tcPr>
            <w:tcW w:w="3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64"/>
        </w:trPr>
        <w:tc>
          <w:tcPr>
            <w:tcW w:w="3440" w:type="dxa"/>
            <w:vAlign w:val="bottom"/>
            <w:shd w:val="clear" w:color="auto" w:fill="CCEEFF"/>
          </w:tcPr>
          <w:p>
            <w:pPr>
              <w:ind w:left="20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97,192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18,203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58,292</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38" w:lineRule="auto"/>
        <w:tabs>
          <w:tab w:leader="none" w:pos="340" w:val="left"/>
        </w:tabs>
        <w:numPr>
          <w:ilvl w:val="0"/>
          <w:numId w:val="99"/>
        </w:numPr>
        <w:rPr>
          <w:rFonts w:ascii="Arial" w:cs="Arial" w:eastAsia="Arial" w:hAnsi="Arial"/>
          <w:sz w:val="24"/>
          <w:szCs w:val="24"/>
          <w:color w:val="auto"/>
          <w:vertAlign w:val="superscript"/>
        </w:rPr>
      </w:pPr>
      <w:r>
        <w:rPr>
          <w:rFonts w:ascii="Arial" w:cs="Arial" w:eastAsia="Arial" w:hAnsi="Arial"/>
          <w:sz w:val="17"/>
          <w:szCs w:val="17"/>
          <w:color w:val="auto"/>
        </w:rPr>
        <w:t>Interest payments on long-term debt are based on the principal amount of debt obligations as of December 31, 2019. With respect to variable rate debt, the interest payments were estimated using the interest rate as of December 31, 2019. To the extent interest rates change, our contractual obligations for interest payments will change. See “Item 7A. Quantitative and Qualitative Disclosures About Market Risk” for further discussion.</w:t>
      </w:r>
    </w:p>
    <w:p>
      <w:pPr>
        <w:spacing w:after="0" w:line="94" w:lineRule="exact"/>
        <w:rPr>
          <w:rFonts w:ascii="Arial" w:cs="Arial" w:eastAsia="Arial" w:hAnsi="Arial"/>
          <w:sz w:val="24"/>
          <w:szCs w:val="24"/>
          <w:color w:val="auto"/>
          <w:vertAlign w:val="superscript"/>
        </w:rPr>
      </w:pPr>
    </w:p>
    <w:p>
      <w:pPr>
        <w:jc w:val="both"/>
        <w:ind w:left="340" w:hanging="332"/>
        <w:spacing w:after="0" w:line="276" w:lineRule="auto"/>
        <w:tabs>
          <w:tab w:leader="none" w:pos="34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We define a purchase commitment as an agreement to purchase goods or services that is enforceable and legally binding (unconditional) on us that specifies all significant terms, including: fixed or minimum quantities to be purchased; fixed, minimum or variable price provisions; and the approximate timing of the transactions. We have long and short-term product purchase obligations for refined product and energy commodities with third-party suppliers. These purchase obligations are entered into at either variable or fixed prices. The purchase prices that we are obligated to pay under variable price contracts approximate market prices at the time we take delivery of the volumes. Our estimated future variable price contract payment obligations are based on the December 31, 2019 market price of the applicable commodity applied to future volume commitments. Actual future payment obligations may vary depending on market prices at the time of delivery. The purchase prices that we are obligated to pay under fixed price contracts are established at the inception of the contract. Our estimated future fixed price contract payment obligations are based on the contracted fixed price under each commodity contract. Obligations shown in the table represent estimated payment obligations under these contracts for the periods indicated.</w:t>
      </w:r>
    </w:p>
    <w:p>
      <w:pPr>
        <w:spacing w:after="0" w:line="46"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99"/>
        </w:numPr>
        <w:rPr>
          <w:rFonts w:ascii="Arial" w:cs="Arial" w:eastAsia="Arial" w:hAnsi="Arial"/>
          <w:sz w:val="22"/>
          <w:szCs w:val="22"/>
          <w:color w:val="auto"/>
          <w:vertAlign w:val="superscript"/>
        </w:rPr>
      </w:pPr>
      <w:r>
        <w:rPr>
          <w:rFonts w:ascii="Arial" w:cs="Arial" w:eastAsia="Arial" w:hAnsi="Arial"/>
          <w:sz w:val="16"/>
          <w:szCs w:val="16"/>
          <w:color w:val="auto"/>
        </w:rPr>
        <w:t>Includes minimum guaranteed payments under service concession arrangements with New Jersey Turnpike Authority and New York Thruway Authority.</w:t>
      </w:r>
    </w:p>
    <w:p>
      <w:pPr>
        <w:spacing w:after="0" w:line="98" w:lineRule="exact"/>
        <w:rPr>
          <w:rFonts w:ascii="Arial" w:cs="Arial" w:eastAsia="Arial" w:hAnsi="Arial"/>
          <w:sz w:val="22"/>
          <w:szCs w:val="22"/>
          <w:color w:val="auto"/>
          <w:vertAlign w:val="superscript"/>
        </w:rPr>
      </w:pPr>
    </w:p>
    <w:p>
      <w:pPr>
        <w:jc w:val="both"/>
        <w:ind w:left="340" w:hanging="332"/>
        <w:spacing w:after="0" w:line="230" w:lineRule="auto"/>
        <w:tabs>
          <w:tab w:leader="none" w:pos="340" w:val="left"/>
        </w:tabs>
        <w:numPr>
          <w:ilvl w:val="0"/>
          <w:numId w:val="99"/>
        </w:numPr>
        <w:rPr>
          <w:rFonts w:ascii="Arial" w:cs="Arial" w:eastAsia="Arial" w:hAnsi="Arial"/>
          <w:sz w:val="25"/>
          <w:szCs w:val="25"/>
          <w:color w:val="auto"/>
          <w:vertAlign w:val="superscript"/>
        </w:rPr>
      </w:pPr>
      <w:r>
        <w:rPr>
          <w:rFonts w:ascii="Arial" w:cs="Arial" w:eastAsia="Arial" w:hAnsi="Arial"/>
          <w:sz w:val="18"/>
          <w:szCs w:val="18"/>
          <w:color w:val="auto"/>
        </w:rPr>
        <w:t>Expected contributions to fund our pension and postretirement benefit plans were included in “Other” above. Environmental liabilities, AROs, unrecognized tax benefits, contingency accruals and deferred revenue, which were included in “Other non-current liabilities” in our consolidated balance sheets were excluded from the table above as the amounts do not represent contractual obligations or, in some cases, the amount and/or timing of the cash payments is uncertain.</w:t>
      </w:r>
    </w:p>
    <w:p>
      <w:pPr>
        <w:spacing w:after="0" w:line="40"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99"/>
        </w:numPr>
        <w:rPr>
          <w:rFonts w:ascii="Arial" w:cs="Arial" w:eastAsia="Arial" w:hAnsi="Arial"/>
          <w:sz w:val="25"/>
          <w:szCs w:val="25"/>
          <w:color w:val="auto"/>
          <w:vertAlign w:val="superscript"/>
        </w:rPr>
      </w:pPr>
      <w:r>
        <w:rPr>
          <w:rFonts w:ascii="Arial" w:cs="Arial" w:eastAsia="Arial" w:hAnsi="Arial"/>
          <w:sz w:val="18"/>
          <w:szCs w:val="18"/>
          <w:color w:val="auto"/>
        </w:rPr>
        <w:t>Excludes net non-current deferred tax liabilities of $3.21 billion due to uncertainty of the timing of future cash flows for such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the Parent Company</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the Parent Company Partnership Agreement, the Parent Company will distribute all of its Available Cash, as defined, within 50 days following the end of each fiscal quarter. Available cash generally means, with respect to any quarter, all cash on hand at the end of such quarter less the amount of cash reserves that are necessary or appropriate in the reasonable discretion of the General Partner that is necessary or appropriate to provide for future cash requirements.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Distributions declared and paid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ind w:left="820"/>
              <w:spacing w:after="0"/>
              <w:rPr>
                <w:sz w:val="20"/>
                <w:szCs w:val="20"/>
                <w:color w:val="auto"/>
              </w:rPr>
            </w:pPr>
            <w:r>
              <w:rPr>
                <w:rFonts w:ascii="Arial" w:cs="Arial" w:eastAsia="Arial" w:hAnsi="Arial"/>
                <w:sz w:val="18"/>
                <w:szCs w:val="18"/>
                <w:color w:val="auto"/>
              </w:rPr>
              <w:t>Quarter Ended</w:t>
            </w:r>
          </w:p>
        </w:tc>
        <w:tc>
          <w:tcPr>
            <w:tcW w:w="276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276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7"/>
        </w:trPr>
        <w:tc>
          <w:tcPr>
            <w:tcW w:w="3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64"/>
        </w:trPr>
        <w:tc>
          <w:tcPr>
            <w:tcW w:w="32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December 31, 2016 </w:t>
            </w:r>
            <w:r>
              <w:rPr>
                <w:rFonts w:ascii="Arial" w:cs="Arial" w:eastAsia="Arial" w:hAnsi="Arial"/>
                <w:sz w:val="25"/>
                <w:szCs w:val="25"/>
                <w:color w:val="auto"/>
                <w:vertAlign w:val="superscript"/>
              </w:rPr>
              <w:t>(1)</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7, 2017</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21, 2017</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10,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19,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0.2850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7, 2017</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21, 2017</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September 30,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7,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20,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0.2950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8, 2018</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20,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March 31,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7,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21,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0.3050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6, 2018</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September 30,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8,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19,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0.3050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8, 2019</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19, 2019</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March 31, 2019</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7, 2019</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20, 2019</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0.3050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6, 2019</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19, 2019</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0.3050</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September 30, 2019</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5, 2019</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19, 2019</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0.3050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7, 2020</w:t>
            </w:r>
          </w:p>
        </w:tc>
        <w:tc>
          <w:tcPr>
            <w:tcW w:w="2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19, 2020</w:t>
            </w:r>
          </w:p>
        </w:tc>
        <w:tc>
          <w:tcPr>
            <w:tcW w:w="6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0.3050</w:t>
            </w:r>
          </w:p>
        </w:tc>
      </w:tr>
      <w:tr>
        <w:trPr>
          <w:trHeight w:val="27"/>
        </w:trPr>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340" w:hanging="332"/>
        <w:spacing w:after="0" w:line="237" w:lineRule="auto"/>
        <w:tabs>
          <w:tab w:leader="none" w:pos="340" w:val="left"/>
        </w:tabs>
        <w:numPr>
          <w:ilvl w:val="0"/>
          <w:numId w:val="100"/>
        </w:numPr>
        <w:rPr>
          <w:rFonts w:ascii="Arial" w:cs="Arial" w:eastAsia="Arial" w:hAnsi="Arial"/>
          <w:sz w:val="25"/>
          <w:szCs w:val="25"/>
          <w:color w:val="auto"/>
          <w:vertAlign w:val="superscript"/>
        </w:rPr>
      </w:pPr>
      <w:r>
        <w:rPr>
          <w:rFonts w:ascii="Arial" w:cs="Arial" w:eastAsia="Arial" w:hAnsi="Arial"/>
          <w:sz w:val="18"/>
          <w:szCs w:val="18"/>
          <w:color w:val="auto"/>
        </w:rPr>
        <w:t>Certain common unitholders elected to participate in a plan pursuant to which those unitholders elected to forego their cash distributions on all or a portion of their common units for a period of up to nine quarters commencing with the distribution for the quarter ended March 31, 2016 and, in lieu of receiving cash distributions on these common units for each such quarter, each said unitholder received ET Series A Convertible Preferred Units (on a one-for-one basis for each common unit as to which the participating unitholder elected be subject to this plan) that entitled them to receive a cash distribution of up to $0.11 per unit. See Note 8 to the Partnership’s consolidated financial statements included in “Item 8. Financial Statements and Supplementary Data.”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distributions declared and paid with respect to ET Series A Convertible Preferred Unit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2"/>
          </w:tcPr>
          <w:p>
            <w:pPr>
              <w:ind w:left="880"/>
              <w:spacing w:after="0"/>
              <w:rPr>
                <w:sz w:val="20"/>
                <w:szCs w:val="20"/>
                <w:color w:val="auto"/>
              </w:rPr>
            </w:pPr>
            <w:r>
              <w:rPr>
                <w:rFonts w:ascii="Arial" w:cs="Arial" w:eastAsia="Arial" w:hAnsi="Arial"/>
                <w:sz w:val="18"/>
                <w:szCs w:val="18"/>
                <w:color w:val="auto"/>
              </w:rPr>
              <w:t>Quarter Ended</w:t>
            </w:r>
          </w:p>
        </w:tc>
        <w:tc>
          <w:tcPr>
            <w:tcW w:w="272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276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7"/>
        </w:trPr>
        <w:tc>
          <w:tcPr>
            <w:tcW w:w="3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7, 2017</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21, 2017</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0.1100</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19,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0.1100</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21, 2017</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0.1100</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September 30, 2017</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November 20,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0.1100</w:t>
            </w:r>
          </w:p>
        </w:tc>
      </w:tr>
      <w:tr>
        <w:trPr>
          <w:trHeight w:val="27"/>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8, 2018</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20,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0.1100</w:t>
            </w:r>
          </w:p>
        </w:tc>
      </w:tr>
      <w:tr>
        <w:trPr>
          <w:trHeight w:val="243"/>
        </w:trPr>
        <w:tc>
          <w:tcPr>
            <w:tcW w:w="3320" w:type="dxa"/>
            <w:vAlign w:val="bottom"/>
            <w:gridSpan w:val="2"/>
          </w:tcPr>
          <w:p>
            <w:pPr>
              <w:ind w:left="40"/>
              <w:spacing w:after="0"/>
              <w:rPr>
                <w:sz w:val="20"/>
                <w:szCs w:val="20"/>
                <w:color w:val="auto"/>
              </w:rPr>
            </w:pPr>
            <w:r>
              <w:rPr>
                <w:rFonts w:ascii="Arial" w:cs="Arial" w:eastAsia="Arial" w:hAnsi="Arial"/>
                <w:sz w:val="18"/>
                <w:szCs w:val="18"/>
                <w:color w:val="auto"/>
              </w:rPr>
              <w:t>March 31,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May 21,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0.1100</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amounts of distributions declared and paid during the periods presented (all from Available Cash from the Parent Company’s operating surplus and are shown in the period to which they relate)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0"/>
              <w:spacing w:after="0" w:line="26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Partner interest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Parent Company distributions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3,225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580" w:right="3320" w:hanging="5572"/>
        <w:spacing w:after="0" w:line="434" w:lineRule="auto"/>
        <w:tabs>
          <w:tab w:leader="none" w:pos="330" w:val="left"/>
        </w:tabs>
        <w:numPr>
          <w:ilvl w:val="0"/>
          <w:numId w:val="101"/>
        </w:numPr>
        <w:rPr>
          <w:rFonts w:ascii="Arial" w:cs="Arial" w:eastAsia="Arial" w:hAnsi="Arial"/>
          <w:sz w:val="25"/>
          <w:szCs w:val="25"/>
          <w:color w:val="auto"/>
          <w:vertAlign w:val="superscript"/>
        </w:rPr>
      </w:pPr>
      <w:r>
        <w:rPr>
          <w:rFonts w:ascii="Arial" w:cs="Arial" w:eastAsia="Arial" w:hAnsi="Arial"/>
          <w:sz w:val="18"/>
          <w:szCs w:val="18"/>
          <w:color w:val="auto"/>
        </w:rPr>
        <w:t>Include distributions declared by Energy Transfer LP for periods subsequent to the Energy Transfer Merger. 112</w:t>
      </w:r>
    </w:p>
    <w:p>
      <w:pPr>
        <w:sectPr>
          <w:pgSz w:w="11900" w:h="16838" w:orient="portrait"/>
          <w:cols w:equalWidth="0" w:num="1">
            <w:col w:w="11420"/>
          </w:cols>
          <w:pgMar w:left="240" w:top="118" w:right="2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amounts of distributions declared and paid during the periods presented prior to the closing of the Energy Transfer Merger as discussed in Note 1 (all from Available Cash from ETO’s operating surplus and are shown in the period to which they relate)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560" w:type="dxa"/>
            <w:vAlign w:val="bottom"/>
            <w:gridSpan w:val="4"/>
          </w:tcPr>
          <w:p>
            <w:pPr>
              <w:ind w:left="580"/>
              <w:spacing w:after="0"/>
              <w:rPr>
                <w:sz w:val="20"/>
                <w:szCs w:val="20"/>
                <w:color w:val="auto"/>
              </w:rPr>
            </w:pPr>
            <w:r>
              <w:rPr>
                <w:rFonts w:ascii="Arial" w:cs="Arial" w:eastAsia="Arial" w:hAnsi="Arial"/>
                <w:sz w:val="18"/>
                <w:szCs w:val="18"/>
                <w:color w:val="auto"/>
                <w:w w:val="88"/>
              </w:rPr>
              <w:t>Years Ended December 31,</w:t>
            </w:r>
          </w:p>
        </w:tc>
        <w:tc>
          <w:tcPr>
            <w:tcW w:w="52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960" w:type="dxa"/>
            <w:vAlign w:val="bottom"/>
          </w:tcPr>
          <w:p>
            <w:pPr>
              <w:ind w:left="580"/>
              <w:spacing w:after="0"/>
              <w:rPr>
                <w:sz w:val="20"/>
                <w:szCs w:val="20"/>
                <w:color w:val="auto"/>
              </w:rPr>
            </w:pPr>
            <w:r>
              <w:rPr>
                <w:rFonts w:ascii="Arial" w:cs="Arial" w:eastAsia="Arial" w:hAnsi="Arial"/>
                <w:sz w:val="18"/>
                <w:szCs w:val="18"/>
                <w:color w:val="auto"/>
                <w:w w:val="89"/>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Units held by public</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Common Units held by ET</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 interest and IDRs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1,654</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IDR relinquishments </w:t>
            </w:r>
            <w:r>
              <w:rPr>
                <w:rFonts w:ascii="Arial" w:cs="Arial" w:eastAsia="Arial" w:hAnsi="Arial"/>
                <w:sz w:val="25"/>
                <w:szCs w:val="25"/>
                <w:color w:val="auto"/>
                <w:vertAlign w:val="superscript"/>
              </w:rPr>
              <w:t>(1)</w:t>
            </w:r>
          </w:p>
        </w:tc>
        <w:tc>
          <w:tcPr>
            <w:tcW w:w="9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B Preferred Units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Series C Preferred Units </w:t>
            </w:r>
            <w:r>
              <w:rPr>
                <w:rFonts w:ascii="Arial" w:cs="Arial" w:eastAsia="Arial" w:hAnsi="Arial"/>
                <w:sz w:val="25"/>
                <w:szCs w:val="25"/>
                <w:color w:val="auto"/>
                <w:vertAlign w:val="superscript"/>
              </w:rPr>
              <w:t>(2)</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Series D Preferred Units </w:t>
            </w:r>
            <w:r>
              <w:rPr>
                <w:rFonts w:ascii="Arial" w:cs="Arial" w:eastAsia="Arial" w:hAnsi="Arial"/>
                <w:sz w:val="25"/>
                <w:szCs w:val="25"/>
                <w:color w:val="auto"/>
                <w:vertAlign w:val="superscript"/>
              </w:rPr>
              <w:t>(2)</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distributions declared to partners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2,266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3,518</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25"/>
          <w:szCs w:val="25"/>
          <w:color w:val="auto"/>
          <w:vertAlign w:val="superscript"/>
        </w:rPr>
      </w:pPr>
      <w:r>
        <w:rPr>
          <w:rFonts w:ascii="Arial" w:cs="Arial" w:eastAsia="Arial" w:hAnsi="Arial"/>
          <w:sz w:val="18"/>
          <w:szCs w:val="18"/>
          <w:color w:val="auto"/>
        </w:rPr>
        <w:t>Net of Class I unit distributions</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102"/>
        </w:numPr>
        <w:rPr>
          <w:rFonts w:ascii="Arial" w:cs="Arial" w:eastAsia="Arial" w:hAnsi="Arial"/>
          <w:sz w:val="25"/>
          <w:szCs w:val="25"/>
          <w:color w:val="auto"/>
          <w:vertAlign w:val="superscript"/>
        </w:rPr>
      </w:pPr>
      <w:r>
        <w:rPr>
          <w:rFonts w:ascii="Arial" w:cs="Arial" w:eastAsia="Arial" w:hAnsi="Arial"/>
          <w:sz w:val="18"/>
          <w:szCs w:val="18"/>
          <w:color w:val="auto"/>
        </w:rPr>
        <w:t>Distributions reflect prorated distributions for the year ended December 31,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Distributions Paid by Subsidiaries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our subsidiaries are required by their respective partnership agreements to distribute all cash on hand at the end of each quarter, less appropriate reserves determined by the board of directors of their respective general partners.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Preferred Unit Distributions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the ETO’s Series A, Series B, Series C, Series D and Series E preferred units declared and/or paid by ETO were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Period Ended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Record Date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Payment Date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3"/>
              </w:rPr>
              <w:t xml:space="preserve">Series A </w:t>
            </w:r>
            <w:r>
              <w:rPr>
                <w:rFonts w:ascii="Arial" w:cs="Arial" w:eastAsia="Arial" w:hAnsi="Arial"/>
                <w:sz w:val="8"/>
                <w:szCs w:val="8"/>
                <w:color w:val="auto"/>
                <w:w w:val="93"/>
              </w:rPr>
              <w:t>(1)</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3"/>
              </w:rPr>
              <w:t xml:space="preserve">Series B </w:t>
            </w:r>
            <w:r>
              <w:rPr>
                <w:rFonts w:ascii="Arial" w:cs="Arial" w:eastAsia="Arial" w:hAnsi="Arial"/>
                <w:sz w:val="8"/>
                <w:szCs w:val="8"/>
                <w:color w:val="auto"/>
                <w:w w:val="93"/>
              </w:rPr>
              <w:t>(1)</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Series C</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Series D</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8"/>
              </w:rPr>
              <w:t>Series E</w:t>
            </w:r>
          </w:p>
        </w:tc>
        <w:tc>
          <w:tcPr>
            <w:tcW w:w="180" w:type="dxa"/>
            <w:vAlign w:val="bottom"/>
            <w:tcBorders>
              <w:bottom w:val="single" w:sz="8" w:color="auto"/>
            </w:tcBorders>
          </w:tcPr>
          <w:p>
            <w:pPr>
              <w:spacing w:after="0"/>
              <w:rPr>
                <w:sz w:val="16"/>
                <w:szCs w:val="16"/>
                <w:color w:val="auto"/>
              </w:rPr>
            </w:pPr>
          </w:p>
        </w:tc>
      </w:tr>
      <w:tr>
        <w:trPr>
          <w:trHeight w:val="270"/>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2017</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1, 2018</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15, 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15.4510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vertAlign w:val="superscript"/>
              </w:rPr>
              <w:t>*</w:t>
            </w:r>
            <w:r>
              <w:rPr>
                <w:rFonts w:ascii="Arial" w:cs="Arial" w:eastAsia="Arial" w:hAnsi="Arial"/>
                <w:sz w:val="14"/>
                <w:szCs w:val="14"/>
                <w:color w:val="auto"/>
                <w:w w:val="94"/>
              </w:rPr>
              <w:t xml:space="preserve">     $</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16.3780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vertAlign w:val="superscript"/>
              </w:rPr>
              <w:t>*</w:t>
            </w:r>
            <w:r>
              <w:rPr>
                <w:rFonts w:ascii="Arial" w:cs="Arial" w:eastAsia="Arial" w:hAnsi="Arial"/>
                <w:sz w:val="14"/>
                <w:szCs w:val="14"/>
                <w:color w:val="auto"/>
              </w:rPr>
              <w:t xml:space="preserve">  $</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r>
      <w:tr>
        <w:trPr>
          <w:trHeight w:val="264"/>
        </w:trPr>
        <w:tc>
          <w:tcPr>
            <w:tcW w:w="2080" w:type="dxa"/>
            <w:vAlign w:val="bottom"/>
            <w:gridSpan w:val="2"/>
          </w:tcPr>
          <w:p>
            <w:pPr>
              <w:ind w:left="40"/>
              <w:spacing w:after="0"/>
              <w:rPr>
                <w:sz w:val="20"/>
                <w:szCs w:val="20"/>
                <w:color w:val="auto"/>
              </w:rPr>
            </w:pPr>
            <w:r>
              <w:rPr>
                <w:rFonts w:ascii="Arial" w:cs="Arial" w:eastAsia="Arial" w:hAnsi="Arial"/>
                <w:sz w:val="14"/>
                <w:szCs w:val="14"/>
                <w:color w:val="auto"/>
              </w:rPr>
              <w:t>June 30, 2018</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August 1, 2018</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August 15, 2018</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31.2500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33.1250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0.5634</w:t>
            </w:r>
          </w:p>
        </w:tc>
        <w:tc>
          <w:tcPr>
            <w:tcW w:w="220" w:type="dxa"/>
            <w:vAlign w:val="bottom"/>
          </w:tcPr>
          <w:p>
            <w:pPr>
              <w:jc w:val="right"/>
              <w:ind w:right="82"/>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r>
      <w:tr>
        <w:trPr>
          <w:trHeight w:val="2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2018</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 2018</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15, 2018</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0.4609</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0.5931</w:t>
            </w:r>
          </w:p>
        </w:tc>
        <w:tc>
          <w:tcPr>
            <w:tcW w:w="200" w:type="dxa"/>
            <w:vAlign w:val="bottom"/>
            <w:shd w:val="clear" w:color="auto" w:fill="CCEEFF"/>
          </w:tcPr>
          <w:p>
            <w:pPr>
              <w:jc w:val="right"/>
              <w:ind w:right="82"/>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r>
      <w:tr>
        <w:trPr>
          <w:trHeight w:val="264"/>
        </w:trPr>
        <w:tc>
          <w:tcPr>
            <w:tcW w:w="2080" w:type="dxa"/>
            <w:vAlign w:val="bottom"/>
            <w:gridSpan w:val="2"/>
          </w:tcPr>
          <w:p>
            <w:pPr>
              <w:ind w:left="40"/>
              <w:spacing w:after="0"/>
              <w:rPr>
                <w:sz w:val="20"/>
                <w:szCs w:val="20"/>
                <w:color w:val="auto"/>
              </w:rPr>
            </w:pPr>
            <w:r>
              <w:rPr>
                <w:rFonts w:ascii="Arial" w:cs="Arial" w:eastAsia="Arial" w:hAnsi="Arial"/>
                <w:sz w:val="14"/>
                <w:szCs w:val="14"/>
                <w:color w:val="auto"/>
              </w:rPr>
              <w:t>December 31, 2018</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February 1, 2019</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February 15, 2019</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31.2500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33.1250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0.4609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0.4766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r>
      <w:tr>
        <w:trPr>
          <w:trHeight w:val="2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2019</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1, 2019</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15, 2019</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0.4609</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0.4766</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r>
      <w:tr>
        <w:trPr>
          <w:trHeight w:val="264"/>
        </w:trPr>
        <w:tc>
          <w:tcPr>
            <w:tcW w:w="2080" w:type="dxa"/>
            <w:vAlign w:val="bottom"/>
            <w:gridSpan w:val="2"/>
          </w:tcPr>
          <w:p>
            <w:pPr>
              <w:ind w:left="40"/>
              <w:spacing w:after="0"/>
              <w:rPr>
                <w:sz w:val="20"/>
                <w:szCs w:val="20"/>
                <w:color w:val="auto"/>
              </w:rPr>
            </w:pPr>
            <w:r>
              <w:rPr>
                <w:rFonts w:ascii="Arial" w:cs="Arial" w:eastAsia="Arial" w:hAnsi="Arial"/>
                <w:sz w:val="14"/>
                <w:szCs w:val="14"/>
                <w:color w:val="auto"/>
              </w:rPr>
              <w:t>June 30, 2019</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August 15, 2019</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31.2500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33.1250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0.4609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0.4766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0.5806</w:t>
            </w:r>
          </w:p>
        </w:tc>
        <w:tc>
          <w:tcPr>
            <w:tcW w:w="180" w:type="dxa"/>
            <w:vAlign w:val="bottom"/>
          </w:tcPr>
          <w:p>
            <w:pPr>
              <w:jc w:val="right"/>
              <w:ind w:right="35"/>
              <w:spacing w:after="0"/>
              <w:rPr>
                <w:sz w:val="20"/>
                <w:szCs w:val="20"/>
                <w:color w:val="auto"/>
              </w:rPr>
            </w:pPr>
            <w:r>
              <w:rPr>
                <w:rFonts w:ascii="Arial" w:cs="Arial" w:eastAsia="Arial" w:hAnsi="Arial"/>
                <w:sz w:val="9"/>
                <w:szCs w:val="9"/>
                <w:color w:val="auto"/>
              </w:rPr>
              <w:t>*</w:t>
            </w:r>
          </w:p>
        </w:tc>
      </w:tr>
      <w:tr>
        <w:trPr>
          <w:trHeight w:val="2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2019</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 2019</w:t>
            </w:r>
          </w:p>
        </w:tc>
        <w:tc>
          <w:tcPr>
            <w:tcW w:w="1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15, 2019</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0.4609</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0.4766</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shd w:val="clear" w:color="auto" w:fill="CCEEFF"/>
          </w:tcPr>
          <w:p>
            <w:pPr>
              <w:spacing w:after="0"/>
              <w:rPr>
                <w:sz w:val="24"/>
                <w:szCs w:val="24"/>
                <w:color w:val="auto"/>
              </w:rPr>
            </w:pPr>
          </w:p>
        </w:tc>
      </w:tr>
      <w:tr>
        <w:trPr>
          <w:trHeight w:val="258"/>
        </w:trPr>
        <w:tc>
          <w:tcPr>
            <w:tcW w:w="2080" w:type="dxa"/>
            <w:vAlign w:val="bottom"/>
            <w:gridSpan w:val="2"/>
          </w:tcPr>
          <w:p>
            <w:pPr>
              <w:ind w:left="40"/>
              <w:spacing w:after="0"/>
              <w:rPr>
                <w:sz w:val="20"/>
                <w:szCs w:val="20"/>
                <w:color w:val="auto"/>
              </w:rPr>
            </w:pPr>
            <w:r>
              <w:rPr>
                <w:rFonts w:ascii="Arial" w:cs="Arial" w:eastAsia="Arial" w:hAnsi="Arial"/>
                <w:sz w:val="14"/>
                <w:szCs w:val="14"/>
                <w:color w:val="auto"/>
              </w:rPr>
              <w:t>December 31, 2019</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February 3, 2020</w:t>
            </w:r>
          </w:p>
        </w:tc>
        <w:tc>
          <w:tcPr>
            <w:tcW w:w="1940" w:type="dxa"/>
            <w:vAlign w:val="bottom"/>
            <w:gridSpan w:val="2"/>
          </w:tcPr>
          <w:p>
            <w:pPr>
              <w:ind w:left="20"/>
              <w:spacing w:after="0"/>
              <w:rPr>
                <w:sz w:val="20"/>
                <w:szCs w:val="20"/>
                <w:color w:val="auto"/>
              </w:rPr>
            </w:pPr>
            <w:r>
              <w:rPr>
                <w:rFonts w:ascii="Arial" w:cs="Arial" w:eastAsia="Arial" w:hAnsi="Arial"/>
                <w:sz w:val="14"/>
                <w:szCs w:val="14"/>
                <w:color w:val="auto"/>
              </w:rPr>
              <w:t>February 18, 2020</w:t>
            </w: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31.2500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33.1250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0.4609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0.4766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tcPr>
          <w:p>
            <w:pPr>
              <w:spacing w:after="0"/>
              <w:rPr>
                <w:sz w:val="22"/>
                <w:szCs w:val="22"/>
                <w:color w:val="auto"/>
              </w:rPr>
            </w:pPr>
          </w:p>
        </w:tc>
      </w:tr>
    </w:tbl>
    <w:p>
      <w:pPr>
        <w:spacing w:after="0" w:line="106" w:lineRule="exact"/>
        <w:rPr>
          <w:sz w:val="20"/>
          <w:szCs w:val="20"/>
          <w:color w:val="auto"/>
        </w:rPr>
      </w:pPr>
    </w:p>
    <w:p>
      <w:pPr>
        <w:ind w:left="340" w:hanging="332"/>
        <w:spacing w:after="0" w:line="216" w:lineRule="auto"/>
        <w:tabs>
          <w:tab w:leader="none" w:pos="340" w:val="left"/>
        </w:tabs>
        <w:numPr>
          <w:ilvl w:val="0"/>
          <w:numId w:val="103"/>
        </w:numPr>
        <w:rPr>
          <w:rFonts w:ascii="Arial" w:cs="Arial" w:eastAsia="Arial" w:hAnsi="Arial"/>
          <w:sz w:val="25"/>
          <w:szCs w:val="25"/>
          <w:color w:val="auto"/>
          <w:vertAlign w:val="superscript"/>
        </w:rPr>
      </w:pPr>
      <w:r>
        <w:rPr>
          <w:rFonts w:ascii="Arial" w:cs="Arial" w:eastAsia="Arial" w:hAnsi="Arial"/>
          <w:sz w:val="18"/>
          <w:szCs w:val="18"/>
          <w:color w:val="auto"/>
        </w:rPr>
        <w:t>Represent prorated initial distributions. Prorated initial distributions on the recently issued ETO Series F Preferred Units and ETO Series G Preferred Units will be payable in May 2020.</w:t>
      </w:r>
    </w:p>
    <w:p>
      <w:pPr>
        <w:spacing w:after="0" w:line="95" w:lineRule="exact"/>
        <w:rPr>
          <w:sz w:val="20"/>
          <w:szCs w:val="20"/>
          <w:color w:val="auto"/>
        </w:rPr>
      </w:pPr>
    </w:p>
    <w:p>
      <w:pPr>
        <w:ind w:left="5580" w:right="3260" w:hanging="5572"/>
        <w:spacing w:after="0" w:line="434" w:lineRule="auto"/>
        <w:tabs>
          <w:tab w:leader="none" w:pos="278" w:val="left"/>
        </w:tabs>
        <w:numPr>
          <w:ilvl w:val="0"/>
          <w:numId w:val="104"/>
        </w:numPr>
        <w:rPr>
          <w:rFonts w:ascii="Arial" w:cs="Arial" w:eastAsia="Arial" w:hAnsi="Arial"/>
          <w:sz w:val="25"/>
          <w:szCs w:val="25"/>
          <w:color w:val="auto"/>
          <w:vertAlign w:val="superscript"/>
        </w:rPr>
      </w:pPr>
      <w:r>
        <w:rPr>
          <w:rFonts w:ascii="Arial" w:cs="Arial" w:eastAsia="Arial" w:hAnsi="Arial"/>
          <w:sz w:val="18"/>
          <w:szCs w:val="18"/>
          <w:color w:val="auto"/>
        </w:rPr>
        <w:t>ETO Series A Preferred Units and ETO Series B Preferred Unit distributions are paid on a semi-annual basis. 113</w:t>
      </w:r>
    </w:p>
    <w:p>
      <w:pPr>
        <w:sectPr>
          <w:pgSz w:w="11900" w:h="16838" w:orient="portrait"/>
          <w:cols w:equalWidth="0" w:num="1">
            <w:col w:w="11420"/>
          </w:cols>
          <w:pgMar w:left="240" w:top="118" w:right="2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 Cash Distributions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3"/>
          </w:tcPr>
          <w:p>
            <w:pPr>
              <w:ind w:left="400"/>
              <w:spacing w:after="0"/>
              <w:rPr>
                <w:sz w:val="20"/>
                <w:szCs w:val="20"/>
                <w:color w:val="auto"/>
              </w:rPr>
            </w:pPr>
            <w:r>
              <w:rPr>
                <w:rFonts w:ascii="Arial" w:cs="Arial" w:eastAsia="Arial" w:hAnsi="Arial"/>
                <w:sz w:val="18"/>
                <w:szCs w:val="18"/>
                <w:color w:val="auto"/>
              </w:rPr>
              <w:t>Marginal Percentage Interest in</w:t>
            </w:r>
          </w:p>
        </w:tc>
      </w:tr>
      <w:tr>
        <w:trPr>
          <w:trHeight w:val="230"/>
        </w:trPr>
        <w:tc>
          <w:tcPr>
            <w:tcW w:w="4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3"/>
          </w:tcPr>
          <w:p>
            <w:pPr>
              <w:ind w:left="1060"/>
              <w:spacing w:after="0"/>
              <w:rPr>
                <w:sz w:val="20"/>
                <w:szCs w:val="20"/>
                <w:color w:val="auto"/>
              </w:rPr>
            </w:pPr>
            <w:r>
              <w:rPr>
                <w:rFonts w:ascii="Arial" w:cs="Arial" w:eastAsia="Arial" w:hAnsi="Arial"/>
                <w:sz w:val="18"/>
                <w:szCs w:val="18"/>
                <w:color w:val="auto"/>
              </w:rPr>
              <w:t>Distributions</w:t>
            </w: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41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color w:val="auto"/>
              </w:rPr>
              <w:t>Common</w:t>
            </w:r>
          </w:p>
        </w:tc>
        <w:tc>
          <w:tcPr>
            <w:tcW w:w="1480" w:type="dxa"/>
            <w:vAlign w:val="bottom"/>
          </w:tcPr>
          <w:p>
            <w:pPr>
              <w:spacing w:after="0"/>
              <w:rPr>
                <w:sz w:val="19"/>
                <w:szCs w:val="19"/>
                <w:color w:val="auto"/>
              </w:rPr>
            </w:pPr>
          </w:p>
        </w:tc>
      </w:tr>
      <w:tr>
        <w:trPr>
          <w:trHeight w:val="230"/>
        </w:trPr>
        <w:tc>
          <w:tcPr>
            <w:tcW w:w="4120" w:type="dxa"/>
            <w:vAlign w:val="bottom"/>
          </w:tcPr>
          <w:p>
            <w:pPr>
              <w:spacing w:after="0"/>
              <w:rPr>
                <w:sz w:val="20"/>
                <w:szCs w:val="20"/>
                <w:color w:val="auto"/>
              </w:rPr>
            </w:pPr>
          </w:p>
        </w:tc>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Quarterly Distribution Target Amount</w:t>
            </w:r>
          </w:p>
        </w:tc>
        <w:tc>
          <w:tcPr>
            <w:tcW w:w="1580" w:type="dxa"/>
            <w:vAlign w:val="bottom"/>
            <w:gridSpan w:val="2"/>
          </w:tcPr>
          <w:p>
            <w:pPr>
              <w:ind w:left="320"/>
              <w:spacing w:after="0"/>
              <w:rPr>
                <w:sz w:val="20"/>
                <w:szCs w:val="20"/>
                <w:color w:val="auto"/>
              </w:rPr>
            </w:pPr>
            <w:r>
              <w:rPr>
                <w:rFonts w:ascii="Arial" w:cs="Arial" w:eastAsia="Arial" w:hAnsi="Arial"/>
                <w:sz w:val="18"/>
                <w:szCs w:val="18"/>
                <w:color w:val="auto"/>
              </w:rPr>
              <w:t>Unitholders</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Holder of IDRs</w:t>
            </w:r>
          </w:p>
        </w:tc>
      </w:tr>
      <w:tr>
        <w:trPr>
          <w:trHeight w:val="27"/>
        </w:trPr>
        <w:tc>
          <w:tcPr>
            <w:tcW w:w="4120" w:type="dxa"/>
            <w:vAlign w:val="bottom"/>
            <w:tcBorders>
              <w:bottom w:val="single" w:sz="8" w:color="CCEEFF"/>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Quarterly Distribution</w:t>
            </w:r>
          </w:p>
        </w:tc>
        <w:tc>
          <w:tcPr>
            <w:tcW w:w="4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$0.4375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First Target Distribution</w:t>
            </w:r>
          </w:p>
        </w:tc>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$0.4375 to $0.503125</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Target Distribution</w:t>
            </w:r>
          </w:p>
        </w:tc>
        <w:tc>
          <w:tcPr>
            <w:tcW w:w="4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$0.503125 to $0.546875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Third Target Distribution</w:t>
            </w:r>
          </w:p>
        </w:tc>
        <w:tc>
          <w:tcPr>
            <w:tcW w:w="42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$0.546875 to $0.656250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4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Above $0.656250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41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Sunoco LP’s units declared and/or paid by Sunoco LP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ind w:left="1080"/>
              <w:spacing w:after="0"/>
              <w:rPr>
                <w:sz w:val="20"/>
                <w:szCs w:val="20"/>
                <w:color w:val="auto"/>
              </w:rPr>
            </w:pPr>
            <w:r>
              <w:rPr>
                <w:rFonts w:ascii="Arial" w:cs="Arial" w:eastAsia="Arial" w:hAnsi="Arial"/>
                <w:sz w:val="18"/>
                <w:szCs w:val="18"/>
                <w:color w:val="auto"/>
              </w:rPr>
              <w:t>Quarter Ended</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272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13, 2017</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21, 2017</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9, 2017</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16,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2017</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September 30, 2017</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14, 2017</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6, 2018</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March 31,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2018</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September 30,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6,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6, 2019</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2019</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March 31, 2019</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May 7,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15, 2019</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2019</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14, 2019</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September 30, 2019</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2020</w:t>
            </w:r>
          </w:p>
        </w:tc>
        <w:tc>
          <w:tcPr>
            <w:tcW w:w="6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0.8255</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distributions to the Partnership from Sunoco LP for the periods presented below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2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from Sunoco LP</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Limited Partner interests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 interest and IDRs</w:t>
            </w: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Series A Preferred</w:t>
            </w:r>
          </w:p>
        </w:tc>
        <w:tc>
          <w:tcPr>
            <w:tcW w:w="10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distributions from Sunoco LP</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USAC Cash Distributions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Energy Transfer Merger and USAC Transactions described in Note 1 and Note 3, respectively, ETO owned approximately 39.7 million USAC common units and 6.4 million USAC Class B units. Subsequent to the conversion of the USAC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18" w:right="2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Class B Units to USAC common units on July 30, 2019, ETO owns approximately 46.1 million USAC common units. As of December 31, 2019, USAC had approximately 96.6 million common units outstanding. USAC currently has a non-economic general partner interest and no outstanding IDRs.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USAC’s units declared and/or paid by USAC subsequent to the USAC transaction on April 2, 2018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ind w:left="1080"/>
              <w:spacing w:after="0"/>
              <w:rPr>
                <w:sz w:val="20"/>
                <w:szCs w:val="20"/>
                <w:color w:val="auto"/>
              </w:rPr>
            </w:pPr>
            <w:r>
              <w:rPr>
                <w:rFonts w:ascii="Arial" w:cs="Arial" w:eastAsia="Arial" w:hAnsi="Arial"/>
                <w:sz w:val="18"/>
                <w:szCs w:val="18"/>
                <w:color w:val="auto"/>
              </w:rPr>
              <w:t>Quarter Ended</w:t>
            </w:r>
          </w:p>
        </w:tc>
        <w:tc>
          <w:tcPr>
            <w:tcW w:w="274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272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40" w:type="dxa"/>
            <w:vAlign w:val="bottom"/>
          </w:tcPr>
          <w:p>
            <w:pPr>
              <w:spacing w:after="0"/>
              <w:rPr>
                <w:sz w:val="20"/>
                <w:szCs w:val="20"/>
                <w:color w:val="auto"/>
              </w:rPr>
            </w:pPr>
          </w:p>
        </w:tc>
        <w:tc>
          <w:tcPr>
            <w:tcW w:w="198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11, 2018</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0.5250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June 30,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July 30,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August 10, 2018</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0.5250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29, 2018</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09, 2018</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0.5250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January 28,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February 8, 2019</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0.5250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29, 2019</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10, 2019</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0.5250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June 30, 2019</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July 29,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August 9, 2019</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0.5250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2019</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28, 2019</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8, 2019</w:t>
            </w:r>
          </w:p>
        </w:tc>
        <w:tc>
          <w:tcPr>
            <w:tcW w:w="6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0.5250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January 27,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February 7, 2020</w:t>
            </w:r>
          </w:p>
        </w:tc>
        <w:tc>
          <w:tcPr>
            <w:tcW w:w="64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0.5250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distributions to the Partnership from USAC for the periods presented below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Distributions from USAC</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Limited Partner interests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distributions from USAC</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Estimates and Critical Accounting Policies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selection and application of accounting policies is an important process that has developed as our business activities have evolved and as the accounting rules have developed. Accounting rules generally do not involve a selection among alternatives, but involve an implementation and interpretation of existing rules, and the use of judgment applied to the specific set of circumstances existing in our business. We make every effort to properly comply with all applicable rules, and we believe the proper implementation and consistent application of the accounting rules are critical. Our critical accounting policies are discussed below. For further details on our accounting policies see Note 2 to our consolidated financial statements.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amounts of assets and liabilities and the accrual for and disclosure of contingent assets and liabilities at the date of the financial statements and the reported amounts of revenues and expenses during the reporting period. The natural gas industry conducts its business by processing actual transactions at the end of the month following the month of delivery. Consequently, the most current month’s financial results for the midstream, NGL and intrastate transportation and storage segments are estimated using volume estimates and market prices. Any differences between estimated results and actual results are recognized in the following month’s financial statements. Management believes that the operating results estimated for the year ended December 31, 2019 represent the actual results in all material respects.</w:t>
      </w:r>
    </w:p>
    <w:p>
      <w:pPr>
        <w:spacing w:after="0" w:line="1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Some of the other significant estimates made by management include, but are not limited to, the timing of certain forecasted transactions that are hedged, the fair value of derivative instruments, useful lives for depreciation, depletion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Revenues for sales of natural gas and NGLs are recognized at the later of the time of delivery of the product to the customer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of sale. Revenues from service labor, transportation, treating, compression and gas processing, are recognized upon completion of the service. Transportation capacity payments are recognized when earned in the period the capacity is made available.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intrastate transportation and storage and interstate transportation and storage segments’ results are determined primarily by the amount of capacity our customers reserve as well as the actual volume of natural gas that flows through the transportation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18" w:right="2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pipelines. Under transportation contracts, our customers are charged (i) a demand fee, which is a fixed fee for the reservation of an agreed amount of capacity on the transportation pipeline for a specified period of time and which obligates the customer to pay even if the customer does not transport natural gas on the respective pipeline, (ii) a transportation fee, which is based on the actual throughput of natural gas by the customer, (iii) fuel retention based on a percentage of gas transported on the pipeline, or (iv) a combination of the three, generally payable monthly. Excess fuel retained after consumption is typically valued at market prices.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intrastate transportation and storage segment also generates revenues and margin from the sale of natural gas to electric utilities, independent power plants, local distribution companies, industrial end-users and other marketing companies on the HPL System. Generally, we purchase natural gas from the market, including purchases from our marketing operations, and from producers at the wellhead.</w:t>
      </w:r>
    </w:p>
    <w:p>
      <w:pPr>
        <w:spacing w:after="0" w:line="1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our intrastate transportation and storage segment generates revenues and margin from fees charged for storing customers’ working natural gas in our storage facilities. We also engage in natural gas storage transactions in which we seek to find and profit from pricing differences that occur over time utilizing the Bammel storage reservoir. We purchase physical natural gas and then sell financial contracts at a price sufficient to cover our carrying costs and provide for a gross profit margin. We expect margins from natural gas storage transactions to be higher during the periods from November to March of each year and lower during the period from April through October of each year due to the increased demand for natural gas during colder weather. However, we cannot assure that management’s expectations will be fully realized in the future and in what time period, due to various factors including weather, availability of natural gas in regions in which we operate, competitive factors in the energy industry, and other issues.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Lake Charles LNG’s revenues from storage and re-gasification of natural gas are based on capacity reservation charges and, to a lesser extent, commodity usage charges. Reservation revenues are based on contracted rates and capacity reserved by the customers and recognized monthly. Revenues from commodity usage charges are also recognized monthly and represent the recovery of electric power charges at Lake Charles LNG’s terminal.</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Results from the midstream segment are determined primarily by the volumes of natural gas gathered, compressed, treated, processed, purchased and sold through our pipeline and gathering systems and the level of natural gas and NGL prices. We generate midstream revenues and segment margins principally under fee-based or other arrangements in which we receive a fee for natural gas gathering, compressing, treating or processing services. The revenue earned from these arrangements is directly related to the volume of natural gas that flows through our systems and is not directly dependent on commodity prices. Our midstream segment also generates revenues from the sale of residue gas and NGLs at the tailgate of our processing facilities primarily to affiliates and some third-party customers.</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utilize other types of arrangements in our midstream segment, including (i) discount-to-index price arrangements, which involve purchases of natural gas at either (1) a percentage discount to a specified index price, (2) a specified index price less a fixed amount or (3) a percentage discount to a specified index price less an additional fixed amount, (ii) percentage-of-proceeds arrangements under which we gather and process natural gas on behalf of producers, sell the resulting residue gas and NGL volumes at market prices and remit to producers an agreed upon percentage of the proceeds based on an index price, and (iii) keep-whole arrangements where we gather natural gas from the producer, process the natural gas and sell the resulting NGLs to third parties at market prices. In many cases, we provide services under contracts that contain a combination of more than one of the arrangements described above. The terms of our contracts vary based on gas quality conditions, the competitive environment at the time the contracts are signed and customer requirements. Our contract mix may change as a result of changes in producer preferences, expansion in regions where some types of contracts are more common and other market factors.</w:t>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marketing activities in which we market the natural gas that flows through our assets, referred to as on-system gas. We also attract other customers by marketing volumes of natural gas that do not move through our assets, referred to as off-system gas. For both on-system and off-system gas, we purchase natural gas from natural gas producers and other supply points and sell that natural gas to utilities, industrial consumers, other marketers and pipeline companies, thereby generating gross margins based upon the difference between the purchase and resale prices.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risk management policy that provides for oversight over our marketing activities. These activities are monitored independently by our risk management function and must take place within predefined limits and authorizations. As a result of our use of derivative financial instruments that may not qualify for hedge accounting, the degree of earnings volatility that can occur may be significant, favorably or unfavorably, from period to period. We attempt to manage this volatility through the use of daily position and profit and loss reports provided to senior management and predefined limits and authorizations set forth in our risk management policy.</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inject and hold natural gas in our Bammel storage facility to take advantage of contango markets, when the price of natural gas is higher in the future than the current spot price. We use financial derivatives to hedge the natural gas held in connection with these arbitrage opportunities. At the inception of the hedge, we lock in a margin by purchasing gas in the spot market or off peak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18" w:right="2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season and entering a financial contract to lock in the sale price. If we designate the related financial contract as a fair value hedge for accounting purposes, we value the hedged natural gas inventory at current spot market prices along with the financial derivative we use to hedge it. Changes in the spread between the forward natural gas prices designated as fair value hedges and the physical inventory spot prices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 Unrealized margins represent the unrealized gains or losses from our derivative instruments using mark-to-market accounting, with changes in the fair value of our derivatives being recorded directly in earnings. These margins fluctuate based upon changes in the spreads between the physical spot prices and forward natural gas prices. If the spread narrows between the physical and financial prices, we will record unrealized gains or lower unrealized losses. If the spread widens, we will record unrealized losses or lower unrealized gains. Typically, as we enter the winter months, the spread converges so that we recognize in earnings the original locked in spread, either through mark-to-market or the physical withdrawal of natural gas.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NGL storage and pipeline transportation revenues are recognized when services are performed or products are delivered, respectively. Fractionation and processing revenues are recognized when product is either loaded into a truck or injected into a third-party pipeline, which is when title and risk of loss pass to the customer.</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natural gas compression business, revenue is recognized for compressor packages and technical service jobs using the completed contract method which recognizes revenue upon completion of the job. Costs incurred on a job are deducted at the time revenue is recognized.</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Terminalling and storage revenues are recognized at the time the services are provided. Pipeline revenues are recognized upon delivery of the barrels to the location designated by the shipper. Crude oil acquisition and marketing revenues, as well as refined product marketing revenues, are recognized when title to the product is transferred to the customer. Revenues are not recognized for crude oil exchange transactions, which are entered into primarily to acquire crude oil of a desired quality or to reduce transportation costs by taking delivery closer to end markets. Any net differential for exchange transactions is recorded as an adjustment of inventory costs in the purchases component of cost of products sold and operating expenses in the statements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 Sunoco LP</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Sunoco LP’s revenues from motor fuel are recognized either at the time fuel is delivered to the customer or at the time of sale. Shipment and delivery of motor fuel generally occurs on the same day. Sunoco LP charges wholesale customers for third-party transportation costs, which are recorded net in cost of sales. Through PropCo, Sunoco LP’s wholly-owned corporate subsidiary, Sunoco LP may sell motor fuel to customers on a commission agent basis, in which Sunoco LP retains title to inventory, controls access to and sale of fuel inventory, and recognizes revenue at the time the fuel is sold to the ultimate customer. In Sunoco LP’s fuel distribution and marketing operations, Sunoco LP derives other income from rental income, propane and lubricating oils, and other ancillary product and service offerings. In Sunoco LP’s other operations, Sunoco LP derives other income from merchandise, lottery ticket sales, money orders, prepaid phone cards and wireless services, ATM transactions, car washes, movie rentals, and other ancillary product and service offerings. Sunoco LP records revenue from other retail transactions on a net commission basis when a product is sold and/or services are rendered.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 USAC</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USAC’s revenue from contracted compression, station, gas treating and maintenance services is recognized ratably under its fixed-fee contracts over the term of the contract as services are provided to its customers. Initial contract terms typically range from six months to five years. However, USAC usually continues to provide compression services at a specific location beyond the initial contract term, either through contract renewal or on a month-to-month or longer basis. USAC primarily enters into fixed-fee contracts whereby its customers are required to pay its monthly fee even during periods of limited or disrupted throughput. Services are generally billed monthly, one month in advance of the commencement of the service month, except for certain customers who are billed at the beginning of the service month, and payment is generally due 30 days after receipt of the invoice. Amounts invoiced in advance are recorded as deferred revenue until earned, at which time they are recognized as revenue. The amount of consideration USAC receives and revenue it recognizes is based upon the fixed fee rate stated in each service contract.</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USAC’s retail parts and services revenue is earned primarily on freight and crane charges that are directly reimbursable by its customers and maintenance work on units at its customers’ locations that are outside the scope of USAC’s core maintenance activities. Revenue from retail parts and services is recognized at the point in time the part is transferred or service is provided and control is transferred to the customer. At such time, the customer has the ability to direct the use of the benefits of such part or service after USAC has performed its services. USAC bills upon completion of the service or transfer of the parts, and payment is generally due 30 days after receipt of the invoice. The amount of consideration USAC receives and revenue it recognizes is based upon the invoice amount.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18" w:right="2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Lease Accounting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inception of each lease arrangement, we determine if the arrangement is a lease or contains an embedded lease and review the facts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circumstances of the arrangement to classify lease assets as operating or finance leases under Topic 842. The Partnership has elected not to record any leases with terms of 12 months or less on the balance sheet.</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Balances related to operating leases are included in operating lease ROU assets, accrued and other current liabilities, operating lease current liabilities and non-current operating lease liabilities in our consolidated balance sheets. Finance leases represent a small portion of the active lease agreements and are included in finance lease ROU assets, current maturities of long-term debt and long-term debt, less current maturities in our consolidated balance sheets. The ROU assets represent the Partnership’s right to use an underlying asset for the lease term and lease liabilities represent the obligation of the Partnership to make minimum lease payments arising from the lease for the duration of the lease term.</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Most leases include one or more options to renew, with renewal terms that can extend the lease term from one to 20 years or greater. The exercise of lease renewal options is typically at the sole discretion of the Partnership and lease extensions are evaluated on a lease-by-lease basis. Leases containing early termination clauses typically require the agreement of both parties to the lease. At the inception of a lease, all renewal options reasonably certain to be exercised are considered when determining the lease term. The depreciable life of lease assets and leasehold improvements are limited by the expected lease term.</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determine the present value of future minimum lease payments, we use the implicit rate when readily determinable. Presently, because many of our leases do not provide an implicit rate, the Partnership applies its incremental borrowing rate based on the information available at the lease commencement date to determine the present value of minimum lease payments. The operating and finance lease ROU assets include any lease payments made and exclude lease incentives.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Minimum rent payments are expensed on a straight-line basis over the term of the lease. In addition, some leases require additional contingent or variable lease payments, which are based on the factors specific to the individual agreement. Variable lease payments the Partnership is typically responsible for include payment of real estate taxes, maintenance expenses and insurance.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short-term leases (leases that have term of twelve months or less upon commencement), lease payments are recognized on a straight-line basis and no ROU assets are recorded.</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Accounting for Derivative Instruments and Hedging Activities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utilize various exchange-traded and OTC commodity financial instrument contracts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 our exposure to margin fluctuations in natural gas, NGL, crude oil and refined products. These contracts consist primarily of futures and swaps.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designate a derivative financial instrument as a cash flow hedge and it qualifies for hedge accounting, the change in the fair value is deferred in AOCI until the underlying hedged transaction occurs. Any ineffective portion of a cash flow hedge’s change in fair value is recognized each period in earnings. Gains and losses deferred in AOCI related to cash flow hedges remain in AOCI until the underlying physical transaction occurs, unless it is probable that the forecasted transaction will not occur by the end of the originally specified time period or within an additional two-month period of time thereafter. For financial derivative instruments that do not qualify for hedge accounting, the change in fair value is recorded in cost of products sold in the consolidated statements of operations.</w:t>
      </w:r>
    </w:p>
    <w:p>
      <w:pPr>
        <w:spacing w:after="0" w:line="13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If we designate a hedging relationship as a fair value hedge, we record the changes in fair value of the hedged asset or liability in cost of products sold in our consolidated statement of operations. This amount is offset by the changes in fair value of the related hedging instrument. Any ineffective portion or amount excluded from the assessment of hedge ineffectiveness is also included in the cost of products sold in the consolidated statement of operations.</w:t>
      </w:r>
    </w:p>
    <w:p>
      <w:pPr>
        <w:spacing w:after="0" w:line="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utilize published settlement prices for exchange-traded contracts, quotes provided by brokers, and estimates of market prices based on daily contract activity to estimate the fair value of these contracts. Changes in the methods used to determine the fair value of these contracts could have a material effect on our results of operations. We do not anticipate future changes in the methods used to determine the fair value of these derivative contracts. See “Item 7A. Quantitative and Qualitative Disclosures about Market Risk” for further discussion regarding our derivative activities.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Fair Value of Financial Instruments</w:t>
      </w:r>
      <w:r>
        <w:rPr>
          <w:rFonts w:ascii="Arial" w:cs="Arial" w:eastAsia="Arial" w:hAnsi="Arial"/>
          <w:sz w:val="17"/>
          <w:szCs w:val="17"/>
          <w:color w:val="auto"/>
        </w:rPr>
        <w:t>. We have commodity derivatives, interest rate derivatives and embedded derivatives in our preferred units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18" w:right="2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rate derivatives as Level 2 as the primary input, the LIBOR curve, is based on quotes from an active exchange of Eurodollar futures for the same period as the future interest swap settlements. Level 3 inputs are unobservable. Derivatives related to the embedded derivatives in our preferred units are valued using a binomial lattice model. The market inputs utilized in the model include credit spread, probabilities of the occurrence of certain events, common unit price, dividend yield, and expected value, and are considered level 3. See further information on our fair value assets and liabilities in Note 2 of our consolidated financial statements.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Impairment of Long-Lived Assets, Goodwill, Intangible Assets and Investments in Unconsolidated Affiliates. </w:t>
      </w:r>
      <w:r>
        <w:rPr>
          <w:rFonts w:ascii="Arial" w:cs="Arial" w:eastAsia="Arial" w:hAnsi="Arial"/>
          <w:sz w:val="18"/>
          <w:szCs w:val="18"/>
          <w:color w:val="auto"/>
        </w:rPr>
        <w:t>Long-lived assets are required to be tested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recoverability whenever events or changes in circumstances indicate that the carrying amount of the asset may not be recoverable. Goodwill and intangibles with indefinite lives must be tested for impairment annually or more frequently if events or changes in circumstances indicate that the related asset might be impaired. An impairment of an investment in an unconsolidated affiliate is recognized when circumstances indicate that a decline in the investment value is other than temporary. An impairment loss should be recognized only if the carrying amount of the asset/goodwill is not recoverable and exceeds its fair value.</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test for recoverability when performing a quantitative impairment test, we must make estimates of projected cash flows related to the asset, which include, but are not limited to, assumptions about the use or disposition of the asset, estimated remaining life of the asset, and future expenditures necessary to maintain the asset’s existing service potential. In order to determine fair value, we make certain estimates and assumptions, including, among other things, changes in general economic conditions in regions in which our markets are located, the availability and prices of natural gas, our ability to negotiate favorable sales agreements, the risks that natural gas exploration and production activities will not occur or be successful, our dependence on certain significant customers and producers of natural gas, and competition from other companies, including major energy producers. While we believe we have made reasonable assumptions to calculate the fair value, if future results are not consistent with our estimates, we could be exposed to future impairment losses that could be material to our results of operations.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Partnership determined the fair value of its reporting units using a weighted combination of the discounted cash flow method and the guideline company method.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determined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determined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estimated a reasonable control premium representing the incremental value that accrues to the majority owner from the opportunity to dictate the strategic and operational actions of the business.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key assumption for the measurement of an impairment is management’s estimate of future cash flows and EBITDA. These estimates are based on the annual budget for the upcoming year and forecasted amounts for multiple subsequent years. The annual budget process is typically completed near the annual goodwill impairment testing date, and management uses the most recent information for the annual impairment tests. The forecast is also subjected to a comprehensive update annually in conjunction with the annual budget process and is revised periodically to reflect new information and/or revised expectations. The estimates of future cash flows and EBITDA are subjective in nature and are subject to impacts from the business risks described in “Item 1A. Risk Factors.” Therefore, the actual results could differ significantly from the amounts used for goodwill impairment testing, and significant changes in fair value estimates could occur in a given period. Such changes in fair value estimates could result in additional impairments in future periods; therefore, the actual results could differ significantly from the amounts used for goodwill impairment testing, and significant changes in fair value estimates could occur in a given period, resulting in additional impairments.</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does not believe that any of the goodwill balances in its reporting units is currently at significant risk of impairment; however, of the $5.2 billion of goodwill on the Partnership’s consolidated balance sheet as of December 31, 2019, approximately $380 million is recorded in reporting units for which the estimated fair value exceeded the carrying value by less than 20% in the most recent quantitative test.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18" w:right="2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the Partnership recorded the following impairments:</w:t>
      </w:r>
    </w:p>
    <w:p>
      <w:pPr>
        <w:spacing w:after="0" w:line="117" w:lineRule="exact"/>
        <w:rPr>
          <w:sz w:val="20"/>
          <w:szCs w:val="20"/>
          <w:color w:val="auto"/>
        </w:rPr>
      </w:pPr>
    </w:p>
    <w:p>
      <w:pPr>
        <w:jc w:val="both"/>
        <w:ind w:left="340" w:hanging="332"/>
        <w:spacing w:after="0" w:line="259"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$12 million impairment was recorded related to the goodwill associated with the Partnership’s Southwest Gas operations within the interstate segment primarily due to decreases in projected future revenues and cash flows. Additionally, the Partnership recorded a $9 million impairment related to the goodwill associated with the Partnership’s North Central operations within the midstream segment primarily due to changes in assumptions related to projected future revenues and cash flows.</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Sunoco LP recognized a $47 million write-down on assets held for sale related to its ethanol plant in Fulton, New York.</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USAC also recognized a $6 million fixed asset impairment related to certain idle compressor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2018, the Partnership recorded the following impairments:</w:t>
      </w:r>
    </w:p>
    <w:p>
      <w:pPr>
        <w:spacing w:after="0" w:line="117" w:lineRule="exact"/>
        <w:rPr>
          <w:sz w:val="20"/>
          <w:szCs w:val="20"/>
          <w:color w:val="auto"/>
        </w:rPr>
      </w:pPr>
    </w:p>
    <w:p>
      <w:pPr>
        <w:jc w:val="both"/>
        <w:ind w:left="340" w:right="20" w:hanging="332"/>
        <w:spacing w:after="0" w:line="302"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$378 million impairment was recorded related to the goodwill associated with the Partnership’s Northeast operations within the midstream segment primarily due to changes in assumptions related to projected future revenues and cash flows from the dates the goodwill was originally recorded. These changes in assumptions reflect delays in the construction of third-party takeaway capacity in the Northeast. Additionally, the Partnership recorded asset impairments of $4 million related to our midstream operations and asset impairments $9 million related to our crude operations idle leased assets.</w:t>
      </w:r>
    </w:p>
    <w:p>
      <w:pPr>
        <w:spacing w:after="0" w:line="46"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Sunoco LP also recognized a $30 million impairment charge on its contractual rights primarily due to decreases in projected future revenues and cash flows from the date the intangible assets were originally recorded.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USAC also recognized a $9 million fixed asset impairment related to certain idle compressor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the Partnership recorded the following impairments:</w:t>
      </w:r>
    </w:p>
    <w:p>
      <w:pPr>
        <w:spacing w:after="0" w:line="117" w:lineRule="exact"/>
        <w:rPr>
          <w:sz w:val="20"/>
          <w:szCs w:val="20"/>
          <w:color w:val="auto"/>
        </w:rPr>
      </w:pPr>
    </w:p>
    <w:p>
      <w:pPr>
        <w:jc w:val="both"/>
        <w:ind w:left="340" w:hanging="332"/>
        <w:spacing w:after="0" w:line="25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$223 million impairment was recorded related to the goodwill associated with CDM. In January 2018, the Partnership announced the contribution of CDM to USAC. Based on the Partnership’s anticipated proceeds in the contribution transaction, the implied fair value of the CDM reporting unit was less than the Partnership’s carrying value. As the Partnership believes that the contribution consideration also represented an appropriate estimate of fair value as of the 2017 annual impairment test date, the Partnership recorded an impairment for the difference between the carrying value and the fair value of the reporting unit.</w:t>
      </w:r>
    </w:p>
    <w:p>
      <w:pPr>
        <w:spacing w:after="0" w:line="80"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$262 million impairment was recorded related to the goodwill associated with the Partnership’s interstate transportation and storage reporting units, and a $229 million impairment was recorded related to the goodwill associated with the general partner of Panhandle in the all other segment. These impairments were due to a reduction in management’s forecasted future cash flows from the related reporting units, which reduction reflected the impacts discussed in “Results of Operations” above, along with the impacts of re-contracting assumptions related to future periods.</w:t>
      </w:r>
    </w:p>
    <w:p>
      <w:pPr>
        <w:spacing w:after="0" w:line="46" w:lineRule="exact"/>
        <w:rPr>
          <w:rFonts w:ascii="Arial" w:cs="Arial" w:eastAsia="Arial" w:hAnsi="Arial"/>
          <w:sz w:val="16"/>
          <w:szCs w:val="16"/>
          <w:color w:val="auto"/>
        </w:rPr>
      </w:pPr>
    </w:p>
    <w:p>
      <w:pPr>
        <w:jc w:val="both"/>
        <w:ind w:left="340" w:hanging="332"/>
        <w:spacing w:after="0" w:line="297"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 $79 million impairment was recorded related to the goodwill associated the Partnership’s refined products transportation and services reporting unit. Subsequent to the Sunoco Logistics Merger, the Partnership restructured the internal reporting of legacy Sunoco Logistics’ business to be consistent with the internal reporting of legacy ETO. Subsequent to this reallocation the carrying value of certain refined products reporting units was less than the estimated fair value due to a reduction in management’s forecasted future cash flows from the related reporting units, and the goodwill associated with those reporting units was fully impaired. No goodwill remained in the respective reporting units subsequent to the impairment.</w:t>
      </w:r>
    </w:p>
    <w:p>
      <w:pPr>
        <w:spacing w:after="0" w:line="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$127 million impairment of property, plant and equipment related to Sea Robin primarily due to a reduction in expected future cash flows due to an increase during 2017 in insurance costs related to offshore assets.</w:t>
      </w:r>
    </w:p>
    <w:p>
      <w:pPr>
        <w:spacing w:after="0" w:line="62"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$141 million impairment of the Partnership’s equity method investment in FEP. The Partnership concluded that the carrying value of its investment in FEP was other than temporarily impaired based on an anticipated decrease in production in the Fayetteville basin and a customer re-contracting with a competitor during 2017.</w:t>
      </w:r>
    </w:p>
    <w:p>
      <w:pPr>
        <w:spacing w:after="0" w:line="73"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$172 million impairment of the Partnership’s equity method investment in HPC primarily due to a decrease in projected future revenues and cash flows driven be the bankruptcy of one of HPC’s major customers in 2017 and an expectation that contracts expiring in the next few years will be renewed at lower tariff rates and lower volumes.</w:t>
      </w:r>
    </w:p>
    <w:p>
      <w:pPr>
        <w:spacing w:after="0" w:line="7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2017, Sunoco LP also recognized impairments of $404 million, of which $119 million was allocated to continuing operations, as discussed further below.</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 2017 impairment of the goodwill associated with CDM, as discussed above, the goodwill impairments recorded by the Partnership during the years ended December 31, 2019, 2018 and 2017 represented all of the goodwill within the respective reporting units.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2017, Sunoco LP announced the sale of a majority of the assets in its retail and Stripes reporting units. These reporting units include the retail operations in the continental United States but excludes the retail convenience store operations in Hawaii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18" w:right="2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that comprise the Aloha reporting unit. Upon the classification of assets and related liabilities as held for sale, Sunoco LP’s management applied the measurement guidance in ASC 360, Property, Plant and Equipment, to calculate the fair value less cost to sell of the disposal group. In accordance with ASC 360-10-35-39, Sunoco LP’s management first tested the goodwill included within the disposal group for impairment prior to measuring the disposal group’s fair value less the cost to sell. In the determination of the classification of assets held for sale and the related liabilities, Sunoco LP’s management allocated a portion of the goodwill balance previously included in the Sunoco LP retail and Stripes reporting units to assets held for sale based on the relative fair values of the business to be disposed of and the portion of the respective reporting unit that will be retained in accordance with ASC 350-20-40-3.</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Sunoco LP recognized goodwill impairments of $387 million in 2017, of which $102 million was allocated to continuing operations, primarily due to changes in assumptions related to projected future revenues and cash flows from the dates the goodwill was originally recorded.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Sunoco LP performed impairment tests on its indefinite-lived intangible assets during the fourth quarter of 2017 and recognized a total of $17 million in impairment charges on their contractual rights and liquor licenses primarily due to decreases in projected future revenues and cash flows from the date the intangible assets were originally recorded.</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Property, Plant and Equipment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for maintenance and repairs that do not add capacity or extend the useful life are expensed as incurred.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to refurbish assets that either extend the useful lives of the asset or prevent environmental contamination are capitalized and depreciated over the remaining useful life of the asset. Additionally, we capitalize certain costs directly related to the construction of assets including internal labor costs, interest and engineering costs. Upon disposition or retirement of pipeline components or natural gas plant components, any gain or loss is recorded to accumulated depreciation. When entire pipeline systems, gas plants or other property and equipment are retired or sold, any gain or loss is included in the consolidated statement of operations. Depreciation of property, plant and equipment is provided using the straight-line method based on their estimated useful lives ranging from 1 to 99 years. Changes in the estimated useful lives of the assets could have a material effect on our results of operation. We do not anticipate future changes in the estimated useful lives of our property, plant and equipment.</w:t>
      </w:r>
    </w:p>
    <w:p>
      <w:pPr>
        <w:spacing w:after="0" w:line="1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Asset Retirement Obligations</w:t>
      </w:r>
      <w:r>
        <w:rPr>
          <w:rFonts w:ascii="Arial" w:cs="Arial" w:eastAsia="Arial" w:hAnsi="Arial"/>
          <w:sz w:val="17"/>
          <w:szCs w:val="17"/>
          <w:color w:val="auto"/>
        </w:rPr>
        <w:t>. We have determined that we are obligated by contractual or regulatory requirements to remove facilities or perform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remediation upon retirement of certain assets. The fair value of any ARO is determined based on estimates and assumptions related to retirement costs, which the Partnership bases on historical retirement costs, future inflation rates and credit-adjusted risk-free interest rates. These fair value assessments are considered to be Level 3 measurements, as they are based on both observable and unobservable inputs. Changes in the liability are recorded for the passage of time (accretion) or for revisions to cash flows originally estimated to settle the ARO.</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ARO is required to be recorded when a legal obligation to retire an asset exists and such obligation can be reasonably estimated. We will record an ARO in the periods in which management can reasonably estimate the settlement dates.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Except for certain amounts discussed below, management was not able to reasonably measure the fair value of AROs as of December 31, 2019 and 2018, in most cases because the settlement dates were indeterminable. Although a number of other onshore assets in Panhandle’s system are subject to agreements or regulations that give rise to an ARO upon Panhandle’s discontinued use of these assets, AROs were not recorded because these assets have an indeterminate removal or abandonment date given the expected continued use of the assets with proper maintenance or replacement. ETC Sunoco has legal AROs for several other assets at its previously owned refineries, pipelines and terminals, for which it is not possible to estimate when the obligations will be settled. Consequently, the retirement obligations for these assets cannot be measured at this time. At the end of the useful life of these underlying assets, ETC Sunoco is legally or contractually required to abandon in place or remove the asset. We believe we may have additional AROs related to ETC Sunoco’s pipeline assets and storage tanks, for which it is not possible to estimate whether or when the AROs will be settled. Consequently, these AROs cannot be measured at this time. Sunoco LP has AROs related to the estimated future cost to remove underground storage tanks.</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Individual component assets have been and will continue to be replaced, but the pipeline and the natural gas gathering and processing systems will continue in operation as long as supply and demand for natural gas exists. Based on the widespread use of natural gas in industrial and power generation activities, management expects supply and demand to exist for the foreseeable future. We have in place a rigorous repair and maintenance program that keeps the pipelines and the natural gas gathering and processing systems in good working order. Therefore, although some of the individual assets may be replaced, the pipelines and the natural gas gathering and processing systems themselves will remain intact indefinitely.</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non-current assets on the Partnership’s consolidated balance sheet included $31 million and $26 million of legally restricted funds for the purpose of settling AROs as of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18" w:right="2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color w:val="auto"/>
        </w:rPr>
        <w:t>We are subject to litigation and regulatory proceedings as a result of our business operations and transactions. We utilize both internal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external counsel in evaluating our potential exposure to adverse outcomes from claims, orders, judgments or settlements. To the extent that actual outcomes differ from our estimates, or additional facts and circumstances cause us to revise our estimates, our earnings will be affected. We expense legal costs as incurred, and all recorded legal liabilities are revised as required as better information becomes available to us. The factors we consider when recording an accrual for contingencies include, among others: (i) the opinions and views of our legal counsel; (ii) our previous experience; and (iii) the decision of our management as to how we intend to respond to the complaints.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more information on our litigation and contingencies, see Note 11 to our consolidated financial statements included in “Item 8. Financial Statements and Supplementary Data” in this report.</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Environmental Remediation Activities. </w:t>
      </w:r>
      <w:r>
        <w:rPr>
          <w:rFonts w:ascii="Arial" w:cs="Arial" w:eastAsia="Arial" w:hAnsi="Arial"/>
          <w:sz w:val="16"/>
          <w:szCs w:val="16"/>
          <w:color w:val="auto"/>
        </w:rPr>
        <w:t>The Partnership’s accrual for environmental remediation activities reflects anticipated work at identified sites where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Losses attributable to unasserted claims are generally reflected in the accruals on an undiscounted basis, to the extent they are probable of occurrence and reasonably estimable. ETO has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ETO accrues losses attributable to unasserted claims based on the discounted estimates that are used to develop the premiums paid to the captive insurance company.</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general, each remediation site/issue is evaluated individually based upon information available for the site/issue and no pooling or statistical analysis is used to evaluate an aggregate risk for a group of similar items (e.g., service station sites) in determining the amount of probable loss accrual to be recorded. ETO’s estimates of environmental remediation costs also frequently involve evaluation of a range of estimates. In many cases, it is difficult to determine that one point in the range of loss estimates is more likely than any other. In these situations, existing accounting guidance requires that the minimum of the range be accrued. Accordingly, the low end of the range often represents the amount of loss which has been recorded. The Partnership’s consolidated balance sheet reflected $320 million in environmental accruals as of December 31, 2019.</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Management believes that the Partnership’s exposure to adverse developments with respect to any individual site is not expected to be material. However, if changes in environmental laws or regulations occur or the assumptions used to estimate losses at multiple sites are adjusted, such changes could impact multiple facilities, formerly owned facilities and third-party sites at the same time. As a result, from time to time, significant charges against income for environmental remediation may occur; however, management does not believe that any such charges would have a material adverse impact on the Partnership’s consolidated financial position.</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Deferred Income Taxes. </w:t>
      </w:r>
      <w:r>
        <w:rPr>
          <w:rFonts w:ascii="Arial" w:cs="Arial" w:eastAsia="Arial" w:hAnsi="Arial"/>
          <w:sz w:val="18"/>
          <w:szCs w:val="18"/>
          <w:color w:val="auto"/>
        </w:rPr>
        <w:t>ET recognizes benefits in earnings and related deferred tax assets for net operating loss carryforwards (“NOLs”) and tax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carryforwards. If necessary, a charge to earnings and a related valuation allowance are recorded to reduce deferred tax assets to an amount that is more likely than not to be realized by the Partnership in the future. Deferred income tax assets attributable to state and federal NOLs and federal tax alternative minimum tax credit carryforwards totaling $936 million have been included in ET’s consolidated balance sheet as of December 31, 2019. The state NOL carryforward benefits of $149 million ($118 million net of federal benefit) begin to expire in 2020 with a substantial portion expiring between 2033 and 2039. ET’s corporate subsidiaries have federal NOLs of $3.42 billion ($718 million in benefits) of which $1.3 billion will expire between 2031 and 2037. Any federal NOL generated in 2018 and future years can be carried forward indefinitely. Federal alternative minimum tax credit carryforwards of $15 million remained at December 31, 2019. We have determined that a valuation allowance totaling $62 million ($49 million net of federal income tax effects) is required for state NOLs as of December 31, 2019 primarily due to significant restrictions on their use in the Commonwealth of Pennsylvania. A separate valuation allowance of $46 million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18" w:right="2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is attributable to foreign tax credits. In making the assessment of the future realization of the deferred tax assets, we rely on future reversals of existing taxable temporary differences, tax planning strategies and forecasted taxable income based on historical and projected future operating results. The potential need for valuation allowances is regularly reviewed by management. If it is more likely than not that the recorded asset will not be realized, additional valuation allowances which increase income tax expense may be recognized in the period such determination is made. Likewise, if it is more likely than not that additional deferred tax assets will be realized, an adjustment to the deferred tax asset will increase income in the period such determination is made.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annual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 those anticipated, estimated, projected or expected. Among the key risk factors that may have a direct bearing on our results of operations and financial condition are:</w:t>
      </w:r>
    </w:p>
    <w:p>
      <w:pPr>
        <w:spacing w:after="0" w:line="74"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ability of our subsidiaries to make cash distributions to us, which is dependent on their results of operations, cash flows and financial condition;</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actual amount of cash distributions by our subsidiaries to us;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volumes transported on our subsidiaries’ pipelines and gathering systems;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level of throughput in our subsidiaries’ processing and treating facilities;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fees our subsidiaries charge and the margins they realize for their gathering, treating, processing, storage and transportation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prices and market demand for, and the relationship between, natural gas and NGLs;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energy prices generally;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prices of natural gas and NGLs compared to the price of alternative and competing fuels;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general level of petroleum product demand and the availability and price of NGL supplies;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level of domestic oil, natural gas and NGL production;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availability of imported oil, natural gas and NGLs;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actions taken by foreign oil and gas producing nations;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political and economic stability of petroleum producing nations;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effect of weather conditions on demand for oil, natural gas and NGLs;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availability of local, intrastate and interstate transportation systems;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continued ability to find and contract for new sources of natural gas supply;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availability and marketing of competitive fuels;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impact of energy conservation efforts;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energy efficiencies and technological trends;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governmental regulation and taxation;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changes to, and the application of, regulation of tariff rates and operational requirements related to our subsidiaries’ interstate and intrastate pipelines;</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hazards or operating risks incidental to the gathering, treating, processing and transporting of natural gas and NGLs;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competition from other midstream companies and interstate pipeline companies;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18" w:right="2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loss of key natural gas producers or the providers of fractionation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reductions in the capacity or allocations of third-party pipelines that connect with our subsidiaries pipelines and facilities;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effectiveness of risk-management policies and procedures and the ability of our subsidiaries liquids marketing counterparties to satisfy their financial commitments;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nonpayment or nonperformance by our subsidiaries’ customers;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regulatory, environmental, political and legal uncertainties that may affect the timing and cost of our subsidiaries’ internal growth projects, such as our subsidiaries’ construction of additional pipeline systems;</w:t>
      </w:r>
    </w:p>
    <w:p>
      <w:pPr>
        <w:spacing w:after="0" w:line="62"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risks associated with the construction of new pipelines and treating and processing facilities or additions to our subsidiaries’ existing pipelines and facilities, including difficulties in obtaining permits and rights-of-way or other regulatory approvals and the performance by third-party contractors;</w:t>
      </w:r>
    </w:p>
    <w:p>
      <w:pPr>
        <w:spacing w:after="0" w:line="38" w:lineRule="exact"/>
        <w:rPr>
          <w:rFonts w:ascii="Arial" w:cs="Arial" w:eastAsia="Arial" w:hAnsi="Arial"/>
          <w:sz w:val="17"/>
          <w:szCs w:val="17"/>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availability and cost of capital and our subsidiaries’ ability to access certain capital sources;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deterioration of the credit and capital markets;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risks associated with the assets and operations of entities in which our subsidiaries own less than a controlling interests, including risks related to management actions at such entities that our subsidiaries may not be able to control or exert influence;</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to successfully identify and consummate strategic acquisitions at purchase prices that are accretive to our financial results and to successfully integrate acquired businesses;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changes in laws and regulations to which we are subject, including tax, environmental, transportation and employment regulations or new interpretations by regulatory agencies concerning such laws and regulations; and</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costs and effects of legal and administrative proceedings.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You should not put undue reliance on any forward-looking statements. When considering forward-looking statements, please review the risks described under “Item 1A. Risk Factors” in this annual report. Any forward-looking statement made by us in this Annual Report on Form 10-K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rates on existing and future credit facilities and future debt offerings could be significantly higher than current levels, causing our financing costs to increase accordingly. Although increased financing costs could limit our ability to raise funds in the capital markets, we expect to remain competitive with respect to acquisitions and capital projects since our competitors would face similar circumstances.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Inflation in the United States has been relatively low in recent years and has not had a material effect on our results of operations. It may in the future, however, increase the cost to acquire or replace property, plant and equipment and may increase the costs of labor and supplies. Our operating revenues and costs are influenced to a greater extent by commodity price changes. To the extent permitted by competition, regulation and our existing agreements, we have and will continue to pass along a portion of increased costs to our customers in the form of higher fees.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are in millions)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Market risk includes the risk of loss arising from adverse changes in market rates and prices. We face market risk from commodity variations, risk and interest rate variations, and to a lesser extent, credit risks. From time to time, we may utilize derivative financial instruments as described below to manage our exposure to such risks.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 spot price result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18" w:right="2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financial commodity derivatives to take advantage of market opportunities in our trading activities which complement our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18" w:right="2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tables below summarize commodity-related financial derivative instruments, fair values and the effect of an assumed hypothetical 10% change in the underlying price of the commodity as of December 31, 2019 and 2018 for ETO and Sunoco LP, including derivatives related to their respective subsidiaries. Dollar amounts are presented in millions.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680" w:type="dxa"/>
            <w:vAlign w:val="bottom"/>
            <w:gridSpan w:val="6"/>
          </w:tcPr>
          <w:p>
            <w:pPr>
              <w:ind w:left="1260"/>
              <w:spacing w:after="0"/>
              <w:rPr>
                <w:sz w:val="20"/>
                <w:szCs w:val="20"/>
                <w:color w:val="auto"/>
              </w:rPr>
            </w:pPr>
            <w:r>
              <w:rPr>
                <w:rFonts w:ascii="Arial" w:cs="Arial" w:eastAsia="Arial" w:hAnsi="Arial"/>
                <w:sz w:val="18"/>
                <w:szCs w:val="18"/>
                <w:color w:val="auto"/>
                <w:w w:val="88"/>
              </w:rPr>
              <w:t>December 31, 2019</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jc w:val="right"/>
              <w:ind w:right="94"/>
              <w:spacing w:after="0"/>
              <w:rPr>
                <w:sz w:val="20"/>
                <w:szCs w:val="20"/>
                <w:color w:val="auto"/>
              </w:rPr>
            </w:pPr>
            <w:r>
              <w:rPr>
                <w:rFonts w:ascii="Arial" w:cs="Arial" w:eastAsia="Arial" w:hAnsi="Arial"/>
                <w:sz w:val="18"/>
                <w:szCs w:val="18"/>
                <w:color w:val="auto"/>
              </w:rPr>
              <w:t>December 31, 2018</w:t>
            </w:r>
          </w:p>
        </w:tc>
        <w:tc>
          <w:tcPr>
            <w:tcW w:w="1020" w:type="dxa"/>
            <w:vAlign w:val="bottom"/>
          </w:tcPr>
          <w:p>
            <w:pPr>
              <w:spacing w:after="0"/>
              <w:rPr>
                <w:sz w:val="20"/>
                <w:szCs w:val="20"/>
                <w:color w:val="auto"/>
              </w:rPr>
            </w:pPr>
          </w:p>
        </w:tc>
      </w:tr>
      <w:tr>
        <w:trPr>
          <w:trHeight w:val="27"/>
        </w:trPr>
        <w:tc>
          <w:tcPr>
            <w:tcW w:w="35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3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6"/>
                <w:szCs w:val="16"/>
                <w:color w:val="auto"/>
                <w:w w:val="90"/>
              </w:rPr>
              <w:t>Fair Value</w:t>
            </w:r>
          </w:p>
        </w:tc>
        <w:tc>
          <w:tcPr>
            <w:tcW w:w="2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95"/>
              </w:rPr>
              <w:t>Effect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Fair Value</w:t>
            </w:r>
          </w:p>
        </w:tc>
        <w:tc>
          <w:tcPr>
            <w:tcW w:w="220" w:type="dxa"/>
            <w:vAlign w:val="bottom"/>
          </w:tcPr>
          <w:p>
            <w:pPr>
              <w:spacing w:after="0"/>
              <w:rPr>
                <w:sz w:val="18"/>
                <w:szCs w:val="18"/>
                <w:color w:val="auto"/>
              </w:rPr>
            </w:pPr>
          </w:p>
        </w:tc>
        <w:tc>
          <w:tcPr>
            <w:tcW w:w="1020" w:type="dxa"/>
            <w:vAlign w:val="bottom"/>
          </w:tcPr>
          <w:p>
            <w:pPr>
              <w:jc w:val="center"/>
              <w:ind w:right="151"/>
              <w:spacing w:after="0"/>
              <w:rPr>
                <w:sz w:val="20"/>
                <w:szCs w:val="20"/>
                <w:color w:val="auto"/>
              </w:rPr>
            </w:pPr>
            <w:r>
              <w:rPr>
                <w:rFonts w:ascii="Arial" w:cs="Arial" w:eastAsia="Arial" w:hAnsi="Arial"/>
                <w:sz w:val="16"/>
                <w:szCs w:val="16"/>
                <w:color w:val="auto"/>
                <w:w w:val="98"/>
              </w:rPr>
              <w:t>Effect of</w:t>
            </w:r>
          </w:p>
        </w:tc>
      </w:tr>
      <w:tr>
        <w:trPr>
          <w:trHeight w:val="203"/>
        </w:trPr>
        <w:tc>
          <w:tcPr>
            <w:tcW w:w="3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6"/>
                <w:szCs w:val="16"/>
                <w:color w:val="auto"/>
                <w:w w:val="89"/>
              </w:rPr>
              <w:t>Asset</w:t>
            </w:r>
          </w:p>
        </w:tc>
        <w:tc>
          <w:tcPr>
            <w:tcW w:w="1340" w:type="dxa"/>
            <w:vAlign w:val="bottom"/>
            <w:gridSpan w:val="3"/>
          </w:tcPr>
          <w:p>
            <w:pPr>
              <w:jc w:val="center"/>
              <w:ind w:right="140"/>
              <w:spacing w:after="0"/>
              <w:rPr>
                <w:sz w:val="20"/>
                <w:szCs w:val="20"/>
                <w:color w:val="auto"/>
              </w:rPr>
            </w:pPr>
            <w:r>
              <w:rPr>
                <w:rFonts w:ascii="Arial" w:cs="Arial" w:eastAsia="Arial" w:hAnsi="Arial"/>
                <w:sz w:val="16"/>
                <w:szCs w:val="16"/>
                <w:color w:val="auto"/>
                <w:w w:val="93"/>
              </w:rPr>
              <w:t>Hypothetical 10%</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Asset</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4"/>
              </w:rPr>
              <w:t>Hypothetical 10%</w:t>
            </w:r>
          </w:p>
        </w:tc>
      </w:tr>
      <w:tr>
        <w:trPr>
          <w:trHeight w:val="206"/>
        </w:trPr>
        <w:tc>
          <w:tcPr>
            <w:tcW w:w="352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6"/>
                <w:szCs w:val="16"/>
                <w:color w:val="auto"/>
              </w:rPr>
              <w:t>Notional Volume</w:t>
            </w:r>
          </w:p>
        </w:tc>
        <w:tc>
          <w:tcPr>
            <w:tcW w:w="160" w:type="dxa"/>
            <w:vAlign w:val="bottom"/>
          </w:tcPr>
          <w:p>
            <w:pPr>
              <w:spacing w:after="0"/>
              <w:rPr>
                <w:sz w:val="17"/>
                <w:szCs w:val="17"/>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6"/>
                <w:szCs w:val="16"/>
                <w:color w:val="auto"/>
              </w:rPr>
              <w:t>(Liability)</w:t>
            </w:r>
          </w:p>
        </w:tc>
        <w:tc>
          <w:tcPr>
            <w:tcW w:w="2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85"/>
              </w:rPr>
              <w:t>Change</w:t>
            </w:r>
          </w:p>
        </w:tc>
        <w:tc>
          <w:tcPr>
            <w:tcW w:w="1440" w:type="dxa"/>
            <w:vAlign w:val="bottom"/>
            <w:gridSpan w:val="2"/>
          </w:tcPr>
          <w:p>
            <w:pPr>
              <w:ind w:left="120"/>
              <w:spacing w:after="0"/>
              <w:rPr>
                <w:sz w:val="20"/>
                <w:szCs w:val="20"/>
                <w:color w:val="auto"/>
              </w:rPr>
            </w:pPr>
            <w:r>
              <w:rPr>
                <w:rFonts w:ascii="Arial" w:cs="Arial" w:eastAsia="Arial" w:hAnsi="Arial"/>
                <w:sz w:val="16"/>
                <w:szCs w:val="16"/>
                <w:color w:val="auto"/>
              </w:rPr>
              <w:t>Notional Volume</w:t>
            </w: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color w:val="auto"/>
              </w:rPr>
              <w:t>(Liability)</w:t>
            </w:r>
          </w:p>
        </w:tc>
        <w:tc>
          <w:tcPr>
            <w:tcW w:w="220" w:type="dxa"/>
            <w:vAlign w:val="bottom"/>
          </w:tcPr>
          <w:p>
            <w:pPr>
              <w:spacing w:after="0"/>
              <w:rPr>
                <w:sz w:val="17"/>
                <w:szCs w:val="17"/>
                <w:color w:val="auto"/>
              </w:rPr>
            </w:pPr>
          </w:p>
        </w:tc>
        <w:tc>
          <w:tcPr>
            <w:tcW w:w="1020" w:type="dxa"/>
            <w:vAlign w:val="bottom"/>
          </w:tcPr>
          <w:p>
            <w:pPr>
              <w:jc w:val="center"/>
              <w:ind w:right="151"/>
              <w:spacing w:after="0"/>
              <w:rPr>
                <w:sz w:val="20"/>
                <w:szCs w:val="20"/>
                <w:color w:val="auto"/>
              </w:rPr>
            </w:pPr>
            <w:r>
              <w:rPr>
                <w:rFonts w:ascii="Arial" w:cs="Arial" w:eastAsia="Arial" w:hAnsi="Arial"/>
                <w:sz w:val="16"/>
                <w:szCs w:val="16"/>
                <w:color w:val="auto"/>
                <w:w w:val="89"/>
              </w:rPr>
              <w:t>Change</w:t>
            </w:r>
          </w:p>
        </w:tc>
      </w:tr>
      <w:tr>
        <w:trPr>
          <w:trHeight w:val="33"/>
        </w:trPr>
        <w:tc>
          <w:tcPr>
            <w:tcW w:w="3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Basis Swaps IFERC/NYMEX(1)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3,213,450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3,141,520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51,615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Crude (MBbls) – Futures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1380" w:type="dxa"/>
            <w:vAlign w:val="bottom"/>
          </w:tcPr>
          <w:p>
            <w:pPr>
              <w:jc w:val="right"/>
              <w:spacing w:after="0"/>
              <w:rPr>
                <w:sz w:val="20"/>
                <w:szCs w:val="20"/>
                <w:color w:val="auto"/>
              </w:rPr>
            </w:pPr>
            <w:r>
              <w:rPr>
                <w:rFonts w:ascii="Arial" w:cs="Arial" w:eastAsia="Arial" w:hAnsi="Arial"/>
                <w:sz w:val="18"/>
                <w:szCs w:val="18"/>
                <w:color w:val="auto"/>
              </w:rPr>
              <w:t>(9,265)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1380" w:type="dxa"/>
            <w:vAlign w:val="bottom"/>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(MBbls) – Forwards/Swaps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Crude (MBbls) – Forwards/Swaps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4,465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20,888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Refined Products (MBbls) – Futures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Corn (thousand bushels)</w:t>
            </w:r>
          </w:p>
        </w:tc>
        <w:tc>
          <w:tcPr>
            <w:tcW w:w="1380" w:type="dxa"/>
            <w:vAlign w:val="bottom"/>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380" w:type="dxa"/>
            <w:vAlign w:val="bottom"/>
          </w:tcPr>
          <w:p>
            <w:pPr>
              <w:jc w:val="right"/>
              <w:spacing w:after="0"/>
              <w:rPr>
                <w:sz w:val="20"/>
                <w:szCs w:val="20"/>
                <w:color w:val="auto"/>
              </w:rPr>
            </w:pPr>
            <w:r>
              <w:rPr>
                <w:rFonts w:ascii="Arial" w:cs="Arial" w:eastAsia="Arial" w:hAnsi="Arial"/>
                <w:sz w:val="18"/>
                <w:szCs w:val="18"/>
                <w:color w:val="auto"/>
              </w:rPr>
              <w:t>(31,780)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r>
      <w:tr>
        <w:trPr>
          <w:trHeight w:val="27"/>
        </w:trPr>
        <w:tc>
          <w:tcPr>
            <w:tcW w:w="35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83"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21"/>
          <w:szCs w:val="21"/>
          <w:color w:val="auto"/>
          <w:vertAlign w:val="superscript"/>
        </w:rPr>
      </w:pPr>
      <w:r>
        <w:rPr>
          <w:rFonts w:ascii="Arial" w:cs="Arial" w:eastAsia="Arial" w:hAnsi="Arial"/>
          <w:sz w:val="15"/>
          <w:szCs w:val="15"/>
          <w:color w:val="auto"/>
        </w:rPr>
        <w:t>Includes aggregate amounts for open positions related to Houston Ship Channel, Waha Hub, NGPL TexOk, West Louisiana Zone and Henry Hub locations.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 financial instrument settles and the location to which the financial instrument is tied (i.e., basis swaps) and the relationship between prompt month and forward months.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2019, our subsidiaries had $7.97 billion of floating rate debt outstanding. A hypothetical change of 100 basis points would result in a maximum potential change to interest expense of $80 million annually; however, our actual change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18" w:right="2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interest expense may be less in a given period due to interest rate floors included in our variable rate debt instruments. We manage a portion of our interest rate exposure by utilizing interest rate swaps, including forward-starting interest rate swaps to lock-in the rate on a portion of anticipated debt issuances.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interest rate swaps outstanding, none of which were designated as hedges for accounting purposes (dollar amounts presented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Notional Amount Outstanding</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Type</w:t>
            </w:r>
            <w:r>
              <w:rPr>
                <w:rFonts w:ascii="Arial" w:cs="Arial" w:eastAsia="Arial" w:hAnsi="Arial"/>
                <w:sz w:val="25"/>
                <w:szCs w:val="25"/>
                <w:color w:val="auto"/>
                <w:vertAlign w:val="superscript"/>
              </w:rPr>
              <w:t>(1)</w:t>
            </w:r>
          </w:p>
        </w:tc>
        <w:tc>
          <w:tcPr>
            <w:tcW w:w="100" w:type="dxa"/>
            <w:vAlign w:val="bottom"/>
            <w:vMerge w:val="restart"/>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Term</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5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3"/>
              </w:rPr>
              <w:t>December 31, 2019</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December 31, 2018</w:t>
            </w:r>
          </w:p>
        </w:tc>
        <w:tc>
          <w:tcPr>
            <w:tcW w:w="0" w:type="dxa"/>
            <w:vAlign w:val="bottom"/>
          </w:tcPr>
          <w:p>
            <w:pPr>
              <w:spacing w:after="0"/>
              <w:rPr>
                <w:sz w:val="1"/>
                <w:szCs w:val="1"/>
                <w:color w:val="auto"/>
              </w:rPr>
            </w:pPr>
          </w:p>
        </w:tc>
      </w:tr>
      <w:tr>
        <w:trPr>
          <w:trHeight w:val="244"/>
        </w:trPr>
        <w:tc>
          <w:tcPr>
            <w:tcW w:w="1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March 2019</w:t>
            </w: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 a floating rate and receive a fixed rate of 1.42%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July 2019 </w:t>
            </w:r>
            <w:r>
              <w:rPr>
                <w:rFonts w:ascii="Arial" w:cs="Arial" w:eastAsia="Arial" w:hAnsi="Arial"/>
                <w:sz w:val="25"/>
                <w:szCs w:val="25"/>
                <w:color w:val="auto"/>
                <w:vertAlign w:val="superscript"/>
              </w:rPr>
              <w:t>(2)</w:t>
            </w: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Forward-starting to pay a fixed rate of 3.56% and receive a floating rate</w:t>
            </w:r>
          </w:p>
        </w:tc>
        <w:tc>
          <w:tcPr>
            <w:tcW w:w="3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July 2020</w:t>
            </w: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Forward-starting to pay a fixed rate of 3.52% and receive a floating rate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w w:val="90"/>
              </w:rPr>
              <w:t>July 2021</w:t>
            </w:r>
          </w:p>
        </w:tc>
        <w:tc>
          <w:tcPr>
            <w:tcW w:w="620" w:type="dxa"/>
            <w:vAlign w:val="bottom"/>
          </w:tcPr>
          <w:p>
            <w:pPr>
              <w:ind w:left="2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6620" w:type="dxa"/>
            <w:vAlign w:val="bottom"/>
            <w:gridSpan w:val="2"/>
          </w:tcPr>
          <w:p>
            <w:pPr>
              <w:ind w:left="4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July 2022</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1"/>
                <w:szCs w:val="21"/>
                <w:color w:val="auto"/>
              </w:rPr>
            </w:pPr>
          </w:p>
        </w:tc>
        <w:tc>
          <w:tcPr>
            <w:tcW w:w="6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Forward-starting to pay a fixed rate of 3.80% and receive a floating rate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Floating rates are based on 3-month LIBOR.</w:t>
      </w:r>
    </w:p>
    <w:p>
      <w:pPr>
        <w:spacing w:after="0" w:line="98" w:lineRule="exact"/>
        <w:rPr>
          <w:rFonts w:ascii="Arial" w:cs="Arial" w:eastAsia="Arial" w:hAnsi="Arial"/>
          <w:sz w:val="25"/>
          <w:szCs w:val="25"/>
          <w:color w:val="auto"/>
          <w:vertAlign w:val="superscript"/>
        </w:rPr>
      </w:pPr>
    </w:p>
    <w:p>
      <w:pPr>
        <w:ind w:left="340" w:hanging="332"/>
        <w:spacing w:after="0" w:line="214" w:lineRule="auto"/>
        <w:tabs>
          <w:tab w:leader="none" w:pos="340" w:val="left"/>
        </w:tabs>
        <w:numPr>
          <w:ilvl w:val="0"/>
          <w:numId w:val="111"/>
        </w:numPr>
        <w:rPr>
          <w:rFonts w:ascii="Arial" w:cs="Arial" w:eastAsia="Arial" w:hAnsi="Arial"/>
          <w:sz w:val="22"/>
          <w:szCs w:val="22"/>
          <w:color w:val="auto"/>
          <w:vertAlign w:val="superscript"/>
        </w:rPr>
      </w:pPr>
      <w:r>
        <w:rPr>
          <w:rFonts w:ascii="Arial" w:cs="Arial" w:eastAsia="Arial" w:hAnsi="Arial"/>
          <w:sz w:val="16"/>
          <w:szCs w:val="16"/>
          <w:color w:val="auto"/>
        </w:rPr>
        <w:t>Represents the effective date. These forward-starting swaps have terms of 30 years with a mandatory termination date the same as the effective date.</w:t>
      </w:r>
    </w:p>
    <w:p>
      <w:pPr>
        <w:spacing w:after="0" w:line="98"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111"/>
        </w:numPr>
        <w:rPr>
          <w:rFonts w:ascii="Arial" w:cs="Arial" w:eastAsia="Arial" w:hAnsi="Arial"/>
          <w:sz w:val="25"/>
          <w:szCs w:val="25"/>
          <w:color w:val="auto"/>
          <w:vertAlign w:val="superscript"/>
        </w:rPr>
      </w:pPr>
      <w:r>
        <w:rPr>
          <w:rFonts w:ascii="Arial" w:cs="Arial" w:eastAsia="Arial" w:hAnsi="Arial"/>
          <w:sz w:val="18"/>
          <w:szCs w:val="18"/>
          <w:color w:val="auto"/>
        </w:rPr>
        <w:t>The July 2020 interest rate swaps were terminated in January 2020.</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hypothetical change of 100 basis points in interest rates for these interest rate swaps would result in a net change in the fair value of interest rate derivatives and earnings (recognized in gains (losses) on interest rate derivatives) of $327 million as of December 31, 2019. For the forward-starting interest rate swaps, a hypothetical change of 100 basis points in interest rates would not affect cash flows until the swaps are settled.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112" w:lineRule="exact"/>
        <w:rPr>
          <w:sz w:val="20"/>
          <w:szCs w:val="20"/>
          <w:color w:val="auto"/>
        </w:rPr>
      </w:pPr>
    </w:p>
    <w:p>
      <w:pPr>
        <w:ind w:right="2900" w:firstLine="2892"/>
        <w:spacing w:after="0" w:line="470" w:lineRule="auto"/>
        <w:rPr>
          <w:rFonts w:ascii="Arial" w:cs="Arial" w:eastAsia="Arial" w:hAnsi="Arial"/>
          <w:sz w:val="18"/>
          <w:szCs w:val="18"/>
          <w:color w:val="auto"/>
        </w:rPr>
      </w:pPr>
      <w:r>
        <w:rPr>
          <w:rFonts w:ascii="Arial" w:cs="Arial" w:eastAsia="Arial" w:hAnsi="Arial"/>
          <w:sz w:val="18"/>
          <w:szCs w:val="18"/>
          <w:b w:val="1"/>
          <w:bCs w:val="1"/>
          <w:color w:val="auto"/>
        </w:rPr>
        <w:t xml:space="preserve">ITEM 8. FINANCIAL STATEMENTS AND SUPPLEMENTARY DATA </w:t>
      </w:r>
      <w:r>
        <w:rPr>
          <w:rFonts w:ascii="Arial" w:cs="Arial" w:eastAsia="Arial" w:hAnsi="Arial"/>
          <w:sz w:val="18"/>
          <w:szCs w:val="18"/>
          <w:color w:val="auto"/>
        </w:rPr>
        <w:t xml:space="preserve">The financial statements starting on page </w:t>
      </w:r>
      <w:hyperlink w:anchor="page167">
        <w:r>
          <w:rPr>
            <w:rFonts w:ascii="Arial" w:cs="Arial" w:eastAsia="Arial" w:hAnsi="Arial"/>
            <w:sz w:val="18"/>
            <w:szCs w:val="18"/>
            <w:u w:val="single" w:color="auto"/>
            <w:color w:val="0000EE"/>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 are incorporated by reference.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18" w:right="2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 CHANGES IN AND DISAGREEMENTS WITH ACCOUNTANTS ON ACCOUNTING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FINANCIAL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the Chief Executive Officer and Chief Financial Officer of our General Partner, of the effectiveness of the design and operation of our disclosure controls and procedures (as such terms are defined in Rules 13a–15(e) and 15d–15(e) of the Exchange Act) as of the end of the period covered by this report. Based upon that evaluation, management, including the Chief Executive Officer and Chief Financial Officer of our General Partner, concluded that our disclosure controls and procedures were adequate and effective as of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management of Energy Transfer LP and subsidiaries is responsible for establishing and maintaining adequate internal control over financial reporting, as such term is defined in Exchange Act Rule 13a-15(f). Under the supervision and with the participation of our management, including the Chief Executive Officer and Chief Financial Officer of our General Partner, we conducted an evaluation of the effectiveness of our internal control over financial reporting based on the framework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(“COSO Framework”).</w:t>
      </w:r>
    </w:p>
    <w:p>
      <w:pPr>
        <w:spacing w:after="0" w:line="13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5, 2019, ET acquired SemGroup. Management acknowledges that it is responsible for establishing and maintaining a system of internal controls over financial reporting for SemGroup. We are in the process of integrating SemGroup, and we therefore have excluded SemGroup from our December 31, 2019 assessment of the effectiveness of internal controls over financial reporting. SemGroup had total assets of $6.1 billion as of December 31, 2019 and third party revenues of $181 million from December 5, 2019 to December 31, 2019, which are included in our consolidated financial statements as of and for the year ended December 31, 2019. The impact of the acquisition of SemGroup has not materially affected and is not expected to materially affect our internal control over financial reporting. As a result of these integration activities, certain controls are being evaluated and may be changed. We believe, however, that we will be able to maintain sufficient controls over the substantive results of our financial reporting throughout this integration process.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evaluation under the COSO framework, our management concluded that our internal control over financial reporting was effective as of December 31, 2019.</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Grant Thornton LLP, an independent registered public accounting firm, has audited the effectiveness of our internal control over financial reporting as of December 31, 2019, as stated in their report, which is included herein.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18" w:right="2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LE GP,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Unitholders of Energy Transfer 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Energy Transfer LP (a Delaware limited partnership) and subsidiaries (the “Partnership”)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Partnership maintained, in all material respects, effective internal control over financial reporting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Partnership as of and for the year ended December 31, 2019, and our report dated February 21, 2020 expressed an unqualified opinion on those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of, and opinion on, the Partnership’s internal control over financial reporting does not include the internal control over financial reporting of SemGroup, a consolidated subsidiary, whose financial statements reflect total assets and revenues constituting 6.1 and 0.3 percent, respectively, of the related consolidated financial statement amounts as of and for the year ended December 31, 2019. As indicated in Management’s Report on Internal Control over Financial Reporting, SemGroup was acquired during 2019. Management’s assertion on the effectiveness of the Partnership’s internal control over financial reporting excluded internal control over financial reporting of SemGroup.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18" w:right="2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has been no change in our internal controls over financial reporting (as defined in Rules 13a–15(f) or Rule 15d–15(f)) that occurred in the three months ended December 31, 2019 that has materially affected, or is reasonably likely to materially affect, our internal controls over financial reporting.</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118" w:right="25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partner, LE GP, LLC, manages and directs all of our activities. The officers and directors of ET are officers and directors of LE GP, LLC. The members of our general partner elect our general partner’s Board of Directors. The board of directors of our general partner has the authority to appoint our executive officers, subject to provisions in the limited liability company agreement of our general partner. Pursuant to other authority, the board of directors of our general partner may appoint additional management personnel to assist in the management of our operations and, in the event of the death, resignation or removal of our chief executive officer, to appoint a replacement.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1, 2020, our Board of Directors is comprised of 10 persons, four of whom qualify as “independent” under the NYSE’s corporate governance standards. We have determined that Messrs. Anderson, Brannon, Grimm and Washburne are all “independent” under the NYSE’s corporate governance standards.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limited partnership, we are not required by the rules of the NYSE to seek unitholder approval for the election of any of our directors. We believe that the members of our general partner have appointed as directors individuals with experience, skills and qualifications relevant to the business of the Parent Company, such as experience in energy or related industries or with financial markets, expertise in natural gas operations or finance, and a history of service in senior leadership positions. We do not have a formal process for identifying director nominees, nor do we have a formal policy regarding consideration of diversity in identifying director nominees, but we believe that the members of our general partner have endeavored to assemble a group of individuals with the qualities and attributes required to provide effective oversight of the Parent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generally administers its risk oversight function through the board as a whole. Our Chief Executive Officer, who reports to the Board of Directors, has day-to-day risk management responsibilities. Our Chief Executive Officer attends the meetings of our Board of Directors, where the Board of Directors routinely receives reports on our financial results, the status of our operations, and other aspects of implementation of our business strategy, with ample opportunity for specific inquiries of management. In addition, at each regular meeting of the Board, management provides a report of the Parent Company’s financial and operational performance, which often prompts questions or feedback from the Board of Directors. The Audit Committee provides additional risk oversight through its quarterly meetings, where it receives a report from the Parent Company’s internal auditor, who reports directly to the Audit Committee, and reviews the Parent Company’s contingencies with management and our independent auditors.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has adopted both a Code of Business Conduct and Ethics applicable to our directors, officers and employees, and Corporate Governance Guidelines for directors and the Board. Current copies of our Code of Business Conduct and Ethics, Corporate Governance Guidelines and charters of the Audit and Compensation Committees of our Board of Directors are available on our website at www.energytransfer.com and will be provided in print form to any Unitholder requesting such information.</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Please note that the preceding Internet address is for information purposes only and is not intended to be a hyperlink. Accordingly, no information found and/or provided at such Internet addresses or at our website in general is intended or deemed to be incorporated by reference herein.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Certification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our Chief Executive Officer provided to the NYSE the annual CEO certification regarding our compliance with the NYSE’s corporate governance listing standards.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Committee</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Partnership Agreement provides that the Board of Directors may, from time to time, appoint members of the Board to serve on the Conflicts Committee with the authority to review specific matters for which the Board of Directors believes there may be a conflict of interest in order to determine if the resolution of such conflict proposed by the general partner is fair and reasonable to the Parent Company and our Unitholders. As a policy matter, the Conflicts Committee generally reviews any proposed related-party transaction that may be material to the Parent Company to determine if the transaction presents a conflict of interest and whether the transaction is fair and reasonable to the Parent Company. Pursuant to the terms of our partnership agreement, any matters approved by the Conflicts Committee will be conclusively deemed to be fair and reasonable to the Parent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18" w:right="2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approved by all partners of the Parent Company and not a breach by the general partner or its Board of Directors of any duties they may owe the Parent Company or the Unitholders. These duties are limited by our Partnership Agreement (see “Risks Related to Conflicts of Interest” in “Item 1A. Risk Factors” in this annual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has established an Audit Committee in accordance with Section 3(a)(58)(A) of the Exchange Act. The Board of Directors appoints persons who are independent under the NYSE’s standards for audit committee members to serve on its Audit Committee. In addition, the Board determines that at least one member of the Audit Committee has such accounting or related financial management expertise sufficient to qualify such person as the audit committee financial expert in accordance with Item 407(d)(5) of Regulation S-K. The Board determined that based on relevant experience, Audit Committee member Michael K. Grimm qualified as an audit committee financial expert during 2019. A description of the qualifications of Mr. Grimm may be found elsewhere in this Item 10 under “Directors and Executive Officers of the General Partner.”</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Audit Committee meets on a regularly scheduled basis with our independent accountants at least four times each year and is available to meet at their request. The Audit Committee has the authority and responsibility to review our external financial reporting, review our procedures for internal auditing and the adequacy of our internal accounting controls, consider the qualifications and independence of our independent accountants, engage and direct our independent accountants, including the letter of engagement and statement of fees relating to the scope of the annual audit work and special audit work which may be recommended or required by the independent accountants, and to engage the services of any other advisors and accountants as the Audit Committee deems advisable. The Audit Committee reviews and discusses the audited financial statements with management, discusses with our independent auditors matters required to be discussed by auditing standards</w:t>
      </w:r>
      <w:r>
        <w:rPr>
          <w:rFonts w:ascii="Arial" w:cs="Arial" w:eastAsia="Arial" w:hAnsi="Arial"/>
          <w:sz w:val="16"/>
          <w:szCs w:val="16"/>
          <w:i w:val="1"/>
          <w:iCs w:val="1"/>
          <w:color w:val="auto"/>
        </w:rPr>
        <w:t>,</w:t>
      </w:r>
      <w:r>
        <w:rPr>
          <w:rFonts w:ascii="Arial" w:cs="Arial" w:eastAsia="Arial" w:hAnsi="Arial"/>
          <w:sz w:val="16"/>
          <w:szCs w:val="16"/>
          <w:color w:val="auto"/>
        </w:rPr>
        <w:t xml:space="preserve"> and makes recommendations to the Board of Directors relating to our audited financial statements. The Audit Committee periodically recommends to the Board of Directors any changes or modifications to its charter that may be required. The Audit Committee has received written disclosures and the letter from Grant Thornton required by applicable requirements of the Audit Committee concerning independence and has discussed with Grant Thornton that firm’s independence. The Audit Committee recommended to the Board that the audited financial statements of ET be included in ET’s Annual Report on Form 10-K for the year ended December 31, 2019.</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adopts the charter for the Audit Committee. Steven R. Anderson, Richard D. Brannon and Michael K. Grimm serve as elected members of the Audit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Nominating/Corporate Governance Committees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we are not required under NYSE rules to appoint a Compensation Committee or a Nominating/Corporate Governance Committee because we are a limited partnership, the Board of Directors of LE GP, LLC has previously established a Compensation Committee to establish standards and make recommendations concerning the compensation of our officers and directors. In addition, the Compensation Committee determines and establishes the standards for any awards to our employees and officers under the equity compensation plans, including the performance standards or other restrictions pertaining to the vesting of any such awards. Messrs. Anderson, Grimm and Washburne serve as members of the Compensation Committee.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Matters relating to the nomination of directors or corporate governance matters were addressed to and determined by the full Board of Directors for the period ET did not have a compensation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responsibilities of the ET Compensation Committee include, among other duties, the following:</w:t>
      </w:r>
    </w:p>
    <w:p>
      <w:pPr>
        <w:spacing w:after="0" w:line="171"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annually review and approve goals and objectives relevant to compensation of our CEO and CFO, if applicable;</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annually evaluate the CEO and CFO’s performance in light of these goals and objectives, and make recommendations to the Board of Directors with respect to the CEO and CFO’s compensation levels, if applicable, based on this evaluation;</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make determinations with respect to the grant of equity-based awards to executive officers under ET’s equity incentive plans;</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periodically evaluate the terms and administration of ET’s long-term incentive plans to assure that they are structured and administered in a manner consistent with ET’s goals and objectives;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periodically evaluate incentive compensation and equity-related plans and consider amendments if appropriate;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periodically evaluate the compensation of the directors;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retain and terminate any compensation consultant to be used to assist in the evaluation of director, CEO and CFO or executive officer compensation; and</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132</w:t>
      </w:r>
    </w:p>
    <w:p>
      <w:pPr>
        <w:sectPr>
          <w:pgSz w:w="11900" w:h="16838" w:orient="portrait"/>
          <w:cols w:equalWidth="0" w:num="1">
            <w:col w:w="11420"/>
          </w:cols>
          <w:pgMar w:left="240" w:top="118" w:right="2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perform other duties as deemed appropriate by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adopted a Code of Business Conduct and Ethics applicable to our officers, directors and employees. Specific provisions are applicable to the principal executive officer, principal financial officer, principal accounting officer and controller, or those persons performing similar functions, of our general partner. Amendments to, or waivers from, the Code of Business Conduct and Ethics will be available on our website and reported as may be required under SEC rules. Any technical, administrative or other non-substantive amendments to the Code of Business Conduct and Ethics may not be posted.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Non-management Directors and Communications with Directors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non-management directors meet in regularly scheduled sessions. Our non-management directors alternate as the presiding director of such meetings.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 procedure by which Unitholders or interested parties may communicate directly with the Board of Directors, any committee of the Board, any of the independent directors, or any one director serving on the Board of Directors by sending written correspondence addressed to the desired person, committee or group to the attention of Sonia Aubé at Energy Transfer LP 8111 Westchester Drive, Suite 600, Dallas, Texas, 75225. Communications are distributed to the Board of Directors, or to any individual director or directors as appropriate, depending on the facts and circumstances outlined in the communication.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certain information with respect to the executive officers and members of the Board of Directors of our general partner as of February 21, 2020. Executive officers and directors are elected for indefinite terms.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Name</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Age</w:t>
            </w:r>
          </w:p>
        </w:tc>
        <w:tc>
          <w:tcPr>
            <w:tcW w:w="7380" w:type="dxa"/>
            <w:vAlign w:val="bottom"/>
            <w:gridSpan w:val="2"/>
          </w:tcPr>
          <w:p>
            <w:pPr>
              <w:spacing w:after="0"/>
              <w:rPr>
                <w:sz w:val="20"/>
                <w:szCs w:val="20"/>
                <w:color w:val="auto"/>
              </w:rPr>
            </w:pPr>
            <w:r>
              <w:rPr>
                <w:rFonts w:ascii="Arial" w:cs="Arial" w:eastAsia="Arial" w:hAnsi="Arial"/>
                <w:sz w:val="18"/>
                <w:szCs w:val="18"/>
                <w:color w:val="auto"/>
              </w:rPr>
              <w:t>Position with Our General Partner</w:t>
            </w:r>
          </w:p>
        </w:tc>
      </w:tr>
      <w:tr>
        <w:trPr>
          <w:trHeight w:val="48"/>
        </w:trPr>
        <w:tc>
          <w:tcPr>
            <w:tcW w:w="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4920" w:type="dxa"/>
            <w:vAlign w:val="bottom"/>
          </w:tcPr>
          <w:p>
            <w:pPr>
              <w:spacing w:after="0"/>
              <w:rPr>
                <w:sz w:val="4"/>
                <w:szCs w:val="4"/>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Kelcy L. Warren</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Chief Executive Officer and Chairman of the Board (Principal Executive Officer)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Thomas E. Long</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63</w:t>
            </w:r>
          </w:p>
        </w:tc>
        <w:tc>
          <w:tcPr>
            <w:tcW w:w="73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 and 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Marshall S. (Mackie) McCrea, III</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President, Chief Commercial Officer and Director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Matthew S. Ramsey</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64</w:t>
            </w:r>
          </w:p>
        </w:tc>
        <w:tc>
          <w:tcPr>
            <w:tcW w:w="7380" w:type="dxa"/>
            <w:vAlign w:val="bottom"/>
            <w:gridSpan w:val="2"/>
          </w:tcPr>
          <w:p>
            <w:pPr>
              <w:spacing w:after="0"/>
              <w:rPr>
                <w:sz w:val="20"/>
                <w:szCs w:val="20"/>
                <w:color w:val="auto"/>
              </w:rPr>
            </w:pPr>
            <w:r>
              <w:rPr>
                <w:rFonts w:ascii="Arial" w:cs="Arial" w:eastAsia="Arial" w:hAnsi="Arial"/>
                <w:sz w:val="18"/>
                <w:szCs w:val="18"/>
                <w:color w:val="auto"/>
              </w:rPr>
              <w:t>Chief Operating Officer and 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Thomas P. Mason</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Executive Vice President, General Counsel and President - LNG</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John W. McReynolds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69</w:t>
            </w:r>
          </w:p>
        </w:tc>
        <w:tc>
          <w:tcPr>
            <w:tcW w:w="7380" w:type="dxa"/>
            <w:vAlign w:val="bottom"/>
            <w:gridSpan w:val="2"/>
          </w:tcPr>
          <w:p>
            <w:pPr>
              <w:spacing w:after="0"/>
              <w:rPr>
                <w:sz w:val="20"/>
                <w:szCs w:val="20"/>
                <w:color w:val="auto"/>
              </w:rPr>
            </w:pPr>
            <w:r>
              <w:rPr>
                <w:rFonts w:ascii="Arial" w:cs="Arial" w:eastAsia="Arial" w:hAnsi="Arial"/>
                <w:sz w:val="18"/>
                <w:szCs w:val="18"/>
                <w:color w:val="auto"/>
              </w:rPr>
              <w:t>Special Advisor and 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 Troy Sturrock</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Vice President and Controller (Principal Accounting Officer)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Steven R. Anderson</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70</w:t>
            </w:r>
          </w:p>
        </w:tc>
        <w:tc>
          <w:tcPr>
            <w:tcW w:w="73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Richard D. Brannon</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Ray C. Davis</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78</w:t>
            </w:r>
          </w:p>
        </w:tc>
        <w:tc>
          <w:tcPr>
            <w:tcW w:w="73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Michael K. Grimm</w:t>
            </w: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43"/>
        </w:trPr>
        <w:tc>
          <w:tcPr>
            <w:tcW w:w="2940" w:type="dxa"/>
            <w:vAlign w:val="bottom"/>
            <w:gridSpan w:val="3"/>
          </w:tcPr>
          <w:p>
            <w:pPr>
              <w:ind w:left="40"/>
              <w:spacing w:after="0"/>
              <w:rPr>
                <w:sz w:val="20"/>
                <w:szCs w:val="20"/>
                <w:color w:val="auto"/>
              </w:rPr>
            </w:pPr>
            <w:r>
              <w:rPr>
                <w:rFonts w:ascii="Arial" w:cs="Arial" w:eastAsia="Arial" w:hAnsi="Arial"/>
                <w:sz w:val="18"/>
                <w:szCs w:val="18"/>
                <w:color w:val="auto"/>
              </w:rPr>
              <w:t>James R. (Rick) Perry</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69</w:t>
            </w:r>
          </w:p>
        </w:tc>
        <w:tc>
          <w:tcPr>
            <w:tcW w:w="73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43"/>
        </w:trPr>
        <w:tc>
          <w:tcPr>
            <w:tcW w:w="2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Ray W. Washburne</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Messrs. Warren, McCrea and Ramsey also serve as directors of the board of ETO’s general partner. Mr. Ramsey serves as chairman of the board of the general partner of Sunoco LP, and Mr. Long serves as a director of the board of the general partners of Sunoco LP and of USAC. Mr. Mason serves as a director of the general partner of USAC.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biographical information regarding the foregoing officers and directors of our general partner:</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Kelcy L. Warren</w:t>
      </w:r>
      <w:r>
        <w:rPr>
          <w:rFonts w:ascii="Arial" w:cs="Arial" w:eastAsia="Arial" w:hAnsi="Arial"/>
          <w:sz w:val="17"/>
          <w:szCs w:val="17"/>
          <w:color w:val="auto"/>
        </w:rPr>
        <w:t>. Mr. Warren serves as Chairman and Chief Executive Officer of our general partner. He was appointed Co-Chairman of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our general partner, effective upon the closing of our IPO, and in August 2007, he became the sole Chairman of the Board of our general partner and the Chief Executive Officer and Chairman of the Board of the general partner of ETO. Prior to that, Mr. Warren had served as Co-Chief Executive Officer and Co-Chairman of the Board of the general partner of ETO since the combination of the midstream and intrastate transportation storage operations of ETC OLP and the retail propane operations of Heritage in January 2004. Mr. Warren also served as the Chief Executive Officer of PennTex Midstream Partners, LP’s general partner from November 2016 to July 2017. Prior to the combination of the operations of ETO and Heritage Propane, Mr. Warren served as President of the general partner of ET Company I, Ltd. the entity that operated ETO’s midstream assets before it acquired Aquila, Inc.’s midstream assets, having served in that capacity since 1996. From 1996 to 2000, he also served as a Director of Crosstex Energy, Inc. From 1993 to 1996, he served as President, Chief Operating Officer and a Director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18" w:right="2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Cornerstone Natural Gas, Inc. Mr. Warren has more than 30 years of business experience in the energy industry. The members of our general partner selected Mr. Warren to serve as a director and as Chairman because he is ETO’s Chief Executive Officer and has more than 30 years in the natural gas industry. Mr. Warren also has relationships with chief executives and other senior management at natural gas transportation companies throughout the United States, and brings a unique and valuable perspective to the Board of Directors.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Thomas E. Long. </w:t>
      </w:r>
      <w:r>
        <w:rPr>
          <w:rFonts w:ascii="Arial" w:cs="Arial" w:eastAsia="Arial" w:hAnsi="Arial"/>
          <w:sz w:val="17"/>
          <w:szCs w:val="17"/>
          <w:color w:val="auto"/>
        </w:rPr>
        <w:t>Mr. Long has served as the Chief Financial Officer of our general partner since February 2016 and a director of our general partner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2019. Mr. Long also served as the Chief Financial Officer and as a director of PennTex Midstream Partners, LP’s general partner from November 2016 to July 2017. Mr. Long also serves as Chief Financial Officer of ETO and was previously Executive Vice President and Chief Financial Officer of Regency GP LLC from November 2010 to April 2015. From May 2008 to November 2010, Mr. Long served as Vice President and Chief Financial Officer of Matrix Service Company. Prior to joining Matrix, he served as Vice President and Chief Financial Officer of DCP Midstream Partners, LP, a publicly traded natural gas and natural gas liquids midstream business company located in Denver, Colorado. In that position, he was responsible for all financial aspects of the company since its formation in December 2005. From 1998 to 2005, Mr. Long served in several executive positions with subsidiaries of Duke Energy Corp., one of the nation’s largest electric power companies. Mr. Long has served as a director of Sunoco LP since May 2016, and as Chairman of the Board of USAC since April 2018. Mr. Long was selected to serve on our Board of Directors because of his understanding of energy-related corporate finance gained through his extensive experience in the energy industry.</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Marshall S. (Mackie) McCrea, III</w:t>
      </w:r>
      <w:r>
        <w:rPr>
          <w:rFonts w:ascii="Arial" w:cs="Arial" w:eastAsia="Arial" w:hAnsi="Arial"/>
          <w:sz w:val="17"/>
          <w:szCs w:val="17"/>
          <w:color w:val="auto"/>
        </w:rPr>
        <w:t>. Mr. McCrea is the President and Chief Commercial Officer of our general partner, having served in that role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2018 following the merger of Energy Transfer Equity, L.P. and Energy Transfer Partners, L.P. Prior to that time, he had been the Group Chief Operating Officer and Chief Commercial Officer of the Energy Transfer family since November 2015. Mr. McCrea has served on the Board of Directors of our general partner since December 2009. Mr. McCrea was appointed as a director of the general partner of ETO in December 2009. Prior to that, he served as President and Chief Operating Officer of ETO’s general partner from June 2008 to November 2015 and President – Midstream from March 2007 to June 2008. Previously he served as the Senior Vice President – Commercial Development since January 2004. In March 2005, Mr. McCrea was named President of La Grange Acquisition LP, ETO’s primary operating subsidiary, after serving as Senior Vice President-Business Development and Producer Services since 1997. Mr. McCrea also served as the Chairman of the Board of Directors of the general partner of Sunoco Logistics from October 2012 to April 2017. The members of our general partner selected Mr. McCrea to serve as a director because he brings extensive project development and operational experience to the Board. He has held various positions in the natural gas business over the past 25 years and is able to assist the Board of Directors in creating and executing the Partnership’s strategic plan.</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Matthew S. Ramsey</w:t>
      </w:r>
      <w:r>
        <w:rPr>
          <w:rFonts w:ascii="Arial" w:cs="Arial" w:eastAsia="Arial" w:hAnsi="Arial"/>
          <w:sz w:val="16"/>
          <w:szCs w:val="16"/>
          <w:color w:val="auto"/>
        </w:rPr>
        <w:t>. Mr. Ramsey was appointed as a director of ET’s general partner in July 2012 and as a director of ETO’s general partner in November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Mr. Ramsey has been the Chief Operating Officer or our general partner since October 2018 following the merger of Energy Transfer Equity, L.P. and Energy Transfer Partners, L.P., and currently serves as President and Chief Operating Officer of ETO’s general partner since November 2015. Mr. Ramsey also served as President and Chief Operating Officer and Chairman of the board of directors of PennTex Midstream Partners, LP’s general partner from November 2016 to July 2017. Mr. Ramsey is also a director of Sunoco LP, having served as chairman of Sunoco LP’s board since April 2015, and of USAC, having served on that board since April 2018. Mr. Ramsey previously served as President of RPM Exploration, Ltd., a private oil and gas exploration partnership, and previously served as a director of RSP Permian, Inc. where he served on the audit and compensation committees. Mr. Ramsey formerly served as President of DDD Energy, Inc. until its sale in 2002. From 1996 to 2000, Mr. Ramsey served as President and Chief Executive Officer of OEC Compression Corporation, Inc., a publicly traded oil field service company, providing gas compression services to a variety of energy clients. Previously, Mr. Ramsey served as Vice President of Nuevo Energy Company, an independent energy company. Additionally, he was employed by Torch Energy Advisors, Inc., a company providing management and operations services to energy companies including Nuevo Energy, last serving as Executive Vice President. Mr. Ramsey joined Torch Energy as Vice President of Land and was named Senior Vice President of Land in 1992. Mr. Ramsey holds a B.B.A. in Marketing from the University of Texas at Austin and a J.D. from South Texas College of Law. Mr. Ramsey is a graduate of Harvard Business School Advanced Management Program. Mr. Ramsey is licensed to practice law in the State of Texas. He is qualified to practice in the Western District of Texas and the United States Court of Appeals for the Fifth Circuit. Mr. Ramsey formerly served as a director of Southern Union Company. The members of our general partner recognize Mr. Ramsey’s vast experience in the oil and gas space and believe that he provides valuable industry insight as a member of our Board of Directors.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Thomas P. Mason</w:t>
      </w:r>
      <w:r>
        <w:rPr>
          <w:rFonts w:ascii="Arial" w:cs="Arial" w:eastAsia="Arial" w:hAnsi="Arial"/>
          <w:sz w:val="18"/>
          <w:szCs w:val="18"/>
          <w:color w:val="auto"/>
        </w:rPr>
        <w:t>. Mr. Mason became Executive Vice President and General Counsel of the general partner of ET in December 2015, and has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General Counsel and President - LNG since October 2018 following the merger of Energy Transfer Equity, L.P. and Energy Transfer Partners, L.P. Mr. Mason also served as a director of PennTex Midstream Partners, LP’s general partner from November 2016 to July 2017. Mr. Mason previously served as Senior Vice President, General Counsel and Secretary of ETO’s general partner from April 2012 to December 2015, as Vice President, General Counsel and Secretary from June 2008 and as General Counsel and Secretary from February 2007. Prior to joining ETO, he was a partner 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18" w:right="23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Houston office of Vinson &amp; Elkins. Mr. Mason has specialized in securities offerings and mergers and acquisitions for more than 25 years. Mr. Mason also served on the Board of Directors of the general partner of Sunoco Logistics from October 2012 to April 2017 and has served on the Board of Directors of USAC since April 2018.</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John W. McReynolds</w:t>
      </w:r>
      <w:r>
        <w:rPr>
          <w:rFonts w:ascii="Arial" w:cs="Arial" w:eastAsia="Arial" w:hAnsi="Arial"/>
          <w:sz w:val="17"/>
          <w:szCs w:val="17"/>
          <w:color w:val="auto"/>
        </w:rPr>
        <w:t>. Mr. McReynolds became Special Advisor to ET in October 2018. Prior to that time, Mr. McReynolds served as our President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2005 until October 2018. He has served as a Director since August 2005. He served as our Chief Financial Officer from August 2005 to June 2013, and previously served as a Director of ETO’s general partner from August 2001 through May 2010. Mr. McReynolds has been in the energy industry for his entire career. Prior to joining Energy Transfer, Mr. McReynolds was in private law practice for over 20 years, specializing exclusively in energy-related finance, securities, corporations and partnerships, mergers and acquisitions, syndications, and a wide variety of energy-related litigation. His practice dealt with all forms of fossil fuels, and the transportation and handling thereof, together with the financing and structuring of all forms of business entities related thereto. The members of our general partner selected Mr. McReynolds to serve in the indicated roles with the Energy Transfer partnerships because of this extensive background and experience, as well as his many contacts and relationships in the industry.</w:t>
      </w:r>
    </w:p>
    <w:p>
      <w:pPr>
        <w:spacing w:after="0" w:line="1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 Troy Sturrock. </w:t>
      </w:r>
      <w:r>
        <w:rPr>
          <w:rFonts w:ascii="Arial" w:cs="Arial" w:eastAsia="Arial" w:hAnsi="Arial"/>
          <w:sz w:val="16"/>
          <w:szCs w:val="16"/>
          <w:color w:val="auto"/>
        </w:rPr>
        <w:t>Mr. Sturrock is the Senior Vice President and Controller of our general partner having assumed that role in October 2018 following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of Energy Transfer Equity, L.P. and Energy Transfer Partners, L.P. He has served as the Senior Vice President and Controller of the general partner of ETO since August 2016 and previously served as Vice President and Controller of our General Partner beginning in June 2015. Mr. Sturrock also served as a Senior Vice President of PennTex Midstream Partners, LP’s general partner, from November 2016 until July 2017, and as its Controller and Principal Accounting Officer from January 2017 until July 2017. Mr. Sturrock previously served as Vice President and Controller of Regency GP LLC from February 2008, and in November 2010 was appointed as the principal accounting officer. From June 2006 to February 2008, Mr. Sturrock served as the Assistant Controller and Director of financial reporting and tax for Regency GP LLC. Mr. Sturrock is a Certified Public Accountant.</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Steven R. Anderson. </w:t>
      </w:r>
      <w:r>
        <w:rPr>
          <w:rFonts w:ascii="Arial" w:cs="Arial" w:eastAsia="Arial" w:hAnsi="Arial"/>
          <w:sz w:val="16"/>
          <w:szCs w:val="16"/>
          <w:color w:val="auto"/>
        </w:rPr>
        <w:t>Mr. Anderson was elected to the Board of Directors of our general partner in June 2018 and serves on the audit committee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Mr. Anderson began his career in the energy business in the early 1970's with Conoco in the Permian Basin area. He then spent some 25 years with ANR Pipeline and its successor, The Coastal Corporation, as a natural gas supply and midstream executive. He later was Vice President of Commercial Operations with Aquila Midstream and, upon the sale of that business to Energy Transfer in 2002, he became a part of the management team there. For the six years prior to his retirement from Energy Transfer in October 2009, he served as Vice President of Mergers and Acquisitions. Since that time, he has been involved in private investments and has served on the boards of directors of the St. John Health System and Saint Simeon's Episcopal Home in Tulsa, Oklahoma, as well as various other community and civic organizations. Mr. Anderson also served as a member of the board of directors of Sunoco Logistics Partners L.P. from October 2012 until April 2017. The members of our general partner selected Mr. Anderson to serve on our Board of Directors based on his experience in the midstream energy industry generally, and his knowledge of Energy Transfer’s business specifically. Mr. Anderson also brings recent experience on audit and compensation committees of another publicly traded partnership.</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Richard D. Brannon. </w:t>
      </w:r>
      <w:r>
        <w:rPr>
          <w:rFonts w:ascii="Arial" w:cs="Arial" w:eastAsia="Arial" w:hAnsi="Arial"/>
          <w:sz w:val="16"/>
          <w:szCs w:val="16"/>
          <w:color w:val="auto"/>
        </w:rPr>
        <w:t>Mr. Brannon was appointed to the Board of Directors of our general partner in March 2016 and has served as the Chairman of the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snice April 2016. Mr. Brannon is the CEO of CH4 Energy II, CH4 Energy Six, and CH4 Energy-Finley Utah, LLC, all independent companies focused on horizontal oil and gas development. Mr. Brannon previously served on the board of directors of WildHorse Resource Development from its IPO in December 2016 until June 2018. Mr. Brannon also formerly served on the Board of Directors and as a member of the audit committee and compensation committee of Sunoco LP, Regency, OEC Compression and Cornerstone Natural Gas Corp. He has over 35 years of experience in the energy business, having started his career in 1981 with Texas Oil &amp; Gas. The members of our general partner selected Mr. Brannon to serve as director based on his knowledge of the energy industry and his experience as a director and audit and compensation committee member for other public companies.</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Ray C. Davis. </w:t>
      </w:r>
      <w:r>
        <w:rPr>
          <w:rFonts w:ascii="Arial" w:cs="Arial" w:eastAsia="Arial" w:hAnsi="Arial"/>
          <w:sz w:val="16"/>
          <w:szCs w:val="16"/>
          <w:color w:val="auto"/>
        </w:rPr>
        <w:t>Mr. Davis was appointed to the Board of Directors of the general partner of Energy Transfer LP in July 2018 and served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Energy Transfer Partners, L.L.C. from February 2018 until July 2018. From February 2013 until February 2018, Mr. Davis was an independent investor. He has also been a principal owner, and served as co-chairman of the board of directors, of the Texas Rangers major league baseball club since August 2010. Mr. Davis previously served on the Board of Directors of Energy Transfer LP (formerly Energy Transfer Equity, L.P.), effective upon the closing of its IPO in February 2006 until his resignation in February 2013. Mr. Davis also served as ETO’s Co-Chief Executive Officer from the combination of the midstream and transportation operations and the retail propane operations in January 2004 until his retirement from these positions in August 2007, and as the Co-Chairman of the Board of Directors of our general partner from January 2004 until June 2011. Mr. Davis also held various executive positions with Energy Transfer prior to 2004. From 1996 to 2000, he served as a Director of Crosstex Energy, Inc. From 1993 to 1996, he served as Chairman of the Board of Directors and Chief Executive Officer of Cornerstone Natural Gas, Inc. Our general partner selected Mr. Davis to serve as director based on his over 40 years of business experience in the energy industry and his expertise in the Partnership’s asset portfolio.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18" w:right="2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Michael K. Grimm. </w:t>
      </w:r>
      <w:r>
        <w:rPr>
          <w:rFonts w:ascii="Arial" w:cs="Arial" w:eastAsia="Arial" w:hAnsi="Arial"/>
          <w:sz w:val="16"/>
          <w:szCs w:val="16"/>
          <w:color w:val="auto"/>
        </w:rPr>
        <w:t>Mr. Grimm was appointed to the Board of Directors of our general partner in October 2018, and has served on the audit committee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that time. Prior to that time, Mr. Grimm served as a director of ETO’s general partner beginning in December 2005, and served on the audit and compensation committee during that time. Mr. Grimm is one of the original founders of Rising Star Energy, L.L.C., a privately held upstream exploration and production company active in onshore continental United States, and served as its President and Chief Executive Officer from 1995 until 2006 when it was sold. Mr. Grimm is currently President of Rising Star Petroleum, LLC. Mr. Grimm was formerly Chairman of the Board of RSP Permian, Inc. (NYSE: RSPP) from January 2014 until June 2018 and since November 2018 has served on the Board of Directors of Anadarko Petroleum Corporation (NYSE: APC). Prior to the formation of Rising Star, Mr. Grimm was Vice President of Worldwide Exploration and Land for Placid Oil Company from 1990 to 1994. Prior to joining Placid Oil Company, Mr. Grimm was employed by Amoco Production Company for thirteen years where he held numerous positions throughout the exploration department in Houston, New Orleans and Chicago. Mr. Grimm has been an active member of the Independent Petroleum Association of America, the American Association of Professional Landmen, Dallas Producers Club, Houston Producers Forum, Fort Worth Wildcatters and the All-American Wildcatters. He has a B.B.A. from the University of Texas at Austin. The members of our general partner selected Mr. Grimm to serve as a director because of his extensive experience in the energy industry and his service as a senior executive at several energy-related companies, in addition to his contacts in the industry gained through his involvement in energy-related organizations.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James R. (Rick) Perry. </w:t>
      </w:r>
      <w:r>
        <w:rPr>
          <w:rFonts w:ascii="Arial" w:cs="Arial" w:eastAsia="Arial" w:hAnsi="Arial"/>
          <w:sz w:val="16"/>
          <w:szCs w:val="16"/>
          <w:color w:val="auto"/>
        </w:rPr>
        <w:t>Mr. Perry was appointed to the Board of Directors of our general partner in January 2020. He formerly served as U.S. Secretary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from March 2017 until December 2019. Prior to that, he served as the Governor of the State of Texas from 2000 until January 2015. Mr. Perry served as Lieutenant Governor of Texas from 1998 to 2000, and as Agriculture Commissioner from 1991 to 1998. Prior to 1991, he also served in the Texas House of Representatives. Mr. Perry previously served on the Board of Directors of Energy Transfer Operating, L.P. (formerly Energy Transfer Partners, L.P.) from February 2015 until December 2016. The members of our general partner selected Mr. Perry to serve as a director because of his vast experience as an executive in the highest office of state government. In addition, Mr. Perry has been involved in finance and budget planning processes throughout his career in government as a member of the Texas House Appropriations Committee, the Legislative Budget Board and as Governor.</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Ray W. Washburne. </w:t>
      </w:r>
      <w:r>
        <w:rPr>
          <w:rFonts w:ascii="Arial" w:cs="Arial" w:eastAsia="Arial" w:hAnsi="Arial"/>
          <w:sz w:val="17"/>
          <w:szCs w:val="17"/>
          <w:color w:val="auto"/>
        </w:rPr>
        <w:t>Mr. Washburne was appointed to the Board of Directors of our general partner in April 2019. He is currently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Charter Holdings, Inc., a Dallas-based investment company involved in real estate, restaurants and diversified financial investments. In addition, he currently serves on the President’s Intelligence Advisory Board (PIAB). From August 2017 to February 2019, Mr. Washburne served as the President and Chief Executive Officer of the Overseas Private Investment Corporation (OPIC), the United States government’s development finance institution. From 2000 to 2017, Mr. Washburne served on the board of directors of Veritex Holdings, Inc. (Nasdaq: VBTX), a Texas -based bank holding company that conducts banking activities through its subsidiary, Veritex Community Bank. He has also served as an adjunct professor at the Cox School of Business at Southern Methodist University. Mr. Washburne is also a member of the Republican Governors Association Executive Roundtable, the American Enterprise Institute, the Council on Foreign Relations, and is on the Advisory Board of the United States Southern Command. The members of our general partners selected Mr. Washburne to serve on the Board of Directors because of his expertise in international finance, his relationships in government, and his experience on the board of a publicly traded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General Partner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does not receive any management fee or other compensation in connection with its management of the Partnership.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16(a) of the Securities Exchange Act of 1934 requires the directors and executive officers of our general partner, as well as persons who own more than ten percent of the common units representing limited partnership interests in us, to file reports of ownership and changes of ownership on Forms 3, 4 and 5 with the SEC. The SEC regulations also require that copies of these Section 16(a) reports be furnished to us by such reporting persons. Based upon a review of copies of these reports, we believe all applicable Section 16(a) reports were timely filed in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18" w:right="2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a limited partnership, we are managed by our General Partner. Our General Partner is majority owned by Mr. Kelcy Warren.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100% of ETP GP and its general partner, ETP LLC. We refer to ETP GP and ETP LLC together as the “ETP GP Entities.” ETP GP is the general partner of 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ET does not have officers or directors. Instead, we are managed by the board of directors of our General Partner, and the executive officers of our General Partner perform all of ET’s management functions. As a result, the executive officers of our General Partner are ET’s executive officers, and their compensation is administered by our General Partner. This Compensation Discussion and Analysis is, therefore, focused on the total compensation of the executive officers of our General Partner as set forth below. The persons we refer to in this discussion as our “named executive officers” are the following:</w:t>
      </w:r>
    </w:p>
    <w:p>
      <w:pPr>
        <w:spacing w:after="0" w:line="100"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Kelcy L. Warren, Chairman and Chief Executive Officer;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Thomas E. Long, Chief Financial Officer;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Marshall S. (Mackie) McCrea, III, President and Chief Commercial Officer;</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Matthew S. Ramsey, Chief Operating Officer;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Thomas P. Mason, Executive Vice President, General Counsel and President — LNG.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Philosophy for Compensation of Executives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general, our General Partner’s philosophy for executive compensation is based on the premise that a significant portion of each executive’s compensation should be incentive-based or “at-risk” compensation and that executives’ total compensation levels should be highly competitive in the marketplace for executive talent and abilities. Our General Partner seeks a total compensation program for its executive officers, including the named executive officers that provides for a slightly below the median market annual base compensation (i.e. approximately the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to 40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of market) but incentive-based compensation composed of a combination of compensation vehicles to reward both short and long-term performance that are both targeted to pay-out at approximately the top-quartile of market. Our General Partner believes the incentive-based balance is achieved by (i) the payment of annual discretionary cash bonuses that consider the achievement of the Partnership’s financial performance objectives for a fiscal year set at the beginning of such fiscal year and the individual contributions of its executive officers, including the named executive officers to the success of the Partnership and the achievement of the annual financial performance objectives and (ii) the annual grant of time-based restricted unit or phantom unit awards under the Partnership’s equity incentive plan(s) or the equity incentive programs of Sunoco LP, as applicable based on the allocation of executive officers awards, including awards to the named executive officers, which awards are intended to provide a longer term incentive and retention value to its key employees to focus their efforts on increasing the market price of its publicly traded units and to increase the cash distribution the Partnership and/or the other affiliated partnerships pay to their respective unitholders.</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Partnership grants restricted unit and/or phantom unit awards that vest, based generally upon continued employment, at a rate of 60% after the third year of service and the remaining 40% after the fifth year of service. The Partnership believes that these equity-based incentive arrangements are important in attracting and retaining executive officers and key employees as well as motivating these individuals to achieve stated business objectives. The equity-based compensation reflects the importance our General Partner places on aligning the interests of its named executive officers with those of unitholders.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below, our compensation committee, the ETO Compensation Committee (prior to the Energy Transfer Merger) and/or the compensation committee of the general partner of Sunoco LP, as applicable, all in consultation with our General Partner, are responsible for the compensation policies and compensation level of our executive officers, including the named executive officers of our General Partner. In this discussion, we refer to our compensation committee as the “ET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a more detailed description of the compensation to the Partnership’s named executive officers, please see “– Compensation Tables”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18" w:right="2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General Partner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General Partner is majority-owned by Mr. Warren. We pay quarterly distributions to our General Partner in accordance with our partnership agreement with respect to its ownership of its general partner interest as specified in our partnership agreement. The cash distributions we make to our General Partner bear no relationship to the level or components of compensation of our General Partner’s executive officers. Distributions to our General Partner are described in detail in Note 8 to our consolidated financial statements. Our named executive officers also own directly and indirectly certain of our limited partner interests and, accordingly, receive quarterly distributions. Such per unit distributions equal the per unit distributions made to all our limited partners and bear no relationship to the level of compensation of the named executive officers or the services they perform as employees.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 a more detailed description of the compensation of our named executive officers, please see “Compensation Tables”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programs are structured to achieve the following:</w:t>
      </w:r>
    </w:p>
    <w:p>
      <w:pPr>
        <w:spacing w:after="0" w:line="171" w:lineRule="exact"/>
        <w:rPr>
          <w:sz w:val="20"/>
          <w:szCs w:val="20"/>
          <w:color w:val="auto"/>
        </w:rPr>
      </w:pPr>
    </w:p>
    <w:p>
      <w:pPr>
        <w:ind w:left="340" w:hanging="332"/>
        <w:spacing w:after="0" w:line="277"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reward executives with an industry-competitive total compensation package of base salaries and significant incentive opportunities yielding a total compensation package approaching the top-quartile of the market;</w:t>
      </w:r>
    </w:p>
    <w:p>
      <w:pPr>
        <w:spacing w:after="0" w:line="116"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attract, retain and reward talented executive officers and key management employees by providing total compensation competitive with that of other executive officers and key management employees employed by publicly traded limited partnerships of similar size and in similar lines of business;</w:t>
      </w:r>
    </w:p>
    <w:p>
      <w:pPr>
        <w:spacing w:after="0" w:line="69" w:lineRule="exact"/>
        <w:rPr>
          <w:rFonts w:ascii="Arial" w:cs="Arial" w:eastAsia="Arial" w:hAnsi="Arial"/>
          <w:sz w:val="16"/>
          <w:szCs w:val="16"/>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motivate executive officers and key employees to achieve strong financial and operational performance;</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emphasize performance-based, or “at-risk,” compensation;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reward individual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the compensation paid to our named executive officers consisted of the following components:</w:t>
      </w:r>
    </w:p>
    <w:p>
      <w:pPr>
        <w:spacing w:after="0" w:line="171"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non-equity incentive plan compensation consisting solely of discretionary cash bonuses;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time-vested restricted/phantom unit awards under the equity incentive plan(s);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payment of distribution equivalent rights (“DERs”) on unvested time-based restricted unit awards under our equity incentive plan;</w:t>
      </w:r>
    </w:p>
    <w:p>
      <w:pPr>
        <w:spacing w:after="0" w:line="17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vesting of previously issued time-based restricted unit and/or phantom unit awards issued pursuant to our equity incentive plans or the equity incentive plans(s) of affiliates;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401(k) plan employer contributions.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ET Compensation Committee considers relevant data available to it to assess our competitive position with respect to base salary, annual short-term incentives and long-term incentive compensation for our executive officers, including the named executive officers. The ET Compensation Committee also considers individual performance, levels of responsibility, skills and experience.</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Periodically, the ET Compensation Committee engages a third-party consultant to provide a full market competitive compensation analysis for compensation levels at peer companies in order to assist in the determination of compensation levels for our executive officers, including the named executive officers. Most recently, Longnecker &amp; Associates (“Longnecker”) evaluated the market competitiveness of total compensation levels of a number of officers of the Partnership to provide market information with respect to compensation of those executives during the year ended December 31, 2019. In particular, the review by Longnecker was designed to (i) evaluate the market competitiveness of total compensation levels for certain members of senior management, including our named executive officers; (ii) assist in the determination of appropriate compensation levels for our senior management, including the named executive officers; and (iii) confirm that our compensation programs were yielding compensation packages consistent with our overall compensation philosophy.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18" w:right="2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conducting its review, Longnecker specifically considered the larger size of the combined ET entities from an energy industry perspective. During 2019, Longnecker assisted in the development of the final “peer group” of leading companies in the energy industry that most closely reflect the profile of ET in terms of revenues, assets and market value as well as competition for talent at the senior management level and similarly situated general industry companies with similar revenues, assets and market value. In setting such peer group, the size of ET on a combined basis was considered. As part of the evaluation conducted by Longnecker, a determination was made to focus the analysis specifically on the energy industry peers. This decision was based on a determination that an energy industry peer group provided a more than sufficient amount of comparative data to consider and evaluate total compensation. This focus allowed Longnecker to report on specific industry related data comparing the levels of annual base salary, annual short-term cash bonus and long-term equity incentive awards at industry peer group companies with those of the named executive officers to ensure that compensation of the named executive officers is both consistent with the compensation philosophy and competitive with the compensation for executive officers of these other companies. The identified companies were:</w:t>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Energy Peer Group:</w:t>
      </w:r>
    </w:p>
    <w:p>
      <w:pPr>
        <w:sectPr>
          <w:pgSz w:w="11900" w:h="16838" w:orient="portrait"/>
          <w:cols w:equalWidth="0" w:num="1">
            <w:col w:w="11420"/>
          </w:cols>
          <w:pgMar w:left="240" w:top="118" w:right="239" w:bottom="1440" w:gutter="0" w:footer="0" w:header="0"/>
        </w:sectPr>
      </w:pP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Conoco Phillips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 Marathon Petroleum Corporation</w:t>
      </w:r>
    </w:p>
    <w:p>
      <w:pPr>
        <w:spacing w:after="0" w:line="86" w:lineRule="exact"/>
        <w:rPr>
          <w:sz w:val="20"/>
          <w:szCs w:val="20"/>
          <w:color w:val="auto"/>
        </w:rPr>
      </w:pPr>
    </w:p>
    <w:p>
      <w:pPr>
        <w:sectPr>
          <w:pgSz w:w="11900" w:h="16838" w:orient="portrait"/>
          <w:cols w:equalWidth="0" w:num="2">
            <w:col w:w="5020" w:space="720"/>
            <w:col w:w="568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 Enterprise Products Partners,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Kinder Morgan, Inc.</w:t>
      </w:r>
    </w:p>
    <w:p>
      <w:pPr>
        <w:spacing w:after="0" w:line="86" w:lineRule="exact"/>
        <w:rPr>
          <w:sz w:val="20"/>
          <w:szCs w:val="20"/>
          <w:color w:val="auto"/>
        </w:rPr>
      </w:pPr>
    </w:p>
    <w:p>
      <w:pPr>
        <w:sectPr>
          <w:pgSz w:w="11900" w:h="16838" w:orient="portrait"/>
          <w:cols w:equalWidth="0" w:num="2">
            <w:col w:w="5020" w:space="720"/>
            <w:col w:w="568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Plains All American Pipeline, L.P.</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Arial" w:cs="Arial" w:eastAsia="Arial" w:hAnsi="Arial"/>
          <w:sz w:val="16"/>
          <w:szCs w:val="16"/>
          <w:color w:val="auto"/>
        </w:rPr>
        <w:t>• The Williams Companies, Inc.</w:t>
      </w:r>
    </w:p>
    <w:p>
      <w:pPr>
        <w:spacing w:after="0" w:line="86" w:lineRule="exact"/>
        <w:rPr>
          <w:sz w:val="20"/>
          <w:szCs w:val="20"/>
          <w:color w:val="auto"/>
        </w:rPr>
      </w:pPr>
    </w:p>
    <w:p>
      <w:pPr>
        <w:sectPr>
          <w:pgSz w:w="11900" w:h="16838" w:orient="portrait"/>
          <w:cols w:equalWidth="0" w:num="2">
            <w:col w:w="5020" w:space="720"/>
            <w:col w:w="568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Valero Energy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Phillips 66</w:t>
      </w:r>
    </w:p>
    <w:p>
      <w:pPr>
        <w:spacing w:after="0" w:line="200" w:lineRule="exact"/>
        <w:rPr>
          <w:sz w:val="20"/>
          <w:szCs w:val="20"/>
          <w:color w:val="auto"/>
        </w:rPr>
      </w:pPr>
    </w:p>
    <w:p>
      <w:pPr>
        <w:sectPr>
          <w:pgSz w:w="11900" w:h="16838" w:orient="portrait"/>
          <w:cols w:equalWidth="0" w:num="2">
            <w:col w:w="5020" w:space="720"/>
            <w:col w:w="5680"/>
          </w:cols>
          <w:pgMar w:left="240" w:top="118" w:right="239" w:bottom="1440" w:gutter="0" w:footer="0" w:header="0"/>
          <w:type w:val="continuous"/>
        </w:sectPr>
      </w:pP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analysis provided by Longnecker in 2019 covered all major components of total compensation, including annual base salary, annual short-term cash bonus and long-term incentive awards for the senior executives of these companies. In preparing the review materials, Longnecker utilized generally accepted compensation principles as determined by WorldatWork and gathered data from public disclosures of peer companies, including 10-K and proxy data and published survey data from multiple sources that are relevant to ET’s peer group, industry, financial size and operational breadth. The Longnecker review process also included significant engagement with management to fully understand job scope, responsibilities and roles of each of the executive officers, which discussions allow Longnecker the ability to completely evaluate specific aspects of an executive officer’s position to allow for more accurate benchmarking.</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Longnecker’s 2019 review, the ET Compensation Committee reviewed the information provided, including Longnecker’s specific conclusions and recommended considerations for all compensation going forward. The ET Compensation Committee considered and reviewed the results of the study performed by Longnecker to determine if the results indicated that the compensation programs were yielding a competitive total compensation model prioritizing incentive-based compensation and rewarding achievement of short and long-term performance objectives and considered Longnecker’s conclusions and recommendations. While Longnecker found that the Partnership is achieving its stated objectives with respect to the “at-risk” approach, they also found that certain adjustments could be considered moving forward to allow the Partnership to continue to achieve its targeted percentiles on base compensation and incentive compensation (short and long-term). Those adjustments are being considered by the ET Compensation Committee and management, and will, as deemed appropriate, be implemented.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information received as part of Longnecker’s 2019 review, the ET Compensation Committee also utilizes information obtained from other sources in its determination of compensation levels for our named executive officers, such as annual third party surveys, although third party survey data is not used by the ET Compensation Committee to benchmark the amount of total compensation or any specific element of compensation for the named executive officers.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2019 compensation analysis for executive officers, Longnecker also provided advice and feedback on certain other matters, including the appropriateness, targets and composition of the annual equity award pools and the annual bonus awards under the Energy Transfer Annual Bonus Plan (the “Bonus Plan”) and benchmarking on certain non-named executive officer hires and promotions.</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salary is designed to provide for a competitive fixed level of pay that attracts and retains executive officers, and compensates them for their</w:t>
      </w:r>
      <w:r>
        <w:rPr>
          <w:rFonts w:ascii="Arial" w:cs="Arial" w:eastAsia="Arial" w:hAnsi="Arial"/>
          <w:sz w:val="17"/>
          <w:szCs w:val="17"/>
          <w:i w:val="1"/>
          <w:iCs w:val="1"/>
          <w:color w:val="auto"/>
        </w:rPr>
        <w:t xml:space="preserve"> </w:t>
      </w:r>
      <w:r>
        <w:rPr>
          <w:rFonts w:ascii="Arial" w:cs="Arial" w:eastAsia="Arial" w:hAnsi="Arial"/>
          <w:sz w:val="17"/>
          <w:szCs w:val="17"/>
          <w:color w:val="auto"/>
        </w:rPr>
        <w:t>level of responsibility and sustained individual performance (including experience, scope of responsibility and results achieved). The salaries of the named executive officers are reviewed on an annual basis. As discussed above, the base salaries of our named executive officers are targeted to yield an annual base salary slightly below the median level of market (i.e. approximately the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to 40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of market) and are determined by the ET Compensation Committee after taking into account the recommendations of Mr. Warren.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2019 merit review process, the ET Compensation Committee considered the recommendations of Mr. Warren, the existing Longnecker study (with the data aged as appropriate) and the merit increase pool set for all employees of the Partnership and/or its employing affiliates. The ET Compensation Committee approved a 3.5% increase to the base salary of Mr. McCrea to $1,114,555 from its prior level of $1,076,865; an approximately 10% base salary increase to Mr. Long to $600,000 from its prior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18" w:right="239" w:bottom="1440" w:gutter="0" w:footer="0" w:header="0"/>
          <w:type w:val="continuous"/>
        </w:sectPr>
      </w:pPr>
    </w:p>
    <w:bookmarkStart w:id="145" w:name="page146"/>
    <w:bookmarkEnd w:id="1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 of $545,900; a 3.5% base salary increase to Mr. Ramsey to $696,598 from its prior level of $673,041; and a 3.5% base salary increase to Mr. Mason to $631,396 from its prior level of $610,044. Mr. Warren has voluntarily determined that his salary will be $1.00 per year (plus an amount sufficient to cover his allocated payroll deductions for health and welfare benefits), and, as such, did not receive any base salary or adjustment in 2019.</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3.5% increase to Messrs. McCrea, Ramsey and Mason reflected a base salary increase substantially the same as the annual merit increase pool set for all employees of ET and its affiliates for 2019. The 10% increase for Mr. Long was undertaken to continue the process to more closely align Mr. Long with the targeted total compensation of similarly situated officers of peer group companies and the market data.</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 In addition to base salary, the ET Compensation Committee makes determinations whether to make discretionary annual cash bonus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including our named executive officers, following the end of the year under the Bonus Plan.</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Bonus Plan is a discretionary annual cash bonus plan available to all employees, including the named executive officers. The purpose of the Bonus Plan is to reward employees for contributions towards the Partnership’s business goals and to aid in motivating employees. The Bonus Plan is administered by the ET Compensation Committee and the ET Compensation Committee has the authority to establish and interpret the rules and regulations relating to the Bonus Plan, to select participants, to determine and approve the size of any actual award amount, to make all determinations, including factual determinations, under the Bonus Plan, and to take all other actions necessary or appropriate for the proper administration of the Bonus Plan.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each calendar year (the “Performance Period”), the ET Compensation Committee will evaluate and determine an overall funded cash bonus pool based on achievement of (i) an internal Adjusted EBITDA target (“Adjusted EBITDA Target”), (ii) an internal distributable cash flow target (“DCF Target”) and (iii) performance of each department compared to the applicable departmental budget (“Departmental Budget Target”). The Adjusted EBITDA Target and the DCF Target are defined for purposes of the Bonus Plan using the same definitions as used in the Partnership’s audited financial statements included in its annual and quarterly filings on Forms 10-K and 10-Q for the terms Adjusted EBITDA and Distributable Cash Flow. The performance criteria are weighted 60% on the achievement of the Adjusted EBITDA Target, 20% on the achievement of the DCF Target and 20% on the achievement of the Departmental Budget Target (collectively, “Budget Targets”). The total amount of cash to be allocated to the funded bonus pool will range from 0% to 120% for each of the budgeted DCF Target and Adjusted EBITDA Target and will range from 0% to 100% of the Departmental Budget Target. The maximum funding of the bonus pool is 116% of the total pool target and to achieve such funding each of the Adjusted EBITDA and the DCF Target must achieve 120% funding and the Department Budget target must achieve its 100% target. While the funded bonus pool will reflect an aggregation of performance under each target, in the event performance under the Adjusted EBITDA Target is below 80% of its target, no bonus pool will be funded. If the bonus pool is funded, a participant may earn a cash award for the Performance Period based upon the level of attainment of the Budget Targets and his or her individual performance. Awards are paid in cash as soon as practicable after the end of the Performance Period but in no event later than two and one-half months after the end of the Performance Period.</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achievement of the Budget Targets sets a bonus pool under the Bonus Plan, actual bonus awards are discretionary. These discretionary bonuses, if awarded, are intended to reward our named executive officers for the achievement of the Budget Targets during the Performance Period in light of the contribution of each individual to our profitability and success during such year. The ET Compensation Committee also considers the recommendation of Mr. Warren in determining the specific annual cash bonus amounts for each of the named executive officers. The ET Compensation Committee does not establish its own financial performance objectives in advance for purposes of determining whether to approve any annual bonuses, and it does not utilize any formulaic approach to determine annual bonuses.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2019, the ET Compensation Committee approved short-term annual cash bonus pool targets for Mr. McCrea of 160% of his annual base earnings and for Messrs. Long, Ramsey and Mason of 130% of their annual base earnings. The named executive officer bonus pool targets remained the same for the 2019 Performance Period as they were for the 2018 period.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2020, the ET Compensation Committee certified 2019 performance results under the Bonus Plan, which resulted in a bonus payout of 100% of the bonus pool target, which reflected achievement of 100.3% of the Adjusted EBITDA Target, 99.7% of the DCF Target and 101.6% or $13 million under the Department Budget Target. Based on the approved results, the ET Compensation Committee approved a cash bonus relating to the 2019 calendar year to Messrs. McCrea, Long, Ramsey, and Mason in the amounts of $1,750,817, $900,000, $889,100 and $805,900, respectively.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approving the 2019 bonuses of the named executive officers, the ET Compensation Committee took into account the achievement by the Partnership of all of the targeted performance objectives for 2019 and the individual performances of each of the named executive officers. The cash bonuses awarded to each of the named executive officers for 2019 performance were materially consistent with their applicable bonus pool targets, except Mr. Long who received approximately 120% of his targeted bonus award in consideration of (i) a recommendation to increase his award by Mr. Warren in recognition of Mr. Long’s efforts on certain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18" w:right="23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financial objectives during 2019 and (ii) a further alignment of Mr. Long with the targeted total compensation of similarly situated officers of peer group companies and the market data. As with base salary and equity awards, Mr. Warren does not accept or receive an annual bonus.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Equity Awards. </w:t>
      </w:r>
      <w:r>
        <w:rPr>
          <w:rFonts w:ascii="Arial" w:cs="Arial" w:eastAsia="Arial" w:hAnsi="Arial"/>
          <w:sz w:val="18"/>
          <w:szCs w:val="18"/>
          <w:color w:val="auto"/>
        </w:rPr>
        <w:t>ET maintains and operates (i) the Second Amended and Restated Energy Transfer LP 2008 Incentive Plan (the “2008 Incentive Plan”); (ii)</w:t>
      </w:r>
      <w:r>
        <w:rPr>
          <w:rFonts w:ascii="Arial" w:cs="Arial" w:eastAsia="Arial" w:hAnsi="Arial"/>
          <w:sz w:val="18"/>
          <w:szCs w:val="18"/>
          <w:i w:val="1"/>
          <w:iCs w:val="1"/>
          <w:color w:val="auto"/>
        </w:rPr>
        <w:t xml:space="preserve"> </w:t>
      </w:r>
      <w:r>
        <w:rPr>
          <w:rFonts w:ascii="Arial" w:cs="Arial" w:eastAsia="Arial" w:hAnsi="Arial"/>
          <w:sz w:val="18"/>
          <w:szCs w:val="18"/>
          <w:color w:val="auto"/>
        </w:rPr>
        <w:t>the Energy Transfer LP 2011 Long-Term Incentive Plan (the “2011 Incentive Plan”); the (iii) Energy Transfer LP 2015 Long-Term Incentive Plan (the “2015 Plan”); (iv) the Amended and Restated Energy Transfer LP Long-Term Incentive Plan (the “ET Plan,” together with the 2008 Incentive Plan, the 2011 Incentive Plan and the 2015 Plan, the “ET Incentive Plans”). The ET Incentive Plans authorize the ET Compensation Committee, in its discretion, to grant awards, as applicable, under each respective plan of restricted units, phantom units, unit options, unit appreciation rights and other awards related to ET common units upon such terms and conditions as it may determine appropriate and in accordance with general guidelines as defined by the ET Incentive Plans. ET has generally used time-vested restricted units and/or phantom units as the vehicle for its annual equity awards to eligible employees, including the named executive officers.</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2019, the annual long-term incentive targets set by the ET Compensation Committee for the named executive officers were 900% of annual base salary for Mr. McCrea and 500% of annual base salary for Messrs. Long, Ramsey and Mason. The targets of the named executive officers were the same as the prior year’s targets.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annual long-term incentive targets are used as the basis to determine the target number of units to be awarded to the eligible participant, including the named executive officers. A multiple of base salary is used to set the pool target, that number is then divided by a weighted average price determined by considering ET’s modified total unitholder return “(TUR”) performance as measured against the average return of ET’s identified peer group over defined time periods. For purposes of establishing an initial price, ET utilizes a 60 trading-day trailing weighted average price of ET common units prior to November 1, 2019. This average trading price is then subject to adjustment when ET’s TUR is more than 5% greater or less than that of its identified peer group. If the TUR analysis yields a result that is within 5% percent of its identified peer group, the ET Compensation Committee will simply use the 60 trading day trailing weighted average price divided by the applicable salary multiple to establish a target pool for each eligible participant, including the named executive officers. If ET’s TUR is outside of the 5% deviation, the 60 trading day trailing weighted average will be adjusted up or down based on ET’s performance as compared to the identified group. For 2019, the peer group included the following:</w:t>
      </w:r>
    </w:p>
    <w:p>
      <w:pPr>
        <w:sectPr>
          <w:pgSz w:w="11900" w:h="16838" w:orient="portrait"/>
          <w:cols w:equalWidth="0" w:num="1">
            <w:col w:w="11420"/>
          </w:cols>
          <w:pgMar w:left="240" w:top="118" w:right="239" w:bottom="1440" w:gutter="0" w:footer="0" w:header="0"/>
        </w:sect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5"/>
          <w:szCs w:val="15"/>
          <w:color w:val="auto"/>
        </w:rPr>
        <w:t>• Enterprise Products Partners, L.P.</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Kinder Morgan, Inc.</w:t>
      </w:r>
    </w:p>
    <w:p>
      <w:pPr>
        <w:spacing w:after="0" w:line="86" w:lineRule="exact"/>
        <w:rPr>
          <w:sz w:val="20"/>
          <w:szCs w:val="20"/>
          <w:color w:val="auto"/>
        </w:rPr>
      </w:pPr>
    </w:p>
    <w:p>
      <w:pPr>
        <w:sectPr>
          <w:pgSz w:w="11900" w:h="16838" w:orient="portrait"/>
          <w:cols w:equalWidth="0" w:num="2">
            <w:col w:w="5020" w:space="720"/>
            <w:col w:w="568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The Williams Companies, Inc.</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6"/>
          <w:szCs w:val="16"/>
          <w:color w:val="auto"/>
        </w:rPr>
        <w:t>• Plains All American Pipeline, L.P.</w:t>
      </w:r>
    </w:p>
    <w:p>
      <w:pPr>
        <w:spacing w:after="0" w:line="86" w:lineRule="exact"/>
        <w:rPr>
          <w:sz w:val="20"/>
          <w:szCs w:val="20"/>
          <w:color w:val="auto"/>
        </w:rPr>
      </w:pPr>
    </w:p>
    <w:p>
      <w:pPr>
        <w:sectPr>
          <w:pgSz w:w="11900" w:h="16838" w:orient="portrait"/>
          <w:cols w:equalWidth="0" w:num="2">
            <w:col w:w="5020" w:space="720"/>
            <w:col w:w="5680"/>
          </w:cols>
          <w:pgMar w:left="240" w:top="118"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 Phillips 66</w:t>
      </w:r>
    </w:p>
    <w:p>
      <w:pPr>
        <w:spacing w:after="0" w:line="20" w:lineRule="exact"/>
        <w:rPr>
          <w:sz w:val="20"/>
          <w:szCs w:val="20"/>
          <w:color w:val="auto"/>
        </w:rPr>
      </w:pPr>
      <w:r>
        <w:rPr>
          <w:sz w:val="20"/>
          <w:szCs w:val="20"/>
          <w:color w:val="auto"/>
        </w:rPr>
        <w:br w:type="column"/>
      </w:r>
    </w:p>
    <w:p>
      <w:pPr>
        <w:jc w:val="center"/>
        <w:ind w:right="4820"/>
        <w:spacing w:after="0"/>
        <w:rPr>
          <w:sz w:val="20"/>
          <w:szCs w:val="20"/>
          <w:color w:val="auto"/>
        </w:rPr>
      </w:pPr>
      <w:r>
        <w:rPr>
          <w:rFonts w:ascii="Arial" w:cs="Arial" w:eastAsia="Arial" w:hAnsi="Arial"/>
          <w:sz w:val="17"/>
          <w:szCs w:val="17"/>
          <w:color w:val="auto"/>
        </w:rPr>
        <w:t>• MPLX LP</w:t>
      </w:r>
    </w:p>
    <w:p>
      <w:pPr>
        <w:spacing w:after="0" w:line="200" w:lineRule="exact"/>
        <w:rPr>
          <w:sz w:val="20"/>
          <w:szCs w:val="20"/>
          <w:color w:val="auto"/>
        </w:rPr>
      </w:pPr>
    </w:p>
    <w:p>
      <w:pPr>
        <w:sectPr>
          <w:pgSz w:w="11900" w:h="16838" w:orient="portrait"/>
          <w:cols w:equalWidth="0" w:num="2">
            <w:col w:w="5020" w:space="720"/>
            <w:col w:w="5680"/>
          </w:cols>
          <w:pgMar w:left="240" w:top="118" w:right="239" w:bottom="1440" w:gutter="0" w:footer="0" w:header="0"/>
          <w:type w:val="continuous"/>
        </w:sectPr>
      </w:pPr>
    </w:p>
    <w:p>
      <w:pPr>
        <w:spacing w:after="0" w:line="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2019, the Partnership’s TUR underperformed the identified peer group based on the average of the identified three comparison periods: (i) year-to-date 2019, (ii) trailing twelve months, and (iii) full-year 2018. Consequently, the 2019 long-term incentive base price was increased to reduce the total available restricted pool by approximately 13%.</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ET Compensation Committee in consultation with Mr. Warren approved grants of phantom unit awards to Messrs. McCrea, Long, Ramsey and Mason of 682,400 units, 215,000 units, 189,600 units and 214,800 units, respectively. As with base salary and annual bonus, Mr. Warren does not accept or receive annual long-term incentive awards. Mr. Long’s award of 215,000 units represents an increase of approximately 30% over his pool target number. The increase for Mr. Long reflected (i) a recommendation to increase his award by Mr. Warren in recognition of Mr. Long’s efforts on certain key financial objectives during 2019 and (ii) a further alignment of Mr. Long with the targeted total compensation of similarly situated officers of peer group companies and the market data.</w:t>
      </w:r>
    </w:p>
    <w:p>
      <w:pPr>
        <w:spacing w:after="0" w:line="1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more fully described below in the section titled </w:t>
      </w:r>
      <w:r>
        <w:rPr>
          <w:rFonts w:ascii="Arial" w:cs="Arial" w:eastAsia="Arial" w:hAnsi="Arial"/>
          <w:sz w:val="16"/>
          <w:szCs w:val="16"/>
          <w:i w:val="1"/>
          <w:iCs w:val="1"/>
          <w:color w:val="auto"/>
        </w:rPr>
        <w:t>Affiliate and Subsidiary Equity Awards</w:t>
      </w:r>
      <w:r>
        <w:rPr>
          <w:rFonts w:ascii="Arial" w:cs="Arial" w:eastAsia="Arial" w:hAnsi="Arial"/>
          <w:sz w:val="16"/>
          <w:szCs w:val="16"/>
          <w:color w:val="auto"/>
        </w:rPr>
        <w:t>, for 2019, in discussions between the General Partner, the ET Compensation Committee and the compensation committee of the general partner of Sunoco LP, it was determined that for 2019 the value of Messrs. Long and Ramsey’s awards would be comprised of restricted unit awards under the ET Incentive Plans and the Sunoco LP 2018 Long-Term Incentive Plan (the “2018 Sunoco LP Plan”) in consideration of their roles and responsibilities for Sunoco LP and their status, as members of the Boards of Directors of the general partner of Sunoco LP. Messrs. Long and Ramsey’s total 2019 long-term awards were allocated approximately 80% to the ET Incentive Plans and approximately 20% to the 2018 Sunoco LP Plan. The awards of Messrs. McCrea and Mason for 2019 were allocated entirely to the ET Incentive Plans. It is expected that future long-term incentive awards to Messrs. Long and Ramsey of ET will recognize an aggregation of restricted units under the ET Incentive Plans and the 2018 Sunoco LP Plan, as applicable. For purposes of establishing a pool value for awards to eligible participants, including Messrs. Ramsey and Long, Sunoco LP utilized the same practices in terms of utilizing a peer group TUR analysis to set a grant date valuation.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18" w:right="239" w:bottom="1440" w:gutter="0" w:footer="0" w:header="0"/>
          <w:type w:val="continuous"/>
        </w:sectPr>
      </w:pPr>
    </w:p>
    <w:bookmarkStart w:id="147" w:name="page148"/>
    <w:bookmarkEnd w:id="1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restricted unit awards granted in 2019 provide for incremental vesting over a five-year period, with 60% vesting at the end of the third year and the remaining 40% vesting at the end of the fifth year. Vesting of the awards are generally subject to continued employment through each specified vesting date. The restricted unit awards entitle the recipients to receive, with respect to each ET unit subject to such award that has not either vested or been forfeited, a DER cash payment promptly following each such distribution by ET to its unitholders. In approving the grant of such restricted unit awards, including to the named executive officers, the ET Compensation Committee considered several factors, including the long-term objective of retaining such individuals as key drivers of ET’s future success, the existing level of equity ownership of such individuals and the previous awards to such individuals of equity awards subject to vesting. Vesting of the 2019 awards would accelerate in the event of the death or disability of the recipient, including the named executive officers, or in the event of a change in control of ET as that term is defined under the ET Incentive Plans.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below under “Potential Payments Upon a Termination or Change of Control,” all outstanding equity awards would automatically accelerate upon a change in control event, which means vesting automatically accelerates upon a change of control irrespective of whether the officer is terminated. In addition, the award agreements for the restricted units awarded in 2019, as well as other awards outstanding held by Partnership employees, including the named executive officers, also include certain acceleration provisions upon retirement with the ability to accelerate 40% of outstanding unvested awards under the ET Incentive Plans at age 65 and 50% at age 68. These acceleration provisions require that the participant have not less than five (5) years of employment service to the Partnership or an affiliate and require a six (6) month delay in the vesting after retirement pursuant to the requirements of Section 409(A) of the Code.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permitting the accelerated vesting of equity awards upon a change in control creates an important retention tool for us by enabling employees to realize value from these awards in the event that we undergo a change in control transaction. In addition, we believe permitting acceleration of vesting upon a change in control creates a sense of stability in the course of transactions that could create uncertainty regarding their future employment and encourage these officers to remain focused on their job responsibilities.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Affiliate and Subsidiary Equity Awards. </w:t>
      </w:r>
      <w:r>
        <w:rPr>
          <w:rFonts w:ascii="Arial" w:cs="Arial" w:eastAsia="Arial" w:hAnsi="Arial"/>
          <w:sz w:val="18"/>
          <w:szCs w:val="18"/>
          <w:color w:val="auto"/>
        </w:rPr>
        <w:t>In addition to their roles as officers for ET during 2019, Messrs. Long and Ramsey have certain responsibilities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Sunoco LP, including as members of the Board of Directors of the general partner of Sunoco LP.</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Sunoco LP Compensation Committee in December 2019 approved grants of restricted unit awards to Messrs. Long and Ramsey of 19,500 and 22,600 restricted units, respectively, under the 2018 Sunoco LP Plan. The terms and conditions of the restricted unit to Messrs. Long and Ramsey under the 2018 Sunoco LP Plan, as applicable, were the same and provided for vesting over a five-year period, with 60% vesting at the end of the third year and the remaining 40% vesting at the end of the fifth year, subject generally to continued employment through each specified vesting date. All of the awards would be accelerated in the event of their death, disability, upon a change in control or retirement at ages 65 or 68.</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Unit Ownership Guidelines. </w:t>
      </w:r>
      <w:r>
        <w:rPr>
          <w:rFonts w:ascii="Arial" w:cs="Arial" w:eastAsia="Arial" w:hAnsi="Arial"/>
          <w:sz w:val="16"/>
          <w:szCs w:val="16"/>
          <w:color w:val="auto"/>
        </w:rPr>
        <w:t>The Board of Directors of our General Partner has adopted the Executive Unit Ownership Guidelines (the “Guidelines”),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minimum ownership guidelines applicable to certain executives of ET with respect to ET and Sunoco LP common units representing limited partnership interests, as applicable. The applicable Guidelines are denominated as a multiple of base salary, and the amount of common units required to be owned increases with the level of responsibility. Under these Guidelines, the President and Chief Commercial Officer and the Chief Operating Officer are expected to own common units having a minimum value of five times his base salary, while each of the remaining named executive officers (other than the CEO) are expected to own common units having a minimum value of four times their respective base salary. In addition to the named executive officers, these Guidelines also apply to other covered executives, which executives are expected to own either directly or indirectly in accordance with the terms of the Guidelines, common units having minimum values ranging from two to four times their respective base salary.</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ET Compensation Committee believes that the ownership of ET and/or Sunoco LP common units, as reflected in these Guidelines, is an important means of tying the financial risks and rewards for its executives to ET’s total unitholder return, aligning the interests of such executives with those of ET’s Unitholders, and promoting ET’s interest in good corporate governance.</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Covered executives are generally required to achieve their ownership level within five years of becoming subject to the Guidelines; however, certain covered executives, based on their tenure as an executive, were required to achieve compliance within two years of the December 2013 effective date of the Guidelines. Thus, compliance with the Guidelines was required for Messrs. McCrea and Mason beginning in December 2015, and they were compliant. Compliance for Mr. Long was required in December 2018, and he was compliant. Compliance for Mr. Ramsey will be required in December 2020.</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Covered executives may satisfy the Guidelines through direct ownership of ET and/or Sunoco LP common units or indirect ownership by certain immediate family members. Direct or indirect ownership of ET and/or Sunoco LP common units shall count on a one-to-one ratio for purposes of satisfying minimum ownership requirements; however, unvested unit awards may not be used to satisfy the minimum ownership requirements.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18" w:right="2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Executive officers, including the named executive officers, who have not yet met their respective guideline must retain and hold all common units (less common units sold to cover the executive’s applicable taxes and withholding obligation) received in connection with long-term incentive awards. Once the required ownership level is achieved, ownership of the required common units must be maintained for as long as the covered executive is subject to the Guidelines. However, those individuals who have met or exceeded their applicable ownership level guideline may dispose of the common units in a manner consistent with applicable laws, rules and regulations, including regulations of the SEC and our internal policies, but only to the extent that such individual’s remaining ownership of common units would continue to exceed the applicable ownership level.</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Qualified Retirement Plan Benefits</w:t>
      </w:r>
      <w:r>
        <w:rPr>
          <w:rFonts w:ascii="Arial" w:cs="Arial" w:eastAsia="Arial" w:hAnsi="Arial"/>
          <w:sz w:val="16"/>
          <w:szCs w:val="16"/>
          <w:color w:val="auto"/>
        </w:rPr>
        <w:t>. The Energy Transfer LP 401(k) Plan (the “ET 401(k) Plan”) is a defined contribution 401(k) plan, which covers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employees, including the named executive officers. Employees may elect to defer up to 100% of their eligible compensation after applicable taxes, as limited under the Internal Revenue Code. We make a matching contribution that is not less than the aggregate amount of matching contributions that would be credited to a participant’s account based on a rate of match equal to 100% of each participant’s elective deferrals up to 5% of covered compensation. The amounts deferred by the participant are fully vested at all times, and the amounts contributed by the Partnership become vested based on years of service. We provide this benefit as a means to incentivize employees and provide them with an opportunity to save for their retirement.</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Partnership provides a 3% profit sharing contribution to employee 401(k) accounts for all employees with a base compensation below a specified threshold. The contribution is in addition to the 401(k) matching contribution and employees become vested based on years of service.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Health and Welfare Benefits</w:t>
      </w:r>
      <w:r>
        <w:rPr>
          <w:rFonts w:ascii="Arial" w:cs="Arial" w:eastAsia="Arial" w:hAnsi="Arial"/>
          <w:sz w:val="18"/>
          <w:szCs w:val="18"/>
          <w:color w:val="auto"/>
        </w:rPr>
        <w:t>. All full-time employees, including our named executive officers may participate in ETP GP’s health and welfare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including medical, dental, vision, flexible spending, life insurance and disability insurance.</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Termination Benefits. </w:t>
      </w:r>
      <w:r>
        <w:rPr>
          <w:rFonts w:ascii="Arial" w:cs="Arial" w:eastAsia="Arial" w:hAnsi="Arial"/>
          <w:sz w:val="16"/>
          <w:szCs w:val="16"/>
          <w:color w:val="auto"/>
        </w:rPr>
        <w:t>Our named executive officers do not have any employment agreements that call for payments of termination or severance benefits or</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 for any payments in the event of a change in control of our General Partner; however, the award agreement to the named executive officers under the ET Incentive Plans, the 2018 Sunoco LP Plan and the Sunoco LP 2012 Long-Term Incentive Plan (the “2012 Sunoco LP Plan”) provide for immediate vesting of all unvested restricted unit awards in the event of a (i) change of control, as defined in the plan; (ii) death or (iii) disability, as defined in the applicable plan. Please refer to “Compensation Tables - Potential Payments Upon a Termination or Change of Control” for additional information.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ETP GP has also adopted the ETP GP Severance Plan and Summary Plan Description effective as of June 12, 2013, (the “Severance Plan”), which provides for payment of certain severance benefits in the event of Qualifying Termination (as that term is defined in the Severance Plan). In general, the Severance Plan provides payment of two weeks of annual base salary for each year or partial year of employment service up to a maximum of fifty-two weeks or one year of annual base salary (with a minimum of four weeks of annual base salary) and up to three months of continued group health insurance coverage. The Severance Plan also provides that we may determine to pay benefits in addition to those provided under the Severance Plan based on special circumstances, which additional benefits shall be unique and non-precedent setting. The Severance Plan is available to all salaried employees on a nondiscriminatory basis; therefore, amounts that would be payable to our named executive officers upon a Qualified Termination have been excluded from “Compensation Tables – Potential Payments Upon a Termination or Change of Control” below.</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Energy Transfer LP Non-Qualified Deferred Compensation Plan </w:t>
      </w:r>
      <w:r>
        <w:rPr>
          <w:rFonts w:ascii="Arial" w:cs="Arial" w:eastAsia="Arial" w:hAnsi="Arial"/>
          <w:sz w:val="18"/>
          <w:szCs w:val="18"/>
          <w:color w:val="auto"/>
        </w:rPr>
        <w:t>(the “ET NQDC Plan”) is a deferred compensation plan, which permits eligible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compensated employees to defer a portion of their salary, bonus, and/or quarterly non-vested phantom unit distribution equivalent income until retirement, termination of employment or other designated distribution event. Each year under the ET NQDC Plan, eligible employees are permitted to make an irrevocable election to defer up to 50% of their annual base salary, 50% of their quarterly non-vested phantom unit distribution income, and/or 50% of their discretionary performance bonus compensation during the following year. Pursuant to the ET NQDC Plan, ET may make annual discretionary matching contributions to participants’ accounts; however, ET has not made any discretionary contributions to participants’ accounts and currently has no plans to make any discretionary contributions to participants’ accounts. All amounts credited under the ET NQDC Plan (other than discretionary credits) are immediately 100% vested. Participant accounts are credited with deemed earnings or losses based on hypothetical investment fund choices made by the participants among available funds.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Participants may elect to have their account balances distributed in one lump sum payment or in annual installments over a period of three or five years upon retirement, and in a lump sum upon other termination events. Participants may also elect to take lump-sum in-service withdrawals five years or longer in the future, and such scheduled in-service withdrawals may be further deferred prior to the withdrawal date. Upon a change in control (as defined in the ET NQDC Plan) of ET, all ET NQDC Plan accounts are immediately vested in full. However, distributions are not accelerated and, instead, are made in accordance with the ET NQDC Plan’s normal distribution provisions unless a participant has elected to receive a change of control distribution pursuant to his deferral agreement. None of our named executive officers currently participate in this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18" w:right="23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Risk Assessment Related to our Compensation Structure</w:t>
      </w:r>
      <w:r>
        <w:rPr>
          <w:rFonts w:ascii="Arial" w:cs="Arial" w:eastAsia="Arial" w:hAnsi="Arial"/>
          <w:sz w:val="17"/>
          <w:szCs w:val="17"/>
          <w:color w:val="auto"/>
        </w:rPr>
        <w:t>. We believe that the compensation plans and programs for our named executive officers,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our other employees, are appropriately structured and are not reasonably likely to result in material risk to us. We believe these compensation plans and programs are structured in a manner that does not promote excessive risk-taking that could harm our value or reward poor judgment. We also believe we have allocated compensation among base salary and short and long-term compensation in such a way as to not encourage excessive risk-taking. In particular, we generally do not adjust base annual salaries for executive officers and other employees significantly from year to year, and therefore the annual base salary of our employees is not generally impacted by our overall financial performance or the financial performance of a portion of our operations. Our subsidiaries generally determine whether, and to what extent, their respective named executive officers receive a cash bonus based on achievement of specified financial performance objectives as well as the individual contributions of our named executive officers to the Partnership’s success. We and our subsidiaries use restricted units and phantom units rather than unit options for equity awards because restricted units and phantom units retain value even in a depressed market so that employees are less likely to take unreasonable risks to get, or keep, options “in-the-money.” Finally, the time-based vesting over five years for our long-term incentive awards ensures that the interests of employees align with those of our unitholders and our subsidiaries’ unitholders for our long-term performance.</w:t>
      </w:r>
    </w:p>
    <w:p>
      <w:pPr>
        <w:spacing w:after="0" w:line="122" w:lineRule="exact"/>
        <w:rPr>
          <w:sz w:val="20"/>
          <w:szCs w:val="20"/>
          <w:color w:val="auto"/>
        </w:rPr>
      </w:pPr>
    </w:p>
    <w:p>
      <w:pPr>
        <w:ind w:right="5280"/>
        <w:spacing w:after="0" w:line="440" w:lineRule="auto"/>
        <w:rPr>
          <w:sz w:val="20"/>
          <w:szCs w:val="20"/>
          <w:color w:val="auto"/>
        </w:rPr>
      </w:pPr>
      <w:r>
        <w:rPr>
          <w:rFonts w:ascii="Arial" w:cs="Arial" w:eastAsia="Arial" w:hAnsi="Arial"/>
          <w:sz w:val="18"/>
          <w:szCs w:val="18"/>
          <w:b w:val="1"/>
          <w:bCs w:val="1"/>
          <w:color w:val="auto"/>
        </w:rPr>
        <w:t xml:space="preserve">Tax and Accounting Implications of Equity-Based Compensation Arrangements </w:t>
      </w:r>
      <w:r>
        <w:rPr>
          <w:rFonts w:ascii="Arial" w:cs="Arial" w:eastAsia="Arial" w:hAnsi="Arial"/>
          <w:sz w:val="18"/>
          <w:szCs w:val="18"/>
          <w:i w:val="1"/>
          <w:iCs w:val="1"/>
          <w:color w:val="auto"/>
        </w:rPr>
        <w:t>Deductibility of Executive Compensation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limited partnership and not a corporation for United States federal income tax purposes. Therefore, we believe that the compensation paid to the named executive officers is not subject to the deduction limitations under Section 162(m) of the Internal Revenue Code and therefore is generally fully deductible for United States federal income tax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Non-Cash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non-cash compensation arrangements we record compensation expense over the vesting period of the awards, as discussed further in Note 9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Messrs. Anderson, Grimm and Washburne are the only members of the Compensation Committee. During 2019, no member of the Compensation Committee was an officer or employee of us or any of our subsidiaries or served as an officer of any company with respect to which any of our executive officers served on such company’s board of directors. Mr. Grimm is not a former employee of ours or any of our subsidiaries. Mr. Anderson was previously an employee of the Partnership until his retirement in October 2009, as discussed in his biographical information included in “Item 10. Directors, Executive Officers and Corporate Governance.”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Compensation Committee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of our General Partner has reviewed and discussed the section entitled “Compensation Discussion and Analysis” with the management of ET. Based on this review and discussion, we have recommended that the Compensation Discussion and Analysis be included in this annual report on Form 10-K.</w:t>
      </w:r>
    </w:p>
    <w:p>
      <w:pPr>
        <w:spacing w:after="0" w:line="18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The Compensation Committee of the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Board of Directors of LE GP, LLC,</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general partner of Energy Transfer LP</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Anderson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Michael K. Grimm</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Ray W. Washburne</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report shall not be deemed to be incorporated by reference by any general statement or reference to this annual report on Form 10-K into any filing under the Securities Act of 1933, as amended, or the Securities Exchange Act of 1934, as amended, except to the extent that we specifically incorporate this information by reference, and shall not otherwise be deemed filed under those 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18" w:right="2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Change in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Pension</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Value and</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8"/>
              </w:rPr>
              <w:t>Non-Equity</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Nonqualified</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7"/>
              </w:rPr>
              <w:t>Equity</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Incentive Plan</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Deferred</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All Other</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Salary</w:t>
            </w:r>
          </w:p>
        </w:tc>
        <w:tc>
          <w:tcPr>
            <w:tcW w:w="18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Bonus</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 xml:space="preserve">Awards </w:t>
            </w:r>
            <w:r>
              <w:rPr>
                <w:rFonts w:ascii="Arial" w:cs="Arial" w:eastAsia="Arial" w:hAnsi="Arial"/>
                <w:sz w:val="8"/>
                <w:szCs w:val="8"/>
                <w:color w:val="auto"/>
                <w:w w:val="96"/>
              </w:rPr>
              <w:t>(1)</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Compensation</w:t>
            </w:r>
            <w:r>
              <w:rPr>
                <w:rFonts w:ascii="Arial" w:cs="Arial" w:eastAsia="Arial" w:hAnsi="Arial"/>
                <w:sz w:val="8"/>
                <w:szCs w:val="8"/>
                <w:color w:val="auto"/>
                <w:w w:val="93"/>
              </w:rPr>
              <w:t>(2)</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Compensation</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Compensation</w:t>
            </w:r>
            <w:r>
              <w:rPr>
                <w:rFonts w:ascii="Arial" w:cs="Arial" w:eastAsia="Arial" w:hAnsi="Arial"/>
                <w:sz w:val="8"/>
                <w:szCs w:val="8"/>
                <w:color w:val="auto"/>
                <w:w w:val="93"/>
              </w:rPr>
              <w:t>(3)</w:t>
            </w:r>
          </w:p>
        </w:tc>
        <w:tc>
          <w:tcPr>
            <w:tcW w:w="120" w:type="dxa"/>
            <w:vAlign w:val="bottom"/>
          </w:tcPr>
          <w:p>
            <w:pPr>
              <w:spacing w:after="0"/>
              <w:rPr>
                <w:sz w:val="12"/>
                <w:szCs w:val="12"/>
                <w:color w:val="auto"/>
              </w:rPr>
            </w:pPr>
          </w:p>
        </w:tc>
        <w:tc>
          <w:tcPr>
            <w:tcW w:w="76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and Principal Position</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Year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w w:val="93"/>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Earnings ($)</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Kelcy L. Warren </w:t>
            </w:r>
            <w:r>
              <w:rPr>
                <w:rFonts w:ascii="Arial" w:cs="Arial" w:eastAsia="Arial" w:hAnsi="Arial"/>
                <w:sz w:val="8"/>
                <w:szCs w:val="8"/>
                <w:color w:val="auto"/>
              </w:rPr>
              <w:t>(4)</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1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6,138</w:t>
            </w:r>
          </w:p>
        </w:tc>
        <w:tc>
          <w:tcPr>
            <w:tcW w:w="0" w:type="dxa"/>
            <w:vAlign w:val="bottom"/>
          </w:tcPr>
          <w:p>
            <w:pPr>
              <w:spacing w:after="0"/>
              <w:rPr>
                <w:sz w:val="1"/>
                <w:szCs w:val="1"/>
                <w:color w:val="auto"/>
              </w:rPr>
            </w:pPr>
          </w:p>
        </w:tc>
      </w:tr>
      <w:tr>
        <w:trPr>
          <w:trHeight w:val="68"/>
        </w:trPr>
        <w:tc>
          <w:tcPr>
            <w:tcW w:w="2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5,926</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Thomas E. Long</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570,869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3,352,795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21,544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4,845,208</w:t>
            </w:r>
          </w:p>
        </w:tc>
        <w:tc>
          <w:tcPr>
            <w:tcW w:w="0" w:type="dxa"/>
            <w:vAlign w:val="bottom"/>
          </w:tcPr>
          <w:p>
            <w:pPr>
              <w:spacing w:after="0"/>
              <w:rPr>
                <w:sz w:val="1"/>
                <w:szCs w:val="1"/>
                <w:color w:val="auto"/>
              </w:rPr>
            </w:pPr>
          </w:p>
        </w:tc>
      </w:tr>
      <w:tr>
        <w:trPr>
          <w:trHeight w:val="203"/>
        </w:trPr>
        <w:tc>
          <w:tcPr>
            <w:tcW w:w="230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537,338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w w:val="99"/>
              </w:rPr>
              <w:t>1,000,000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4,251,335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21,294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6,609,967</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30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480,846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2,519,954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625,100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18,320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3,644,220</w:t>
            </w: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Marshall S. (Mackie) McCrea, III</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1,094,260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8,734,720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1,750,817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1"/>
              </w:rPr>
              <w:t>11,601,341</w:t>
            </w: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President and Chief Commercial</w:t>
            </w: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1,059,976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7,834,782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1,866,000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19,362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1"/>
              </w:rPr>
              <w:t>10,780,120</w:t>
            </w:r>
          </w:p>
        </w:tc>
        <w:tc>
          <w:tcPr>
            <w:tcW w:w="0" w:type="dxa"/>
            <w:vAlign w:val="bottom"/>
          </w:tcPr>
          <w:p>
            <w:pPr>
              <w:spacing w:after="0"/>
              <w:rPr>
                <w:sz w:val="1"/>
                <w:szCs w:val="1"/>
                <w:color w:val="auto"/>
              </w:rPr>
            </w:pPr>
          </w:p>
        </w:tc>
      </w:tr>
      <w:tr>
        <w:trPr>
          <w:trHeight w:val="101"/>
        </w:trPr>
        <w:tc>
          <w:tcPr>
            <w:tcW w:w="230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9"/>
              </w:rPr>
              <w:t>1,027,846</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9,033,341</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1,644,554</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7"/>
                <w:szCs w:val="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16,834</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1"/>
              </w:rPr>
              <w:t>11,722,575</w:t>
            </w: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Matthew S. Ramsey</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683,913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3,123,186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889,100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19,544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4,715,743</w:t>
            </w:r>
          </w:p>
        </w:tc>
        <w:tc>
          <w:tcPr>
            <w:tcW w:w="0" w:type="dxa"/>
            <w:vAlign w:val="bottom"/>
          </w:tcPr>
          <w:p>
            <w:pPr>
              <w:spacing w:after="0"/>
              <w:rPr>
                <w:sz w:val="1"/>
                <w:szCs w:val="1"/>
                <w:color w:val="auto"/>
              </w:rPr>
            </w:pPr>
          </w:p>
        </w:tc>
      </w:tr>
      <w:tr>
        <w:trPr>
          <w:trHeight w:val="203"/>
        </w:trPr>
        <w:tc>
          <w:tcPr>
            <w:tcW w:w="2300" w:type="dxa"/>
            <w:vAlign w:val="bottom"/>
          </w:tcPr>
          <w:p>
            <w:pPr>
              <w:ind w:left="200"/>
              <w:spacing w:after="0"/>
              <w:rPr>
                <w:sz w:val="20"/>
                <w:szCs w:val="20"/>
                <w:color w:val="auto"/>
              </w:rPr>
            </w:pPr>
            <w:r>
              <w:rPr>
                <w:rFonts w:ascii="Arial" w:cs="Arial" w:eastAsia="Arial" w:hAnsi="Arial"/>
                <w:sz w:val="14"/>
                <w:szCs w:val="14"/>
                <w:color w:val="auto"/>
              </w:rPr>
              <w:t>Chief Operating Officer</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662,486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2,818,415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900,000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19,294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4,400,195</w:t>
            </w:r>
          </w:p>
        </w:tc>
        <w:tc>
          <w:tcPr>
            <w:tcW w:w="0" w:type="dxa"/>
            <w:vAlign w:val="bottom"/>
          </w:tcPr>
          <w:p>
            <w:pPr>
              <w:spacing w:after="0"/>
              <w:rPr>
                <w:sz w:val="1"/>
                <w:szCs w:val="1"/>
                <w:color w:val="auto"/>
              </w:rPr>
            </w:pPr>
          </w:p>
        </w:tc>
      </w:tr>
      <w:tr>
        <w:trPr>
          <w:trHeight w:val="68"/>
        </w:trPr>
        <w:tc>
          <w:tcPr>
            <w:tcW w:w="23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230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642,404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3,763,893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835,125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18,618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5,260,040</w:t>
            </w:r>
          </w:p>
        </w:tc>
        <w:tc>
          <w:tcPr>
            <w:tcW w:w="0" w:type="dxa"/>
            <w:vAlign w:val="bottom"/>
          </w:tcPr>
          <w:p>
            <w:pPr>
              <w:spacing w:after="0"/>
              <w:rPr>
                <w:sz w:val="1"/>
                <w:szCs w:val="1"/>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Thomas P. Mason</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619,899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2,749,440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805,900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4,194,783</w:t>
            </w:r>
          </w:p>
        </w:tc>
        <w:tc>
          <w:tcPr>
            <w:tcW w:w="0" w:type="dxa"/>
            <w:vAlign w:val="bottom"/>
          </w:tcPr>
          <w:p>
            <w:pPr>
              <w:spacing w:after="0"/>
              <w:rPr>
                <w:sz w:val="1"/>
                <w:szCs w:val="1"/>
                <w:color w:val="auto"/>
              </w:rPr>
            </w:pPr>
          </w:p>
        </w:tc>
      </w:tr>
      <w:tr>
        <w:trPr>
          <w:trHeight w:val="169"/>
        </w:trPr>
        <w:tc>
          <w:tcPr>
            <w:tcW w:w="23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7"/>
              </w:rPr>
              <w:t>Executive Vice President, General</w:t>
            </w:r>
          </w:p>
        </w:tc>
        <w:tc>
          <w:tcPr>
            <w:tcW w:w="1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600,477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2,466,882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858,700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19,294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3,945,353</w:t>
            </w:r>
          </w:p>
        </w:tc>
        <w:tc>
          <w:tcPr>
            <w:tcW w:w="0" w:type="dxa"/>
            <w:vAlign w:val="bottom"/>
          </w:tcPr>
          <w:p>
            <w:pPr>
              <w:spacing w:after="0"/>
              <w:rPr>
                <w:sz w:val="1"/>
                <w:szCs w:val="1"/>
                <w:color w:val="auto"/>
              </w:rPr>
            </w:pPr>
          </w:p>
        </w:tc>
      </w:tr>
      <w:tr>
        <w:trPr>
          <w:trHeight w:val="101"/>
        </w:trPr>
        <w:tc>
          <w:tcPr>
            <w:tcW w:w="230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Counsel and President – LNG</w:t>
            </w:r>
          </w:p>
        </w:tc>
        <w:tc>
          <w:tcPr>
            <w:tcW w:w="120" w:type="dxa"/>
            <w:vAlign w:val="bottom"/>
            <w:shd w:val="clear" w:color="auto" w:fill="CCEEFF"/>
          </w:tcPr>
          <w:p>
            <w:pPr>
              <w:spacing w:after="0"/>
              <w:rPr>
                <w:sz w:val="8"/>
                <w:szCs w:val="8"/>
                <w:color w:val="auto"/>
              </w:rPr>
            </w:pPr>
          </w:p>
        </w:tc>
        <w:tc>
          <w:tcPr>
            <w:tcW w:w="4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3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582,275</w:t>
            </w: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2,816,048</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756,958</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7"/>
                <w:szCs w:val="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18,618</w:t>
            </w: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4,173,899</w:t>
            </w:r>
          </w:p>
        </w:tc>
        <w:tc>
          <w:tcPr>
            <w:tcW w:w="0" w:type="dxa"/>
            <w:vAlign w:val="bottom"/>
          </w:tcPr>
          <w:p>
            <w:pPr>
              <w:spacing w:after="0"/>
              <w:rPr>
                <w:sz w:val="1"/>
                <w:szCs w:val="1"/>
                <w:color w:val="auto"/>
              </w:rPr>
            </w:pPr>
          </w:p>
        </w:tc>
      </w:tr>
      <w:tr>
        <w:trPr>
          <w:trHeight w:val="201"/>
        </w:trPr>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32" w:lineRule="auto"/>
        <w:tabs>
          <w:tab w:leader="none" w:pos="340" w:val="left"/>
        </w:tabs>
        <w:numPr>
          <w:ilvl w:val="0"/>
          <w:numId w:val="117"/>
        </w:numPr>
        <w:rPr>
          <w:rFonts w:ascii="Arial" w:cs="Arial" w:eastAsia="Arial" w:hAnsi="Arial"/>
          <w:sz w:val="25"/>
          <w:szCs w:val="25"/>
          <w:color w:val="auto"/>
          <w:vertAlign w:val="superscript"/>
        </w:rPr>
      </w:pPr>
      <w:r>
        <w:rPr>
          <w:rFonts w:ascii="Arial" w:cs="Arial" w:eastAsia="Arial" w:hAnsi="Arial"/>
          <w:sz w:val="18"/>
          <w:szCs w:val="18"/>
          <w:color w:val="auto"/>
        </w:rPr>
        <w:t>Equity award amounts reflect the aggregate grant date fair value of unit awards granted for the periods presented, computed in accordance with FASB ASC Topic 718. For Messrs. Long and Ramsey amounts include equity awards of our subsidiaries and/or affiliates, as reflected in the “Grants of Plan-Based Awards Table.” See Note 9 to our consolidated financial statements included in “Item 8. Financial Statements and Supplementary Data” for additional assumptions underlying the value of the equity awards.</w:t>
      </w:r>
    </w:p>
    <w:p>
      <w:pPr>
        <w:spacing w:after="0" w:line="94" w:lineRule="exact"/>
        <w:rPr>
          <w:rFonts w:ascii="Arial" w:cs="Arial" w:eastAsia="Arial" w:hAnsi="Arial"/>
          <w:sz w:val="25"/>
          <w:szCs w:val="25"/>
          <w:color w:val="auto"/>
          <w:vertAlign w:val="superscript"/>
        </w:rPr>
      </w:pPr>
    </w:p>
    <w:p>
      <w:pPr>
        <w:jc w:val="both"/>
        <w:ind w:left="340" w:hanging="332"/>
        <w:spacing w:after="0" w:line="262" w:lineRule="auto"/>
        <w:tabs>
          <w:tab w:leader="none" w:pos="340" w:val="left"/>
        </w:tabs>
        <w:numPr>
          <w:ilvl w:val="0"/>
          <w:numId w:val="117"/>
        </w:numPr>
        <w:rPr>
          <w:rFonts w:ascii="Arial" w:cs="Arial" w:eastAsia="Arial" w:hAnsi="Arial"/>
          <w:sz w:val="22"/>
          <w:szCs w:val="22"/>
          <w:color w:val="auto"/>
          <w:vertAlign w:val="superscript"/>
        </w:rPr>
      </w:pPr>
      <w:r>
        <w:rPr>
          <w:rFonts w:ascii="Arial" w:cs="Arial" w:eastAsia="Arial" w:hAnsi="Arial"/>
          <w:sz w:val="16"/>
          <w:szCs w:val="16"/>
          <w:color w:val="auto"/>
        </w:rPr>
        <w:t>ET maintains the Bonus Plan which provides for discretionary bonuses. Awards of discretionary bonuses are tied to achievement of targeted performance objectives and described in the Compensation Discussion and Analysis. The discretionary cash bonus amounts earned by the named executive officers for 2019 reflect cash bonuses approved by the ET Compensation Committee in February 2020 that are expected to be paid on or before March 15, 2020.</w:t>
      </w:r>
    </w:p>
    <w:p>
      <w:pPr>
        <w:spacing w:after="0" w:line="78" w:lineRule="exact"/>
        <w:rPr>
          <w:rFonts w:ascii="Arial" w:cs="Arial" w:eastAsia="Arial" w:hAnsi="Arial"/>
          <w:sz w:val="22"/>
          <w:szCs w:val="22"/>
          <w:color w:val="auto"/>
          <w:vertAlign w:val="superscript"/>
        </w:rPr>
      </w:pPr>
    </w:p>
    <w:p>
      <w:pPr>
        <w:jc w:val="both"/>
        <w:ind w:left="340" w:hanging="332"/>
        <w:spacing w:after="0" w:line="274" w:lineRule="auto"/>
        <w:tabs>
          <w:tab w:leader="none" w:pos="340" w:val="left"/>
        </w:tabs>
        <w:numPr>
          <w:ilvl w:val="0"/>
          <w:numId w:val="117"/>
        </w:numPr>
        <w:rPr>
          <w:rFonts w:ascii="Arial" w:cs="Arial" w:eastAsia="Arial" w:hAnsi="Arial"/>
          <w:sz w:val="22"/>
          <w:szCs w:val="22"/>
          <w:color w:val="auto"/>
          <w:vertAlign w:val="superscript"/>
        </w:rPr>
      </w:pPr>
      <w:r>
        <w:rPr>
          <w:rFonts w:ascii="Arial" w:cs="Arial" w:eastAsia="Arial" w:hAnsi="Arial"/>
          <w:sz w:val="16"/>
          <w:szCs w:val="16"/>
          <w:color w:val="auto"/>
        </w:rPr>
        <w:t>The amounts reflected for 2019 in this column include (i) matching contributions to the ET 401(k) Plan made on behalf of the named executive officers of $14,000 each for Messrs. Long, McCrea, Ramsey and Mason, (ii) health savings account contributions made on behalf of the named executive officers of $2,000 each for Messrs. Long and McCrea, and (iii) the dollar value of life insurance premiums paid for the benefit of the named executive officers. The amounts reflected for all periods exclude distribution payments in connection with distribution equivalent rights on unvested unit awards, because the dollar value of such distributions are factored into the grant date fair value reported in the “Equity Awards” column of the Summary Compensation Table at the time that the unit awards and distribution equivalent rights were originally granted. For 2019, distribution payments in connection with distribution equivalent rights totaled $796,382 for Mr. Long, $2,178,361 for Mr. McCrea, $857,108 for Mr. Ramsey, and $756,879 for Mr. Mason.</w:t>
      </w:r>
    </w:p>
    <w:p>
      <w:pPr>
        <w:spacing w:after="0" w:line="71" w:lineRule="exact"/>
        <w:rPr>
          <w:rFonts w:ascii="Arial" w:cs="Arial" w:eastAsia="Arial" w:hAnsi="Arial"/>
          <w:sz w:val="22"/>
          <w:szCs w:val="22"/>
          <w:color w:val="auto"/>
          <w:vertAlign w:val="superscript"/>
        </w:rPr>
      </w:pPr>
    </w:p>
    <w:p>
      <w:pPr>
        <w:ind w:left="340" w:right="20" w:hanging="332"/>
        <w:spacing w:after="0" w:line="227" w:lineRule="auto"/>
        <w:tabs>
          <w:tab w:leader="none" w:pos="340" w:val="left"/>
        </w:tabs>
        <w:numPr>
          <w:ilvl w:val="0"/>
          <w:numId w:val="117"/>
        </w:numPr>
        <w:rPr>
          <w:rFonts w:ascii="Arial" w:cs="Arial" w:eastAsia="Arial" w:hAnsi="Arial"/>
          <w:sz w:val="24"/>
          <w:szCs w:val="24"/>
          <w:color w:val="auto"/>
          <w:vertAlign w:val="superscript"/>
        </w:rPr>
      </w:pPr>
      <w:r>
        <w:rPr>
          <w:rFonts w:ascii="Arial" w:cs="Arial" w:eastAsia="Arial" w:hAnsi="Arial"/>
          <w:sz w:val="17"/>
          <w:szCs w:val="17"/>
          <w:color w:val="auto"/>
        </w:rPr>
        <w:t>Mr. Warren has voluntarily determined that his salary will be reduced to $1.00 per year (plus an amount sufficient to cover his allocated payroll deductions for health and welfare benefits). He also does not accept a cash bonus or any equity awards under the equity incentive plans.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18" w:right="2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in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All Other Unit Awards: Number</w:t>
            </w:r>
          </w:p>
        </w:tc>
        <w:tc>
          <w:tcPr>
            <w:tcW w:w="120" w:type="dxa"/>
            <w:vAlign w:val="bottom"/>
          </w:tcPr>
          <w:p>
            <w:pPr>
              <w:spacing w:after="0"/>
              <w:rPr>
                <w:sz w:val="14"/>
                <w:szCs w:val="14"/>
                <w:color w:val="auto"/>
              </w:rPr>
            </w:pPr>
          </w:p>
        </w:tc>
        <w:tc>
          <w:tcPr>
            <w:tcW w:w="20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Grant Date Fair Value of Unit</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120" w:type="dxa"/>
            <w:vAlign w:val="bottom"/>
            <w:vMerge w:val="restart"/>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Units</w:t>
            </w:r>
          </w:p>
        </w:tc>
        <w:tc>
          <w:tcPr>
            <w:tcW w:w="1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ET Unit Awards:</w:t>
            </w:r>
          </w:p>
        </w:tc>
        <w:tc>
          <w:tcPr>
            <w:tcW w:w="2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360"/>
              <w:spacing w:after="0"/>
              <w:rPr>
                <w:sz w:val="20"/>
                <w:szCs w:val="20"/>
                <w:color w:val="auto"/>
              </w:rPr>
            </w:pPr>
            <w:r>
              <w:rPr>
                <w:rFonts w:ascii="Arial" w:cs="Arial" w:eastAsia="Arial" w:hAnsi="Arial"/>
                <w:sz w:val="14"/>
                <w:szCs w:val="14"/>
                <w:color w:val="auto"/>
              </w:rPr>
              <w:t>Kelcy L. Warren</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2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12/16/2019</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2,752,000</w:t>
            </w:r>
          </w:p>
        </w:tc>
        <w:tc>
          <w:tcPr>
            <w:tcW w:w="0" w:type="dxa"/>
            <w:vAlign w:val="bottom"/>
          </w:tcPr>
          <w:p>
            <w:pPr>
              <w:spacing w:after="0"/>
              <w:rPr>
                <w:sz w:val="1"/>
                <w:szCs w:val="1"/>
                <w:color w:val="auto"/>
              </w:rPr>
            </w:pPr>
          </w:p>
        </w:tc>
      </w:tr>
      <w:tr>
        <w:trPr>
          <w:trHeight w:val="264"/>
        </w:trPr>
        <w:tc>
          <w:tcPr>
            <w:tcW w:w="4700" w:type="dxa"/>
            <w:vAlign w:val="bottom"/>
            <w:gridSpan w:val="2"/>
          </w:tcPr>
          <w:p>
            <w:pPr>
              <w:ind w:left="360"/>
              <w:spacing w:after="0"/>
              <w:rPr>
                <w:sz w:val="20"/>
                <w:szCs w:val="20"/>
                <w:color w:val="auto"/>
              </w:rPr>
            </w:pPr>
            <w:r>
              <w:rPr>
                <w:rFonts w:ascii="Arial" w:cs="Arial" w:eastAsia="Arial" w:hAnsi="Arial"/>
                <w:sz w:val="14"/>
                <w:szCs w:val="14"/>
                <w:color w:val="auto"/>
              </w:rPr>
              <w:t>Marshal S. (Mackie) McCrea, III</w:t>
            </w:r>
          </w:p>
        </w:tc>
        <w:tc>
          <w:tcPr>
            <w:tcW w:w="2180" w:type="dxa"/>
            <w:vAlign w:val="bottom"/>
          </w:tcPr>
          <w:p>
            <w:pPr>
              <w:jc w:val="center"/>
              <w:spacing w:after="0"/>
              <w:rPr>
                <w:sz w:val="20"/>
                <w:szCs w:val="20"/>
                <w:color w:val="auto"/>
              </w:rPr>
            </w:pPr>
            <w:r>
              <w:rPr>
                <w:rFonts w:ascii="Arial" w:cs="Arial" w:eastAsia="Arial" w:hAnsi="Arial"/>
                <w:sz w:val="14"/>
                <w:szCs w:val="14"/>
                <w:color w:val="auto"/>
                <w:w w:val="94"/>
              </w:rPr>
              <w:t>12/16/2019</w:t>
            </w:r>
          </w:p>
        </w:tc>
        <w:tc>
          <w:tcPr>
            <w:tcW w:w="12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682,400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jc w:val="right"/>
              <w:ind w:right="28"/>
              <w:spacing w:after="0"/>
              <w:rPr>
                <w:sz w:val="20"/>
                <w:szCs w:val="20"/>
                <w:color w:val="auto"/>
              </w:rPr>
            </w:pPr>
            <w:r>
              <w:rPr>
                <w:rFonts w:ascii="Arial" w:cs="Arial" w:eastAsia="Arial" w:hAnsi="Arial"/>
                <w:sz w:val="14"/>
                <w:szCs w:val="14"/>
                <w:color w:val="auto"/>
              </w:rPr>
              <w:t>8,734,720</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Matthew S. Ramsey</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12/16/2019</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189,600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2,426,880</w:t>
            </w:r>
          </w:p>
        </w:tc>
        <w:tc>
          <w:tcPr>
            <w:tcW w:w="0" w:type="dxa"/>
            <w:vAlign w:val="bottom"/>
          </w:tcPr>
          <w:p>
            <w:pPr>
              <w:spacing w:after="0"/>
              <w:rPr>
                <w:sz w:val="1"/>
                <w:szCs w:val="1"/>
                <w:color w:val="auto"/>
              </w:rPr>
            </w:pPr>
          </w:p>
        </w:tc>
      </w:tr>
      <w:tr>
        <w:trPr>
          <w:trHeight w:val="264"/>
        </w:trPr>
        <w:tc>
          <w:tcPr>
            <w:tcW w:w="4700" w:type="dxa"/>
            <w:vAlign w:val="bottom"/>
            <w:gridSpan w:val="2"/>
          </w:tcPr>
          <w:p>
            <w:pPr>
              <w:ind w:left="360"/>
              <w:spacing w:after="0"/>
              <w:rPr>
                <w:sz w:val="20"/>
                <w:szCs w:val="20"/>
                <w:color w:val="auto"/>
              </w:rPr>
            </w:pPr>
            <w:r>
              <w:rPr>
                <w:rFonts w:ascii="Arial" w:cs="Arial" w:eastAsia="Arial" w:hAnsi="Arial"/>
                <w:sz w:val="14"/>
                <w:szCs w:val="14"/>
                <w:color w:val="auto"/>
              </w:rPr>
              <w:t>Thomas P. Mason</w:t>
            </w:r>
          </w:p>
        </w:tc>
        <w:tc>
          <w:tcPr>
            <w:tcW w:w="2180" w:type="dxa"/>
            <w:vAlign w:val="bottom"/>
          </w:tcPr>
          <w:p>
            <w:pPr>
              <w:jc w:val="center"/>
              <w:spacing w:after="0"/>
              <w:rPr>
                <w:sz w:val="20"/>
                <w:szCs w:val="20"/>
                <w:color w:val="auto"/>
              </w:rPr>
            </w:pPr>
            <w:r>
              <w:rPr>
                <w:rFonts w:ascii="Arial" w:cs="Arial" w:eastAsia="Arial" w:hAnsi="Arial"/>
                <w:sz w:val="14"/>
                <w:szCs w:val="14"/>
                <w:color w:val="auto"/>
                <w:w w:val="94"/>
              </w:rPr>
              <w:t>12/16/2019</w:t>
            </w:r>
          </w:p>
        </w:tc>
        <w:tc>
          <w:tcPr>
            <w:tcW w:w="12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214,800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jc w:val="right"/>
              <w:ind w:right="28"/>
              <w:spacing w:after="0"/>
              <w:rPr>
                <w:sz w:val="20"/>
                <w:szCs w:val="20"/>
                <w:color w:val="auto"/>
              </w:rPr>
            </w:pPr>
            <w:r>
              <w:rPr>
                <w:rFonts w:ascii="Arial" w:cs="Arial" w:eastAsia="Arial" w:hAnsi="Arial"/>
                <w:sz w:val="14"/>
                <w:szCs w:val="14"/>
                <w:color w:val="auto"/>
              </w:rPr>
              <w:t>2,749,440</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Sunoco LP Unit Awards:</w:t>
            </w:r>
          </w:p>
        </w:tc>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gridSpan w:val="2"/>
          </w:tcPr>
          <w:p>
            <w:pPr>
              <w:ind w:left="360"/>
              <w:spacing w:after="0"/>
              <w:rPr>
                <w:sz w:val="20"/>
                <w:szCs w:val="20"/>
                <w:color w:val="auto"/>
              </w:rPr>
            </w:pPr>
            <w:r>
              <w:rPr>
                <w:rFonts w:ascii="Arial" w:cs="Arial" w:eastAsia="Arial" w:hAnsi="Arial"/>
                <w:sz w:val="14"/>
                <w:szCs w:val="14"/>
                <w:color w:val="auto"/>
              </w:rPr>
              <w:t>Thomas E. Long</w:t>
            </w:r>
          </w:p>
        </w:tc>
        <w:tc>
          <w:tcPr>
            <w:tcW w:w="2180" w:type="dxa"/>
            <w:vAlign w:val="bottom"/>
          </w:tcPr>
          <w:p>
            <w:pPr>
              <w:jc w:val="center"/>
              <w:spacing w:after="0"/>
              <w:rPr>
                <w:sz w:val="20"/>
                <w:szCs w:val="20"/>
                <w:color w:val="auto"/>
              </w:rPr>
            </w:pPr>
            <w:r>
              <w:rPr>
                <w:rFonts w:ascii="Arial" w:cs="Arial" w:eastAsia="Arial" w:hAnsi="Arial"/>
                <w:sz w:val="14"/>
                <w:szCs w:val="14"/>
                <w:color w:val="auto"/>
                <w:w w:val="94"/>
              </w:rPr>
              <w:t>12/16/2019</w:t>
            </w:r>
          </w:p>
        </w:tc>
        <w:tc>
          <w:tcPr>
            <w:tcW w:w="12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19,500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jc w:val="right"/>
              <w:ind w:right="28"/>
              <w:spacing w:after="0"/>
              <w:rPr>
                <w:sz w:val="20"/>
                <w:szCs w:val="20"/>
                <w:color w:val="auto"/>
              </w:rPr>
            </w:pPr>
            <w:r>
              <w:rPr>
                <w:rFonts w:ascii="Arial" w:cs="Arial" w:eastAsia="Arial" w:hAnsi="Arial"/>
                <w:sz w:val="14"/>
                <w:szCs w:val="14"/>
                <w:color w:val="auto"/>
              </w:rPr>
              <w:t>600,795</w:t>
            </w:r>
          </w:p>
        </w:tc>
        <w:tc>
          <w:tcPr>
            <w:tcW w:w="0" w:type="dxa"/>
            <w:vAlign w:val="bottom"/>
          </w:tcPr>
          <w:p>
            <w:pPr>
              <w:spacing w:after="0"/>
              <w:rPr>
                <w:sz w:val="1"/>
                <w:szCs w:val="1"/>
                <w:color w:val="auto"/>
              </w:rPr>
            </w:pPr>
          </w:p>
        </w:tc>
      </w:tr>
      <w:tr>
        <w:trPr>
          <w:trHeight w:val="27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Matthew S. Ramsey</w:t>
            </w:r>
          </w:p>
        </w:tc>
        <w:tc>
          <w:tcPr>
            <w:tcW w:w="2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12/16/2019</w:t>
            </w:r>
          </w:p>
        </w:tc>
        <w:tc>
          <w:tcPr>
            <w:tcW w:w="120" w:type="dxa"/>
            <w:vAlign w:val="bottom"/>
            <w:shd w:val="clear" w:color="auto" w:fill="CCEEFF"/>
          </w:tcPr>
          <w:p>
            <w:pPr>
              <w:spacing w:after="0"/>
              <w:rPr>
                <w:sz w:val="24"/>
                <w:szCs w:val="24"/>
                <w:color w:val="auto"/>
              </w:rPr>
            </w:pPr>
          </w:p>
        </w:tc>
        <w:tc>
          <w:tcPr>
            <w:tcW w:w="2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696,306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16" w:lineRule="auto"/>
        <w:tabs>
          <w:tab w:leader="none" w:pos="340" w:val="left"/>
        </w:tabs>
        <w:numPr>
          <w:ilvl w:val="0"/>
          <w:numId w:val="118"/>
        </w:numPr>
        <w:rPr>
          <w:rFonts w:ascii="Arial" w:cs="Arial" w:eastAsia="Arial" w:hAnsi="Arial"/>
          <w:sz w:val="25"/>
          <w:szCs w:val="25"/>
          <w:color w:val="auto"/>
          <w:vertAlign w:val="superscript"/>
        </w:rPr>
      </w:pPr>
      <w:r>
        <w:rPr>
          <w:rFonts w:ascii="Arial" w:cs="Arial" w:eastAsia="Arial" w:hAnsi="Arial"/>
          <w:sz w:val="18"/>
          <w:szCs w:val="18"/>
          <w:color w:val="auto"/>
        </w:rPr>
        <w:t>We have computed the grant date fair value of unit awards in accordance with FASB ASC Topic 718, as further described above and in Note 9 to our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118" w:right="23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Grants of the Plan-Based Awards Table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description of material factors necessary to understand the information disclosed in the tables above with respect to salaries, bonuses, equity awards, and 401(k) plan contributions can be found in the Compensation Discussion and Analysis that precedes these tables.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2019 Fiscal Year-End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320" w:type="dxa"/>
            <w:vAlign w:val="bottom"/>
            <w:tcBorders>
              <w:bottom w:val="single" w:sz="8" w:color="auto"/>
            </w:tcBorders>
            <w:gridSpan w:val="4"/>
          </w:tcPr>
          <w:p>
            <w:pPr>
              <w:jc w:val="right"/>
              <w:ind w:right="2108"/>
              <w:spacing w:after="0"/>
              <w:rPr>
                <w:sz w:val="20"/>
                <w:szCs w:val="20"/>
                <w:color w:val="auto"/>
              </w:rPr>
            </w:pPr>
            <w:r>
              <w:rPr>
                <w:rFonts w:ascii="Arial" w:cs="Arial" w:eastAsia="Arial" w:hAnsi="Arial"/>
                <w:sz w:val="14"/>
                <w:szCs w:val="14"/>
                <w:b w:val="1"/>
                <w:bCs w:val="1"/>
                <w:color w:val="auto"/>
              </w:rPr>
              <w:t xml:space="preserve">Unit Awards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Number of Units That Have Not Vested</w:t>
            </w:r>
            <w:r>
              <w:rPr>
                <w:rFonts w:ascii="Arial" w:cs="Arial" w:eastAsia="Arial" w:hAnsi="Arial"/>
                <w:sz w:val="8"/>
                <w:szCs w:val="8"/>
                <w:b w:val="1"/>
                <w:bCs w:val="1"/>
                <w:color w:val="auto"/>
                <w:w w:val="99"/>
              </w:rPr>
              <w:t>(2)</w:t>
            </w:r>
          </w:p>
        </w:tc>
        <w:tc>
          <w:tcPr>
            <w:tcW w:w="120" w:type="dxa"/>
            <w:vAlign w:val="bottom"/>
          </w:tcPr>
          <w:p>
            <w:pPr>
              <w:spacing w:after="0"/>
              <w:rPr>
                <w:sz w:val="13"/>
                <w:szCs w:val="13"/>
                <w:color w:val="auto"/>
              </w:rPr>
            </w:pPr>
          </w:p>
        </w:tc>
        <w:tc>
          <w:tcPr>
            <w:tcW w:w="24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5"/>
              </w:rPr>
              <w:t>Market or Payout Value of Units That</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w:t>
            </w:r>
            <w:r>
              <w:rPr>
                <w:rFonts w:ascii="Arial" w:cs="Arial" w:eastAsia="Arial" w:hAnsi="Arial"/>
                <w:sz w:val="8"/>
                <w:szCs w:val="8"/>
                <w:b w:val="1"/>
                <w:bCs w:val="1"/>
                <w:color w:val="auto"/>
                <w:w w:val="98"/>
              </w:rPr>
              <w:t>(1)</w:t>
            </w:r>
          </w:p>
        </w:tc>
        <w:tc>
          <w:tcPr>
            <w:tcW w:w="1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 xml:space="preserve">Have Not Vested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vMerge w:val="continue"/>
          </w:tcPr>
          <w:p>
            <w:pPr>
              <w:spacing w:after="0"/>
              <w:rPr>
                <w:sz w:val="16"/>
                <w:szCs w:val="16"/>
                <w:color w:val="auto"/>
              </w:rPr>
            </w:pPr>
          </w:p>
        </w:tc>
        <w:tc>
          <w:tcPr>
            <w:tcW w:w="2740" w:type="dxa"/>
            <w:vAlign w:val="bottom"/>
            <w:gridSpan w:val="2"/>
          </w:tcPr>
          <w:p>
            <w:pPr>
              <w:jc w:val="right"/>
              <w:ind w:right="1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64"/>
        </w:trPr>
        <w:tc>
          <w:tcPr>
            <w:tcW w:w="320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ET Unit Awards:</w:t>
            </w:r>
          </w:p>
        </w:tc>
        <w:tc>
          <w:tcPr>
            <w:tcW w:w="14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Kelcy L. Warren</w:t>
            </w: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3200" w:type="dxa"/>
            <w:vAlign w:val="bottom"/>
          </w:tcPr>
          <w:p>
            <w:pPr>
              <w:ind w:left="360"/>
              <w:spacing w:after="0"/>
              <w:rPr>
                <w:sz w:val="20"/>
                <w:szCs w:val="20"/>
                <w:color w:val="auto"/>
              </w:rPr>
            </w:pPr>
            <w:r>
              <w:rPr>
                <w:rFonts w:ascii="Arial" w:cs="Arial" w:eastAsia="Arial" w:hAnsi="Arial"/>
                <w:sz w:val="14"/>
                <w:szCs w:val="14"/>
                <w:color w:val="auto"/>
              </w:rPr>
              <w:t>Thomas E. Long</w:t>
            </w: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12/16/2019</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215,000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2,758,450</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12/18/2018</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136,475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1,750,974</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10/19/2018</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115,200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1,478,016</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12/20/2017</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121,074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1,553,379</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30,235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387,918</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12/9/2015</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14,227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182,535</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12/4/2015</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5,739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73,635</w:t>
            </w: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Marshal S. (Mackie) McCrea, III</w:t>
            </w:r>
          </w:p>
        </w:tc>
        <w:tc>
          <w:tcPr>
            <w:tcW w:w="2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12/16/2019</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682,400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8,755,192</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605,740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7,771,644</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12/20/2017</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537,379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6,894,573</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2,209,729</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12/9/2015</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1,216,987</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12/4/2015</w:t>
            </w: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613,480</w:t>
            </w:r>
          </w:p>
        </w:tc>
        <w:tc>
          <w:tcPr>
            <w:tcW w:w="0" w:type="dxa"/>
            <w:vAlign w:val="bottom"/>
          </w:tcPr>
          <w:p>
            <w:pPr>
              <w:spacing w:after="0"/>
              <w:rPr>
                <w:sz w:val="1"/>
                <w:szCs w:val="1"/>
                <w:color w:val="auto"/>
              </w:rPr>
            </w:pPr>
          </w:p>
        </w:tc>
      </w:tr>
      <w:tr>
        <w:trPr>
          <w:trHeight w:val="258"/>
        </w:trPr>
        <w:tc>
          <w:tcPr>
            <w:tcW w:w="3200" w:type="dxa"/>
            <w:vAlign w:val="bottom"/>
          </w:tcPr>
          <w:p>
            <w:pPr>
              <w:ind w:left="380"/>
              <w:spacing w:after="0"/>
              <w:rPr>
                <w:sz w:val="20"/>
                <w:szCs w:val="20"/>
                <w:color w:val="auto"/>
              </w:rPr>
            </w:pPr>
            <w:r>
              <w:rPr>
                <w:rFonts w:ascii="Arial" w:cs="Arial" w:eastAsia="Arial" w:hAnsi="Arial"/>
                <w:sz w:val="14"/>
                <w:szCs w:val="14"/>
                <w:color w:val="auto"/>
              </w:rPr>
              <w:t>Matthew S. Ramsey</w:t>
            </w: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12/16/2019</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189,600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2,432,568</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12/18/2018</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168,260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2,158,776</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12/20/2017</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223,908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2,872,740</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73,440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942,235</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12/9/2015</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59,282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760,592</w:t>
            </w: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Thomas P. Mason</w:t>
            </w:r>
          </w:p>
        </w:tc>
        <w:tc>
          <w:tcPr>
            <w:tcW w:w="2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12/16/2019</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214,800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2,755,884</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190,640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2,445,911</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12/20/2017</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135,300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1,735,899</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40,645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521,474</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12/9/2015</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287,277</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12/4/2015</w:t>
            </w: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144,812</w:t>
            </w:r>
          </w:p>
        </w:tc>
        <w:tc>
          <w:tcPr>
            <w:tcW w:w="0" w:type="dxa"/>
            <w:vAlign w:val="bottom"/>
          </w:tcPr>
          <w:p>
            <w:pPr>
              <w:spacing w:after="0"/>
              <w:rPr>
                <w:sz w:val="1"/>
                <w:szCs w:val="1"/>
                <w:color w:val="auto"/>
              </w:rPr>
            </w:pPr>
          </w:p>
        </w:tc>
      </w:tr>
      <w:tr>
        <w:trPr>
          <w:trHeight w:val="548"/>
        </w:trPr>
        <w:tc>
          <w:tcPr>
            <w:tcW w:w="3200" w:type="dxa"/>
            <w:vAlign w:val="bottom"/>
          </w:tcPr>
          <w:p>
            <w:pPr>
              <w:ind w:left="200"/>
              <w:spacing w:after="0"/>
              <w:rPr>
                <w:sz w:val="20"/>
                <w:szCs w:val="20"/>
                <w:color w:val="auto"/>
              </w:rPr>
            </w:pPr>
            <w:r>
              <w:rPr>
                <w:rFonts w:ascii="Arial" w:cs="Arial" w:eastAsia="Arial" w:hAnsi="Arial"/>
                <w:sz w:val="14"/>
                <w:szCs w:val="14"/>
                <w:b w:val="1"/>
                <w:bCs w:val="1"/>
                <w:color w:val="auto"/>
              </w:rPr>
              <w:t>Sunoco LP Unit Awards:</w:t>
            </w: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12/16/2019</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19,500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596,700</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12/19/2018</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19,325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591,345</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12/21/2017</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17,097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523,168</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120" w:type="dxa"/>
            <w:vAlign w:val="bottom"/>
            <w:shd w:val="clear" w:color="auto" w:fill="CCEEFF"/>
          </w:tcPr>
          <w:p>
            <w:pPr>
              <w:spacing w:after="0"/>
              <w:rPr>
                <w:sz w:val="23"/>
                <w:szCs w:val="23"/>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271,850</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12/16/2015</w:t>
            </w: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172,890</w:t>
            </w:r>
          </w:p>
        </w:tc>
        <w:tc>
          <w:tcPr>
            <w:tcW w:w="0" w:type="dxa"/>
            <w:vAlign w:val="bottom"/>
          </w:tcPr>
          <w:p>
            <w:pPr>
              <w:spacing w:after="0"/>
              <w:rPr>
                <w:sz w:val="1"/>
                <w:szCs w:val="1"/>
                <w:color w:val="auto"/>
              </w:rPr>
            </w:pPr>
          </w:p>
        </w:tc>
      </w:tr>
      <w:tr>
        <w:trPr>
          <w:trHeight w:val="258"/>
        </w:trPr>
        <w:tc>
          <w:tcPr>
            <w:tcW w:w="3200" w:type="dxa"/>
            <w:vAlign w:val="bottom"/>
          </w:tcPr>
          <w:p>
            <w:pPr>
              <w:ind w:left="360"/>
              <w:spacing w:after="0"/>
              <w:rPr>
                <w:sz w:val="20"/>
                <w:szCs w:val="20"/>
                <w:color w:val="auto"/>
              </w:rPr>
            </w:pPr>
            <w:r>
              <w:rPr>
                <w:rFonts w:ascii="Arial" w:cs="Arial" w:eastAsia="Arial" w:hAnsi="Arial"/>
                <w:sz w:val="14"/>
                <w:szCs w:val="14"/>
                <w:color w:val="auto"/>
              </w:rPr>
              <w:t>Matthew S. Ramsey</w:t>
            </w: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12/16/2019</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22,600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691,560</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12/19/2018</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23,825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729,045</w:t>
            </w:r>
          </w:p>
        </w:tc>
        <w:tc>
          <w:tcPr>
            <w:tcW w:w="0" w:type="dxa"/>
            <w:vAlign w:val="bottom"/>
          </w:tcPr>
          <w:p>
            <w:pPr>
              <w:spacing w:after="0"/>
              <w:rPr>
                <w:sz w:val="1"/>
                <w:szCs w:val="1"/>
                <w:color w:val="auto"/>
              </w:rPr>
            </w:pPr>
          </w:p>
        </w:tc>
      </w:tr>
      <w:tr>
        <w:trPr>
          <w:trHeight w:val="276"/>
        </w:trPr>
        <w:tc>
          <w:tcPr>
            <w:tcW w:w="3200" w:type="dxa"/>
            <w:vAlign w:val="bottom"/>
          </w:tcPr>
          <w:p>
            <w:pPr>
              <w:spacing w:after="0"/>
              <w:rPr>
                <w:sz w:val="24"/>
                <w:szCs w:val="24"/>
                <w:color w:val="auto"/>
              </w:rPr>
            </w:pPr>
          </w:p>
        </w:tc>
        <w:tc>
          <w:tcPr>
            <w:tcW w:w="27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1/2/2015</w:t>
            </w:r>
          </w:p>
        </w:tc>
        <w:tc>
          <w:tcPr>
            <w:tcW w:w="2740" w:type="dxa"/>
            <w:vAlign w:val="bottom"/>
            <w:gridSpan w:val="2"/>
          </w:tcPr>
          <w:p>
            <w:pPr>
              <w:jc w:val="right"/>
              <w:ind w:right="4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jc w:val="right"/>
              <w:ind w:right="28"/>
              <w:spacing w:after="0"/>
              <w:rPr>
                <w:sz w:val="20"/>
                <w:szCs w:val="20"/>
                <w:color w:val="auto"/>
              </w:rPr>
            </w:pPr>
            <w:r>
              <w:rPr>
                <w:rFonts w:ascii="Arial" w:cs="Arial" w:eastAsia="Arial" w:hAnsi="Arial"/>
                <w:sz w:val="14"/>
                <w:szCs w:val="14"/>
                <w:color w:val="auto"/>
              </w:rPr>
              <w:t>24,908</w:t>
            </w: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760" w:type="dxa"/>
            <w:vAlign w:val="bottom"/>
            <w:gridSpan w:val="2"/>
            <w:shd w:val="clear" w:color="auto" w:fill="CCEEFF"/>
          </w:tcPr>
          <w:p>
            <w:pPr>
              <w:jc w:val="center"/>
              <w:ind w:left="68"/>
              <w:spacing w:after="0"/>
              <w:rPr>
                <w:sz w:val="20"/>
                <w:szCs w:val="20"/>
                <w:color w:val="auto"/>
              </w:rPr>
            </w:pPr>
            <w:r>
              <w:rPr>
                <w:rFonts w:ascii="Arial" w:cs="Arial" w:eastAsia="Arial" w:hAnsi="Arial"/>
                <w:sz w:val="14"/>
                <w:szCs w:val="14"/>
                <w:color w:val="auto"/>
                <w:w w:val="94"/>
              </w:rPr>
              <w:t>12/21/2017</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19,106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584,644</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9,320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285,192</w:t>
            </w:r>
          </w:p>
        </w:tc>
        <w:tc>
          <w:tcPr>
            <w:tcW w:w="0" w:type="dxa"/>
            <w:vAlign w:val="bottom"/>
          </w:tcPr>
          <w:p>
            <w:pPr>
              <w:spacing w:after="0"/>
              <w:rPr>
                <w:sz w:val="1"/>
                <w:szCs w:val="1"/>
                <w:color w:val="auto"/>
              </w:rPr>
            </w:pPr>
          </w:p>
        </w:tc>
      </w:tr>
      <w:tr>
        <w:trPr>
          <w:trHeight w:val="282"/>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12/16/2015</w:t>
            </w:r>
          </w:p>
        </w:tc>
        <w:tc>
          <w:tcPr>
            <w:tcW w:w="27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7,410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226,752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0" w:hanging="332"/>
        <w:spacing w:after="0" w:line="226" w:lineRule="auto"/>
        <w:tabs>
          <w:tab w:leader="none" w:pos="340" w:val="left"/>
        </w:tabs>
        <w:numPr>
          <w:ilvl w:val="0"/>
          <w:numId w:val="119"/>
        </w:numPr>
        <w:rPr>
          <w:rFonts w:ascii="Arial" w:cs="Arial" w:eastAsia="Arial" w:hAnsi="Arial"/>
          <w:sz w:val="25"/>
          <w:szCs w:val="25"/>
          <w:color w:val="auto"/>
          <w:vertAlign w:val="superscript"/>
        </w:rPr>
      </w:pPr>
      <w:r>
        <w:rPr>
          <w:rFonts w:ascii="Arial" w:cs="Arial" w:eastAsia="Arial" w:hAnsi="Arial"/>
          <w:sz w:val="18"/>
          <w:szCs w:val="18"/>
          <w:color w:val="auto"/>
        </w:rPr>
        <w:t>Certain of these outstanding awards represent Energy Transfer Partners, L.P. awards that converted into ET awards upon the merger of Energy Transfer Equity, L.P. and Energy Transfer Partners, L.P. in October 2018. Furthermore, some of those converted awards had previously been converted in connection with the merger of Energy Transfer Partners, L.P. and Sunoco Logistics in April 2017.</w:t>
      </w:r>
    </w:p>
    <w:p>
      <w:pPr>
        <w:sectPr>
          <w:pgSz w:w="11900" w:h="16838" w:orient="portrait"/>
          <w:cols w:equalWidth="0" w:num="1">
            <w:col w:w="11420"/>
          </w:cols>
          <w:pgMar w:left="240" w:top="118"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420"/>
          </w:cols>
          <w:pgMar w:left="240" w:top="118" w:right="239" w:bottom="1440" w:gutter="0" w:footer="0" w:header="0"/>
          <w:type w:val="continuous"/>
        </w:sectPr>
      </w:pPr>
    </w:p>
    <w:bookmarkStart w:id="153" w:name="page154"/>
    <w:bookmarkEnd w:id="1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hanging="332"/>
        <w:spacing w:after="0" w:line="273" w:lineRule="auto"/>
        <w:tabs>
          <w:tab w:leader="none" w:pos="340" w:val="left"/>
        </w:tabs>
        <w:numPr>
          <w:ilvl w:val="0"/>
          <w:numId w:val="120"/>
        </w:numPr>
        <w:rPr>
          <w:rFonts w:ascii="Arial" w:cs="Arial" w:eastAsia="Arial" w:hAnsi="Arial"/>
          <w:sz w:val="22"/>
          <w:szCs w:val="22"/>
          <w:color w:val="auto"/>
          <w:vertAlign w:val="superscript"/>
        </w:rPr>
      </w:pPr>
      <w:r>
        <w:rPr>
          <w:rFonts w:ascii="Arial" w:cs="Arial" w:eastAsia="Arial" w:hAnsi="Arial"/>
          <w:sz w:val="16"/>
          <w:szCs w:val="16"/>
          <w:color w:val="auto"/>
        </w:rPr>
        <w:t>ET unit awards outstanding vest at a rate of 60% in December 2022 and 40% in December 2024 for awards granted in December 2019. Such awards may be settled at the election of the ET Compensation Committee in (i) common units of ET (subject to the approval of the ET Incentive Plans prior to the first vesting date by a majority of ET’s unitholders pursuant to the rules of the New York Stock Exchange); (ii) cash equal to the Fair Market Value (as such term is defined in the ET Incentive Plans) of the ET common units that would otherwise be delivered pursuant to the terms of each named executive officers grant agreement; or (iii) other securities or property in an amount equal to the Fair Market Value of ET common units that would otherwise be delivered pursuant to the terms of the grant agreement, or a combination thereof as determined by the ET Compensation Committee in its discretion.</w:t>
      </w:r>
    </w:p>
    <w:p>
      <w:pPr>
        <w:spacing w:after="0" w:line="70" w:lineRule="exact"/>
        <w:rPr>
          <w:rFonts w:ascii="Arial" w:cs="Arial" w:eastAsia="Arial" w:hAnsi="Arial"/>
          <w:sz w:val="22"/>
          <w:szCs w:val="22"/>
          <w:color w:val="auto"/>
          <w:vertAlign w:val="superscript"/>
        </w:rPr>
      </w:pPr>
    </w:p>
    <w:p>
      <w:pPr>
        <w:ind w:left="340"/>
        <w:spacing w:after="0"/>
        <w:rPr>
          <w:rFonts w:ascii="Arial" w:cs="Arial" w:eastAsia="Arial" w:hAnsi="Arial"/>
          <w:sz w:val="22"/>
          <w:szCs w:val="22"/>
          <w:color w:val="auto"/>
          <w:vertAlign w:val="superscript"/>
        </w:rPr>
      </w:pPr>
      <w:r>
        <w:rPr>
          <w:rFonts w:ascii="Arial" w:cs="Arial" w:eastAsia="Arial" w:hAnsi="Arial"/>
          <w:sz w:val="18"/>
          <w:szCs w:val="18"/>
          <w:color w:val="auto"/>
        </w:rPr>
        <w:t>Other unit awards outstanding vest as follows:</w:t>
      </w:r>
    </w:p>
    <w:p>
      <w:pPr>
        <w:spacing w:after="0" w:line="117" w:lineRule="exact"/>
        <w:rPr>
          <w:rFonts w:ascii="Arial" w:cs="Arial" w:eastAsia="Arial" w:hAnsi="Arial"/>
          <w:sz w:val="22"/>
          <w:szCs w:val="22"/>
          <w:color w:val="auto"/>
          <w:vertAlign w:val="superscript"/>
        </w:rPr>
      </w:pPr>
    </w:p>
    <w:p>
      <w:pPr>
        <w:ind w:left="660" w:hanging="328"/>
        <w:spacing w:after="0"/>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at a rate of 60% in December 2021 and 40% in December 2023 for awards granted in October and December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at a rate of 60% in December 2020 and 40% in December 2022 for awards granted in December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100% in December 2021 for the remaining outstanding portion of awards granted in December 2016;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100% in December 2020 for the remaining outstanding portion of awards granted in December 2015.</w:t>
      </w:r>
    </w:p>
    <w:p>
      <w:pPr>
        <w:spacing w:after="0" w:line="117" w:lineRule="exact"/>
        <w:rPr>
          <w:rFonts w:ascii="Arial" w:cs="Arial" w:eastAsia="Arial" w:hAnsi="Arial"/>
          <w:sz w:val="18"/>
          <w:szCs w:val="18"/>
          <w:color w:val="auto"/>
        </w:rPr>
      </w:pPr>
    </w:p>
    <w:p>
      <w:pPr>
        <w:ind w:left="340" w:hanging="332"/>
        <w:spacing w:after="0" w:line="216" w:lineRule="auto"/>
        <w:tabs>
          <w:tab w:leader="none" w:pos="340" w:val="left"/>
        </w:tabs>
        <w:numPr>
          <w:ilvl w:val="0"/>
          <w:numId w:val="120"/>
        </w:numPr>
        <w:rPr>
          <w:rFonts w:ascii="Arial" w:cs="Arial" w:eastAsia="Arial" w:hAnsi="Arial"/>
          <w:sz w:val="25"/>
          <w:szCs w:val="25"/>
          <w:color w:val="auto"/>
          <w:vertAlign w:val="superscript"/>
        </w:rPr>
      </w:pPr>
      <w:r>
        <w:rPr>
          <w:rFonts w:ascii="Arial" w:cs="Arial" w:eastAsia="Arial" w:hAnsi="Arial"/>
          <w:sz w:val="18"/>
          <w:szCs w:val="18"/>
          <w:color w:val="auto"/>
        </w:rPr>
        <w:t>Market value was computed as the number of unvested awards as of December 31, 2019 multiplied by the closing price of respective common units of ET and Sunoco LP.</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Vested in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Unit Awards</w:t>
            </w: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Number of Units</w:t>
            </w:r>
          </w:p>
        </w:tc>
        <w:tc>
          <w:tcPr>
            <w:tcW w:w="320" w:type="dxa"/>
            <w:vAlign w:val="bottom"/>
          </w:tcPr>
          <w:p>
            <w:pPr>
              <w:spacing w:after="0"/>
              <w:rPr>
                <w:sz w:val="13"/>
                <w:szCs w:val="13"/>
                <w:color w:val="auto"/>
              </w:rPr>
            </w:pPr>
          </w:p>
        </w:tc>
        <w:tc>
          <w:tcPr>
            <w:tcW w:w="19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91"/>
              </w:rPr>
              <w:t>Value Realized on Vesting</w:t>
            </w:r>
          </w:p>
        </w:tc>
        <w:tc>
          <w:tcPr>
            <w:tcW w:w="0" w:type="dxa"/>
            <w:vAlign w:val="bottom"/>
          </w:tcPr>
          <w:p>
            <w:pPr>
              <w:spacing w:after="0"/>
              <w:rPr>
                <w:sz w:val="1"/>
                <w:szCs w:val="1"/>
                <w:color w:val="auto"/>
              </w:rPr>
            </w:pPr>
          </w:p>
        </w:tc>
      </w:tr>
      <w:tr>
        <w:trPr>
          <w:trHeight w:val="149"/>
        </w:trPr>
        <w:tc>
          <w:tcPr>
            <w:tcW w:w="6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Acquired on Vesting</w:t>
            </w:r>
          </w:p>
        </w:tc>
        <w:tc>
          <w:tcPr>
            <w:tcW w:w="3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64"/>
        </w:trPr>
        <w:tc>
          <w:tcPr>
            <w:tcW w:w="67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ET Unit Awards:</w:t>
            </w:r>
          </w:p>
        </w:tc>
        <w:tc>
          <w:tcPr>
            <w:tcW w:w="2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Kelcy L. Warren</w:t>
            </w:r>
          </w:p>
        </w:tc>
        <w:tc>
          <w:tcPr>
            <w:tcW w:w="2420" w:type="dxa"/>
            <w:vAlign w:val="bottom"/>
            <w:gridSpan w:val="2"/>
          </w:tcPr>
          <w:p>
            <w:pPr>
              <w:ind w:left="1940"/>
              <w:spacing w:after="0"/>
              <w:rPr>
                <w:sz w:val="20"/>
                <w:szCs w:val="20"/>
                <w:color w:val="auto"/>
              </w:rPr>
            </w:pPr>
            <w:r>
              <w:rPr>
                <w:rFonts w:ascii="Arial" w:cs="Arial" w:eastAsia="Arial" w:hAnsi="Arial"/>
                <w:sz w:val="14"/>
                <w:szCs w:val="14"/>
                <w:color w:val="auto"/>
              </w:rPr>
              <w:t>N/A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647,730</w:t>
            </w:r>
          </w:p>
        </w:tc>
        <w:tc>
          <w:tcPr>
            <w:tcW w:w="0" w:type="dxa"/>
            <w:vAlign w:val="bottom"/>
          </w:tcPr>
          <w:p>
            <w:pPr>
              <w:spacing w:after="0"/>
              <w:rPr>
                <w:sz w:val="1"/>
                <w:szCs w:val="1"/>
                <w:color w:val="auto"/>
              </w:rPr>
            </w:pPr>
          </w:p>
        </w:tc>
      </w:tr>
      <w:tr>
        <w:trPr>
          <w:trHeight w:val="264"/>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Marshall S. (Mackie) McCrea, III</w:t>
            </w:r>
          </w:p>
        </w:tc>
        <w:tc>
          <w:tcPr>
            <w:tcW w:w="2300" w:type="dxa"/>
            <w:vAlign w:val="bottom"/>
          </w:tcPr>
          <w:p>
            <w:pPr>
              <w:jc w:val="right"/>
              <w:ind w:right="48"/>
              <w:spacing w:after="0"/>
              <w:rPr>
                <w:sz w:val="20"/>
                <w:szCs w:val="20"/>
                <w:color w:val="auto"/>
              </w:rPr>
            </w:pPr>
            <w:r>
              <w:rPr>
                <w:rFonts w:ascii="Arial" w:cs="Arial" w:eastAsia="Arial" w:hAnsi="Arial"/>
                <w:sz w:val="14"/>
                <w:szCs w:val="14"/>
                <w:color w:val="auto"/>
              </w:rPr>
              <w:t>327,520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3,799,236</w:t>
            </w: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Matthew S. Ramsey</w:t>
            </w:r>
          </w:p>
        </w:tc>
        <w:tc>
          <w:tcPr>
            <w:tcW w:w="2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1,277,868</w:t>
            </w:r>
          </w:p>
        </w:tc>
        <w:tc>
          <w:tcPr>
            <w:tcW w:w="0" w:type="dxa"/>
            <w:vAlign w:val="bottom"/>
          </w:tcPr>
          <w:p>
            <w:pPr>
              <w:spacing w:after="0"/>
              <w:rPr>
                <w:sz w:val="1"/>
                <w:szCs w:val="1"/>
                <w:color w:val="auto"/>
              </w:rPr>
            </w:pPr>
          </w:p>
        </w:tc>
      </w:tr>
      <w:tr>
        <w:trPr>
          <w:trHeight w:val="264"/>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Thomas P. Mason</w:t>
            </w:r>
          </w:p>
        </w:tc>
        <w:tc>
          <w:tcPr>
            <w:tcW w:w="2300" w:type="dxa"/>
            <w:vAlign w:val="bottom"/>
          </w:tcPr>
          <w:p>
            <w:pPr>
              <w:jc w:val="right"/>
              <w:ind w:right="48"/>
              <w:spacing w:after="0"/>
              <w:rPr>
                <w:sz w:val="20"/>
                <w:szCs w:val="20"/>
                <w:color w:val="auto"/>
              </w:rPr>
            </w:pPr>
            <w:r>
              <w:rPr>
                <w:rFonts w:ascii="Arial" w:cs="Arial" w:eastAsia="Arial" w:hAnsi="Arial"/>
                <w:sz w:val="14"/>
                <w:szCs w:val="14"/>
                <w:color w:val="auto"/>
              </w:rPr>
              <w:t>85,300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989,482</w:t>
            </w: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Sunoco LP Unit Awards:</w:t>
            </w: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Thomas E. Long</w:t>
            </w:r>
          </w:p>
        </w:tc>
        <w:tc>
          <w:tcPr>
            <w:tcW w:w="2300" w:type="dxa"/>
            <w:vAlign w:val="bottom"/>
          </w:tcPr>
          <w:p>
            <w:pPr>
              <w:jc w:val="right"/>
              <w:ind w:right="48"/>
              <w:spacing w:after="0"/>
              <w:rPr>
                <w:sz w:val="20"/>
                <w:szCs w:val="20"/>
                <w:color w:val="auto"/>
              </w:rPr>
            </w:pPr>
            <w:r>
              <w:rPr>
                <w:rFonts w:ascii="Arial" w:cs="Arial" w:eastAsia="Arial" w:hAnsi="Arial"/>
                <w:sz w:val="14"/>
                <w:szCs w:val="14"/>
                <w:color w:val="auto"/>
              </w:rPr>
              <w:t>13,326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401,779</w:t>
            </w:r>
          </w:p>
        </w:tc>
        <w:tc>
          <w:tcPr>
            <w:tcW w:w="0" w:type="dxa"/>
            <w:vAlign w:val="bottom"/>
          </w:tcPr>
          <w:p>
            <w:pPr>
              <w:spacing w:after="0"/>
              <w:rPr>
                <w:sz w:val="1"/>
                <w:szCs w:val="1"/>
                <w:color w:val="auto"/>
              </w:rPr>
            </w:pPr>
          </w:p>
        </w:tc>
      </w:tr>
      <w:tr>
        <w:trPr>
          <w:trHeight w:val="276"/>
        </w:trPr>
        <w:tc>
          <w:tcPr>
            <w:tcW w:w="6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Matthew S. Ramsey</w:t>
            </w:r>
          </w:p>
        </w:tc>
        <w:tc>
          <w:tcPr>
            <w:tcW w:w="2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9,033</w:t>
            </w:r>
          </w:p>
        </w:tc>
        <w:tc>
          <w:tcPr>
            <w:tcW w:w="0" w:type="dxa"/>
            <w:vAlign w:val="bottom"/>
          </w:tcPr>
          <w:p>
            <w:pPr>
              <w:spacing w:after="0"/>
              <w:rPr>
                <w:sz w:val="1"/>
                <w:szCs w:val="1"/>
                <w:color w:val="auto"/>
              </w:rPr>
            </w:pPr>
          </w:p>
        </w:tc>
      </w:tr>
      <w:tr>
        <w:trPr>
          <w:trHeight w:val="258"/>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Thomas P. Mason</w:t>
            </w:r>
          </w:p>
        </w:tc>
        <w:tc>
          <w:tcPr>
            <w:tcW w:w="2300" w:type="dxa"/>
            <w:vAlign w:val="bottom"/>
          </w:tcPr>
          <w:p>
            <w:pPr>
              <w:jc w:val="right"/>
              <w:ind w:right="48"/>
              <w:spacing w:after="0"/>
              <w:rPr>
                <w:sz w:val="20"/>
                <w:szCs w:val="20"/>
                <w:color w:val="auto"/>
              </w:rPr>
            </w:pPr>
            <w:r>
              <w:rPr>
                <w:rFonts w:ascii="Arial" w:cs="Arial" w:eastAsia="Arial" w:hAnsi="Arial"/>
                <w:sz w:val="14"/>
                <w:szCs w:val="14"/>
                <w:color w:val="auto"/>
              </w:rPr>
              <w:t>13,980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421,497</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60" w:right="20" w:hanging="652"/>
        <w:spacing w:after="0" w:line="216" w:lineRule="auto"/>
        <w:tabs>
          <w:tab w:leader="none" w:pos="660" w:val="left"/>
        </w:tabs>
        <w:numPr>
          <w:ilvl w:val="0"/>
          <w:numId w:val="121"/>
        </w:numPr>
        <w:rPr>
          <w:rFonts w:ascii="Arial" w:cs="Arial" w:eastAsia="Arial" w:hAnsi="Arial"/>
          <w:sz w:val="25"/>
          <w:szCs w:val="25"/>
          <w:color w:val="auto"/>
          <w:vertAlign w:val="superscript"/>
        </w:rPr>
      </w:pPr>
      <w:r>
        <w:rPr>
          <w:rFonts w:ascii="Arial" w:cs="Arial" w:eastAsia="Arial" w:hAnsi="Arial"/>
          <w:sz w:val="18"/>
          <w:szCs w:val="18"/>
          <w:color w:val="auto"/>
        </w:rPr>
        <w:t>Amounts presented represent the value realized upon vesting of these awards, which is calculated as the number of units vested multiplied by the applicable closing market price of applicable common units upon the vesting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have not issued option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a Termination or Change of Control</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As discussed in our Compensation Discussion and Analysis above, any unvested equity awards granted pursuant the ET Incentive Plans will</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become vested upon a change of control, which is generally defined as the occurrence of one or more of the following events: (i) any person or group becomes the beneficial owner of 50% or more of the voting power or voting securities of ET or its general partner; (ii) LE GP, LLC or an affiliate of LE GP, LLC ceases to be the general partner of ET; or (iii) the sale or other disposition, including by liquidation or dissolution, of all or substantially all of the assets of ET in one or more transactions to anyone other than an affiliate of ET.</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addition, as explained in </w:t>
      </w:r>
      <w:r>
        <w:rPr>
          <w:rFonts w:ascii="Arial" w:cs="Arial" w:eastAsia="Arial" w:hAnsi="Arial"/>
          <w:sz w:val="17"/>
          <w:szCs w:val="17"/>
          <w:i w:val="1"/>
          <w:iCs w:val="1"/>
          <w:color w:val="auto"/>
        </w:rPr>
        <w:t>Equity Awards</w:t>
      </w:r>
      <w:r>
        <w:rPr>
          <w:rFonts w:ascii="Arial" w:cs="Arial" w:eastAsia="Arial" w:hAnsi="Arial"/>
          <w:sz w:val="17"/>
          <w:szCs w:val="17"/>
          <w:color w:val="auto"/>
        </w:rPr>
        <w:t xml:space="preserve"> section of our Compensation Discussion and Analysis above, the restricted unit awards and phantom unit awards under the ET Incentive Plans, the Sunoco LP Plan and the 2012 Sunoco LP Plan generally require the continued employment of the recipient during the vesting period, provided however, the unvested awards will be accelerated in the event of the death or disability of the award recipient prior to the applicable vesting period being satisfied. All awards outstanding to the named executive officers under the ET Incentive Plans, the 2018 Sunoco LP Plan or the 2012 Sunoco LP Plan would be accelerated in the event of a change in control of the Partnership.</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October 2018 equity award to Mr. Long included a provision in the applicable award agreement for acceleration of unvested restricted unit/restricted phantom unit awards upon a termination of employment by the general partner of the applicable partnership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18" w:right="239" w:bottom="1440" w:gutter="0" w:footer="0" w:header="0"/>
        </w:sectPr>
      </w:pPr>
    </w:p>
    <w:bookmarkStart w:id="154" w:name="page155"/>
    <w:bookmarkEnd w:id="1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issuing the award without “cause.” For purposes of the awards the term “cause” shall mean: (i) a conviction (treating a nolo contendere plea as a conviction) of a felony (whether or not any right to appeal has been or may be exercised), (ii) willful refusal without proper cause to perform duties (other than any such refusal resulting from incapacity due to physical or mental impairment), (iii) misappropriation, embezzlement or reckless or willful destruction of property of the partnership or any of its affiliates, (iv) knowing breach of any statutory or common law duty of loyalty to the partnership or any of its or their affiliates,</w:t>
      </w:r>
    </w:p>
    <w:p>
      <w:pPr>
        <w:spacing w:after="0" w:line="2" w:lineRule="exact"/>
        <w:rPr>
          <w:sz w:val="20"/>
          <w:szCs w:val="20"/>
          <w:color w:val="auto"/>
        </w:rPr>
      </w:pPr>
    </w:p>
    <w:p>
      <w:pPr>
        <w:jc w:val="both"/>
        <w:ind w:firstLine="8"/>
        <w:spacing w:after="0" w:line="255" w:lineRule="auto"/>
        <w:tabs>
          <w:tab w:leader="none" w:pos="27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improper conduct materially prejudicial to the business of the partnership or any of its or their affiliates, (vi) material breach of the provisions of any agreement regarding confidential information entered into with the partnership or any of its or their affiliates or (vii) the continuing failure or refusal to satisfactorily perform essential duties to the partnership or any of its or their affiliates.</w:t>
      </w:r>
    </w:p>
    <w:p>
      <w:pPr>
        <w:spacing w:after="0" w:line="1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the ET Compensation Committee and the compensation committee of the general partner of Sunoco LP, have approved a retirement provision, which provides that employees, including the named executive officers with at least ten years of service with the general partner, who leave the respective general partner voluntarily due to retirement (i) after age 65 but prior to age 68 are eligible for accelerated vesting of 40% of his or her award; or (ii) after 68 are eligible for accelerated vesting of 50% his or her award. The acceleration of the awards is subject to the applicable provisions of IRC Section 409(A).</w:t>
      </w:r>
    </w:p>
    <w:p>
      <w:pPr>
        <w:spacing w:after="0" w:line="100"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In February 2016, Mr. Mason received a one-time special incentive retention bonus in the amount of $6,300,000 (the “Special Bonus”). The approval of the Special Bonus was conditioned upon entry by Mr. Mason into a Retention Agreement (the “Retention Agreement”) which provided certain requirements for continued employment, including the following requirements that are still in effect: (i) if, after the 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but prior to the fourth (4</w:t>
      </w:r>
      <w:r>
        <w:rPr>
          <w:rFonts w:ascii="Arial" w:cs="Arial" w:eastAsia="Arial" w:hAnsi="Arial"/>
          <w:sz w:val="25"/>
          <w:szCs w:val="25"/>
          <w:color w:val="auto"/>
          <w:vertAlign w:val="superscript"/>
        </w:rPr>
        <w:t>th</w:t>
      </w:r>
      <w:r>
        <w:rPr>
          <w:rFonts w:ascii="Arial" w:cs="Arial" w:eastAsia="Arial" w:hAnsi="Arial"/>
          <w:sz w:val="18"/>
          <w:szCs w:val="18"/>
          <w:color w:val="auto"/>
        </w:rPr>
        <w:t>) anniversary of the effective date of the Retention Agreement, Mr. Mason’s employment terminates (other than as a result of (x) a termination without cause by ET or by Mr. Mason for Good Reason; (y) his death; or (z) his permanent disability), he will be obligated to remit and repay seventy-five percent (75%) of the Special Bonus; and (ii) if, after the fourth (4</w:t>
      </w:r>
      <w:r>
        <w:rPr>
          <w:rFonts w:ascii="Arial" w:cs="Arial" w:eastAsia="Arial" w:hAnsi="Arial"/>
          <w:sz w:val="25"/>
          <w:szCs w:val="25"/>
          <w:color w:val="auto"/>
          <w:vertAlign w:val="superscript"/>
        </w:rPr>
        <w:t>th</w:t>
      </w:r>
      <w:r>
        <w:rPr>
          <w:rFonts w:ascii="Arial" w:cs="Arial" w:eastAsia="Arial" w:hAnsi="Arial"/>
          <w:sz w:val="18"/>
          <w:szCs w:val="18"/>
          <w:color w:val="auto"/>
        </w:rPr>
        <w:t>) anniversary but prior to the fifth (5</w:t>
      </w:r>
      <w:r>
        <w:rPr>
          <w:rFonts w:ascii="Arial" w:cs="Arial" w:eastAsia="Arial" w:hAnsi="Arial"/>
          <w:sz w:val="25"/>
          <w:szCs w:val="25"/>
          <w:color w:val="auto"/>
          <w:vertAlign w:val="superscript"/>
        </w:rPr>
        <w:t>th</w:t>
      </w:r>
      <w:r>
        <w:rPr>
          <w:rFonts w:ascii="Arial" w:cs="Arial" w:eastAsia="Arial" w:hAnsi="Arial"/>
          <w:sz w:val="18"/>
          <w:szCs w:val="18"/>
          <w:color w:val="auto"/>
        </w:rPr>
        <w:t>) anniversary of the effective date of the Retention Agreement, Mr. Mason’s employment terminates (other than as a result of (x) a termination without cause by ET or by Mr. Mason for Good Reason; (y) his death; or (z) his permanent disability), he will be obligated to remit and repay fifty percent (50%) of the Special Bonus. Mr. Mason entered into the Retention Agreement on February 24, 2016.</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As discussed in our Compensation Discussion and Analysis above, all amounts under the ET NQDC Plan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credits) are immediately 100% vested. Upon a change of control (as defined in the ET NQDC Plan), distributions from the respective plan would be made in accordance with the normal distribution provisions of the respective plan. A change of control is generally defined in the ET NQDC Plan as any change of control event within the meaning of Treasury Regulation Section 1.409A-3(i)(5).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Section 953(b) of the Dodd-Frank Wall Street Reform and Consumer Protection Act, and Item 402(u) of Regulation S-K, set forth below is information about the relationship of the annual total compensation of Mr. Warren, the Chairman and Chief Executive Officer and the annual total compensation of our employees.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the 2019 calendar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annual total compensation of Mr. Warren, as reported in the Summary Compensation Table of this Item 11 was $6,156; and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2019, the median total compensation of the employees supporting ET (other than Mr. Warren) was $124,622, which amount was updated from the 2017 “median employee.”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this information, for 2019 the ratio of the annual total compensation of Mr. Warren to the median of the annual total compensation of the 8,256 employees supporting ETO as of December 31, 2019 was approximately 1 to 20 as Mr. Warren has voluntarily elected not to accept any salary, bonus or equity incentive compensation (other than a salary of $1.00 per year plus an amount sufficient to cover his allocated employee premium contributions for health and welfare benefits).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 identify the median of the annual total compensation of the employees supporting ETO, the following steps were taken:</w:t>
      </w:r>
    </w:p>
    <w:p>
      <w:pPr>
        <w:spacing w:after="0" w:line="117" w:lineRule="exact"/>
        <w:rPr>
          <w:sz w:val="20"/>
          <w:szCs w:val="20"/>
          <w:color w:val="auto"/>
        </w:rPr>
      </w:pPr>
    </w:p>
    <w:p>
      <w:pPr>
        <w:jc w:val="both"/>
        <w:ind w:left="340" w:hanging="332"/>
        <w:spacing w:after="0" w:line="286" w:lineRule="auto"/>
        <w:tabs>
          <w:tab w:leader="none" w:pos="3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It was determined that, as of December 31, 2019, the applicable employee populations consisted of 8,256 with all of the identified individuals being employed in the United States. This population consisted of all of our full-time and part-time employees. We did not engage any independent contractors in 2018 or 2019 that are required to be included in our employee population for the CEO pay ratio evaluation.</w:t>
      </w:r>
    </w:p>
    <w:p>
      <w:pPr>
        <w:spacing w:after="0" w:line="57"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compared the total earnings of our employees as reflected in our payroll records as reported on Form W-2 for 2017 and, for 2019, updated the compensation of the “median employee” as reflected in our payroll records as reported on form W-2 for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18" w:right="2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340" w:hanging="332"/>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identified our median employee using W-2 reporting and applied this compensation measure consistently to all of our employees required to be included in the calculation. We did not make any cost of living adjustments in identifying the “median employee.”</w:t>
      </w:r>
    </w:p>
    <w:p>
      <w:pPr>
        <w:spacing w:after="0" w:line="62"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Once we identified our median employee, we combined all elements of the employee’s compensation for 2019 resulting in an annual compensation of $124,622. The difference between such employee’s total earnings and the employee’s total compensation represents the estimated value of the employee’s health care benefits (estimated for the employee and such employee’s eligible dependents at $10,989) and the employee’s 401(k) matching contribution and profit sharing contribution (estimated at $6,040 per employee, includes $3,775 per employee on average matching contribution and $2,265 per employee on average profit sharing contribution (employees earning over $175,000 in base are ineligible for profit sharing)).</w:t>
      </w:r>
    </w:p>
    <w:p>
      <w:pPr>
        <w:spacing w:after="0" w:line="50" w:lineRule="exact"/>
        <w:rPr>
          <w:rFonts w:ascii="Arial" w:cs="Arial" w:eastAsia="Arial" w:hAnsi="Arial"/>
          <w:sz w:val="16"/>
          <w:szCs w:val="16"/>
          <w:color w:val="auto"/>
        </w:rPr>
      </w:pPr>
    </w:p>
    <w:p>
      <w:pPr>
        <w:ind w:left="340" w:hanging="332"/>
        <w:spacing w:after="0"/>
        <w:tabs>
          <w:tab w:leader="none" w:pos="3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 respect to Mr. Warren, we used the amount reported in the “Total” column of our 2019 Summary Compensation Table under this Item 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2019, the compensation arrangements for outside directors included a $100,000 annual retainer for services on the board. If a director served on the ET Audit Committee, such director would receive an annual cash retainer ($15,000 or $25,000 in the case of the chairman). If a director served on the ET Compensation Committee, such director would receive an annual cash retainer ($7,500 or $15,000 in the case of the chairman). The fees for membership on the Conflicts Committee are determined on a per instance basis for each committee assignment.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outside directors of our General Partner are also entitled to an annual restricted unit award under the ET Incentive Plans equal to an aggregate of $100,000 divided by the closing price of ET common units on the date of grant. These ET common units will vest 60% after the third year and the remaining 40% after the fifth year after the grant date. The compensation expense recorded is based on the grant-date market value of the ET common units and is recognized over the vesting period. Distributions are paid during the vesting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paid to the non-employee directors of our General Partner in 2019 is reflected in the following table: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Fees Paid in Cash</w:t>
            </w:r>
            <w:r>
              <w:rPr>
                <w:rFonts w:ascii="Arial" w:cs="Arial" w:eastAsia="Arial" w:hAnsi="Arial"/>
                <w:sz w:val="8"/>
                <w:szCs w:val="8"/>
                <w:b w:val="1"/>
                <w:bCs w:val="1"/>
                <w:color w:val="auto"/>
              </w:rPr>
              <w:t>(1)</w:t>
            </w:r>
          </w:p>
        </w:tc>
        <w:tc>
          <w:tcPr>
            <w:tcW w:w="400" w:type="dxa"/>
            <w:vAlign w:val="bottom"/>
          </w:tcPr>
          <w:p>
            <w:pPr>
              <w:spacing w:after="0"/>
              <w:rPr>
                <w:sz w:val="14"/>
                <w:szCs w:val="14"/>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b w:val="1"/>
                <w:bCs w:val="1"/>
                <w:color w:val="auto"/>
              </w:rPr>
              <w:t>Unit Awards</w:t>
            </w:r>
            <w:r>
              <w:rPr>
                <w:rFonts w:ascii="Arial" w:cs="Arial" w:eastAsia="Arial" w:hAnsi="Arial"/>
                <w:sz w:val="8"/>
                <w:szCs w:val="8"/>
                <w:b w:val="1"/>
                <w:bCs w:val="1"/>
                <w:color w:val="auto"/>
              </w:rPr>
              <w:t>(2)</w:t>
            </w:r>
          </w:p>
        </w:tc>
        <w:tc>
          <w:tcPr>
            <w:tcW w:w="196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All Other Compensation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jc w:val="right"/>
              <w:ind w:right="8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Steven R. Anderson</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122,500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99,998</w:t>
            </w:r>
          </w:p>
        </w:tc>
        <w:tc>
          <w:tcPr>
            <w:tcW w:w="100" w:type="dxa"/>
            <w:vAlign w:val="bottom"/>
            <w:shd w:val="clear" w:color="auto" w:fill="CCEEFF"/>
          </w:tcPr>
          <w:p>
            <w:pPr>
              <w:spacing w:after="0"/>
              <w:rPr>
                <w:sz w:val="22"/>
                <w:szCs w:val="22"/>
                <w:color w:val="auto"/>
              </w:rPr>
            </w:pPr>
          </w:p>
        </w:tc>
        <w:tc>
          <w:tcPr>
            <w:tcW w:w="1960" w:type="dxa"/>
            <w:vAlign w:val="bottom"/>
            <w:shd w:val="clear" w:color="auto" w:fill="CCEEFF"/>
          </w:tcPr>
          <w:p>
            <w:pPr>
              <w:jc w:val="right"/>
              <w:ind w:right="178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222,498</w:t>
            </w:r>
          </w:p>
        </w:tc>
        <w:tc>
          <w:tcPr>
            <w:tcW w:w="0" w:type="dxa"/>
            <w:vAlign w:val="bottom"/>
          </w:tcPr>
          <w:p>
            <w:pPr>
              <w:spacing w:after="0"/>
              <w:rPr>
                <w:sz w:val="1"/>
                <w:szCs w:val="1"/>
                <w:color w:val="auto"/>
              </w:rPr>
            </w:pP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Richard D. Brannon</w:t>
            </w:r>
          </w:p>
        </w:tc>
        <w:tc>
          <w:tcPr>
            <w:tcW w:w="340" w:type="dxa"/>
            <w:vAlign w:val="bottom"/>
          </w:tcPr>
          <w:p>
            <w:pPr>
              <w:spacing w:after="0"/>
              <w:rPr>
                <w:sz w:val="22"/>
                <w:szCs w:val="22"/>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99,998</w:t>
            </w: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224,998</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Ray C. Davis</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99,998</w:t>
            </w: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199,998</w:t>
            </w:r>
          </w:p>
        </w:tc>
        <w:tc>
          <w:tcPr>
            <w:tcW w:w="0" w:type="dxa"/>
            <w:vAlign w:val="bottom"/>
          </w:tcPr>
          <w:p>
            <w:pPr>
              <w:spacing w:after="0"/>
              <w:rPr>
                <w:sz w:val="1"/>
                <w:szCs w:val="1"/>
                <w:color w:val="auto"/>
              </w:rPr>
            </w:pPr>
          </w:p>
        </w:tc>
      </w:tr>
      <w:tr>
        <w:trPr>
          <w:trHeight w:val="264"/>
        </w:trPr>
        <w:tc>
          <w:tcPr>
            <w:tcW w:w="1960" w:type="dxa"/>
            <w:vAlign w:val="bottom"/>
            <w:gridSpan w:val="2"/>
          </w:tcPr>
          <w:p>
            <w:pPr>
              <w:ind w:left="40"/>
              <w:spacing w:after="0"/>
              <w:rPr>
                <w:sz w:val="20"/>
                <w:szCs w:val="20"/>
                <w:color w:val="auto"/>
              </w:rPr>
            </w:pPr>
            <w:r>
              <w:rPr>
                <w:rFonts w:ascii="Arial" w:cs="Arial" w:eastAsia="Arial" w:hAnsi="Arial"/>
                <w:sz w:val="14"/>
                <w:szCs w:val="14"/>
                <w:color w:val="auto"/>
              </w:rPr>
              <w:t>Michael K. Grimm</w:t>
            </w:r>
          </w:p>
        </w:tc>
        <w:tc>
          <w:tcPr>
            <w:tcW w:w="340" w:type="dxa"/>
            <w:vAlign w:val="bottom"/>
          </w:tcPr>
          <w:p>
            <w:pPr>
              <w:spacing w:after="0"/>
              <w:rPr>
                <w:sz w:val="22"/>
                <w:szCs w:val="22"/>
                <w:color w:val="auto"/>
              </w:rPr>
            </w:pPr>
          </w:p>
        </w:tc>
        <w:tc>
          <w:tcPr>
            <w:tcW w:w="1960" w:type="dxa"/>
            <w:vAlign w:val="bottom"/>
          </w:tcPr>
          <w:p>
            <w:pPr>
              <w:jc w:val="right"/>
              <w:ind w:right="48"/>
              <w:spacing w:after="0"/>
              <w:rPr>
                <w:sz w:val="20"/>
                <w:szCs w:val="20"/>
                <w:color w:val="auto"/>
              </w:rPr>
            </w:pPr>
            <w:r>
              <w:rPr>
                <w:rFonts w:ascii="Arial" w:cs="Arial" w:eastAsia="Arial" w:hAnsi="Arial"/>
                <w:sz w:val="14"/>
                <w:szCs w:val="14"/>
                <w:color w:val="auto"/>
              </w:rPr>
              <w:t>130,000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color w:val="auto"/>
              </w:rPr>
              <w:t>99,998</w:t>
            </w:r>
          </w:p>
        </w:tc>
        <w:tc>
          <w:tcPr>
            <w:tcW w:w="1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2"/>
                <w:szCs w:val="22"/>
                <w:color w:val="auto"/>
              </w:rPr>
            </w:pPr>
          </w:p>
        </w:tc>
        <w:tc>
          <w:tcPr>
            <w:tcW w:w="1720" w:type="dxa"/>
            <w:vAlign w:val="bottom"/>
          </w:tcPr>
          <w:p>
            <w:pPr>
              <w:jc w:val="right"/>
              <w:ind w:right="28"/>
              <w:spacing w:after="0"/>
              <w:rPr>
                <w:sz w:val="20"/>
                <w:szCs w:val="20"/>
                <w:color w:val="auto"/>
              </w:rPr>
            </w:pPr>
            <w:r>
              <w:rPr>
                <w:rFonts w:ascii="Arial" w:cs="Arial" w:eastAsia="Arial" w:hAnsi="Arial"/>
                <w:sz w:val="14"/>
                <w:szCs w:val="14"/>
                <w:color w:val="auto"/>
              </w:rPr>
              <w:t>229,998</w:t>
            </w:r>
          </w:p>
        </w:tc>
        <w:tc>
          <w:tcPr>
            <w:tcW w:w="0" w:type="dxa"/>
            <w:vAlign w:val="bottom"/>
          </w:tcPr>
          <w:p>
            <w:pPr>
              <w:spacing w:after="0"/>
              <w:rPr>
                <w:sz w:val="1"/>
                <w:szCs w:val="1"/>
                <w:color w:val="auto"/>
              </w:rPr>
            </w:pPr>
          </w:p>
        </w:tc>
      </w:tr>
      <w:tr>
        <w:trPr>
          <w:trHeight w:val="27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Ray W. Washburne </w:t>
            </w:r>
            <w:r>
              <w:rPr>
                <w:rFonts w:ascii="Arial" w:cs="Arial" w:eastAsia="Arial" w:hAnsi="Arial"/>
                <w:sz w:val="8"/>
                <w:szCs w:val="8"/>
                <w:color w:val="auto"/>
              </w:rPr>
              <w:t>(3)</w:t>
            </w: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48,756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33,125</w:t>
            </w:r>
          </w:p>
        </w:tc>
        <w:tc>
          <w:tcPr>
            <w:tcW w:w="10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81,881</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Fees paid in cash are based on amounts paid during the period.</w:t>
      </w:r>
    </w:p>
    <w:p>
      <w:pPr>
        <w:spacing w:after="0" w:line="125"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25"/>
        </w:numPr>
        <w:rPr>
          <w:rFonts w:ascii="Arial" w:cs="Arial" w:eastAsia="Arial" w:hAnsi="Arial"/>
          <w:sz w:val="22"/>
          <w:szCs w:val="22"/>
          <w:color w:val="auto"/>
          <w:vertAlign w:val="superscript"/>
        </w:rPr>
      </w:pPr>
      <w:r>
        <w:rPr>
          <w:rFonts w:ascii="Arial" w:cs="Arial" w:eastAsia="Arial" w:hAnsi="Arial"/>
          <w:sz w:val="16"/>
          <w:szCs w:val="16"/>
          <w:color w:val="auto"/>
        </w:rPr>
        <w:t>Unit award amounts reflect the aggregate grant date fair value of awards granted based on the market price of ET common units as of the grant date.</w:t>
      </w:r>
    </w:p>
    <w:p>
      <w:pPr>
        <w:spacing w:after="0" w:line="98" w:lineRule="exact"/>
        <w:rPr>
          <w:rFonts w:ascii="Arial" w:cs="Arial" w:eastAsia="Arial" w:hAnsi="Arial"/>
          <w:sz w:val="22"/>
          <w:szCs w:val="22"/>
          <w:color w:val="auto"/>
          <w:vertAlign w:val="superscript"/>
        </w:rPr>
      </w:pPr>
    </w:p>
    <w:p>
      <w:pPr>
        <w:ind w:left="340" w:hanging="332"/>
        <w:spacing w:after="0" w:line="233" w:lineRule="auto"/>
        <w:tabs>
          <w:tab w:leader="none" w:pos="340" w:val="left"/>
        </w:tabs>
        <w:numPr>
          <w:ilvl w:val="0"/>
          <w:numId w:val="125"/>
        </w:numPr>
        <w:rPr>
          <w:rFonts w:ascii="Arial" w:cs="Arial" w:eastAsia="Arial" w:hAnsi="Arial"/>
          <w:sz w:val="25"/>
          <w:szCs w:val="25"/>
          <w:color w:val="auto"/>
          <w:vertAlign w:val="superscript"/>
        </w:rPr>
      </w:pPr>
      <w:r>
        <w:rPr>
          <w:rFonts w:ascii="Arial" w:cs="Arial" w:eastAsia="Arial" w:hAnsi="Arial"/>
          <w:sz w:val="18"/>
          <w:szCs w:val="18"/>
          <w:color w:val="auto"/>
        </w:rPr>
        <w:t>Mr. Washburne was appointed as a director of our General Partner on April 16, 2019.</w:t>
      </w:r>
    </w:p>
    <w:p>
      <w:pPr>
        <w:spacing w:after="0" w:line="148"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As of December 31, 2019, Mr. Anderson had 10,047 unvested ET restricted units outstanding, Mr. Brannon had 19,400 unvested ET restricted units outstanding, Mr. Davis had 10,047 unvested ET restricted units outstanding, Mr. Grimm had 23,136 unvested ET restricted units outstanding and Mr. Washburne had 2,500 unvested ET restricted units outstanding.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18" w:right="2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 tabular format, a summary of our equity plan information as of December 31, 2019:</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Number of securities</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 to</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Weighted-average</w:t>
            </w:r>
          </w:p>
        </w:tc>
        <w:tc>
          <w:tcPr>
            <w:tcW w:w="2480" w:type="dxa"/>
            <w:vAlign w:val="bottom"/>
          </w:tcPr>
          <w:p>
            <w:pPr>
              <w:jc w:val="center"/>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be issued upon exercise</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 of</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outstanding options,</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outstanding options,</w:t>
            </w: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warrants and rights</w:t>
            </w: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30"/>
        </w:trPr>
        <w:tc>
          <w:tcPr>
            <w:tcW w:w="4340" w:type="dxa"/>
            <w:vAlign w:val="bottom"/>
            <w:gridSpan w:val="2"/>
          </w:tcPr>
          <w:p>
            <w:pPr>
              <w:ind w:left="1600"/>
              <w:spacing w:after="0"/>
              <w:rPr>
                <w:sz w:val="20"/>
                <w:szCs w:val="20"/>
                <w:color w:val="auto"/>
              </w:rPr>
            </w:pPr>
            <w:r>
              <w:rPr>
                <w:rFonts w:ascii="Arial" w:cs="Arial" w:eastAsia="Arial" w:hAnsi="Arial"/>
                <w:sz w:val="18"/>
                <w:szCs w:val="18"/>
                <w:color w:val="auto"/>
              </w:rPr>
              <w:t>Plan Category</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20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(b)</w:t>
            </w:r>
          </w:p>
        </w:tc>
        <w:tc>
          <w:tcPr>
            <w:tcW w:w="248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4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Equity compensation plans approved by security holders</w:t>
            </w:r>
          </w:p>
        </w:tc>
        <w:tc>
          <w:tcPr>
            <w:tcW w:w="2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34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30"/>
        </w:trPr>
        <w:tc>
          <w:tcPr>
            <w:tcW w:w="434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19,256,727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6,511,947</w:t>
            </w:r>
          </w:p>
        </w:tc>
      </w:tr>
      <w:tr>
        <w:trPr>
          <w:trHeight w:val="27"/>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19,256,727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6,511,947</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Transfer LP Units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certain information as of February 14, 2020, regarding the beneficial ownership of our voting securities by (i) certain beneficial owners of more than 5% of our Common Units, (ii) each director and named executive officer of our General Partner and (iii) all current directors and executive officers of our General Partner as a group. The General Partner knows of no other person not disclosed herein who beneficially owns more than 5% of our Common Units.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gridSpan w:val="2"/>
          </w:tcPr>
          <w:p>
            <w:pPr>
              <w:ind w:left="3200"/>
              <w:spacing w:after="0"/>
              <w:rPr>
                <w:sz w:val="20"/>
                <w:szCs w:val="20"/>
                <w:color w:val="auto"/>
              </w:rPr>
            </w:pPr>
            <w:r>
              <w:rPr>
                <w:rFonts w:ascii="Arial" w:cs="Arial" w:eastAsia="Arial" w:hAnsi="Arial"/>
                <w:sz w:val="18"/>
                <w:szCs w:val="18"/>
                <w:color w:val="auto"/>
              </w:rPr>
              <w:t>Name and Address of</w:t>
            </w: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Beneficially</w:t>
            </w:r>
          </w:p>
        </w:tc>
        <w:tc>
          <w:tcPr>
            <w:tcW w:w="1660" w:type="dxa"/>
            <w:vAlign w:val="bottom"/>
          </w:tcPr>
          <w:p>
            <w:pPr>
              <w:spacing w:after="0"/>
              <w:rPr>
                <w:sz w:val="18"/>
                <w:szCs w:val="18"/>
                <w:color w:val="auto"/>
              </w:rPr>
            </w:pPr>
          </w:p>
        </w:tc>
      </w:tr>
      <w:tr>
        <w:trPr>
          <w:trHeight w:val="271"/>
        </w:trPr>
        <w:tc>
          <w:tcPr>
            <w:tcW w:w="7960" w:type="dxa"/>
            <w:vAlign w:val="bottom"/>
            <w:tcBorders>
              <w:bottom w:val="single" w:sz="8" w:color="auto"/>
            </w:tcBorders>
          </w:tcPr>
          <w:p>
            <w:pPr>
              <w:ind w:left="3260"/>
              <w:spacing w:after="0" w:line="271" w:lineRule="exact"/>
              <w:rPr>
                <w:sz w:val="20"/>
                <w:szCs w:val="20"/>
                <w:color w:val="auto"/>
              </w:rPr>
            </w:pPr>
            <w:r>
              <w:rPr>
                <w:rFonts w:ascii="Arial" w:cs="Arial" w:eastAsia="Arial" w:hAnsi="Arial"/>
                <w:sz w:val="18"/>
                <w:szCs w:val="18"/>
                <w:color w:val="auto"/>
              </w:rPr>
              <w:t xml:space="preserve">Beneficial Owner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350"/>
              <w:spacing w:after="0" w:line="271" w:lineRule="exact"/>
              <w:rPr>
                <w:sz w:val="20"/>
                <w:szCs w:val="20"/>
                <w:color w:val="auto"/>
              </w:rPr>
            </w:pPr>
            <w:r>
              <w:rPr>
                <w:rFonts w:ascii="Arial" w:cs="Arial" w:eastAsia="Arial" w:hAnsi="Arial"/>
                <w:sz w:val="18"/>
                <w:szCs w:val="18"/>
                <w:color w:val="auto"/>
              </w:rPr>
              <w:t xml:space="preserve">Owned </w:t>
            </w:r>
            <w:r>
              <w:rPr>
                <w:rFonts w:ascii="Arial" w:cs="Arial" w:eastAsia="Arial" w:hAnsi="Arial"/>
                <w:sz w:val="25"/>
                <w:szCs w:val="25"/>
                <w:color w:val="auto"/>
                <w:vertAlign w:val="superscript"/>
              </w:rPr>
              <w:t>(2)</w:t>
            </w:r>
          </w:p>
        </w:tc>
        <w:tc>
          <w:tcPr>
            <w:tcW w:w="10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Percent of Class</w:t>
            </w:r>
          </w:p>
        </w:tc>
      </w:tr>
      <w:tr>
        <w:trPr>
          <w:trHeight w:val="264"/>
        </w:trPr>
        <w:tc>
          <w:tcPr>
            <w:tcW w:w="80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Kelcy L. Warren </w:t>
            </w:r>
            <w:r>
              <w:rPr>
                <w:rFonts w:ascii="Arial" w:cs="Arial" w:eastAsia="Arial" w:hAnsi="Arial"/>
                <w:sz w:val="25"/>
                <w:szCs w:val="25"/>
                <w:color w:val="auto"/>
                <w:vertAlign w:val="superscript"/>
              </w:rPr>
              <w:t>(3)</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252,037,063</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80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Ray C. Davis </w:t>
            </w:r>
            <w:r>
              <w:rPr>
                <w:rFonts w:ascii="Arial" w:cs="Arial" w:eastAsia="Arial" w:hAnsi="Arial"/>
                <w:sz w:val="25"/>
                <w:szCs w:val="25"/>
                <w:color w:val="auto"/>
                <w:vertAlign w:val="superscript"/>
              </w:rPr>
              <w:t>(4)</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87,891,686</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80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John W. McReynolds </w:t>
            </w:r>
            <w:r>
              <w:rPr>
                <w:rFonts w:ascii="Arial" w:cs="Arial" w:eastAsia="Arial" w:hAnsi="Arial"/>
                <w:sz w:val="25"/>
                <w:szCs w:val="25"/>
                <w:color w:val="auto"/>
                <w:vertAlign w:val="superscript"/>
              </w:rPr>
              <w:t>(5)</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30,225,200</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Thomas E. Long</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221,560</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Marshall S. (Mackie) McCrea, III</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2,087,848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Matthew S. Ramsey</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258,213</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P. Mason</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598,760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gridSpan w:val="2"/>
          </w:tcPr>
          <w:p>
            <w:pPr>
              <w:ind w:left="40"/>
              <w:spacing w:after="0"/>
              <w:rPr>
                <w:sz w:val="20"/>
                <w:szCs w:val="20"/>
                <w:color w:val="auto"/>
              </w:rPr>
            </w:pPr>
            <w:r>
              <w:rPr>
                <w:rFonts w:ascii="Arial" w:cs="Arial" w:eastAsia="Arial" w:hAnsi="Arial"/>
                <w:sz w:val="18"/>
                <w:szCs w:val="18"/>
                <w:color w:val="auto"/>
              </w:rPr>
              <w:t>Richard D. Brannon</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292,102</w:t>
            </w:r>
          </w:p>
        </w:tc>
        <w:tc>
          <w:tcPr>
            <w:tcW w:w="10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80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Steven R. Anderson </w:t>
            </w:r>
            <w:r>
              <w:rPr>
                <w:rFonts w:ascii="Arial" w:cs="Arial" w:eastAsia="Arial" w:hAnsi="Arial"/>
                <w:sz w:val="25"/>
                <w:szCs w:val="25"/>
                <w:color w:val="auto"/>
                <w:vertAlign w:val="superscript"/>
              </w:rPr>
              <w:t>(6)</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1,544,598</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Michael K. Grimm </w:t>
            </w:r>
            <w:r>
              <w:rPr>
                <w:rFonts w:ascii="Arial" w:cs="Arial" w:eastAsia="Arial" w:hAnsi="Arial"/>
                <w:sz w:val="25"/>
                <w:szCs w:val="25"/>
                <w:color w:val="auto"/>
                <w:vertAlign w:val="superscript"/>
              </w:rPr>
              <w:t>(7)</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110,639</w:t>
            </w:r>
          </w:p>
        </w:tc>
        <w:tc>
          <w:tcPr>
            <w:tcW w:w="100" w:type="dxa"/>
            <w:vAlign w:val="bottom"/>
          </w:tcPr>
          <w:p>
            <w:pPr>
              <w:spacing w:after="0"/>
              <w:rPr>
                <w:sz w:val="23"/>
                <w:szCs w:val="23"/>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R. Perry</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80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Ray W. Washburne </w:t>
            </w:r>
            <w:r>
              <w:rPr>
                <w:rFonts w:ascii="Arial" w:cs="Arial" w:eastAsia="Arial" w:hAnsi="Arial"/>
                <w:sz w:val="25"/>
                <w:szCs w:val="25"/>
                <w:color w:val="auto"/>
                <w:vertAlign w:val="superscript"/>
              </w:rPr>
              <w:t>(8)</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23"/>
                <w:szCs w:val="23"/>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Executive Officers as a group (13 persons)</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375,317,978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808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94" w:lineRule="exact"/>
        <w:rPr>
          <w:sz w:val="20"/>
          <w:szCs w:val="20"/>
          <w:color w:val="auto"/>
        </w:rPr>
      </w:pPr>
    </w:p>
    <w:p>
      <w:pPr>
        <w:ind w:left="340" w:hanging="332"/>
        <w:spacing w:after="0" w:line="216" w:lineRule="auto"/>
        <w:tabs>
          <w:tab w:leader="none" w:pos="34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The address for Mr. Davis is 5950 Sherry Lane, Dallas, Texas 75225. The address for all other listed beneficial owners is 8111 Westchester Drive, Suite 600, Dallas, Texas 75225.</w:t>
      </w:r>
    </w:p>
    <w:p>
      <w:pPr>
        <w:spacing w:after="0" w:line="95" w:lineRule="exact"/>
        <w:rPr>
          <w:rFonts w:ascii="Arial" w:cs="Arial" w:eastAsia="Arial" w:hAnsi="Arial"/>
          <w:sz w:val="25"/>
          <w:szCs w:val="25"/>
          <w:color w:val="auto"/>
          <w:vertAlign w:val="superscript"/>
        </w:rPr>
      </w:pPr>
    </w:p>
    <w:p>
      <w:pPr>
        <w:jc w:val="both"/>
        <w:ind w:left="340" w:hanging="332"/>
        <w:spacing w:after="0" w:line="235" w:lineRule="auto"/>
        <w:tabs>
          <w:tab w:leader="none" w:pos="34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Beneficial ownership for the purposes of this table is defined by Rule 13d-3 under the Exchange Act of 1934. Under that rule, a person is generally considered to be the beneficial owner of a security if he has or shares the power to vote or direct the voting thereof or to dispose or direct the disposition thereof or has the right to acquire either of those powers within sixty days. The nature of beneficial ownership for all listed persons is direct with sole investment and disposition power unless otherwise noted. The beneficial ownership of each listed person is based on 2,689,897,793 Common Units outstanding in the aggregate as of February 14, 2020.</w:t>
      </w:r>
    </w:p>
    <w:p>
      <w:pPr>
        <w:spacing w:after="0" w:line="96"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126"/>
        </w:numPr>
        <w:rPr>
          <w:rFonts w:ascii="Arial" w:cs="Arial" w:eastAsia="Arial" w:hAnsi="Arial"/>
          <w:sz w:val="25"/>
          <w:szCs w:val="25"/>
          <w:color w:val="auto"/>
          <w:vertAlign w:val="superscript"/>
        </w:rPr>
      </w:pPr>
      <w:r>
        <w:rPr>
          <w:rFonts w:ascii="Arial" w:cs="Arial" w:eastAsia="Arial" w:hAnsi="Arial"/>
          <w:sz w:val="18"/>
          <w:szCs w:val="18"/>
          <w:color w:val="auto"/>
        </w:rPr>
        <w:t>Includes 102,693,765 Common Units held by Kelcy Warren Partners, L.P. and 10,244,429 Common Units held by Kelcy Warren Partners II, L.P., the general partners of which are owned by Mr. Warren. Also includes 96,043,757 Common Units</w:t>
      </w:r>
    </w:p>
    <w:p>
      <w:pPr>
        <w:sectPr>
          <w:pgSz w:w="11900" w:h="16838" w:orient="portrait"/>
          <w:cols w:equalWidth="0" w:num="1">
            <w:col w:w="11420"/>
          </w:cols>
          <w:pgMar w:left="240" w:top="118"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1420"/>
          </w:cols>
          <w:pgMar w:left="240" w:top="118" w:right="239" w:bottom="1440" w:gutter="0" w:footer="0" w:header="0"/>
          <w:type w:val="continuous"/>
        </w:sectPr>
      </w:pPr>
    </w:p>
    <w:bookmarkStart w:id="157" w:name="page158"/>
    <w:bookmarkEnd w:id="1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held by Seven Bridges Holdings, LLC, of which Mr. Warren is a member. Also includes 328,383 Common Units attributable to the interest of Mr. Warren in ET Company Ltd and Three Dawaco, Inc., over which Mr. Warren exercises shared voting and dispositive power with Ray Davis. Also includes 601,076 Common Units held by LE GP, LLC. Mr. Warren may be deemed to own Common Units held by LE GP, LLC due to his ownership of 81.2% of its member interests. The voting and disposition of these Common Units is directly controlled by the board of directors of LE GP, LLC. Mr. Warren disclaims beneficial ownership of Common Units owned by LE GP, LLC other than to the extent of his interest in such entity. Also includes 104,166 Common Units held by Mr. Warren’s spouse.</w:t>
      </w:r>
    </w:p>
    <w:p>
      <w:pPr>
        <w:spacing w:after="0" w:line="85" w:lineRule="exact"/>
        <w:rPr>
          <w:sz w:val="20"/>
          <w:szCs w:val="20"/>
          <w:color w:val="auto"/>
        </w:rPr>
      </w:pPr>
    </w:p>
    <w:p>
      <w:pPr>
        <w:jc w:val="both"/>
        <w:ind w:left="340" w:hanging="332"/>
        <w:spacing w:after="0" w:line="239" w:lineRule="auto"/>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Includes 51,701 Common Units held by Avatar Holdings LLC, 1,941,721 Common Units held by Avatar BW, Ltd., 28,203,003 Common Units held by Avatar ETC Stock Holdings LLC, 3,557,757 Common Units held by Avatar Investments LP, 121,117 Common Units held by Avatar Stock Holdings, LP and 1,112,069 Common Units held by RCD Stock Holdings, LLC, all of which entities are owned or controlled by Mr. Davis. Also includes 15,987,283 Common Units held by a remainder trust for Mr. Davis’ spouse and 9,536,054 Common Units held by two trusts for the benefit of Mr. Davis’ grandchildren, for which Mr. Davis serves as trustee. Mr. Davis shares voting and dispositive power with his wife with respect to Common Units held directly. Also includes 328,383 Common Units attributable to ET Company Ltd. Mr. Davis is a former executive officer and director of ETO and is currently a director of the general partner of ET, LE GP, LLC.</w:t>
      </w:r>
    </w:p>
    <w:p>
      <w:pPr>
        <w:spacing w:after="0" w:line="97" w:lineRule="exact"/>
        <w:rPr>
          <w:rFonts w:ascii="Arial" w:cs="Arial" w:eastAsia="Arial" w:hAnsi="Arial"/>
          <w:sz w:val="25"/>
          <w:szCs w:val="25"/>
          <w:color w:val="auto"/>
          <w:vertAlign w:val="superscript"/>
        </w:rPr>
      </w:pPr>
    </w:p>
    <w:p>
      <w:pPr>
        <w:jc w:val="both"/>
        <w:ind w:left="340" w:hanging="332"/>
        <w:spacing w:after="0" w:line="226" w:lineRule="auto"/>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Includes 17,445,608 Common Units held by McReynolds Energy Partners L.P. and 12,142,593 Common Units held by McReynolds Equity Partners L.P., the general partners of which are owned by Mr. McReynolds. Mr. McReynolds disclaims beneficial ownership of Common Units owned by such limited partnerships other than to the extent of his interest in such entities.</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Includes 1,544,558 held by Steven R. Anderson Revocable Trust, for which Mr. Anderson serves as trustee.</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Includes 6,660 Units held by two trusts for the benefit of Mr. Grimm’s children, for which Mr. Grimm serves as trustee.</w:t>
      </w:r>
    </w:p>
    <w:p>
      <w:pPr>
        <w:spacing w:after="0" w:line="98" w:lineRule="exact"/>
        <w:rPr>
          <w:rFonts w:ascii="Arial" w:cs="Arial" w:eastAsia="Arial" w:hAnsi="Arial"/>
          <w:sz w:val="25"/>
          <w:szCs w:val="25"/>
          <w:color w:val="auto"/>
          <w:vertAlign w:val="superscript"/>
        </w:rPr>
      </w:pPr>
    </w:p>
    <w:p>
      <w:pPr>
        <w:ind w:left="340" w:hanging="332"/>
        <w:spacing w:after="0" w:line="188" w:lineRule="auto"/>
        <w:tabs>
          <w:tab w:leader="none" w:pos="340" w:val="left"/>
        </w:tabs>
        <w:numPr>
          <w:ilvl w:val="0"/>
          <w:numId w:val="127"/>
        </w:numPr>
        <w:rPr>
          <w:rFonts w:ascii="Arial" w:cs="Arial" w:eastAsia="Arial" w:hAnsi="Arial"/>
          <w:sz w:val="25"/>
          <w:szCs w:val="25"/>
          <w:color w:val="auto"/>
          <w:vertAlign w:val="superscript"/>
        </w:rPr>
      </w:pPr>
      <w:r>
        <w:rPr>
          <w:rFonts w:ascii="Arial" w:cs="Arial" w:eastAsia="Arial" w:hAnsi="Arial"/>
          <w:sz w:val="18"/>
          <w:szCs w:val="18"/>
          <w:color w:val="auto"/>
        </w:rPr>
        <w:t>Includes 2,090 held by Mr. Washburne’s wife.</w:t>
      </w:r>
    </w:p>
    <w:p>
      <w:pPr>
        <w:spacing w:after="0" w:line="148"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In connection with the Parent Company Credit Agreement, ET and certain of its subsidiaries entered into a Pledge and Security Agreement (the “Security Agreement”) with Credit Suisse AG, Cayman Islands Branch, as collateral agent (the “Collateral Agent”). The Security Agreement secures all of ET’s obligations under the Parent Company Credit Agreement and grants to the Collateral Agent a continuing first priority lien on, and security interest in, all of ET’s and the other grantors’ tangible and intangible assets.</w:t>
      </w:r>
    </w:p>
    <w:p>
      <w:pPr>
        <w:spacing w:after="0" w:line="129" w:lineRule="exact"/>
        <w:rPr>
          <w:sz w:val="20"/>
          <w:szCs w:val="20"/>
          <w:color w:val="auto"/>
        </w:rPr>
      </w:pPr>
    </w:p>
    <w:p>
      <w:pPr>
        <w:ind w:right="1240" w:firstLine="1230"/>
        <w:spacing w:after="0" w:line="466" w:lineRule="auto"/>
        <w:rPr>
          <w:sz w:val="20"/>
          <w:szCs w:val="20"/>
          <w:color w:val="auto"/>
        </w:rPr>
      </w:pPr>
      <w:r>
        <w:rPr>
          <w:rFonts w:ascii="Arial" w:cs="Arial" w:eastAsia="Arial" w:hAnsi="Arial"/>
          <w:sz w:val="17"/>
          <w:szCs w:val="17"/>
          <w:b w:val="1"/>
          <w:bCs w:val="1"/>
          <w:color w:val="auto"/>
        </w:rPr>
        <w:t xml:space="preserve">ITEM 13. CERTAIN RELATIONSHIPS AND RELATED TRANSACTIONS, AND DIRECTOR INDEPENDENCE </w:t>
      </w:r>
      <w:r>
        <w:rPr>
          <w:rFonts w:ascii="Arial" w:cs="Arial" w:eastAsia="Arial" w:hAnsi="Arial"/>
          <w:sz w:val="17"/>
          <w:szCs w:val="17"/>
          <w:color w:val="auto"/>
        </w:rPr>
        <w:t>As of December 31, 2019, our interests in ETO consisted of 100% of the general partner interests and 2,453,230,799 ETO common units.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Parent Company’s principal sources of cash flow are derived from its direct and indirect investments in the limited partner and general partner interests in ETO, Sunoco LP and USAC, all of which are limited partnerships engaged in diversified energy-related services, and cash flows from the operations of Lake Charles LNG.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McCrea and Mr. Ramsey, current directors of LE GP, LLC, our general partner, are also directors and executive officers of ETO’s general partner. In addition, Mr. Warren, our Chief Executive Officer and Chairman of our Board of Directors, is also the Chairman and Chief Executive Officer of ETO’s general partner.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director independence, see Item 10. “Directors, Executive Officers and Corporate Governance.”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policy matter, our Conflicts Committee generally reviews any proposed related party transaction that may be material to the Partnership to determine whether the transaction is fair and reasonable to the Partnership. The Partnership’s board of directors makes the determinations as to whether there exists a related party transaction in the normal course of reviewing transactions for approval as the Partnership’s board of directors is advised by its management of the parties involved in each material transaction as to which the board of directors’ approval is sought by the Partnership’s management. In addition, the Partnership’s board of directors makes inquiries to independently ascertain whether related parties may have an interest in the proposed transaction. While there are no written policies or procedures for the board of directors to follow in making these determinations, the Partnership’s board makes those determinations in light of its contractually-limited fiduciary duties to the Unitholders. The partnership agreement of ET provides that any matter approved by the Conflicts Committee will be conclusively deemed to be fair and reasonable to ET, approved by all the partners of ET and not a breach by the General Partner or its Board of Directors of any duties they may owe ET or the Unitholders (see “Risks Related to Conflicts of Interest” in “Item 1A. Risk Factors” in this annual report).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Parent Company has agreements with subsidiaries to provide or receive various general and administrative services. The Parent Company pays ETO to provide services on its behalf and the behalf of other subsidiaries of the Parent Company.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118" w:right="2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Parent Company receives management fees from certain of its subsidiaries, which include the reimbursement of various general and administrative services for expenses incurred by ETO on behalf of those subsidiaries. All such amounts have been eliminated in our consolidated financial statements.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The following sets forth fees billed by Grant Thornton LLP for the audit of our annual financial statements and other services rendered (dollars in millions):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2600" w:type="dxa"/>
            <w:vAlign w:val="bottom"/>
            <w:gridSpan w:val="4"/>
          </w:tcPr>
          <w:p>
            <w:pPr>
              <w:ind w:left="580"/>
              <w:spacing w:after="0"/>
              <w:rPr>
                <w:sz w:val="20"/>
                <w:szCs w:val="20"/>
                <w:color w:val="auto"/>
              </w:rPr>
            </w:pPr>
            <w:r>
              <w:rPr>
                <w:rFonts w:ascii="Arial" w:cs="Arial" w:eastAsia="Arial" w:hAnsi="Arial"/>
                <w:sz w:val="18"/>
                <w:szCs w:val="18"/>
                <w:color w:val="auto"/>
                <w:w w:val="90"/>
              </w:rPr>
              <w:t>Years Ended December 31,</w:t>
            </w:r>
          </w:p>
        </w:tc>
        <w:tc>
          <w:tcPr>
            <w:tcW w:w="48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99"/>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(2)</w:t>
            </w:r>
          </w:p>
        </w:tc>
        <w:tc>
          <w:tcPr>
            <w:tcW w:w="10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hanging="332"/>
        <w:spacing w:after="0" w:line="226" w:lineRule="auto"/>
        <w:tabs>
          <w:tab w:leader="none" w:pos="34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Includes fees for audits of annual financial statements of our companies, reviews of the related quarterly financial statements, and services that are normally provided by the independent accountants in connection with statutory and regulatory filings or engagements, including reviews of documents filed with the SEC and services related to the audit of our internal control over financial reporting.</w:t>
      </w:r>
    </w:p>
    <w:p>
      <w:pPr>
        <w:spacing w:after="0" w:line="38"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28"/>
        </w:numPr>
        <w:rPr>
          <w:rFonts w:ascii="Arial" w:cs="Arial" w:eastAsia="Arial" w:hAnsi="Arial"/>
          <w:sz w:val="25"/>
          <w:szCs w:val="25"/>
          <w:color w:val="auto"/>
          <w:vertAlign w:val="superscript"/>
        </w:rPr>
      </w:pPr>
      <w:r>
        <w:rPr>
          <w:rFonts w:ascii="Arial" w:cs="Arial" w:eastAsia="Arial" w:hAnsi="Arial"/>
          <w:sz w:val="18"/>
          <w:szCs w:val="18"/>
          <w:color w:val="auto"/>
        </w:rPr>
        <w:t>Includes fees in 2018 related to state and local tax consultation.</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the charter of the Audit Committee, the Audit Committee is responsible for the oversight of our accounting, reporting and financial practices. The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The Audit Committee also oversees and directs our internal auditing program and reviews our internal controls.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has adopted a policy for the pre-approval of audit and permitted non-audit services provided by our principal independent accountants. The policy requires that all services provided by Grant Thornton LLP including audit services, audit-related services, tax services and other services, must be pre-approved by the Audit Committee. All fees paid or expected to be paid to Grant Thornton LLP for fiscal years 2019 and 2018 were pre-approved by the Audit Committee in accordance with this policy.</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Audit Committee reviews the external auditors’ proposed scope and approach as well as the performance of the external auditors. It also has direct responsibility for and sole authority to resolve any disagreements between our management and our external auditors regarding financial reporting, regularly reviews with the external auditors any problems or difficulties the auditors encountered in the course of their audit work, and, at least annually, uses its reasonable efforts to obtain and review a report from the external auditors addressing the following (among other items):</w:t>
      </w:r>
    </w:p>
    <w:p>
      <w:pPr>
        <w:spacing w:after="0" w:line="117" w:lineRule="exact"/>
        <w:rPr>
          <w:sz w:val="20"/>
          <w:szCs w:val="20"/>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auditors’ internal quality-control procedures;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external auditors;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independence of the external auditors;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aggregate fees billed by our external auditors for each of the previous two years;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rotation of the lead partner.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118" w:right="2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u w:val="single" w:color="auto"/>
          <w:color w:val="auto"/>
        </w:rPr>
        <w:t>PART IV</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80" w:type="dxa"/>
            <w:vAlign w:val="bottom"/>
            <w:gridSpan w:val="2"/>
          </w:tcPr>
          <w:p>
            <w:pPr>
              <w:spacing w:after="0"/>
              <w:rPr>
                <w:sz w:val="20"/>
                <w:szCs w:val="20"/>
                <w:color w:val="auto"/>
              </w:rPr>
            </w:pPr>
            <w:r>
              <w:rPr>
                <w:rFonts w:ascii="Arial" w:cs="Arial" w:eastAsia="Arial" w:hAnsi="Arial"/>
                <w:sz w:val="18"/>
                <w:szCs w:val="18"/>
                <w:color w:val="auto"/>
              </w:rPr>
              <w:t>The following documents are filed as a part of this Report</w:t>
            </w:r>
            <w:r>
              <w:rPr>
                <w:rFonts w:ascii="Arial" w:cs="Arial" w:eastAsia="Arial" w:hAnsi="Arial"/>
                <w:sz w:val="18"/>
                <w:szCs w:val="18"/>
                <w:b w:val="1"/>
                <w:bCs w:val="1"/>
                <w:color w:val="auto"/>
              </w:rPr>
              <w:t>:</w:t>
            </w:r>
          </w:p>
        </w:tc>
        <w:tc>
          <w:tcPr>
            <w:tcW w:w="5580" w:type="dxa"/>
            <w:vAlign w:val="bottom"/>
          </w:tcPr>
          <w:p>
            <w:pPr>
              <w:spacing w:after="0"/>
              <w:rPr>
                <w:sz w:val="17"/>
                <w:szCs w:val="17"/>
                <w:color w:val="auto"/>
              </w:rPr>
            </w:pPr>
          </w:p>
        </w:tc>
        <w:tc>
          <w:tcPr>
            <w:tcW w:w="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480"/>
        </w:trPr>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4500" w:type="dxa"/>
            <w:vAlign w:val="bottom"/>
          </w:tcPr>
          <w:p>
            <w:pPr>
              <w:ind w:left="20"/>
              <w:spacing w:after="0"/>
              <w:rPr>
                <w:sz w:val="20"/>
                <w:szCs w:val="20"/>
                <w:color w:val="auto"/>
              </w:rPr>
            </w:pPr>
            <w:r>
              <w:rPr>
                <w:rFonts w:ascii="Arial" w:cs="Arial" w:eastAsia="Arial" w:hAnsi="Arial"/>
                <w:sz w:val="18"/>
                <w:szCs w:val="18"/>
                <w:color w:val="auto"/>
                <w:w w:val="97"/>
              </w:rPr>
              <w:t>Financial Statements – see Index to Financial Statements</w:t>
            </w:r>
          </w:p>
        </w:tc>
        <w:tc>
          <w:tcPr>
            <w:tcW w:w="5580" w:type="dxa"/>
            <w:vAlign w:val="bottom"/>
          </w:tcPr>
          <w:p>
            <w:pPr>
              <w:spacing w:after="0"/>
              <w:rPr>
                <w:sz w:val="24"/>
                <w:szCs w:val="24"/>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91"/>
              </w:rPr>
            </w:pPr>
            <w:hyperlink w:anchor="page167">
              <w:r>
                <w:rPr>
                  <w:rFonts w:ascii="Arial" w:cs="Arial" w:eastAsia="Arial" w:hAnsi="Arial"/>
                  <w:sz w:val="18"/>
                  <w:szCs w:val="18"/>
                  <w:color w:val="0000EE"/>
                  <w:w w:val="91"/>
                </w:rPr>
                <w:t>F - 1</w:t>
              </w:r>
            </w:hyperlink>
          </w:p>
        </w:tc>
      </w:tr>
      <w:tr>
        <w:trPr>
          <w:trHeight w:val="520"/>
        </w:trPr>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4500" w:type="dxa"/>
            <w:vAlign w:val="bottom"/>
          </w:tcPr>
          <w:p>
            <w:pPr>
              <w:ind w:left="20"/>
              <w:spacing w:after="0"/>
              <w:rPr>
                <w:sz w:val="20"/>
                <w:szCs w:val="20"/>
                <w:color w:val="auto"/>
              </w:rPr>
            </w:pPr>
            <w:r>
              <w:rPr>
                <w:rFonts w:ascii="Arial" w:cs="Arial" w:eastAsia="Arial" w:hAnsi="Arial"/>
                <w:sz w:val="18"/>
                <w:szCs w:val="18"/>
                <w:color w:val="auto"/>
              </w:rPr>
              <w:t>Financial Statement Schedules – None</w:t>
            </w:r>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4500" w:type="dxa"/>
            <w:vAlign w:val="bottom"/>
          </w:tcPr>
          <w:p>
            <w:pPr>
              <w:ind w:left="20"/>
              <w:spacing w:after="0"/>
              <w:rPr>
                <w:sz w:val="20"/>
                <w:szCs w:val="20"/>
                <w:color w:val="auto"/>
              </w:rPr>
            </w:pPr>
            <w:r>
              <w:rPr>
                <w:rFonts w:ascii="Arial" w:cs="Arial" w:eastAsia="Arial" w:hAnsi="Arial"/>
                <w:sz w:val="18"/>
                <w:szCs w:val="18"/>
                <w:color w:val="auto"/>
              </w:rPr>
              <w:t>Exhibits – see Index to Exhibits</w:t>
            </w:r>
          </w:p>
        </w:tc>
        <w:tc>
          <w:tcPr>
            <w:tcW w:w="5920" w:type="dxa"/>
            <w:vAlign w:val="bottom"/>
            <w:gridSpan w:val="4"/>
          </w:tcPr>
          <w:p>
            <w:pPr>
              <w:jc w:val="center"/>
              <w:ind w:left="5490"/>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156</w:t>
              </w:r>
            </w:hyperlink>
          </w:p>
        </w:tc>
      </w:tr>
      <w:tr>
        <w:trPr>
          <w:trHeight w:val="858"/>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580" w:type="dxa"/>
            <w:vAlign w:val="bottom"/>
          </w:tcPr>
          <w:p>
            <w:pPr>
              <w:jc w:val="right"/>
              <w:ind w:right="4870"/>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240" w:top="118" w:right="51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right"/>
        <w:ind w:right="3119"/>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219"/>
          </w:cols>
          <w:pgMar w:left="240" w:top="118" w:right="1440"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on the following Exhibit Index are filed as part of this report. Exhibits required by Item 601 of Regulation S-K, but which are not listed below, are not applicable.</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920" w:type="dxa"/>
            <w:vAlign w:val="bottom"/>
            <w:gridSpan w:val="4"/>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Number</w:t>
            </w:r>
          </w:p>
        </w:tc>
        <w:tc>
          <w:tcPr>
            <w:tcW w:w="10260" w:type="dxa"/>
            <w:vAlign w:val="bottom"/>
            <w:gridSpan w:val="18"/>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9">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4"/>
              </w:rPr>
            </w:pPr>
            <w:hyperlink r:id="rId9">
              <w:r>
                <w:rPr>
                  <w:rFonts w:ascii="Arial" w:cs="Arial" w:eastAsia="Arial" w:hAnsi="Arial"/>
                  <w:sz w:val="18"/>
                  <w:szCs w:val="18"/>
                  <w:color w:val="0000FF"/>
                  <w:w w:val="94"/>
                </w:rPr>
                <w:t>Agreement and Plan of Merger, dated as of September 28, 2015, among Energy Transfer Corp LP, ETE Corp GP, LLC, Energy Transfer</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5"/>
              </w:rPr>
            </w:pPr>
            <w:hyperlink r:id="rId9">
              <w:r>
                <w:rPr>
                  <w:rFonts w:ascii="Arial" w:cs="Arial" w:eastAsia="Arial" w:hAnsi="Arial"/>
                  <w:sz w:val="18"/>
                  <w:szCs w:val="18"/>
                  <w:color w:val="0000FF"/>
                  <w:w w:val="95"/>
                </w:rPr>
                <w:t>Equity, L.P., LE GP, LLC, ETE GP, LLC and The Williams Companies, Inc. (incorporated by reference to Exhibit 2.1 of Form 8-K/A, File</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FF"/>
              </w:rPr>
            </w:pPr>
            <w:hyperlink r:id="rId9">
              <w:r>
                <w:rPr>
                  <w:rFonts w:ascii="Arial" w:cs="Arial" w:eastAsia="Arial" w:hAnsi="Arial"/>
                  <w:sz w:val="18"/>
                  <w:szCs w:val="18"/>
                  <w:color w:val="0000FF"/>
                </w:rPr>
                <w:t>No. 1-32740, filed October 2, 2015)</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0">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0"/>
              </w:rPr>
            </w:pPr>
            <w:hyperlink r:id="rId10">
              <w:r>
                <w:rPr>
                  <w:rFonts w:ascii="Arial" w:cs="Arial" w:eastAsia="Arial" w:hAnsi="Arial"/>
                  <w:sz w:val="18"/>
                  <w:szCs w:val="18"/>
                  <w:color w:val="0000FF"/>
                  <w:w w:val="90"/>
                </w:rPr>
                <w:t>Agreement and Plan of Merger, dated as of November 20, 2016, by and among Energy Transfer Partners, L.P., Energy Transfer Partners GP,</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10">
              <w:r>
                <w:rPr>
                  <w:rFonts w:ascii="Arial" w:cs="Arial" w:eastAsia="Arial" w:hAnsi="Arial"/>
                  <w:sz w:val="18"/>
                  <w:szCs w:val="18"/>
                  <w:color w:val="0000FF"/>
                  <w:w w:val="90"/>
                </w:rPr>
                <w:t>L.P., Sunoco Logistics Partners L.P., Sunoco Partners LLC and, solely for purposes of certain provisions therein, Energy Transfer Equity, L.P.</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(incorporate by reference to Exhibit 2.1 of Form 8-K File, No. 1-11727, filed November 21, 2016)</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1">
              <w:r>
                <w:rPr>
                  <w:rFonts w:ascii="Arial" w:cs="Arial" w:eastAsia="Arial" w:hAnsi="Arial"/>
                  <w:sz w:val="18"/>
                  <w:szCs w:val="18"/>
                  <w:color w:val="0000FF"/>
                </w:rPr>
                <w:t>2.</w:t>
              </w:r>
              <w:r>
                <w:rPr>
                  <w:rFonts w:ascii="Arial" w:cs="Arial" w:eastAsia="Arial" w:hAnsi="Arial"/>
                  <w:sz w:val="18"/>
                  <w:szCs w:val="18"/>
                  <w:u w:val="single" w:color="auto"/>
                  <w:color w:val="0000FF"/>
                </w:rPr>
                <w:t>3</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1"/>
              </w:rPr>
            </w:pPr>
            <w:hyperlink r:id="rId11">
              <w:r>
                <w:rPr>
                  <w:rFonts w:ascii="Arial" w:cs="Arial" w:eastAsia="Arial" w:hAnsi="Arial"/>
                  <w:sz w:val="18"/>
                  <w:szCs w:val="18"/>
                  <w:color w:val="0000FF"/>
                  <w:w w:val="91"/>
                </w:rPr>
                <w:t>Amendment No. 1 to Agreement and Plan of Merger, dated as of December 16, 2016, by and among Sunoco Logistics Partners L.P., Sunoco</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Partners LLC, SXL Acquisition Sub LLC, SXL Acquisition Sub LP, Energy Transfer Partners, L.P., Energy Transfer Partners GP, L.P., ETP</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18"/>
          </w:tcPr>
          <w:p>
            <w:pPr>
              <w:spacing w:after="0" w:line="196" w:lineRule="exact"/>
              <w:rPr>
                <w:rFonts w:ascii="Arial" w:cs="Arial" w:eastAsia="Arial" w:hAnsi="Arial"/>
                <w:sz w:val="18"/>
                <w:szCs w:val="18"/>
                <w:color w:val="0000FF"/>
                <w:w w:val="96"/>
              </w:rPr>
            </w:pPr>
            <w:hyperlink r:id="rId11">
              <w:r>
                <w:rPr>
                  <w:rFonts w:ascii="Arial" w:cs="Arial" w:eastAsia="Arial" w:hAnsi="Arial"/>
                  <w:sz w:val="18"/>
                  <w:szCs w:val="18"/>
                  <w:color w:val="0000FF"/>
                  <w:w w:val="96"/>
                </w:rPr>
                <w:t>Acquisition Sub, LLC and, solely for purposes of certain provisions therein, Energy Transfer Equity, L.P. (incorporated by reference to</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2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11">
              <w:r>
                <w:rPr>
                  <w:rFonts w:ascii="Arial" w:cs="Arial" w:eastAsia="Arial" w:hAnsi="Arial"/>
                  <w:sz w:val="18"/>
                  <w:szCs w:val="18"/>
                  <w:color w:val="0000FF"/>
                  <w:w w:val="92"/>
                </w:rPr>
                <w:t>Exhibit 2.2 of Form 8-K, File No. 1-11727, filed December 21, 2016)</w:t>
              </w:r>
            </w:hyperlink>
          </w:p>
        </w:tc>
        <w:tc>
          <w:tcPr>
            <w:tcW w:w="5240" w:type="dxa"/>
            <w:vAlign w:val="bottom"/>
            <w:gridSpan w:val="11"/>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2">
              <w:r>
                <w:rPr>
                  <w:rFonts w:ascii="Arial" w:cs="Arial" w:eastAsia="Arial" w:hAnsi="Arial"/>
                  <w:sz w:val="18"/>
                  <w:szCs w:val="18"/>
                  <w:color w:val="0000FF"/>
                </w:rPr>
                <w:t>2.</w:t>
              </w:r>
              <w:r>
                <w:rPr>
                  <w:rFonts w:ascii="Arial" w:cs="Arial" w:eastAsia="Arial" w:hAnsi="Arial"/>
                  <w:sz w:val="18"/>
                  <w:szCs w:val="18"/>
                  <w:u w:val="single" w:color="auto"/>
                  <w:color w:val="0000FF"/>
                </w:rPr>
                <w:t>4</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Contribution Agreement, dated as of January 15, 2018, by and among USA Compression Partners, LP, Energy Transfer Partners, L.P., Energy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3"/>
              </w:rPr>
            </w:pPr>
            <w:hyperlink r:id="rId12">
              <w:r>
                <w:rPr>
                  <w:rFonts w:ascii="Arial" w:cs="Arial" w:eastAsia="Arial" w:hAnsi="Arial"/>
                  <w:sz w:val="18"/>
                  <w:szCs w:val="18"/>
                  <w:color w:val="0000FF"/>
                  <w:w w:val="93"/>
                </w:rPr>
                <w:t>Transfer Partners GP, L.P., ETC Compression, LLC and, solely for certain purposes therein, Energy Transfer Equity, L.P. (incorporated by</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reference to Exhibit 2.1 to Form 8-K, File No. 1-32740, filed January 16, 2018)</w:t>
              </w:r>
            </w:hyperlink>
          </w:p>
        </w:tc>
        <w:tc>
          <w:tcPr>
            <w:tcW w:w="4520" w:type="dxa"/>
            <w:vAlign w:val="bottom"/>
            <w:gridSpan w:val="10"/>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3">
              <w:r>
                <w:rPr>
                  <w:rFonts w:ascii="Arial" w:cs="Arial" w:eastAsia="Arial" w:hAnsi="Arial"/>
                  <w:sz w:val="18"/>
                  <w:szCs w:val="18"/>
                  <w:color w:val="0000FF"/>
                </w:rPr>
                <w:t>2.</w:t>
              </w:r>
              <w:r>
                <w:rPr>
                  <w:rFonts w:ascii="Arial" w:cs="Arial" w:eastAsia="Arial" w:hAnsi="Arial"/>
                  <w:sz w:val="18"/>
                  <w:szCs w:val="18"/>
                  <w:u w:val="single" w:color="auto"/>
                  <w:color w:val="0000FF"/>
                </w:rPr>
                <w:t>5</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2"/>
              </w:rPr>
            </w:pPr>
            <w:hyperlink r:id="rId13">
              <w:r>
                <w:rPr>
                  <w:rFonts w:ascii="Arial" w:cs="Arial" w:eastAsia="Arial" w:hAnsi="Arial"/>
                  <w:sz w:val="18"/>
                  <w:szCs w:val="18"/>
                  <w:color w:val="0000FF"/>
                  <w:w w:val="92"/>
                </w:rPr>
                <w:t>Purchase Agreement, dated as of January 15, 2018, by and among USA Compression Holdings, LLC, Energy Transfer Equity, L.P., Energy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8"/>
              </w:rPr>
            </w:pPr>
            <w:hyperlink r:id="rId13">
              <w:r>
                <w:rPr>
                  <w:rFonts w:ascii="Arial" w:cs="Arial" w:eastAsia="Arial" w:hAnsi="Arial"/>
                  <w:sz w:val="18"/>
                  <w:szCs w:val="18"/>
                  <w:color w:val="0000FF"/>
                  <w:w w:val="98"/>
                </w:rPr>
                <w:t>Transfer Partners, L.L.C. and, solely for certain purposes therein, R/C IV USACP Holdings, L.P. and Energy Transfer Partners, L.P.</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(incorporated by reference to Exhibit 2.2 to Form 8-K, File No. 1-32740, filed January 16, 2018)</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4">
              <w:r>
                <w:rPr>
                  <w:rFonts w:ascii="Arial" w:cs="Arial" w:eastAsia="Arial" w:hAnsi="Arial"/>
                  <w:sz w:val="18"/>
                  <w:szCs w:val="18"/>
                  <w:color w:val="0000FF"/>
                </w:rPr>
                <w:t>2.</w:t>
              </w:r>
              <w:r>
                <w:rPr>
                  <w:rFonts w:ascii="Arial" w:cs="Arial" w:eastAsia="Arial" w:hAnsi="Arial"/>
                  <w:sz w:val="18"/>
                  <w:szCs w:val="18"/>
                  <w:u w:val="single" w:color="auto"/>
                  <w:color w:val="0000FF"/>
                </w:rPr>
                <w:t>6</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Agreement and Plan of Merger, dated as of August 1, 2018, by and among LE GP, LLC, Energy Transfer Equity, L.P., Streamline Merger Sub,</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LLC, Energy Transfer Partners, L.L.C. and Energy Transfer Partners, L.P. (incorporated by reference to Exhibit 2.1 of Form 8-K, File No. 1-</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32740, filed August 3, 2018)</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5">
              <w:r>
                <w:rPr>
                  <w:rFonts w:ascii="Arial" w:cs="Arial" w:eastAsia="Arial" w:hAnsi="Arial"/>
                  <w:sz w:val="18"/>
                  <w:szCs w:val="18"/>
                  <w:color w:val="0000FF"/>
                </w:rPr>
                <w:t>2.</w:t>
              </w:r>
              <w:r>
                <w:rPr>
                  <w:rFonts w:ascii="Arial" w:cs="Arial" w:eastAsia="Arial" w:hAnsi="Arial"/>
                  <w:sz w:val="18"/>
                  <w:szCs w:val="18"/>
                  <w:u w:val="single" w:color="auto"/>
                  <w:color w:val="0000FF"/>
                </w:rPr>
                <w:t>7</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Agreement and Plan of Merger, dated as of September 15, 2019, by and among Energy Transfer LP, Nautilus Merger Sub LLC and SemGroup</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3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Corporation (incorporated by reference to Exhibit 2.1 to the Form 8-K, File No. 1-32740, filed September 16, 2019)</w:t>
              </w:r>
            </w:hyperlink>
          </w:p>
        </w:tc>
        <w:tc>
          <w:tcPr>
            <w:tcW w:w="1900" w:type="dxa"/>
            <w:vAlign w:val="bottom"/>
            <w:tcBorders>
              <w:top w:val="single" w:sz="8" w:color="0000FF"/>
            </w:tcBorders>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7"/>
              </w:rPr>
            </w:pPr>
            <w:hyperlink r:id="rId16">
              <w:r>
                <w:rPr>
                  <w:rFonts w:ascii="Arial" w:cs="Arial" w:eastAsia="Arial" w:hAnsi="Arial"/>
                  <w:sz w:val="18"/>
                  <w:szCs w:val="18"/>
                  <w:color w:val="0000FF"/>
                  <w:w w:val="97"/>
                </w:rPr>
                <w:t>Certificate of Limited Partnership of Energy Transfer Equity, L.P. (incorporated by reference to Exhibit 3.2 of Form S-1, File No. 333-</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128097, filed September 2, 2005)</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r>
      <w:tr>
        <w:trPr>
          <w:trHeight w:val="250"/>
        </w:trPr>
        <w:tc>
          <w:tcPr>
            <w:tcW w:w="360" w:type="dxa"/>
            <w:vAlign w:val="bottom"/>
            <w:tcBorders>
              <w:bottom w:val="single" w:sz="8" w:color="0000FF"/>
            </w:tcBorders>
            <w:gridSpan w:val="3"/>
          </w:tcPr>
          <w:p>
            <w:pPr>
              <w:spacing w:after="0"/>
              <w:rPr>
                <w:rFonts w:ascii="Arial" w:cs="Arial" w:eastAsia="Arial" w:hAnsi="Arial"/>
                <w:sz w:val="18"/>
                <w:szCs w:val="18"/>
                <w:color w:val="0000FF"/>
                <w:w w:val="84"/>
              </w:rPr>
            </w:pPr>
            <w:hyperlink r:id="rId17">
              <w:r>
                <w:rPr>
                  <w:rFonts w:ascii="Arial" w:cs="Arial" w:eastAsia="Arial" w:hAnsi="Arial"/>
                  <w:sz w:val="18"/>
                  <w:szCs w:val="18"/>
                  <w:color w:val="0000FF"/>
                  <w:w w:val="84"/>
                </w:rPr>
                <w:t>3.</w:t>
              </w:r>
              <w:r>
                <w:rPr>
                  <w:rFonts w:ascii="Arial" w:cs="Arial" w:eastAsia="Arial" w:hAnsi="Arial"/>
                  <w:sz w:val="18"/>
                  <w:szCs w:val="18"/>
                  <w:u w:val="single" w:color="auto"/>
                  <w:color w:val="0000FF"/>
                  <w:w w:val="84"/>
                </w:rPr>
                <w:t>1.1</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18"/>
          </w:tcPr>
          <w:p>
            <w:pPr>
              <w:spacing w:after="0"/>
              <w:rPr>
                <w:rFonts w:ascii="Arial" w:cs="Arial" w:eastAsia="Arial" w:hAnsi="Arial"/>
                <w:sz w:val="18"/>
                <w:szCs w:val="18"/>
                <w:color w:val="0000FF"/>
                <w:w w:val="93"/>
              </w:rPr>
            </w:pPr>
            <w:hyperlink r:id="rId17">
              <w:r>
                <w:rPr>
                  <w:rFonts w:ascii="Arial" w:cs="Arial" w:eastAsia="Arial" w:hAnsi="Arial"/>
                  <w:sz w:val="18"/>
                  <w:szCs w:val="18"/>
                  <w:color w:val="0000FF"/>
                  <w:w w:val="93"/>
                </w:rPr>
                <w:t>Certificate of Amendment to Certificate of Limited Partnership of Energy Transfer LP (incorporated by reference to Exhibit 3.1 of Form 8-K,</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File No. 1-32740, filed October 19, 2018)</w:t>
              </w:r>
            </w:hyperlink>
          </w:p>
        </w:tc>
        <w:tc>
          <w:tcPr>
            <w:tcW w:w="7240" w:type="dxa"/>
            <w:vAlign w:val="bottom"/>
            <w:gridSpan w:val="13"/>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6"/>
              </w:rPr>
            </w:pPr>
            <w:hyperlink r:id="rId18">
              <w:r>
                <w:rPr>
                  <w:rFonts w:ascii="Arial" w:cs="Arial" w:eastAsia="Arial" w:hAnsi="Arial"/>
                  <w:sz w:val="18"/>
                  <w:szCs w:val="18"/>
                  <w:color w:val="0000FF"/>
                  <w:w w:val="96"/>
                </w:rPr>
                <w:t>Third Amended Restated Agreement of Limited Partnership of Energy Transfer Equity, L.P., dated February 8, 2006 (incorporated by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reference to Exhibit 3.1 of Form 8-K, File No. 1-32740, filed February 14, 2006)</w:t>
              </w:r>
            </w:hyperlink>
          </w:p>
        </w:tc>
        <w:tc>
          <w:tcPr>
            <w:tcW w:w="4420" w:type="dxa"/>
            <w:vAlign w:val="bottom"/>
            <w:tcBorders>
              <w:top w:val="single" w:sz="8" w:color="0000FF"/>
            </w:tcBorders>
            <w:gridSpan w:val="9"/>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19">
              <w:r>
                <w:rPr>
                  <w:rFonts w:ascii="Arial" w:cs="Arial" w:eastAsia="Arial" w:hAnsi="Arial"/>
                  <w:sz w:val="18"/>
                  <w:szCs w:val="18"/>
                  <w:color w:val="0000FF"/>
                </w:rPr>
                <w:t>3.</w:t>
              </w:r>
              <w:r>
                <w:rPr>
                  <w:rFonts w:ascii="Arial" w:cs="Arial" w:eastAsia="Arial" w:hAnsi="Arial"/>
                  <w:sz w:val="18"/>
                  <w:szCs w:val="18"/>
                  <w:u w:val="single" w:color="auto"/>
                  <w:color w:val="0000FF"/>
                </w:rPr>
                <w:t>3</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4"/>
              </w:rPr>
            </w:pPr>
            <w:hyperlink r:id="rId19">
              <w:r>
                <w:rPr>
                  <w:rFonts w:ascii="Arial" w:cs="Arial" w:eastAsia="Arial" w:hAnsi="Arial"/>
                  <w:sz w:val="18"/>
                  <w:szCs w:val="18"/>
                  <w:color w:val="0000FF"/>
                  <w:w w:val="94"/>
                </w:rPr>
                <w:t>Amendment No. 1 to Third Amended and Restated Agreement of Limited Partnership of Energy Transfer Equity, L.P. dated November 1,</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2006 (incorporated by reference to Exhibit 3.3.1 of Form 10-K, File No. 1-32740, filed November 29, 2006)</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0">
              <w:r>
                <w:rPr>
                  <w:rFonts w:ascii="Arial" w:cs="Arial" w:eastAsia="Arial" w:hAnsi="Arial"/>
                  <w:sz w:val="18"/>
                  <w:szCs w:val="18"/>
                  <w:color w:val="0000FF"/>
                </w:rPr>
                <w:t>3.</w:t>
              </w:r>
              <w:r>
                <w:rPr>
                  <w:rFonts w:ascii="Arial" w:cs="Arial" w:eastAsia="Arial" w:hAnsi="Arial"/>
                  <w:sz w:val="18"/>
                  <w:szCs w:val="18"/>
                  <w:u w:val="single" w:color="auto"/>
                  <w:color w:val="0000FF"/>
                </w:rPr>
                <w:t>4</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Amendment No. 2 to Third Amended and Restated Agreement of Limited Partnership of Energy Transfer Equity, L.P., dated November 9,</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2007 (incorporated by reference to Exhibit 3.3.2 of Form 8-K, File No. 1-32740, filed November 13, 2007)</w:t>
              </w:r>
            </w:hyperlink>
          </w:p>
        </w:tc>
        <w:tc>
          <w:tcPr>
            <w:tcW w:w="2540" w:type="dxa"/>
            <w:vAlign w:val="bottom"/>
            <w:tcBorders>
              <w:top w:val="single" w:sz="8" w:color="0000FF"/>
            </w:tcBorders>
            <w:gridSpan w:val="3"/>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1">
              <w:r>
                <w:rPr>
                  <w:rFonts w:ascii="Arial" w:cs="Arial" w:eastAsia="Arial" w:hAnsi="Arial"/>
                  <w:sz w:val="18"/>
                  <w:szCs w:val="18"/>
                  <w:color w:val="0000FF"/>
                </w:rPr>
                <w:t>3.</w:t>
              </w:r>
              <w:r>
                <w:rPr>
                  <w:rFonts w:ascii="Arial" w:cs="Arial" w:eastAsia="Arial" w:hAnsi="Arial"/>
                  <w:sz w:val="18"/>
                  <w:szCs w:val="18"/>
                  <w:u w:val="single" w:color="auto"/>
                  <w:color w:val="0000FF"/>
                </w:rPr>
                <w:t>5</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3"/>
              </w:rPr>
            </w:pPr>
            <w:hyperlink r:id="rId21">
              <w:r>
                <w:rPr>
                  <w:rFonts w:ascii="Arial" w:cs="Arial" w:eastAsia="Arial" w:hAnsi="Arial"/>
                  <w:sz w:val="18"/>
                  <w:szCs w:val="18"/>
                  <w:color w:val="0000FF"/>
                  <w:w w:val="93"/>
                </w:rPr>
                <w:t>Amendment No. 3 to Third Amended and Restated Agreement of Limited Partnership of Energy Transfer Equity, L.P., dated May 26, 2010</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(incorporated by reference to Exhibit 3.1 of Form 8-K, File No. 1-32740, filed June 2, 2010)</w:t>
              </w:r>
            </w:hyperlink>
          </w:p>
        </w:tc>
        <w:tc>
          <w:tcPr>
            <w:tcW w:w="3600" w:type="dxa"/>
            <w:vAlign w:val="bottom"/>
            <w:tcBorders>
              <w:top w:val="single" w:sz="8" w:color="0000FF"/>
            </w:tcBorders>
            <w:gridSpan w:val="8"/>
          </w:tcPr>
          <w:p>
            <w:pPr>
              <w:spacing w:after="0"/>
              <w:rPr>
                <w:sz w:val="17"/>
                <w:szCs w:val="17"/>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2">
              <w:r>
                <w:rPr>
                  <w:rFonts w:ascii="Arial" w:cs="Arial" w:eastAsia="Arial" w:hAnsi="Arial"/>
                  <w:sz w:val="18"/>
                  <w:szCs w:val="18"/>
                  <w:color w:val="0000FF"/>
                </w:rPr>
                <w:t>3.</w:t>
              </w:r>
              <w:r>
                <w:rPr>
                  <w:rFonts w:ascii="Arial" w:cs="Arial" w:eastAsia="Arial" w:hAnsi="Arial"/>
                  <w:sz w:val="18"/>
                  <w:szCs w:val="18"/>
                  <w:u w:val="single" w:color="auto"/>
                  <w:color w:val="0000FF"/>
                </w:rPr>
                <w:t>6</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2"/>
              </w:rPr>
            </w:pPr>
            <w:hyperlink r:id="rId22">
              <w:r>
                <w:rPr>
                  <w:rFonts w:ascii="Arial" w:cs="Arial" w:eastAsia="Arial" w:hAnsi="Arial"/>
                  <w:sz w:val="18"/>
                  <w:szCs w:val="18"/>
                  <w:color w:val="0000FF"/>
                  <w:w w:val="92"/>
                </w:rPr>
                <w:t>Amendment No. 4 to Third Amended and Restated Agreement of Limited Partnership of Energy Transfer Equity, L.P., dated December 23,</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2013 (incorporated by reference to Exhibit 3.1 of Form 8-K, File No. 1-32740, filed December 27, 2013)</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FF"/>
              </w:rPr>
            </w:pPr>
            <w:hyperlink r:id="rId23">
              <w:r>
                <w:rPr>
                  <w:rFonts w:ascii="Arial" w:cs="Arial" w:eastAsia="Arial" w:hAnsi="Arial"/>
                  <w:sz w:val="18"/>
                  <w:szCs w:val="18"/>
                  <w:color w:val="0000FF"/>
                </w:rPr>
                <w:t>3.</w:t>
              </w:r>
              <w:r>
                <w:rPr>
                  <w:rFonts w:ascii="Arial" w:cs="Arial" w:eastAsia="Arial" w:hAnsi="Arial"/>
                  <w:sz w:val="18"/>
                  <w:szCs w:val="18"/>
                  <w:u w:val="single" w:color="auto"/>
                  <w:color w:val="0000FF"/>
                </w:rPr>
                <w:t>7</w:t>
              </w:r>
            </w:hyperlink>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18"/>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Amendment No. 5 to the Third Amended and Restated Agreement of Limited Partnership of Energy Transfer Equity, L.P., dated as of March</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8, 2016 (incorporated by reference to Exhibit 3.1 of Form 8-K, File No. 1-32740, filed March 9, 2016)</w:t>
              </w:r>
            </w:hyperlink>
          </w:p>
        </w:tc>
      </w:tr>
      <w:tr>
        <w:trPr>
          <w:trHeight w:val="20"/>
        </w:trPr>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0" w:type="dxa"/>
            <w:vAlign w:val="bottom"/>
            <w:gridSpan w:val="6"/>
            <w:shd w:val="clear" w:color="auto" w:fill="0000FF"/>
          </w:tcPr>
          <w:p>
            <w:pPr>
              <w:spacing w:after="0" w:line="20" w:lineRule="exact"/>
              <w:rPr>
                <w:sz w:val="1"/>
                <w:szCs w:val="1"/>
                <w:color w:val="auto"/>
              </w:rPr>
            </w:pPr>
          </w:p>
        </w:tc>
        <w:tc>
          <w:tcPr>
            <w:tcW w:w="2580" w:type="dxa"/>
            <w:vAlign w:val="bottom"/>
            <w:gridSpan w:val="7"/>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r>
      <w:tr>
        <w:trPr>
          <w:trHeight w:val="250"/>
        </w:trPr>
        <w:tc>
          <w:tcPr>
            <w:tcW w:w="360" w:type="dxa"/>
            <w:vAlign w:val="bottom"/>
            <w:gridSpan w:val="3"/>
          </w:tcPr>
          <w:p>
            <w:pPr>
              <w:spacing w:after="0"/>
              <w:rPr>
                <w:rFonts w:ascii="Arial" w:cs="Arial" w:eastAsia="Arial" w:hAnsi="Arial"/>
                <w:sz w:val="18"/>
                <w:szCs w:val="18"/>
                <w:color w:val="0000FF"/>
              </w:rPr>
            </w:pPr>
            <w:hyperlink r:id="rId24">
              <w:r>
                <w:rPr>
                  <w:rFonts w:ascii="Arial" w:cs="Arial" w:eastAsia="Arial" w:hAnsi="Arial"/>
                  <w:sz w:val="18"/>
                  <w:szCs w:val="18"/>
                  <w:color w:val="0000FF"/>
                </w:rPr>
                <w:t>3.</w:t>
              </w:r>
              <w:r>
                <w:rPr>
                  <w:rFonts w:ascii="Arial" w:cs="Arial" w:eastAsia="Arial" w:hAnsi="Arial"/>
                  <w:sz w:val="18"/>
                  <w:szCs w:val="18"/>
                  <w:u w:val="single" w:color="auto"/>
                  <w:color w:val="0000FF"/>
                </w:rPr>
                <w:t>8</w:t>
              </w:r>
            </w:hyperlink>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18"/>
          </w:tcPr>
          <w:p>
            <w:pPr>
              <w:spacing w:after="0"/>
              <w:rPr>
                <w:rFonts w:ascii="Arial" w:cs="Arial" w:eastAsia="Arial" w:hAnsi="Arial"/>
                <w:sz w:val="18"/>
                <w:szCs w:val="18"/>
                <w:color w:val="0000FF"/>
                <w:w w:val="90"/>
              </w:rPr>
            </w:pPr>
            <w:hyperlink r:id="rId24">
              <w:r>
                <w:rPr>
                  <w:rFonts w:ascii="Arial" w:cs="Arial" w:eastAsia="Arial" w:hAnsi="Arial"/>
                  <w:sz w:val="18"/>
                  <w:szCs w:val="18"/>
                  <w:color w:val="0000FF"/>
                  <w:w w:val="90"/>
                </w:rPr>
                <w:t>Amendment No. 6 to the Third Amended and Restated Agreement of Limited Partnership of Energy Transfer Equity, L.P., dated as of October</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6"/>
              </w:rPr>
            </w:pPr>
            <w:hyperlink r:id="rId24">
              <w:r>
                <w:rPr>
                  <w:rFonts w:ascii="Arial" w:cs="Arial" w:eastAsia="Arial" w:hAnsi="Arial"/>
                  <w:sz w:val="18"/>
                  <w:szCs w:val="18"/>
                  <w:color w:val="0000FF"/>
                  <w:w w:val="96"/>
                </w:rPr>
                <w:t>19, 2018 (incorporated by reference to Exhibit 3.2 of Form 8-K, File No.1-32740, filed October 19, 2018 (incorporated by reference to</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18"/>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Exhibit 3.2 of Form 8-K, File No. 1-32740, filed October 19, 2018</w:t>
              </w:r>
              <w:r>
                <w:rPr>
                  <w:rFonts w:ascii="Arial" w:cs="Arial" w:eastAsia="Arial" w:hAnsi="Arial"/>
                  <w:sz w:val="18"/>
                  <w:szCs w:val="18"/>
                  <w:color w:val="000000"/>
                </w:rPr>
                <w:t>)</w:t>
              </w:r>
            </w:hyperlink>
          </w:p>
        </w:tc>
      </w:tr>
      <w:tr>
        <w:trPr>
          <w:trHeight w:val="480"/>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0" w:type="dxa"/>
            <w:vAlign w:val="bottom"/>
            <w:tcBorders>
              <w:top w:val="single" w:sz="8" w:color="0000FF"/>
            </w:tcBorders>
            <w:gridSpan w:val="6"/>
          </w:tcPr>
          <w:p>
            <w:pPr>
              <w:ind w:left="4520"/>
              <w:spacing w:after="0"/>
              <w:rPr>
                <w:sz w:val="20"/>
                <w:szCs w:val="20"/>
                <w:color w:val="auto"/>
              </w:rPr>
            </w:pPr>
            <w:r>
              <w:rPr>
                <w:rFonts w:ascii="Arial" w:cs="Arial" w:eastAsia="Arial" w:hAnsi="Arial"/>
                <w:sz w:val="18"/>
                <w:szCs w:val="18"/>
                <w:color w:val="auto"/>
                <w:w w:val="86"/>
              </w:rPr>
              <w:t>156</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2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920" w:type="dxa"/>
            <w:vAlign w:val="bottom"/>
            <w:gridSpan w:val="7"/>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Number</w:t>
            </w:r>
          </w:p>
        </w:tc>
        <w:tc>
          <w:tcPr>
            <w:tcW w:w="10260" w:type="dxa"/>
            <w:vAlign w:val="bottom"/>
            <w:gridSpan w:val="23"/>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25">
              <w:r>
                <w:rPr>
                  <w:rFonts w:ascii="Arial" w:cs="Arial" w:eastAsia="Arial" w:hAnsi="Arial"/>
                  <w:sz w:val="18"/>
                  <w:szCs w:val="18"/>
                  <w:color w:val="0000FF"/>
                </w:rPr>
                <w:t>3.</w:t>
              </w:r>
              <w:r>
                <w:rPr>
                  <w:rFonts w:ascii="Arial" w:cs="Arial" w:eastAsia="Arial" w:hAnsi="Arial"/>
                  <w:sz w:val="18"/>
                  <w:szCs w:val="18"/>
                  <w:u w:val="single" w:color="auto"/>
                  <w:color w:val="0000FF"/>
                </w:rPr>
                <w:t>9</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Amendment No. 7 to the Third Amended and Restated Agreement of Limited Partnership of Energy Transfer LP dated as of August 6, 2019</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(incorporated by reference to Exhibit 3.10 of Form 10-Q, File No. 1-32740, filed August 8, 2019)</w:t>
              </w:r>
            </w:hyperlink>
          </w:p>
        </w:tc>
        <w:tc>
          <w:tcPr>
            <w:tcW w:w="3220" w:type="dxa"/>
            <w:vAlign w:val="bottom"/>
            <w:tcBorders>
              <w:top w:val="single" w:sz="8" w:color="0000FF"/>
            </w:tcBorders>
            <w:gridSpan w:val="13"/>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26">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Indenture, dated September 20, 2010 between Energy Transfer Equity, L.P. and U.S. Bank National Association, as trustee (incorporated by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9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reference to Exhibit 4.1 of Form 8-K, File No. 1-32740, filed September 20, 2010)</w:t>
              </w:r>
            </w:hyperlink>
          </w:p>
        </w:tc>
        <w:tc>
          <w:tcPr>
            <w:tcW w:w="4300" w:type="dxa"/>
            <w:vAlign w:val="bottom"/>
            <w:tcBorders>
              <w:top w:val="single" w:sz="8" w:color="0000FF"/>
            </w:tcBorders>
            <w:gridSpan w:val="16"/>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27">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First Supplemental Indenture, dated September 20, 2010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(including form of the Notes) (incorporated by reference to Exhibit 4.2 of Form 8-K, File No. 1-32740, filed September 20, 2010)</w:t>
              </w:r>
            </w:hyperlink>
          </w:p>
        </w:tc>
        <w:tc>
          <w:tcPr>
            <w:tcW w:w="900" w:type="dxa"/>
            <w:vAlign w:val="bottom"/>
            <w:tcBorders>
              <w:top w:val="single" w:sz="8" w:color="0000FF"/>
            </w:tcBorders>
            <w:gridSpan w:val="3"/>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28">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Second Supplemental Indenture, dated December 20, 2011 between Energy Transfer Equity, L.P. and U.S. Bank National Association, as</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8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trustee (incorporated by reference to Exhibit 4.3 of Form S-3, File No. 1-32740, filed November 14, 2013)</w:t>
              </w:r>
            </w:hyperlink>
          </w:p>
        </w:tc>
        <w:tc>
          <w:tcPr>
            <w:tcW w:w="2580" w:type="dxa"/>
            <w:vAlign w:val="bottom"/>
            <w:tcBorders>
              <w:top w:val="single" w:sz="8" w:color="0000FF"/>
            </w:tcBorders>
            <w:gridSpan w:val="7"/>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29">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Second Supplemental Indenture, dated February 16, 2012 between Energy Transfer Equity, L.P. and U.S. Bank National Association, as</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trustee (incorporated by reference to Exhibit 4.1 of Form 8-K, File No. 1-32740, filed February 17, 2012)</w:t>
              </w:r>
            </w:hyperlink>
          </w:p>
        </w:tc>
        <w:tc>
          <w:tcPr>
            <w:tcW w:w="2660" w:type="dxa"/>
            <w:vAlign w:val="bottom"/>
            <w:tcBorders>
              <w:top w:val="single" w:sz="8" w:color="0000FF"/>
            </w:tcBorders>
            <w:gridSpan w:val="8"/>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0">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89"/>
              </w:rPr>
            </w:pPr>
            <w:hyperlink r:id="rId30">
              <w:r>
                <w:rPr>
                  <w:rFonts w:ascii="Arial" w:cs="Arial" w:eastAsia="Arial" w:hAnsi="Arial"/>
                  <w:sz w:val="18"/>
                  <w:szCs w:val="18"/>
                  <w:color w:val="0000FF"/>
                  <w:w w:val="89"/>
                </w:rPr>
                <w:t>Fourth Supplemental Indenture, dated December 2, 2013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(including form of the Notes) (incorporated by reference to Exhibit 4.2 of Form 8-K, File No. 1-32740, filed December 2, 2013)</w:t>
              </w:r>
            </w:hyperlink>
          </w:p>
        </w:tc>
        <w:tc>
          <w:tcPr>
            <w:tcW w:w="1020" w:type="dxa"/>
            <w:vAlign w:val="bottom"/>
            <w:tcBorders>
              <w:top w:val="single" w:sz="8" w:color="0000FF"/>
            </w:tcBorders>
            <w:gridSpan w:val="4"/>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1">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4"/>
              </w:rPr>
            </w:pPr>
            <w:hyperlink r:id="rId31">
              <w:r>
                <w:rPr>
                  <w:rFonts w:ascii="Arial" w:cs="Arial" w:eastAsia="Arial" w:hAnsi="Arial"/>
                  <w:sz w:val="18"/>
                  <w:szCs w:val="18"/>
                  <w:color w:val="0000FF"/>
                  <w:w w:val="94"/>
                </w:rPr>
                <w:t>Fifth Supplemental Indenture, dated May 28, 2014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(incorporated by reference to Exhibit 4.2 of Form 8-K, File No. 1-32740, filed May 28, 2014)</w:t>
              </w:r>
            </w:hyperlink>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2">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Sixth Supplemental Indenture, dated May 28, 2014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(incorporated by reference to Exhibit 4.3 of Form 8-K, File No. 1-32740, filed May 28, 2014)</w:t>
              </w:r>
            </w:hyperlink>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3">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Seventh Supplemental Indenture, dated May 22, 2015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(including form of the Notes) (incorporated by reference to Exhibit 4.2 of Form 8-K, File No. 1-32740, filed May 22, 2015)</w:t>
              </w:r>
            </w:hyperlink>
          </w:p>
        </w:tc>
        <w:tc>
          <w:tcPr>
            <w:tcW w:w="1340" w:type="dxa"/>
            <w:vAlign w:val="bottom"/>
            <w:tcBorders>
              <w:top w:val="single" w:sz="8" w:color="0000FF"/>
            </w:tcBorders>
            <w:gridSpan w:val="5"/>
          </w:tcPr>
          <w:p>
            <w:pPr>
              <w:spacing w:after="0"/>
              <w:rPr>
                <w:sz w:val="17"/>
                <w:szCs w:val="17"/>
                <w:color w:val="auto"/>
              </w:rPr>
            </w:pPr>
          </w:p>
        </w:tc>
      </w:tr>
      <w:tr>
        <w:trPr>
          <w:trHeight w:val="250"/>
        </w:trPr>
        <w:tc>
          <w:tcPr>
            <w:tcW w:w="300" w:type="dxa"/>
            <w:vAlign w:val="bottom"/>
            <w:gridSpan w:val="3"/>
          </w:tcPr>
          <w:p>
            <w:pPr>
              <w:spacing w:after="0"/>
              <w:rPr>
                <w:rFonts w:ascii="Arial" w:cs="Arial" w:eastAsia="Arial" w:hAnsi="Arial"/>
                <w:sz w:val="18"/>
                <w:szCs w:val="18"/>
                <w:color w:val="0000FF"/>
              </w:rPr>
            </w:pPr>
            <w:hyperlink r:id="rId34">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Eighth Supplemental Indenture dated October 18, 2017 between Energy Transfer Equity, L.P. and U.S. Bank National Association, as trustee</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(incorporated by reference to Exhibit 4.2 of Form 8-K, File No. 1-32740, filed October 18th, 2017)</w:t>
              </w:r>
            </w:hyperlink>
          </w:p>
        </w:tc>
        <w:tc>
          <w:tcPr>
            <w:tcW w:w="3120" w:type="dxa"/>
            <w:vAlign w:val="bottom"/>
            <w:tcBorders>
              <w:top w:val="single" w:sz="8" w:color="0000FF"/>
            </w:tcBorders>
            <w:gridSpan w:val="12"/>
          </w:tcPr>
          <w:p>
            <w:pPr>
              <w:spacing w:after="0"/>
              <w:rPr>
                <w:sz w:val="17"/>
                <w:szCs w:val="17"/>
                <w:color w:val="auto"/>
              </w:rPr>
            </w:pPr>
          </w:p>
        </w:tc>
      </w:tr>
      <w:tr>
        <w:trPr>
          <w:trHeight w:val="250"/>
        </w:trPr>
        <w:tc>
          <w:tcPr>
            <w:tcW w:w="400" w:type="dxa"/>
            <w:vAlign w:val="bottom"/>
            <w:gridSpan w:val="4"/>
          </w:tcPr>
          <w:p>
            <w:pPr>
              <w:spacing w:after="0"/>
              <w:rPr>
                <w:rFonts w:ascii="Arial" w:cs="Arial" w:eastAsia="Arial" w:hAnsi="Arial"/>
                <w:sz w:val="18"/>
                <w:szCs w:val="18"/>
                <w:color w:val="0000FF"/>
                <w:w w:val="90"/>
              </w:rPr>
            </w:pPr>
            <w:hyperlink w:anchor="page253">
              <w:r>
                <w:rPr>
                  <w:rFonts w:ascii="Arial" w:cs="Arial" w:eastAsia="Arial" w:hAnsi="Arial"/>
                  <w:sz w:val="18"/>
                  <w:szCs w:val="18"/>
                  <w:color w:val="0000FF"/>
                  <w:w w:val="90"/>
                </w:rPr>
                <w:t>4.</w:t>
              </w:r>
              <w:r>
                <w:rPr>
                  <w:rFonts w:ascii="Arial" w:cs="Arial" w:eastAsia="Arial" w:hAnsi="Arial"/>
                  <w:sz w:val="18"/>
                  <w:szCs w:val="18"/>
                  <w:u w:val="single" w:color="auto"/>
                  <w:color w:val="0000FF"/>
                  <w:w w:val="90"/>
                </w:rPr>
                <w:t>10*</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1"/>
              </w:rPr>
            </w:pPr>
            <w:hyperlink w:anchor="page253">
              <w:r>
                <w:rPr>
                  <w:rFonts w:ascii="Arial" w:cs="Arial" w:eastAsia="Arial" w:hAnsi="Arial"/>
                  <w:sz w:val="18"/>
                  <w:szCs w:val="18"/>
                  <w:color w:val="0000FF"/>
                  <w:w w:val="91"/>
                </w:rPr>
                <w:t>Description of Registrant’s securities registered pursuant to Section 12 of the Securities Exchange Act of 1934 - Description of common units</w:t>
              </w:r>
            </w:hyperlink>
          </w:p>
        </w:tc>
      </w:tr>
      <w:tr>
        <w:trPr>
          <w:trHeight w:val="20"/>
        </w:trPr>
        <w:tc>
          <w:tcPr>
            <w:tcW w:w="3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Energy Transfer Equity, L.P. Long-Term Incentive Plan (incorporated by reference to Exhibit 10.25 of Form S-1, File No. 333-128097, filed</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December 20, 2005)</w:t>
              </w:r>
            </w:hyperlink>
          </w:p>
        </w:tc>
        <w:tc>
          <w:tcPr>
            <w:tcW w:w="8760" w:type="dxa"/>
            <w:vAlign w:val="bottom"/>
            <w:tcBorders>
              <w:top w:val="single" w:sz="8" w:color="0000FF"/>
            </w:tcBorders>
            <w:gridSpan w:val="19"/>
          </w:tcPr>
          <w:p>
            <w:pPr>
              <w:spacing w:after="0"/>
              <w:rPr>
                <w:sz w:val="17"/>
                <w:szCs w:val="17"/>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Amended and Restated Energy Transfer LP Long-Term Incentive Plan (formerly Amended and Restated Energy Transfer Equity, L.P. Long-</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Term Incentive Plan) (incorporated by reference to 10.1 of Form 10-K, File No. 1-32740, filed February 23, 2018)</w:t>
              </w:r>
            </w:hyperlink>
          </w:p>
        </w:tc>
        <w:tc>
          <w:tcPr>
            <w:tcW w:w="2020" w:type="dxa"/>
            <w:vAlign w:val="bottom"/>
            <w:tcBorders>
              <w:top w:val="single" w:sz="8" w:color="0000FF"/>
            </w:tcBorders>
            <w:gridSpan w:val="6"/>
          </w:tcPr>
          <w:p>
            <w:pPr>
              <w:spacing w:after="0"/>
              <w:rPr>
                <w:sz w:val="17"/>
                <w:szCs w:val="17"/>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5"/>
              </w:rPr>
            </w:pPr>
            <w:hyperlink r:id="rId37">
              <w:r>
                <w:rPr>
                  <w:rFonts w:ascii="Arial" w:cs="Arial" w:eastAsia="Arial" w:hAnsi="Arial"/>
                  <w:sz w:val="18"/>
                  <w:szCs w:val="18"/>
                  <w:color w:val="0000FF"/>
                  <w:w w:val="95"/>
                </w:rPr>
                <w:t>Second Amended and Restated Energy Transfer LP 2008 Long-Term Incentive Plan (formerly Second Amended and Restated Energy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Transfer Partners, L.P. 2008 Long-Term Incentive Plan) (incorporated by reference to Exhibit 4.1 of Form S-8 filed January 31, 2019)</w:t>
              </w:r>
            </w:hyperlink>
          </w:p>
        </w:tc>
        <w:tc>
          <w:tcPr>
            <w:tcW w:w="620" w:type="dxa"/>
            <w:vAlign w:val="bottom"/>
            <w:tcBorders>
              <w:top w:val="single" w:sz="8" w:color="0000FF"/>
            </w:tcBorders>
            <w:gridSpan w:val="2"/>
          </w:tcPr>
          <w:p>
            <w:pPr>
              <w:spacing w:after="0"/>
              <w:rPr>
                <w:sz w:val="17"/>
                <w:szCs w:val="17"/>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Energy Transfer LP 2011 Long-Term Incentive Plan (formerly Regency Energy Partners LP 2011 Long-Term Incentive Plan) (incorporated by</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reference to Exhibit 4.2 of Form S-8 filed January 31, 2019)</w:t>
              </w:r>
            </w:hyperlink>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Energy Transfer LP 2015 Long-Term Incentive Plan, as amended and restated (formerly Sunoco Partners LLC Long-Term Incentive Plan, as</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amended and restated) (incorporated by reference to Exhibit 4.3 of Form S-8 filed January 31, 2019)</w:t>
              </w:r>
            </w:hyperlink>
          </w:p>
        </w:tc>
      </w:tr>
      <w:tr>
        <w:trPr>
          <w:trHeight w:val="20"/>
        </w:trPr>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980" w:type="dxa"/>
            <w:vAlign w:val="bottom"/>
            <w:gridSpan w:val="3"/>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r>
      <w:tr>
        <w:trPr>
          <w:trHeight w:val="250"/>
        </w:trPr>
        <w:tc>
          <w:tcPr>
            <w:tcW w:w="500" w:type="dxa"/>
            <w:vAlign w:val="bottom"/>
            <w:gridSpan w:val="6"/>
          </w:tcPr>
          <w:p>
            <w:pPr>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2"/>
              </w:rPr>
            </w:pPr>
            <w:hyperlink r:id="rId40">
              <w:r>
                <w:rPr>
                  <w:rFonts w:ascii="Arial" w:cs="Arial" w:eastAsia="Arial" w:hAnsi="Arial"/>
                  <w:sz w:val="18"/>
                  <w:szCs w:val="18"/>
                  <w:color w:val="0000FF"/>
                  <w:w w:val="92"/>
                </w:rPr>
                <w:t>Form of Director and Officer Indemnification Agreement (incorporated by reference to Exhibit 10.26 of Form S-1, File No. 333-128097, filed</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December 20, 2005)</w:t>
              </w:r>
            </w:hyperlink>
          </w:p>
        </w:tc>
        <w:tc>
          <w:tcPr>
            <w:tcW w:w="8780" w:type="dxa"/>
            <w:vAlign w:val="bottom"/>
            <w:tcBorders>
              <w:top w:val="single" w:sz="8" w:color="0000FF"/>
            </w:tcBorders>
            <w:gridSpan w:val="20"/>
          </w:tcPr>
          <w:p>
            <w:pPr>
              <w:spacing w:after="0"/>
              <w:rPr>
                <w:sz w:val="17"/>
                <w:szCs w:val="17"/>
                <w:color w:val="auto"/>
              </w:rPr>
            </w:pPr>
          </w:p>
        </w:tc>
      </w:tr>
      <w:tr>
        <w:trPr>
          <w:trHeight w:val="250"/>
        </w:trPr>
        <w:tc>
          <w:tcPr>
            <w:tcW w:w="400" w:type="dxa"/>
            <w:vAlign w:val="bottom"/>
            <w:gridSpan w:val="4"/>
          </w:tcPr>
          <w:p>
            <w:pPr>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Registration Rights Agreement, dated November 1, 2006, between Energy Transfer Equity, L.P. and Energy Transfer Investments, L.P.</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(incorporated by reference to Exhibit 10.38 of Form 10-K, File No. 1-32740, filed November 29, 2006)</w:t>
              </w:r>
            </w:hyperlink>
          </w:p>
        </w:tc>
      </w:tr>
      <w:tr>
        <w:trPr>
          <w:trHeight w:val="20"/>
        </w:trPr>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r>
      <w:tr>
        <w:trPr>
          <w:trHeight w:val="250"/>
        </w:trPr>
        <w:tc>
          <w:tcPr>
            <w:tcW w:w="400" w:type="dxa"/>
            <w:vAlign w:val="bottom"/>
            <w:gridSpan w:val="4"/>
          </w:tcPr>
          <w:p>
            <w:pPr>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3"/>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Registration Rights Agreement, dated November 27, 2006, by and among Energy Transfer Equity, L.P. and certain investors named therein</w:t>
              </w:r>
            </w:hyperlink>
          </w:p>
        </w:tc>
      </w:tr>
      <w:tr>
        <w:trPr>
          <w:trHeight w:val="196"/>
        </w:trPr>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(incorporated by reference to Exhibit 99.1 of Form 8-K, File No. 1-32740, filed November 30, 2006)</w:t>
              </w:r>
            </w:hyperlink>
          </w:p>
        </w:tc>
      </w:tr>
      <w:tr>
        <w:trPr>
          <w:trHeight w:val="250"/>
        </w:trPr>
        <w:tc>
          <w:tcPr>
            <w:tcW w:w="740" w:type="dxa"/>
            <w:vAlign w:val="bottom"/>
            <w:gridSpan w:val="7"/>
          </w:tcPr>
          <w:p>
            <w:pPr>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80" w:type="dxa"/>
            <w:vAlign w:val="bottom"/>
          </w:tcPr>
          <w:p>
            <w:pPr>
              <w:spacing w:after="0"/>
              <w:rPr>
                <w:sz w:val="21"/>
                <w:szCs w:val="21"/>
                <w:color w:val="auto"/>
              </w:rPr>
            </w:pPr>
          </w:p>
        </w:tc>
        <w:tc>
          <w:tcPr>
            <w:tcW w:w="7260" w:type="dxa"/>
            <w:vAlign w:val="bottom"/>
            <w:tcBorders>
              <w:top w:val="single" w:sz="8" w:color="0000FF"/>
            </w:tcBorders>
            <w:gridSpan w:val="13"/>
          </w:tcPr>
          <w:p>
            <w:pPr>
              <w:spacing w:after="0"/>
              <w:rPr>
                <w:rFonts w:ascii="Arial" w:cs="Arial" w:eastAsia="Arial" w:hAnsi="Arial"/>
                <w:sz w:val="18"/>
                <w:szCs w:val="18"/>
                <w:color w:val="0000FF"/>
              </w:rPr>
            </w:pPr>
            <w:hyperlink r:id="rId43">
              <w:r>
                <w:rPr>
                  <w:rFonts w:ascii="Arial" w:cs="Arial" w:eastAsia="Arial" w:hAnsi="Arial"/>
                  <w:sz w:val="18"/>
                  <w:szCs w:val="18"/>
                  <w:color w:val="0000FF"/>
                </w:rPr>
                <w:t>LE GP, LLC Amended and Restated Outside Director Compensation Policy</w:t>
              </w:r>
            </w:hyperlink>
          </w:p>
        </w:tc>
        <w:tc>
          <w:tcPr>
            <w:tcW w:w="3000" w:type="dxa"/>
            <w:vAlign w:val="bottom"/>
            <w:gridSpan w:val="10"/>
          </w:tcPr>
          <w:p>
            <w:pPr>
              <w:spacing w:after="0"/>
              <w:rPr>
                <w:sz w:val="21"/>
                <w:szCs w:val="21"/>
                <w:color w:val="auto"/>
              </w:rPr>
            </w:pPr>
          </w:p>
        </w:tc>
      </w:tr>
      <w:tr>
        <w:trPr>
          <w:trHeight w:val="20"/>
        </w:trPr>
        <w:tc>
          <w:tcPr>
            <w:tcW w:w="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3380" w:type="dxa"/>
            <w:vAlign w:val="bottom"/>
            <w:gridSpan w:val="14"/>
          </w:tcPr>
          <w:p>
            <w:pPr>
              <w:spacing w:after="0" w:line="20" w:lineRule="exact"/>
              <w:rPr>
                <w:sz w:val="1"/>
                <w:szCs w:val="1"/>
                <w:color w:val="auto"/>
              </w:rPr>
            </w:pPr>
          </w:p>
        </w:tc>
      </w:tr>
      <w:tr>
        <w:trPr>
          <w:trHeight w:val="250"/>
        </w:trPr>
        <w:tc>
          <w:tcPr>
            <w:tcW w:w="400" w:type="dxa"/>
            <w:vAlign w:val="bottom"/>
            <w:tcBorders>
              <w:bottom w:val="single" w:sz="8" w:color="0000FF"/>
            </w:tcBorders>
            <w:gridSpan w:val="4"/>
          </w:tcPr>
          <w:p>
            <w:pPr>
              <w:spacing w:after="0"/>
              <w:rPr>
                <w:rFonts w:ascii="Arial" w:cs="Arial" w:eastAsia="Arial" w:hAnsi="Arial"/>
                <w:sz w:val="18"/>
                <w:szCs w:val="18"/>
                <w:color w:val="0000FF"/>
                <w:w w:val="84"/>
              </w:rPr>
            </w:pPr>
            <w:hyperlink r:id="rId4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3"/>
          </w:tcPr>
          <w:p>
            <w:pPr>
              <w:spacing w:after="0"/>
              <w:rPr>
                <w:rFonts w:ascii="Arial" w:cs="Arial" w:eastAsia="Arial" w:hAnsi="Arial"/>
                <w:sz w:val="18"/>
                <w:szCs w:val="18"/>
                <w:color w:val="0000FF"/>
                <w:w w:val="96"/>
              </w:rPr>
            </w:pPr>
            <w:hyperlink r:id="rId44">
              <w:r>
                <w:rPr>
                  <w:rFonts w:ascii="Arial" w:cs="Arial" w:eastAsia="Arial" w:hAnsi="Arial"/>
                  <w:sz w:val="18"/>
                  <w:szCs w:val="18"/>
                  <w:color w:val="0000FF"/>
                  <w:w w:val="96"/>
                </w:rPr>
                <w:t>Registration Rights Agreement, dated March 2, 2007, by and among Energy Transfer Equity, L.P. and certain investors named therein</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23"/>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(incorporated by reference to Exhibit 99.1 of Form 8-K, File No. 1-32740, filed March 5, 2007)</w:t>
              </w:r>
            </w:hyperlink>
          </w:p>
        </w:tc>
      </w:tr>
      <w:tr>
        <w:trPr>
          <w:trHeight w:val="20"/>
        </w:trPr>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280" w:type="dxa"/>
            <w:vAlign w:val="bottom"/>
            <w:gridSpan w:val="8"/>
            <w:shd w:val="clear" w:color="auto" w:fill="0000FF"/>
          </w:tcPr>
          <w:p>
            <w:pPr>
              <w:spacing w:after="0" w:line="20" w:lineRule="exact"/>
              <w:rPr>
                <w:sz w:val="1"/>
                <w:szCs w:val="1"/>
                <w:color w:val="auto"/>
              </w:rPr>
            </w:pPr>
          </w:p>
        </w:tc>
        <w:tc>
          <w:tcPr>
            <w:tcW w:w="3380" w:type="dxa"/>
            <w:vAlign w:val="bottom"/>
            <w:gridSpan w:val="14"/>
          </w:tcPr>
          <w:p>
            <w:pPr>
              <w:spacing w:after="0" w:line="20" w:lineRule="exact"/>
              <w:rPr>
                <w:sz w:val="1"/>
                <w:szCs w:val="1"/>
                <w:color w:val="auto"/>
              </w:rPr>
            </w:pPr>
          </w:p>
        </w:tc>
      </w:tr>
      <w:tr>
        <w:trPr>
          <w:trHeight w:val="250"/>
        </w:trPr>
        <w:tc>
          <w:tcPr>
            <w:tcW w:w="400" w:type="dxa"/>
            <w:vAlign w:val="bottom"/>
            <w:tcBorders>
              <w:bottom w:val="single" w:sz="8" w:color="0000FF"/>
            </w:tcBorders>
            <w:gridSpan w:val="4"/>
          </w:tcPr>
          <w:p>
            <w:pPr>
              <w:spacing w:after="0"/>
              <w:rPr>
                <w:rFonts w:ascii="Arial" w:cs="Arial" w:eastAsia="Arial" w:hAnsi="Arial"/>
                <w:sz w:val="18"/>
                <w:szCs w:val="18"/>
                <w:color w:val="0000FF"/>
                <w:w w:val="84"/>
              </w:rPr>
            </w:pPr>
            <w:hyperlink r:id="rId4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3"/>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Unitholder Rights and Restrictions Agreement, dated as of May 7, 2007, by and among Energy Transfer Equity, L.P., Ray C. Davis, Natural</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45">
              <w:r>
                <w:rPr>
                  <w:rFonts w:ascii="Arial" w:cs="Arial" w:eastAsia="Arial" w:hAnsi="Arial"/>
                  <w:sz w:val="18"/>
                  <w:szCs w:val="18"/>
                  <w:color w:val="0000FF"/>
                  <w:w w:val="92"/>
                </w:rPr>
                <w:t>Gas Partners VI, L.P. and Enterprise GP Holdings, L.P. (incorporated by reference to Exhibit 10.45 of Form 8-K, File No. 1-32740, filed May</w:t>
              </w:r>
            </w:hyperlink>
          </w:p>
        </w:tc>
      </w:tr>
      <w:tr>
        <w:trPr>
          <w:trHeight w:val="196"/>
        </w:trPr>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7, 2007)</w:t>
              </w:r>
            </w:hyperlink>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0"/>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60" w:type="dxa"/>
            <w:vAlign w:val="bottom"/>
            <w:gridSpan w:val="5"/>
          </w:tcPr>
          <w:p>
            <w:pPr>
              <w:jc w:val="right"/>
              <w:ind w:right="680"/>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20"/>
          </w:cols>
          <w:pgMar w:left="240" w:top="118" w:right="3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100" w:type="dxa"/>
            <w:vAlign w:val="bottom"/>
          </w:tcPr>
          <w:p>
            <w:pPr>
              <w:spacing w:after="0"/>
              <w:rPr>
                <w:sz w:val="16"/>
                <w:szCs w:val="16"/>
                <w:color w:val="auto"/>
              </w:rPr>
            </w:pPr>
          </w:p>
        </w:tc>
        <w:tc>
          <w:tcPr>
            <w:tcW w:w="920" w:type="dxa"/>
            <w:vAlign w:val="bottom"/>
            <w:gridSpan w:val="4"/>
          </w:tcPr>
          <w:p>
            <w:pPr>
              <w:jc w:val="center"/>
              <w:ind w:right="280"/>
              <w:spacing w:after="0" w:line="194" w:lineRule="exact"/>
              <w:rPr>
                <w:sz w:val="20"/>
                <w:szCs w:val="20"/>
                <w:color w:val="auto"/>
              </w:rPr>
            </w:pPr>
            <w:r>
              <w:rPr>
                <w:rFonts w:ascii="Arial" w:cs="Arial" w:eastAsia="Arial" w:hAnsi="Arial"/>
                <w:sz w:val="18"/>
                <w:szCs w:val="18"/>
                <w:b w:val="1"/>
                <w:bCs w:val="1"/>
                <w:color w:val="auto"/>
                <w:w w:val="94"/>
              </w:rPr>
              <w:t>Number</w:t>
            </w:r>
          </w:p>
        </w:tc>
        <w:tc>
          <w:tcPr>
            <w:tcW w:w="10260" w:type="dxa"/>
            <w:vAlign w:val="bottom"/>
            <w:gridSpan w:val="22"/>
          </w:tcPr>
          <w:p>
            <w:pPr>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4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Letter Agreement, dated as of April 29, 2012, by and among Energy Transfer Partners, L.P. and Energy Transfer Equity, L.P. (incorporated by</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52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reference to Exhibit 10.1 of Form 8-K, File No. 1-32740, filed May 1, 2012)</w:t>
              </w:r>
            </w:hyperlink>
          </w:p>
        </w:tc>
        <w:tc>
          <w:tcPr>
            <w:tcW w:w="4740" w:type="dxa"/>
            <w:vAlign w:val="bottom"/>
            <w:gridSpan w:val="9"/>
          </w:tcPr>
          <w:p>
            <w:pPr>
              <w:spacing w:after="0"/>
              <w:rPr>
                <w:sz w:val="17"/>
                <w:szCs w:val="17"/>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4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13</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Shared Services Agreement dated as of August 26, 2005, by and between Energy Transfer Equity, L.P. and Energy Transfer Partners, L.P.</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(incorporated by reference to Exhibit 10.30 of Form S-1/A (333-128097) filed December 20, 2005)</w:t>
              </w:r>
            </w:hyperlink>
          </w:p>
        </w:tc>
        <w:tc>
          <w:tcPr>
            <w:tcW w:w="3100" w:type="dxa"/>
            <w:vAlign w:val="bottom"/>
            <w:gridSpan w:val="7"/>
          </w:tcPr>
          <w:p>
            <w:pPr>
              <w:spacing w:after="0"/>
              <w:rPr>
                <w:sz w:val="17"/>
                <w:szCs w:val="17"/>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4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Second Amendment, dated April 30, 2013, to the Shared Services Agreement dated as of August 26, 2005, as amended May 26, 2010, by and</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between Energy Transfer Equity, L.P. and Energy Transfer Partners, L.P.(incorporated by reference to Exhibit 10.2 of Form 8-K, File No. 1-</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0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32740, filed May 1, 2013)</w:t>
              </w:r>
            </w:hyperlink>
          </w:p>
        </w:tc>
        <w:tc>
          <w:tcPr>
            <w:tcW w:w="8360" w:type="dxa"/>
            <w:vAlign w:val="bottom"/>
            <w:gridSpan w:val="15"/>
          </w:tcPr>
          <w:p>
            <w:pPr>
              <w:spacing w:after="0"/>
              <w:rPr>
                <w:sz w:val="17"/>
                <w:szCs w:val="17"/>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4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15</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Third Amendment, dated February 19, 2014, to the Shared Services Agreement dated as of August 26, 2005, as amended May 26, 2010 and</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April 30, 2013 by and between Energy Transfer Equity, L.P. and Energy Transfer Partners, L.P. (incorporated by reference to Exhibit 10.1 of</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0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Form 8-K, File No. 1-32740, filed February 19, 2014)</w:t>
              </w:r>
            </w:hyperlink>
          </w:p>
        </w:tc>
        <w:tc>
          <w:tcPr>
            <w:tcW w:w="6360" w:type="dxa"/>
            <w:vAlign w:val="bottom"/>
            <w:gridSpan w:val="12"/>
          </w:tcPr>
          <w:p>
            <w:pPr>
              <w:spacing w:after="0"/>
              <w:rPr>
                <w:sz w:val="17"/>
                <w:szCs w:val="17"/>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16</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8"/>
              </w:rPr>
            </w:pPr>
            <w:hyperlink r:id="rId50">
              <w:r>
                <w:rPr>
                  <w:rFonts w:ascii="Arial" w:cs="Arial" w:eastAsia="Arial" w:hAnsi="Arial"/>
                  <w:sz w:val="18"/>
                  <w:szCs w:val="18"/>
                  <w:color w:val="0000FF"/>
                  <w:w w:val="98"/>
                </w:rPr>
                <w:t>Credit Agreement, dated as of March 24, 2017 among Energy Transfer Equity, L.P., Credit Suisse AG, Cayman Islands Branch, as</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administrative agent, and the other lenders party thereto (incorporated by reference to Exhibit 10.1 of Form 8-K, File No. 1-32740, filed</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2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March 30, 2017)</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0" w:type="dxa"/>
            <w:vAlign w:val="bottom"/>
            <w:gridSpan w:val="2"/>
          </w:tcPr>
          <w:p>
            <w:pPr>
              <w:spacing w:after="0"/>
              <w:rPr>
                <w:rFonts w:ascii="Arial" w:cs="Arial" w:eastAsia="Arial" w:hAnsi="Arial"/>
                <w:sz w:val="18"/>
                <w:szCs w:val="18"/>
                <w:color w:val="0000FF"/>
                <w:w w:val="84"/>
              </w:rPr>
            </w:pPr>
            <w:hyperlink r:id="rId5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17</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rPr>
            </w:pPr>
            <w:hyperlink r:id="rId51">
              <w:r>
                <w:rPr>
                  <w:rFonts w:ascii="Arial" w:cs="Arial" w:eastAsia="Arial" w:hAnsi="Arial"/>
                  <w:sz w:val="18"/>
                  <w:szCs w:val="18"/>
                  <w:color w:val="0000FF"/>
                </w:rPr>
                <w:t>Class D Unit Agreement (incorporated by reference to Exhibit 10.1 of Form 8-K, File No. 1-32740, filed December 27, 2013)</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4"/>
          </w:tcPr>
          <w:p>
            <w:pPr>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Retention Agreement, by and among Energy Transfer Equity, L.P. and Thomas P. Mason, dated February 24, 2016 (incorporated by reference</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to Exhibit 10.21 of Form 10-K, File No. 1-32740, filed February 29, 2016)</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4"/>
              </w:rPr>
            </w:pPr>
            <w:hyperlink r:id="rId53">
              <w:r>
                <w:rPr>
                  <w:rFonts w:ascii="Arial" w:cs="Arial" w:eastAsia="Arial" w:hAnsi="Arial"/>
                  <w:sz w:val="18"/>
                  <w:szCs w:val="18"/>
                  <w:color w:val="0000FF"/>
                  <w:w w:val="94"/>
                </w:rPr>
                <w:t>Senior Secured Term Loan Agreement, dated February 2, 2017 among Energy Transfer Equity, L.P., Credit Suisse AG, Cayman Islands</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Branch, as administrative agent, and the other lenders party hereto (incorporated by reference to Exhibit 10.1 of Form 8-K, File No. 1-32740,</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filed February 3, 2017)</w:t>
              </w:r>
            </w:hyperlink>
          </w:p>
        </w:tc>
        <w:tc>
          <w:tcPr>
            <w:tcW w:w="8580" w:type="dxa"/>
            <w:vAlign w:val="bottom"/>
            <w:gridSpan w:val="17"/>
          </w:tcPr>
          <w:p>
            <w:pPr>
              <w:spacing w:after="0"/>
              <w:rPr>
                <w:sz w:val="17"/>
                <w:szCs w:val="17"/>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Equity Restructuring Agreement, dated as of January 15, 2018, by and among Energy Transfer Equity, L.P., USA Compression Partners, LP</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22"/>
          </w:tcPr>
          <w:p>
            <w:pPr>
              <w:spacing w:after="0" w:line="196" w:lineRule="exact"/>
              <w:rPr>
                <w:rFonts w:ascii="Arial" w:cs="Arial" w:eastAsia="Arial" w:hAnsi="Arial"/>
                <w:sz w:val="18"/>
                <w:szCs w:val="18"/>
                <w:color w:val="0000FF"/>
                <w:w w:val="96"/>
              </w:rPr>
            </w:pPr>
            <w:hyperlink r:id="rId54">
              <w:r>
                <w:rPr>
                  <w:rFonts w:ascii="Arial" w:cs="Arial" w:eastAsia="Arial" w:hAnsi="Arial"/>
                  <w:sz w:val="18"/>
                  <w:szCs w:val="18"/>
                  <w:color w:val="0000FF"/>
                  <w:w w:val="96"/>
                </w:rPr>
                <w:t>and USA Compression GP, LLC. (incorporated by reference to Exhibit 10.1 to the Current Report on Form 8-K filed January 16, 2018)</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21</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Registration Rights Agreement, dated as of April 2, 2018, by and among Energy Transfer Partners, L.P., Energy Transfer Equity, L.P., USA</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Compression Partners, LP and USA Compression Holdings, LLC. (incorporated by reference to Exhibit 10.1 to the Current Report on Form</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22"/>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8-K filed April 3, 2018)</w:t>
              </w:r>
            </w:hyperlink>
          </w:p>
        </w:tc>
      </w:tr>
      <w:tr>
        <w:trPr>
          <w:trHeight w:val="20"/>
        </w:trPr>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4"/>
          </w:tcPr>
          <w:p>
            <w:pPr>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Amended and Restated Energy Transfer Partners, L.L.C. Annual Bonus Plan (incorporated by reference to Exhibit 10.2 of Form 10-Q, File</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No. 1-32740, filed August, 9 2018)</w:t>
              </w:r>
            </w:hyperlink>
          </w:p>
        </w:tc>
      </w:tr>
      <w:tr>
        <w:trPr>
          <w:trHeight w:val="20"/>
        </w:trPr>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4"/>
          </w:tcPr>
          <w:p>
            <w:pPr>
              <w:spacing w:after="0"/>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Energy Transfer LP Annual Bonus Plan (incorporated by reference to Exhibit 10.23 of Form 10-K, File No. 1-32740, filed February 22, 2019)</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24</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Support Agreement, dated September 15, 2019, between Energy Transfer LP, Nautilus Merger Sub LLC, WP SemGroup Holdco LLC and</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SemGroup Corporation (incorporated by reference to Exhibit 10.1 of Form 8-K, File No. 1-32740, filed September 15, 2019)</w:t>
              </w:r>
            </w:hyperlink>
          </w:p>
        </w:tc>
        <w:tc>
          <w:tcPr>
            <w:tcW w:w="1200" w:type="dxa"/>
            <w:vAlign w:val="bottom"/>
            <w:gridSpan w:val="4"/>
          </w:tcPr>
          <w:p>
            <w:pPr>
              <w:spacing w:after="0"/>
              <w:rPr>
                <w:sz w:val="17"/>
                <w:szCs w:val="17"/>
                <w:color w:val="auto"/>
              </w:rPr>
            </w:pPr>
          </w:p>
        </w:tc>
      </w:tr>
      <w:tr>
        <w:trPr>
          <w:trHeight w:val="250"/>
        </w:trPr>
        <w:tc>
          <w:tcPr>
            <w:tcW w:w="400" w:type="dxa"/>
            <w:vAlign w:val="bottom"/>
            <w:tcBorders>
              <w:bottom w:val="single" w:sz="8" w:color="0000FF"/>
            </w:tcBorders>
            <w:gridSpan w:val="2"/>
          </w:tcPr>
          <w:p>
            <w:pPr>
              <w:spacing w:after="0"/>
              <w:rPr>
                <w:rFonts w:ascii="Arial" w:cs="Arial" w:eastAsia="Arial" w:hAnsi="Arial"/>
                <w:sz w:val="18"/>
                <w:szCs w:val="18"/>
                <w:color w:val="0000FF"/>
                <w:w w:val="84"/>
              </w:rPr>
            </w:pPr>
            <w:hyperlink r:id="rId5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25</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tcBorders>
              <w:bottom w:val="single" w:sz="8" w:color="0000FF"/>
            </w:tcBorders>
            <w:gridSpan w:val="22"/>
          </w:tcPr>
          <w:p>
            <w:pPr>
              <w:spacing w:after="0"/>
              <w:rPr>
                <w:rFonts w:ascii="Arial" w:cs="Arial" w:eastAsia="Arial" w:hAnsi="Arial"/>
                <w:sz w:val="18"/>
                <w:szCs w:val="18"/>
                <w:color w:val="0000FF"/>
                <w:w w:val="95"/>
              </w:rPr>
            </w:pPr>
            <w:hyperlink r:id="rId59">
              <w:r>
                <w:rPr>
                  <w:rFonts w:ascii="Arial" w:cs="Arial" w:eastAsia="Arial" w:hAnsi="Arial"/>
                  <w:sz w:val="18"/>
                  <w:szCs w:val="18"/>
                  <w:color w:val="0000FF"/>
                  <w:w w:val="95"/>
                </w:rPr>
                <w:t>Term Loan Credit Agreement dated as of October 17, 2019 among Energy Transfer Operating, L.P., Toronto Dominion (Texas) LLC, as</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Administrative Agent, the other lenders party thereto and the other parties named therein (incorporated by reference to Exhibit 10.1 to the</w:t>
              </w:r>
            </w:hyperlink>
          </w:p>
        </w:tc>
      </w:tr>
      <w:tr>
        <w:trPr>
          <w:trHeight w:val="196"/>
        </w:trPr>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60" w:type="dxa"/>
            <w:vAlign w:val="bottom"/>
            <w:gridSpan w:val="22"/>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Current Report on Form 8-K filed October 18, 2019)</w:t>
              </w:r>
            </w:hyperlink>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r>
      <w:tr>
        <w:trPr>
          <w:trHeight w:val="250"/>
        </w:trPr>
        <w:tc>
          <w:tcPr>
            <w:tcW w:w="400" w:type="dxa"/>
            <w:vAlign w:val="bottom"/>
            <w:gridSpan w:val="2"/>
          </w:tcPr>
          <w:p>
            <w:pPr>
              <w:spacing w:after="0"/>
              <w:rPr>
                <w:rFonts w:ascii="Arial" w:cs="Arial" w:eastAsia="Arial" w:hAnsi="Arial"/>
                <w:sz w:val="18"/>
                <w:szCs w:val="18"/>
                <w:color w:val="0000FF"/>
                <w:w w:val="84"/>
              </w:rPr>
            </w:pPr>
            <w:hyperlink r:id="rId6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26</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w w:val="97"/>
              </w:rPr>
            </w:pPr>
            <w:hyperlink r:id="rId60">
              <w:r>
                <w:rPr>
                  <w:rFonts w:ascii="Arial" w:cs="Arial" w:eastAsia="Arial" w:hAnsi="Arial"/>
                  <w:sz w:val="18"/>
                  <w:szCs w:val="18"/>
                  <w:color w:val="0000FF"/>
                  <w:w w:val="97"/>
                </w:rPr>
                <w:t>Guaranty dated as of October 17, 2019 between Sunoco Logistics Partners Operations L.P. and Toronto Dominion (Texas) LLC, as</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Administrative Agent (incorporated by reference to Exhibit 10.2 to the Current Report on Form 8-K filed October 18, 2019)</w:t>
              </w:r>
            </w:hyperlink>
          </w:p>
        </w:tc>
        <w:tc>
          <w:tcPr>
            <w:tcW w:w="480" w:type="dxa"/>
            <w:vAlign w:val="bottom"/>
            <w:tcBorders>
              <w:top w:val="single" w:sz="8" w:color="0000FF"/>
            </w:tcBorders>
            <w:gridSpan w:val="2"/>
          </w:tcPr>
          <w:p>
            <w:pPr>
              <w:spacing w:after="0"/>
              <w:rPr>
                <w:sz w:val="17"/>
                <w:szCs w:val="17"/>
                <w:color w:val="auto"/>
              </w:rPr>
            </w:pPr>
          </w:p>
        </w:tc>
        <w:tc>
          <w:tcPr>
            <w:tcW w:w="840" w:type="dxa"/>
            <w:vAlign w:val="bottom"/>
            <w:gridSpan w:val="3"/>
          </w:tcPr>
          <w:p>
            <w:pPr>
              <w:spacing w:after="0"/>
              <w:rPr>
                <w:sz w:val="17"/>
                <w:szCs w:val="17"/>
                <w:color w:val="auto"/>
              </w:rPr>
            </w:pPr>
          </w:p>
        </w:tc>
      </w:tr>
      <w:tr>
        <w:trPr>
          <w:trHeight w:val="385"/>
        </w:trPr>
        <w:tc>
          <w:tcPr>
            <w:tcW w:w="400" w:type="dxa"/>
            <w:vAlign w:val="bottom"/>
            <w:gridSpan w:val="2"/>
          </w:tcPr>
          <w:p>
            <w:pPr>
              <w:spacing w:after="0"/>
              <w:rPr>
                <w:rFonts w:ascii="Arial" w:cs="Arial" w:eastAsia="Arial" w:hAnsi="Arial"/>
                <w:sz w:val="18"/>
                <w:szCs w:val="18"/>
                <w:color w:val="0000FF"/>
                <w:w w:val="90"/>
              </w:rPr>
            </w:pPr>
            <w:hyperlink w:anchor="page280">
              <w:r>
                <w:rPr>
                  <w:rFonts w:ascii="Arial" w:cs="Arial" w:eastAsia="Arial" w:hAnsi="Arial"/>
                  <w:sz w:val="18"/>
                  <w:szCs w:val="18"/>
                  <w:color w:val="0000FF"/>
                  <w:w w:val="90"/>
                </w:rPr>
                <w:t>21.</w:t>
              </w:r>
              <w:r>
                <w:rPr>
                  <w:rFonts w:ascii="Arial" w:cs="Arial" w:eastAsia="Arial" w:hAnsi="Arial"/>
                  <w:sz w:val="18"/>
                  <w:szCs w:val="18"/>
                  <w:u w:val="single" w:color="auto"/>
                  <w:color w:val="0000FF"/>
                  <w:w w:val="90"/>
                </w:rPr>
                <w:t>1*</w:t>
              </w:r>
            </w:hyperlink>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22"/>
          </w:tcPr>
          <w:p>
            <w:pPr>
              <w:spacing w:after="0"/>
              <w:rPr>
                <w:rFonts w:ascii="Arial" w:cs="Arial" w:eastAsia="Arial" w:hAnsi="Arial"/>
                <w:sz w:val="18"/>
                <w:szCs w:val="18"/>
                <w:color w:val="0000FF"/>
              </w:rPr>
            </w:pPr>
            <w:hyperlink w:anchor="page280">
              <w:r>
                <w:rPr>
                  <w:rFonts w:ascii="Arial" w:cs="Arial" w:eastAsia="Arial" w:hAnsi="Arial"/>
                  <w:sz w:val="18"/>
                  <w:szCs w:val="18"/>
                  <w:color w:val="0000FF"/>
                </w:rPr>
                <w:t>List of Subsidiaries</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r>
      <w:tr>
        <w:trPr>
          <w:trHeight w:val="250"/>
        </w:trPr>
        <w:tc>
          <w:tcPr>
            <w:tcW w:w="400" w:type="dxa"/>
            <w:vAlign w:val="bottom"/>
            <w:gridSpan w:val="2"/>
          </w:tcPr>
          <w:p>
            <w:pPr>
              <w:spacing w:after="0"/>
              <w:rPr>
                <w:rFonts w:ascii="Arial" w:cs="Arial" w:eastAsia="Arial" w:hAnsi="Arial"/>
                <w:sz w:val="18"/>
                <w:szCs w:val="18"/>
                <w:color w:val="0000FF"/>
                <w:w w:val="90"/>
              </w:rPr>
            </w:pPr>
            <w:hyperlink w:anchor="page291">
              <w:r>
                <w:rPr>
                  <w:rFonts w:ascii="Arial" w:cs="Arial" w:eastAsia="Arial" w:hAnsi="Arial"/>
                  <w:sz w:val="18"/>
                  <w:szCs w:val="18"/>
                  <w:color w:val="0000FF"/>
                  <w:w w:val="90"/>
                </w:rPr>
                <w:t>23.</w:t>
              </w:r>
              <w:r>
                <w:rPr>
                  <w:rFonts w:ascii="Arial" w:cs="Arial" w:eastAsia="Arial" w:hAnsi="Arial"/>
                  <w:sz w:val="18"/>
                  <w:szCs w:val="18"/>
                  <w:u w:val="single" w:color="auto"/>
                  <w:color w:val="0000FF"/>
                  <w:w w:val="90"/>
                </w:rPr>
                <w:t>1*</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rPr>
            </w:pPr>
            <w:hyperlink w:anchor="page291">
              <w:r>
                <w:rPr>
                  <w:rFonts w:ascii="Arial" w:cs="Arial" w:eastAsia="Arial" w:hAnsi="Arial"/>
                  <w:sz w:val="18"/>
                  <w:szCs w:val="18"/>
                  <w:color w:val="0000FF"/>
                </w:rPr>
                <w:t>Consent of Grant Thornton LLP related to Energy Transfer LP</w:t>
              </w:r>
            </w:hyperlink>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140" w:type="dxa"/>
            <w:vAlign w:val="bottom"/>
            <w:gridSpan w:val="10"/>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r>
      <w:tr>
        <w:trPr>
          <w:trHeight w:val="250"/>
        </w:trPr>
        <w:tc>
          <w:tcPr>
            <w:tcW w:w="400" w:type="dxa"/>
            <w:vAlign w:val="bottom"/>
            <w:gridSpan w:val="2"/>
          </w:tcPr>
          <w:p>
            <w:pPr>
              <w:spacing w:after="0"/>
              <w:rPr>
                <w:rFonts w:ascii="Arial" w:cs="Arial" w:eastAsia="Arial" w:hAnsi="Arial"/>
                <w:sz w:val="18"/>
                <w:szCs w:val="18"/>
                <w:color w:val="0000FF"/>
                <w:w w:val="90"/>
              </w:rPr>
            </w:pPr>
            <w:hyperlink w:anchor="page292">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rPr>
            </w:pPr>
            <w:hyperlink w:anchor="page292">
              <w:r>
                <w:rPr>
                  <w:rFonts w:ascii="Arial" w:cs="Arial" w:eastAsia="Arial" w:hAnsi="Arial"/>
                  <w:sz w:val="18"/>
                  <w:szCs w:val="18"/>
                  <w:color w:val="0000FF"/>
                </w:rPr>
                <w:t>Certification of Chief Executive Officer pursuant to Section 302 of the Sarbanes-Oxley Act of 2002</w:t>
              </w:r>
            </w:hyperlink>
          </w:p>
        </w:tc>
      </w:tr>
      <w:tr>
        <w:trPr>
          <w:trHeight w:val="250"/>
        </w:trPr>
        <w:tc>
          <w:tcPr>
            <w:tcW w:w="4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0"/>
              </w:rPr>
            </w:pPr>
            <w:hyperlink w:anchor="page293">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1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293">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gridSpan w:val="2"/>
          </w:tcPr>
          <w:p>
            <w:pPr>
              <w:spacing w:after="0"/>
              <w:rPr>
                <w:sz w:val="21"/>
                <w:szCs w:val="21"/>
                <w:color w:val="auto"/>
              </w:rPr>
            </w:pPr>
          </w:p>
        </w:tc>
        <w:tc>
          <w:tcPr>
            <w:tcW w:w="3080" w:type="dxa"/>
            <w:vAlign w:val="bottom"/>
            <w:gridSpan w:val="6"/>
          </w:tcPr>
          <w:p>
            <w:pPr>
              <w:spacing w:after="0"/>
              <w:rPr>
                <w:sz w:val="21"/>
                <w:szCs w:val="21"/>
                <w:color w:val="auto"/>
              </w:rPr>
            </w:pPr>
          </w:p>
        </w:tc>
      </w:tr>
      <w:tr>
        <w:trPr>
          <w:trHeight w:val="250"/>
        </w:trPr>
        <w:tc>
          <w:tcPr>
            <w:tcW w:w="500" w:type="dxa"/>
            <w:vAlign w:val="bottom"/>
            <w:gridSpan w:val="3"/>
          </w:tcPr>
          <w:p>
            <w:pPr>
              <w:spacing w:after="0"/>
              <w:rPr>
                <w:rFonts w:ascii="Arial" w:cs="Arial" w:eastAsia="Arial" w:hAnsi="Arial"/>
                <w:sz w:val="18"/>
                <w:szCs w:val="18"/>
                <w:color w:val="0000FF"/>
                <w:w w:val="93"/>
              </w:rPr>
            </w:pPr>
            <w:hyperlink w:anchor="page294">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1**</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w w:val="91"/>
              </w:rPr>
            </w:pPr>
            <w:hyperlink w:anchor="page294">
              <w:r>
                <w:rPr>
                  <w:rFonts w:ascii="Arial" w:cs="Arial" w:eastAsia="Arial" w:hAnsi="Arial"/>
                  <w:sz w:val="18"/>
                  <w:szCs w:val="18"/>
                  <w:color w:val="0000FF"/>
                  <w:w w:val="91"/>
                </w:rPr>
                <w:t>Certification of Chief Executive Officer pursuant to 18 U.S.C. Section 1350, as adopted pursuant to Section 906 of the Sarbanes-Oxley Act of</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294">
              <w:r>
                <w:rPr>
                  <w:rFonts w:ascii="Arial" w:cs="Arial" w:eastAsia="Arial" w:hAnsi="Arial"/>
                  <w:sz w:val="18"/>
                  <w:szCs w:val="18"/>
                  <w:color w:val="0000FF"/>
                  <w:w w:val="84"/>
                </w:rPr>
                <w:t>2002</w:t>
              </w:r>
            </w:hyperlink>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r>
      <w:tr>
        <w:trPr>
          <w:trHeight w:val="250"/>
        </w:trPr>
        <w:tc>
          <w:tcPr>
            <w:tcW w:w="500" w:type="dxa"/>
            <w:vAlign w:val="bottom"/>
            <w:gridSpan w:val="3"/>
          </w:tcPr>
          <w:p>
            <w:pPr>
              <w:spacing w:after="0"/>
              <w:rPr>
                <w:rFonts w:ascii="Arial" w:cs="Arial" w:eastAsia="Arial" w:hAnsi="Arial"/>
                <w:sz w:val="18"/>
                <w:szCs w:val="18"/>
                <w:color w:val="0000FF"/>
                <w:w w:val="93"/>
              </w:rPr>
            </w:pPr>
            <w:hyperlink w:anchor="page295">
              <w:r>
                <w:rPr>
                  <w:rFonts w:ascii="Arial" w:cs="Arial" w:eastAsia="Arial" w:hAnsi="Arial"/>
                  <w:sz w:val="18"/>
                  <w:szCs w:val="18"/>
                  <w:color w:val="0000FF"/>
                  <w:w w:val="93"/>
                </w:rPr>
                <w:t>32.</w:t>
              </w:r>
              <w:r>
                <w:rPr>
                  <w:rFonts w:ascii="Arial" w:cs="Arial" w:eastAsia="Arial" w:hAnsi="Arial"/>
                  <w:sz w:val="18"/>
                  <w:szCs w:val="18"/>
                  <w:u w:val="single" w:color="auto"/>
                  <w:color w:val="0000FF"/>
                  <w:w w:val="93"/>
                </w:rPr>
                <w:t>2**</w:t>
              </w:r>
            </w:hyperlink>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60" w:type="dxa"/>
            <w:vAlign w:val="bottom"/>
            <w:gridSpan w:val="22"/>
          </w:tcPr>
          <w:p>
            <w:pPr>
              <w:spacing w:after="0"/>
              <w:rPr>
                <w:rFonts w:ascii="Arial" w:cs="Arial" w:eastAsia="Arial" w:hAnsi="Arial"/>
                <w:sz w:val="18"/>
                <w:szCs w:val="18"/>
                <w:color w:val="0000FF"/>
                <w:w w:val="93"/>
              </w:rPr>
            </w:pPr>
            <w:hyperlink w:anchor="page295">
              <w:r>
                <w:rPr>
                  <w:rFonts w:ascii="Arial" w:cs="Arial" w:eastAsia="Arial" w:hAnsi="Arial"/>
                  <w:sz w:val="18"/>
                  <w:szCs w:val="18"/>
                  <w:color w:val="0000FF"/>
                  <w:w w:val="93"/>
                </w:rPr>
                <w:t>Certification Chief Financial Officer pursuant to 18 U.S.C. Section 1350, as adopted pursuant to Section 906 of the Sarbanes-Oxley Act of</w:t>
              </w:r>
            </w:hyperlink>
          </w:p>
        </w:tc>
      </w:tr>
      <w:tr>
        <w:trPr>
          <w:trHeight w:val="196"/>
        </w:trPr>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w:anchor="page295">
              <w:r>
                <w:rPr>
                  <w:rFonts w:ascii="Arial" w:cs="Arial" w:eastAsia="Arial" w:hAnsi="Arial"/>
                  <w:sz w:val="18"/>
                  <w:szCs w:val="18"/>
                  <w:color w:val="0000FF"/>
                  <w:w w:val="84"/>
                </w:rPr>
                <w:t>2002</w:t>
              </w:r>
            </w:hyperlink>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r>
      <w:tr>
        <w:trPr>
          <w:trHeight w:val="276"/>
        </w:trPr>
        <w:tc>
          <w:tcPr>
            <w:tcW w:w="40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auto"/>
                <w:w w:val="90"/>
              </w:rPr>
              <w:t>Interactive data files pursuant to Rule 405 of Regulation S-T: (i) our Consolidated Balance Sheets as of December 31, 2019 and December 31,</w:t>
            </w:r>
          </w:p>
        </w:tc>
      </w:tr>
      <w:tr>
        <w:trPr>
          <w:trHeight w:val="216"/>
        </w:trPr>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auto"/>
                <w:w w:val="97"/>
              </w:rPr>
              <w:t>2018; (ii) our Consolidated Statements of Operations for the years ended December 31, 2019, 2018 and 2017; (iii) our Consolidated</w:t>
            </w:r>
          </w:p>
        </w:tc>
      </w:tr>
      <w:tr>
        <w:trPr>
          <w:trHeight w:val="230"/>
        </w:trPr>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60" w:type="dxa"/>
            <w:vAlign w:val="bottom"/>
            <w:gridSpan w:val="22"/>
          </w:tcPr>
          <w:p>
            <w:pPr>
              <w:spacing w:after="0"/>
              <w:rPr>
                <w:sz w:val="20"/>
                <w:szCs w:val="20"/>
                <w:color w:val="auto"/>
              </w:rPr>
            </w:pPr>
            <w:r>
              <w:rPr>
                <w:rFonts w:ascii="Arial" w:cs="Arial" w:eastAsia="Arial" w:hAnsi="Arial"/>
                <w:sz w:val="18"/>
                <w:szCs w:val="18"/>
                <w:color w:val="auto"/>
                <w:w w:val="91"/>
              </w:rPr>
              <w:t>Statements of Comprehensive Income for years ended December 31, 2019, 2018 and 2017; (iv) our Consolidated Statement of Equity for the</w:t>
            </w:r>
          </w:p>
        </w:tc>
      </w:tr>
    </w:tbl>
    <w:p>
      <w:pPr>
        <w:ind w:left="1060"/>
        <w:spacing w:after="0" w:line="261" w:lineRule="auto"/>
        <w:rPr>
          <w:sz w:val="20"/>
          <w:szCs w:val="20"/>
          <w:color w:val="auto"/>
        </w:rPr>
      </w:pPr>
      <w:r>
        <w:rPr>
          <w:rFonts w:ascii="Arial" w:cs="Arial" w:eastAsia="Arial" w:hAnsi="Arial"/>
          <w:sz w:val="18"/>
          <w:szCs w:val="18"/>
          <w:color w:val="auto"/>
        </w:rPr>
        <w:t>years ended December 31, 2019, 2018 and 2017; and (v) our Consolidated Statements of Cash Flows for the years ended December 31, 2019, 2018 and 2017</w:t>
      </w:r>
    </w:p>
    <w:p>
      <w:pPr>
        <w:spacing w:after="0" w:line="22" w:lineRule="exact"/>
        <w:rPr>
          <w:sz w:val="20"/>
          <w:szCs w:val="20"/>
          <w:color w:val="auto"/>
        </w:rPr>
      </w:pPr>
    </w:p>
    <w:p>
      <w:pPr>
        <w:ind w:left="5580" w:right="4480" w:hanging="5545"/>
        <w:spacing w:after="0" w:line="559" w:lineRule="auto"/>
        <w:tabs>
          <w:tab w:leader="none" w:pos="10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158</w:t>
      </w:r>
    </w:p>
    <w:p>
      <w:pPr>
        <w:sectPr>
          <w:pgSz w:w="11900" w:h="16838" w:orient="portrait"/>
          <w:cols w:equalWidth="0" w:num="1">
            <w:col w:w="11320"/>
          </w:cols>
          <w:pgMar w:left="240" w:top="118" w:right="33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1080" w:hanging="1018"/>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080" w:hanging="1018"/>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5580" w:right="4039" w:hanging="5518"/>
        <w:spacing w:after="0" w:line="941" w:lineRule="auto"/>
        <w:tabs>
          <w:tab w:leader="none" w:pos="108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 159</w:t>
      </w:r>
    </w:p>
    <w:p>
      <w:pPr>
        <w:sectPr>
          <w:pgSz w:w="11900" w:h="16838" w:orient="portrait"/>
          <w:cols w:equalWidth="0" w:num="1">
            <w:col w:w="10219"/>
          </w:cols>
          <w:pgMar w:left="240" w:top="118" w:right="1440"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8120" w:type="dxa"/>
            <w:vAlign w:val="bottom"/>
            <w:gridSpan w:val="2"/>
          </w:tcPr>
          <w:p>
            <w:pPr>
              <w:ind w:left="1160"/>
              <w:spacing w:after="0"/>
              <w:rPr>
                <w:sz w:val="20"/>
                <w:szCs w:val="20"/>
                <w:color w:val="auto"/>
              </w:rPr>
            </w:pPr>
            <w:r>
              <w:rPr>
                <w:rFonts w:ascii="Arial" w:cs="Arial" w:eastAsia="Arial" w:hAnsi="Arial"/>
                <w:sz w:val="18"/>
                <w:szCs w:val="18"/>
                <w:color w:val="auto"/>
              </w:rPr>
              <w:t>ENERGY TRANSFER LP</w:t>
            </w:r>
          </w:p>
        </w:tc>
      </w:tr>
      <w:tr>
        <w:trPr>
          <w:trHeight w:val="594"/>
        </w:trPr>
        <w:tc>
          <w:tcPr>
            <w:tcW w:w="3160" w:type="dxa"/>
            <w:vAlign w:val="bottom"/>
          </w:tcPr>
          <w:p>
            <w:pPr>
              <w:spacing w:after="0"/>
              <w:rPr>
                <w:sz w:val="24"/>
                <w:szCs w:val="24"/>
                <w:color w:val="auto"/>
              </w:rPr>
            </w:pPr>
          </w:p>
        </w:tc>
        <w:tc>
          <w:tcPr>
            <w:tcW w:w="1680" w:type="dxa"/>
            <w:vAlign w:val="bottom"/>
          </w:tcPr>
          <w:p>
            <w:pPr>
              <w:ind w:left="1160"/>
              <w:spacing w:after="0"/>
              <w:rPr>
                <w:sz w:val="20"/>
                <w:szCs w:val="20"/>
                <w:color w:val="auto"/>
              </w:rPr>
            </w:pPr>
            <w:r>
              <w:rPr>
                <w:rFonts w:ascii="Arial" w:cs="Arial" w:eastAsia="Arial" w:hAnsi="Arial"/>
                <w:sz w:val="18"/>
                <w:szCs w:val="18"/>
                <w:color w:val="auto"/>
              </w:rPr>
              <w:t>By:</w:t>
            </w:r>
          </w:p>
        </w:tc>
        <w:tc>
          <w:tcPr>
            <w:tcW w:w="6440" w:type="dxa"/>
            <w:vAlign w:val="bottom"/>
          </w:tcPr>
          <w:p>
            <w:pPr>
              <w:ind w:left="40"/>
              <w:spacing w:after="0"/>
              <w:rPr>
                <w:sz w:val="20"/>
                <w:szCs w:val="20"/>
                <w:color w:val="auto"/>
              </w:rPr>
            </w:pPr>
            <w:r>
              <w:rPr>
                <w:rFonts w:ascii="Arial" w:cs="Arial" w:eastAsia="Arial" w:hAnsi="Arial"/>
                <w:sz w:val="18"/>
                <w:szCs w:val="18"/>
                <w:color w:val="auto"/>
              </w:rPr>
              <w:t>LE GP, LLC, its general partner</w:t>
            </w:r>
          </w:p>
        </w:tc>
      </w:tr>
      <w:tr>
        <w:trPr>
          <w:trHeight w:val="864"/>
        </w:trPr>
        <w:tc>
          <w:tcPr>
            <w:tcW w:w="3160" w:type="dxa"/>
            <w:vAlign w:val="bottom"/>
          </w:tcPr>
          <w:p>
            <w:pPr>
              <w:spacing w:after="0"/>
              <w:rPr>
                <w:sz w:val="20"/>
                <w:szCs w:val="20"/>
                <w:color w:val="auto"/>
              </w:rPr>
            </w:pPr>
            <w:r>
              <w:rPr>
                <w:rFonts w:ascii="Arial" w:cs="Arial" w:eastAsia="Arial" w:hAnsi="Arial"/>
                <w:sz w:val="18"/>
                <w:szCs w:val="18"/>
                <w:color w:val="auto"/>
              </w:rPr>
              <w:t>Date:    February 21, 2020</w:t>
            </w:r>
          </w:p>
        </w:tc>
        <w:tc>
          <w:tcPr>
            <w:tcW w:w="1680" w:type="dxa"/>
            <w:vAlign w:val="bottom"/>
          </w:tcPr>
          <w:p>
            <w:pPr>
              <w:ind w:left="1160"/>
              <w:spacing w:after="0"/>
              <w:rPr>
                <w:sz w:val="20"/>
                <w:szCs w:val="20"/>
                <w:color w:val="auto"/>
              </w:rPr>
            </w:pPr>
            <w:r>
              <w:rPr>
                <w:rFonts w:ascii="Arial" w:cs="Arial" w:eastAsia="Arial" w:hAnsi="Arial"/>
                <w:sz w:val="18"/>
                <w:szCs w:val="18"/>
                <w:color w:val="auto"/>
              </w:rPr>
              <w:t>By:</w:t>
            </w:r>
          </w:p>
        </w:tc>
        <w:tc>
          <w:tcPr>
            <w:tcW w:w="6440" w:type="dxa"/>
            <w:vAlign w:val="bottom"/>
          </w:tcPr>
          <w:p>
            <w:pPr>
              <w:ind w:left="40"/>
              <w:spacing w:after="0"/>
              <w:rPr>
                <w:sz w:val="20"/>
                <w:szCs w:val="20"/>
                <w:color w:val="auto"/>
              </w:rPr>
            </w:pPr>
            <w:r>
              <w:rPr>
                <w:rFonts w:ascii="Arial" w:cs="Arial" w:eastAsia="Arial" w:hAnsi="Arial"/>
                <w:sz w:val="18"/>
                <w:szCs w:val="18"/>
                <w:color w:val="auto"/>
              </w:rPr>
              <w:t>/s/ A. Troy Sturrock</w:t>
            </w:r>
          </w:p>
        </w:tc>
      </w:tr>
      <w:tr>
        <w:trPr>
          <w:trHeight w:val="27"/>
        </w:trPr>
        <w:tc>
          <w:tcPr>
            <w:tcW w:w="3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40" w:type="dxa"/>
            <w:vAlign w:val="bottom"/>
          </w:tcPr>
          <w:p>
            <w:pPr>
              <w:ind w:left="40"/>
              <w:spacing w:after="0"/>
              <w:rPr>
                <w:sz w:val="20"/>
                <w:szCs w:val="20"/>
                <w:color w:val="auto"/>
              </w:rPr>
            </w:pPr>
            <w:r>
              <w:rPr>
                <w:rFonts w:ascii="Arial" w:cs="Arial" w:eastAsia="Arial" w:hAnsi="Arial"/>
                <w:sz w:val="18"/>
                <w:szCs w:val="18"/>
                <w:color w:val="auto"/>
              </w:rPr>
              <w:t>A. Troy Sturrock</w:t>
            </w:r>
          </w:p>
        </w:tc>
      </w:tr>
    </w:tbl>
    <w:p>
      <w:pPr>
        <w:spacing w:after="0" w:line="4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 Controller and Principal Accounting</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Officer (duly authorized to sign on behalf of the registrant)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3940" w:type="dxa"/>
            <w:vAlign w:val="bottom"/>
          </w:tcPr>
          <w:p>
            <w:pPr>
              <w:ind w:left="1480"/>
              <w:spacing w:after="0"/>
              <w:rPr>
                <w:sz w:val="20"/>
                <w:szCs w:val="20"/>
                <w:color w:val="auto"/>
              </w:rPr>
            </w:pPr>
            <w:r>
              <w:rPr>
                <w:rFonts w:ascii="Arial" w:cs="Arial" w:eastAsia="Arial" w:hAnsi="Arial"/>
                <w:sz w:val="18"/>
                <w:szCs w:val="18"/>
                <w:color w:val="auto"/>
              </w:rPr>
              <w:t>Signature</w:t>
            </w:r>
          </w:p>
        </w:tc>
        <w:tc>
          <w:tcPr>
            <w:tcW w:w="4860" w:type="dxa"/>
            <w:vAlign w:val="bottom"/>
          </w:tcPr>
          <w:p>
            <w:pPr>
              <w:ind w:left="2400"/>
              <w:spacing w:after="0"/>
              <w:rPr>
                <w:sz w:val="20"/>
                <w:szCs w:val="20"/>
                <w:color w:val="auto"/>
              </w:rPr>
            </w:pPr>
            <w:r>
              <w:rPr>
                <w:rFonts w:ascii="Arial" w:cs="Arial" w:eastAsia="Arial" w:hAnsi="Arial"/>
                <w:sz w:val="18"/>
                <w:szCs w:val="18"/>
                <w:color w:val="auto"/>
              </w:rPr>
              <w:t>Title</w:t>
            </w:r>
          </w:p>
        </w:tc>
        <w:tc>
          <w:tcPr>
            <w:tcW w:w="2300" w:type="dxa"/>
            <w:vAlign w:val="bottom"/>
          </w:tcPr>
          <w:p>
            <w:pPr>
              <w:ind w:left="1120"/>
              <w:spacing w:after="0"/>
              <w:rPr>
                <w:sz w:val="20"/>
                <w:szCs w:val="20"/>
                <w:color w:val="auto"/>
              </w:rPr>
            </w:pPr>
            <w:r>
              <w:rPr>
                <w:rFonts w:ascii="Arial" w:cs="Arial" w:eastAsia="Arial" w:hAnsi="Arial"/>
                <w:sz w:val="18"/>
                <w:szCs w:val="18"/>
                <w:color w:val="auto"/>
              </w:rPr>
              <w:t>Date</w:t>
            </w:r>
          </w:p>
        </w:tc>
      </w:tr>
      <w:tr>
        <w:trPr>
          <w:trHeight w:val="594"/>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Kelcy L. Warren</w:t>
            </w:r>
          </w:p>
        </w:tc>
        <w:tc>
          <w:tcPr>
            <w:tcW w:w="4860" w:type="dxa"/>
            <w:vAlign w:val="bottom"/>
          </w:tcPr>
          <w:p>
            <w:pPr>
              <w:ind w:left="140"/>
              <w:spacing w:after="0"/>
              <w:rPr>
                <w:sz w:val="20"/>
                <w:szCs w:val="20"/>
                <w:color w:val="auto"/>
              </w:rPr>
            </w:pPr>
            <w:r>
              <w:rPr>
                <w:rFonts w:ascii="Arial" w:cs="Arial" w:eastAsia="Arial" w:hAnsi="Arial"/>
                <w:sz w:val="18"/>
                <w:szCs w:val="18"/>
                <w:color w:val="auto"/>
              </w:rPr>
              <w:t>Chief Executive Officer and Chairman of the Board</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Kelcy L. Warren</w:t>
            </w:r>
          </w:p>
        </w:tc>
        <w:tc>
          <w:tcPr>
            <w:tcW w:w="48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2300" w:type="dxa"/>
            <w:vAlign w:val="bottom"/>
          </w:tcPr>
          <w:p>
            <w:pPr>
              <w:spacing w:after="0"/>
              <w:rPr>
                <w:sz w:val="21"/>
                <w:szCs w:val="21"/>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Thomas E. Long</w:t>
            </w:r>
          </w:p>
        </w:tc>
        <w:tc>
          <w:tcPr>
            <w:tcW w:w="4860" w:type="dxa"/>
            <w:vAlign w:val="bottom"/>
          </w:tcPr>
          <w:p>
            <w:pPr>
              <w:ind w:left="140"/>
              <w:spacing w:after="0"/>
              <w:rPr>
                <w:sz w:val="20"/>
                <w:szCs w:val="20"/>
                <w:color w:val="auto"/>
              </w:rPr>
            </w:pPr>
            <w:r>
              <w:rPr>
                <w:rFonts w:ascii="Arial" w:cs="Arial" w:eastAsia="Arial" w:hAnsi="Arial"/>
                <w:sz w:val="18"/>
                <w:szCs w:val="18"/>
                <w:color w:val="auto"/>
              </w:rPr>
              <w:t>Chief Financial Officer and 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Thomas E. Long</w:t>
            </w:r>
          </w:p>
        </w:tc>
        <w:tc>
          <w:tcPr>
            <w:tcW w:w="48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c>
          <w:tcPr>
            <w:tcW w:w="2300" w:type="dxa"/>
            <w:vAlign w:val="bottom"/>
          </w:tcPr>
          <w:p>
            <w:pPr>
              <w:spacing w:after="0"/>
              <w:rPr>
                <w:sz w:val="21"/>
                <w:szCs w:val="21"/>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John W. McReynolds</w:t>
            </w:r>
          </w:p>
        </w:tc>
        <w:tc>
          <w:tcPr>
            <w:tcW w:w="4860" w:type="dxa"/>
            <w:vAlign w:val="bottom"/>
          </w:tcPr>
          <w:p>
            <w:pPr>
              <w:ind w:left="140"/>
              <w:spacing w:after="0"/>
              <w:rPr>
                <w:sz w:val="20"/>
                <w:szCs w:val="20"/>
                <w:color w:val="auto"/>
              </w:rPr>
            </w:pPr>
            <w:r>
              <w:rPr>
                <w:rFonts w:ascii="Arial" w:cs="Arial" w:eastAsia="Arial" w:hAnsi="Arial"/>
                <w:sz w:val="18"/>
                <w:szCs w:val="18"/>
                <w:color w:val="auto"/>
              </w:rPr>
              <w:t>Special Advisor and 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John W. McReynolds</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05"/>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Marshall S. McCrea, III</w:t>
            </w:r>
          </w:p>
        </w:tc>
        <w:tc>
          <w:tcPr>
            <w:tcW w:w="4860" w:type="dxa"/>
            <w:vAlign w:val="bottom"/>
          </w:tcPr>
          <w:p>
            <w:pPr>
              <w:ind w:left="140"/>
              <w:spacing w:after="0"/>
              <w:rPr>
                <w:sz w:val="20"/>
                <w:szCs w:val="20"/>
                <w:color w:val="auto"/>
              </w:rPr>
            </w:pPr>
            <w:r>
              <w:rPr>
                <w:rFonts w:ascii="Arial" w:cs="Arial" w:eastAsia="Arial" w:hAnsi="Arial"/>
                <w:sz w:val="18"/>
                <w:szCs w:val="18"/>
                <w:color w:val="auto"/>
              </w:rPr>
              <w:t>President, Chief Commercial Officer and 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Marshall S. McCrea, III</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Matthew S. Ramsey</w:t>
            </w:r>
          </w:p>
        </w:tc>
        <w:tc>
          <w:tcPr>
            <w:tcW w:w="4860" w:type="dxa"/>
            <w:vAlign w:val="bottom"/>
          </w:tcPr>
          <w:p>
            <w:pPr>
              <w:ind w:left="140"/>
              <w:spacing w:after="0"/>
              <w:rPr>
                <w:sz w:val="20"/>
                <w:szCs w:val="20"/>
                <w:color w:val="auto"/>
              </w:rPr>
            </w:pPr>
            <w:r>
              <w:rPr>
                <w:rFonts w:ascii="Arial" w:cs="Arial" w:eastAsia="Arial" w:hAnsi="Arial"/>
                <w:sz w:val="18"/>
                <w:szCs w:val="18"/>
                <w:color w:val="auto"/>
              </w:rPr>
              <w:t>Chief Operating Officer and 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Matthew S. Ramsey</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59"/>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A. Troy Sturrock</w:t>
            </w:r>
          </w:p>
        </w:tc>
        <w:tc>
          <w:tcPr>
            <w:tcW w:w="4860" w:type="dxa"/>
            <w:vAlign w:val="bottom"/>
          </w:tcPr>
          <w:p>
            <w:pPr>
              <w:ind w:left="140"/>
              <w:spacing w:after="0"/>
              <w:rPr>
                <w:sz w:val="20"/>
                <w:szCs w:val="20"/>
                <w:color w:val="auto"/>
              </w:rPr>
            </w:pPr>
            <w:r>
              <w:rPr>
                <w:rFonts w:ascii="Arial" w:cs="Arial" w:eastAsia="Arial" w:hAnsi="Arial"/>
                <w:sz w:val="18"/>
                <w:szCs w:val="18"/>
                <w:color w:val="auto"/>
              </w:rPr>
              <w:t>Senior Vice President and Controller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A. Troy Sturrock</w:t>
            </w:r>
          </w:p>
        </w:tc>
        <w:tc>
          <w:tcPr>
            <w:tcW w:w="486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Steven R. Anderson</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Steven R. Anderson</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Richard D. Brannon</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Richard D. Brannon</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Ray C. Davis</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Ray C. Davis</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3940" w:type="dxa"/>
            <w:vAlign w:val="bottom"/>
          </w:tcPr>
          <w:p>
            <w:pPr>
              <w:ind w:left="80"/>
              <w:spacing w:after="0"/>
              <w:rPr>
                <w:sz w:val="20"/>
                <w:szCs w:val="20"/>
                <w:color w:val="auto"/>
              </w:rPr>
            </w:pPr>
            <w:r>
              <w:rPr>
                <w:rFonts w:ascii="Arial" w:cs="Arial" w:eastAsia="Arial" w:hAnsi="Arial"/>
                <w:sz w:val="18"/>
                <w:szCs w:val="18"/>
                <w:color w:val="auto"/>
              </w:rPr>
              <w:t>Michael K. Grimm</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Michael K. Grimm</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405"/>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 James R. Perry</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James R. Perry</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92"/>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/s/ Ray W. Washburne</w:t>
            </w:r>
          </w:p>
        </w:tc>
        <w:tc>
          <w:tcPr>
            <w:tcW w:w="48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60"/>
              <w:spacing w:after="0"/>
              <w:rPr>
                <w:sz w:val="20"/>
                <w:szCs w:val="20"/>
                <w:color w:val="auto"/>
              </w:rPr>
            </w:pPr>
            <w:r>
              <w:rPr>
                <w:rFonts w:ascii="Arial" w:cs="Arial" w:eastAsia="Arial" w:hAnsi="Arial"/>
                <w:sz w:val="18"/>
                <w:szCs w:val="18"/>
                <w:color w:val="auto"/>
                <w:w w:val="89"/>
              </w:rPr>
              <w:t>February 21, 2020</w:t>
            </w:r>
          </w:p>
        </w:tc>
      </w:tr>
      <w:tr>
        <w:trPr>
          <w:trHeight w:val="27"/>
        </w:trPr>
        <w:tc>
          <w:tcPr>
            <w:tcW w:w="4240" w:type="dxa"/>
            <w:vAlign w:val="bottom"/>
            <w:tcBorders>
              <w:bottom w:val="single" w:sz="8" w:color="auto"/>
            </w:tcBorders>
            <w:gridSpan w:val="2"/>
          </w:tcPr>
          <w:p>
            <w:pPr>
              <w:spacing w:after="0"/>
              <w:rPr>
                <w:sz w:val="2"/>
                <w:szCs w:val="2"/>
                <w:color w:val="auto"/>
              </w:rPr>
            </w:pPr>
          </w:p>
        </w:tc>
        <w:tc>
          <w:tcPr>
            <w:tcW w:w="486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Ray W. Washburne</w:t>
            </w:r>
          </w:p>
        </w:tc>
        <w:tc>
          <w:tcPr>
            <w:tcW w:w="486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420"/>
          </w:cols>
          <w:pgMar w:left="240" w:top="118" w:right="239" w:bottom="1440" w:gutter="0" w:footer="0" w:header="0"/>
          <w:type w:val="continuous"/>
        </w:sectPr>
      </w:pPr>
    </w:p>
    <w:bookmarkStart w:id="166" w:name="page167"/>
    <w:bookmarkEnd w:id="1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60" w:type="dxa"/>
            <w:vAlign w:val="bottom"/>
            <w:gridSpan w:val="3"/>
          </w:tcPr>
          <w:p>
            <w:pPr>
              <w:jc w:val="center"/>
              <w:ind w:right="80"/>
              <w:spacing w:after="0"/>
              <w:rPr>
                <w:sz w:val="20"/>
                <w:szCs w:val="20"/>
                <w:color w:val="auto"/>
              </w:rPr>
            </w:pPr>
            <w:r>
              <w:rPr>
                <w:rFonts w:ascii="Arial" w:cs="Arial" w:eastAsia="Arial" w:hAnsi="Arial"/>
                <w:sz w:val="14"/>
                <w:szCs w:val="14"/>
                <w:color w:val="auto"/>
                <w:w w:val="85"/>
              </w:rPr>
              <w:t>Page</w:t>
            </w:r>
          </w:p>
        </w:tc>
      </w:tr>
      <w:tr>
        <w:trPr>
          <w:trHeight w:val="20"/>
        </w:trPr>
        <w:tc>
          <w:tcPr>
            <w:tcW w:w="2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220" w:type="dxa"/>
            <w:vAlign w:val="bottom"/>
            <w:gridSpan w:val="7"/>
          </w:tcPr>
          <w:p>
            <w:pPr>
              <w:spacing w:after="0"/>
              <w:rPr>
                <w:rFonts w:ascii="Arial" w:cs="Arial" w:eastAsia="Arial" w:hAnsi="Arial"/>
                <w:sz w:val="18"/>
                <w:szCs w:val="18"/>
                <w:color w:val="0000EE"/>
                <w:w w:val="91"/>
              </w:rPr>
            </w:pPr>
            <w:hyperlink w:anchor="page168">
              <w:r>
                <w:rPr>
                  <w:rFonts w:ascii="Arial" w:cs="Arial" w:eastAsia="Arial" w:hAnsi="Arial"/>
                  <w:sz w:val="18"/>
                  <w:szCs w:val="18"/>
                  <w:color w:val="0000EE"/>
                  <w:w w:val="91"/>
                </w:rPr>
                <w:t>Report of Independent Registered Public Accounting Firm</w:t>
              </w:r>
            </w:hyperlink>
          </w:p>
        </w:tc>
        <w:tc>
          <w:tcPr>
            <w:tcW w:w="6560" w:type="dxa"/>
            <w:vAlign w:val="bottom"/>
          </w:tcPr>
          <w:p>
            <w:pPr>
              <w:spacing w:after="0"/>
              <w:rPr>
                <w:sz w:val="19"/>
                <w:szCs w:val="19"/>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68">
              <w:r>
                <w:rPr>
                  <w:rFonts w:ascii="Arial" w:cs="Arial" w:eastAsia="Arial" w:hAnsi="Arial"/>
                  <w:sz w:val="18"/>
                  <w:szCs w:val="18"/>
                  <w:color w:val="0000EE"/>
                  <w:w w:val="86"/>
                </w:rPr>
                <w:t>F - 2</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560" w:type="dxa"/>
            <w:vAlign w:val="bottom"/>
            <w:tcBorders>
              <w:right w:val="single" w:sz="8" w:color="0000EE"/>
            </w:tcBorders>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4220" w:type="dxa"/>
            <w:vAlign w:val="bottom"/>
            <w:gridSpan w:val="7"/>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Balance Sheets</w:t>
              </w:r>
            </w:hyperlink>
          </w:p>
        </w:tc>
        <w:tc>
          <w:tcPr>
            <w:tcW w:w="6560" w:type="dxa"/>
            <w:vAlign w:val="bottom"/>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71">
              <w:r>
                <w:rPr>
                  <w:rFonts w:ascii="Arial" w:cs="Arial" w:eastAsia="Arial" w:hAnsi="Arial"/>
                  <w:sz w:val="18"/>
                  <w:szCs w:val="18"/>
                  <w:color w:val="0000EE"/>
                  <w:w w:val="86"/>
                </w:rPr>
                <w:t>F - 5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4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0780" w:type="dxa"/>
            <w:vAlign w:val="bottom"/>
            <w:gridSpan w:val="8"/>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Consolidated Statements of Operations</w:t>
              </w:r>
            </w:hyperlink>
          </w:p>
        </w:tc>
        <w:tc>
          <w:tcPr>
            <w:tcW w:w="360" w:type="dxa"/>
            <w:vAlign w:val="bottom"/>
            <w:gridSpan w:val="3"/>
          </w:tcPr>
          <w:p>
            <w:pPr>
              <w:jc w:val="center"/>
              <w:ind w:right="40"/>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F - 7</w:t>
              </w:r>
            </w:hyperlink>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4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3740" w:type="dxa"/>
            <w:vAlign w:val="bottom"/>
            <w:gridSpan w:val="6"/>
          </w:tcPr>
          <w:p>
            <w:pPr>
              <w:spacing w:after="0"/>
              <w:rPr>
                <w:rFonts w:ascii="Arial" w:cs="Arial" w:eastAsia="Arial" w:hAnsi="Arial"/>
                <w:sz w:val="18"/>
                <w:szCs w:val="18"/>
                <w:color w:val="0000EE"/>
                <w:w w:val="89"/>
              </w:rPr>
            </w:pPr>
            <w:hyperlink w:anchor="page174">
              <w:r>
                <w:rPr>
                  <w:rFonts w:ascii="Arial" w:cs="Arial" w:eastAsia="Arial" w:hAnsi="Arial"/>
                  <w:sz w:val="18"/>
                  <w:szCs w:val="18"/>
                  <w:color w:val="0000EE"/>
                  <w:w w:val="89"/>
                </w:rPr>
                <w:t>Consolidated Statements of Comprehensive Income</w:t>
              </w:r>
            </w:hyperlink>
          </w:p>
        </w:tc>
        <w:tc>
          <w:tcPr>
            <w:tcW w:w="7040" w:type="dxa"/>
            <w:vAlign w:val="bottom"/>
            <w:gridSpan w:val="2"/>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74">
              <w:r>
                <w:rPr>
                  <w:rFonts w:ascii="Arial" w:cs="Arial" w:eastAsia="Arial" w:hAnsi="Arial"/>
                  <w:sz w:val="18"/>
                  <w:szCs w:val="18"/>
                  <w:color w:val="0000EE"/>
                  <w:w w:val="86"/>
                </w:rPr>
                <w:t>F - 8</w:t>
              </w:r>
            </w:hyperlink>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4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2500" w:type="dxa"/>
            <w:vAlign w:val="bottom"/>
            <w:gridSpan w:val="2"/>
          </w:tcPr>
          <w:p>
            <w:pPr>
              <w:spacing w:after="0"/>
              <w:rPr>
                <w:rFonts w:ascii="Arial" w:cs="Arial" w:eastAsia="Arial" w:hAnsi="Arial"/>
                <w:sz w:val="18"/>
                <w:szCs w:val="18"/>
                <w:color w:val="0000EE"/>
                <w:w w:val="89"/>
              </w:rPr>
            </w:pPr>
            <w:hyperlink w:anchor="page175">
              <w:r>
                <w:rPr>
                  <w:rFonts w:ascii="Arial" w:cs="Arial" w:eastAsia="Arial" w:hAnsi="Arial"/>
                  <w:sz w:val="18"/>
                  <w:szCs w:val="18"/>
                  <w:color w:val="0000EE"/>
                  <w:w w:val="89"/>
                </w:rPr>
                <w:t>Consolidated Statements of Equity</w:t>
              </w:r>
            </w:hyperlink>
          </w:p>
        </w:tc>
        <w:tc>
          <w:tcPr>
            <w:tcW w:w="1240" w:type="dxa"/>
            <w:vAlign w:val="bottom"/>
            <w:gridSpan w:val="4"/>
          </w:tcPr>
          <w:p>
            <w:pPr>
              <w:spacing w:after="0"/>
              <w:rPr>
                <w:sz w:val="24"/>
                <w:szCs w:val="24"/>
                <w:color w:val="auto"/>
              </w:rPr>
            </w:pPr>
          </w:p>
        </w:tc>
        <w:tc>
          <w:tcPr>
            <w:tcW w:w="7040" w:type="dxa"/>
            <w:vAlign w:val="bottom"/>
            <w:gridSpan w:val="2"/>
          </w:tcPr>
          <w:p>
            <w:pPr>
              <w:spacing w:after="0"/>
              <w:rPr>
                <w:sz w:val="24"/>
                <w:szCs w:val="24"/>
                <w:color w:val="auto"/>
              </w:rPr>
            </w:pPr>
          </w:p>
        </w:tc>
        <w:tc>
          <w:tcPr>
            <w:tcW w:w="360" w:type="dxa"/>
            <w:vAlign w:val="bottom"/>
            <w:gridSpan w:val="3"/>
          </w:tcPr>
          <w:p>
            <w:pPr>
              <w:jc w:val="center"/>
              <w:ind w:right="40"/>
              <w:spacing w:after="0"/>
              <w:rPr>
                <w:rFonts w:ascii="Arial" w:cs="Arial" w:eastAsia="Arial" w:hAnsi="Arial"/>
                <w:sz w:val="18"/>
                <w:szCs w:val="18"/>
                <w:color w:val="0000EE"/>
                <w:w w:val="86"/>
              </w:rPr>
            </w:pPr>
            <w:hyperlink w:anchor="page175">
              <w:r>
                <w:rPr>
                  <w:rFonts w:ascii="Arial" w:cs="Arial" w:eastAsia="Arial" w:hAnsi="Arial"/>
                  <w:sz w:val="18"/>
                  <w:szCs w:val="18"/>
                  <w:color w:val="0000EE"/>
                  <w:w w:val="86"/>
                </w:rPr>
                <w:t>F - 9</w:t>
              </w:r>
            </w:hyperlink>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40" w:type="dxa"/>
            <w:vAlign w:val="bottom"/>
            <w:tcBorders>
              <w:right w:val="single" w:sz="8" w:color="0000EE"/>
            </w:tcBorders>
            <w:gridSpan w:val="3"/>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10780" w:type="dxa"/>
            <w:vAlign w:val="bottom"/>
            <w:gridSpan w:val="8"/>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Consolidated Statements of Cash Flows</w:t>
              </w:r>
            </w:hyperlink>
          </w:p>
        </w:tc>
        <w:tc>
          <w:tcPr>
            <w:tcW w:w="360" w:type="dxa"/>
            <w:vAlign w:val="bottom"/>
            <w:gridSpan w:val="3"/>
          </w:tcPr>
          <w:p>
            <w:pPr>
              <w:jc w:val="center"/>
              <w:spacing w:after="0"/>
              <w:rPr>
                <w:rFonts w:ascii="Arial" w:cs="Arial" w:eastAsia="Arial" w:hAnsi="Arial"/>
                <w:sz w:val="18"/>
                <w:szCs w:val="18"/>
                <w:color w:val="0000EE"/>
                <w:w w:val="76"/>
              </w:rPr>
            </w:pPr>
            <w:hyperlink w:anchor="page176">
              <w:r>
                <w:rPr>
                  <w:rFonts w:ascii="Arial" w:cs="Arial" w:eastAsia="Arial" w:hAnsi="Arial"/>
                  <w:sz w:val="18"/>
                  <w:szCs w:val="18"/>
                  <w:color w:val="0000EE"/>
                  <w:w w:val="76"/>
                </w:rPr>
                <w:t>F - 10</w:t>
              </w:r>
            </w:hyperlink>
          </w:p>
        </w:tc>
      </w:tr>
      <w:tr>
        <w:trPr>
          <w:trHeight w:val="20"/>
        </w:trPr>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40" w:type="dxa"/>
            <w:vAlign w:val="bottom"/>
            <w:tcBorders>
              <w:right w:val="single" w:sz="8" w:color="0000EE"/>
            </w:tcBorders>
            <w:gridSpan w:val="3"/>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r>
      <w:tr>
        <w:trPr>
          <w:trHeight w:val="574"/>
        </w:trPr>
        <w:tc>
          <w:tcPr>
            <w:tcW w:w="10780" w:type="dxa"/>
            <w:vAlign w:val="bottom"/>
            <w:gridSpan w:val="8"/>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Notes to Consolidated Financial Statements</w:t>
              </w:r>
            </w:hyperlink>
          </w:p>
        </w:tc>
        <w:tc>
          <w:tcPr>
            <w:tcW w:w="360" w:type="dxa"/>
            <w:vAlign w:val="bottom"/>
            <w:gridSpan w:val="3"/>
          </w:tcPr>
          <w:p>
            <w:pPr>
              <w:jc w:val="center"/>
              <w:spacing w:after="0"/>
              <w:rPr>
                <w:rFonts w:ascii="Arial" w:cs="Arial" w:eastAsia="Arial" w:hAnsi="Arial"/>
                <w:sz w:val="18"/>
                <w:szCs w:val="18"/>
                <w:color w:val="0000EE"/>
                <w:w w:val="76"/>
              </w:rPr>
            </w:pPr>
            <w:hyperlink w:anchor="page178">
              <w:r>
                <w:rPr>
                  <w:rFonts w:ascii="Arial" w:cs="Arial" w:eastAsia="Arial" w:hAnsi="Arial"/>
                  <w:sz w:val="18"/>
                  <w:szCs w:val="18"/>
                  <w:color w:val="0000EE"/>
                  <w:w w:val="76"/>
                </w:rPr>
                <w:t>F - 12</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 - 1</w:t>
      </w:r>
    </w:p>
    <w:p>
      <w:pPr>
        <w:sectPr>
          <w:pgSz w:w="11900" w:h="16838" w:orient="portrait"/>
          <w:cols w:equalWidth="0" w:num="1">
            <w:col w:w="11180"/>
          </w:cols>
          <w:pgMar w:left="240" w:top="118" w:right="47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LE GP,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Unitholders of Energy Transfer 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Energy Transfer LP (a Delaware limited partnership) and subsidiaries (the “Partnership”) as of December 31, 2019 and 2018, the related consolidated statements of operations, comprehensive income, equity, and cash flows for each of the three years in the period ended December 31, 2019, and the related notes (collectively referred to as the “financial statements”). In our opinion, the financial statements present fairly, in all material respects, the financial position of the Partnership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Partnership’s internal control over financial reporting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21, 2020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2 to the consolidated financial statements, the Partnership has changed its method of accounting for leases due to the adoption of the new leasing standard. The Partnership adopted the new leasing standard by recognizing a cumulative catch-up adjustment to the opening balance sheet as of January 1, 2019.</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(Note 2)</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 $5.2 billion of goodwill on the Partnership’s consolidated balance sheet as of December 31, 2019, approximately $380.0 million is recorded in a reporting unit for which the estimated fair value exceeded the carrying value by less than 20% in the most recent quantitative test. The Partnership engaged third party valuation specialists for the estimation of the fair value of this reporting unit. We identified the estimation of the fair value of the reporting unit as a critical audit matter.</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the estimation of the fair value of the reporting unit was a critical audit matter are that the extent to which the fair value of the reporting unit exceeds its carrying value is relatively low, the estimate of the future cash flows, including projected growth rates, forecasted costs, discount rates and future market conditions requires a high degree of judgement, and the application of valuation methodologies can be complex.</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the estimation of the fair value of the reporting unit included the following procedures, among others. We tested the effectiveness of controls relating to management’s review of the assumptions used to develop the future cash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118" w:right="2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flows, the reconciliation of cash flows prepared by management to the data used in the third party valuation reports, the discount rates used, and valuation methodologies applied. In addition to testing the effectiveness of controls, we also performed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Compared the actual current results of the relevant reporting unit to the expected performance of that reporting unit based on prior period financial forecasts, as applicable.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Utilized an internal valuation specialist to evaluate:</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methodologies used and whether they were acceptable for the underlying assets or operations and being applied correctly by performing independent calculations,</w:t>
      </w:r>
    </w:p>
    <w:p>
      <w:pPr>
        <w:ind w:left="1300" w:hanging="320"/>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appropriateness of the discount rates by recalculating the weighted average costs of capital,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qualifications of the third party valuation specialists engaged by the Partnership based on their credentials and experience.</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Tested the reasonableness of the projected growth rate and forecasted costs by comparing such items to historical operating results of the relevant reporting unit and by assessing the likelihood or capability of the reporting unit to undertake activities or initiatives underpinning significant drivers of growth in the forecasted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SemGroup Acquisition (Note 3)</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Partnership acquired a controlling interest in SemGroup Corporation (“SemGroup”) in December 2019 and the assets acquired and liabilities assumed were required to be estimated and recorded at fair value as of the transaction date, for which the Partnership utilized a third party valuation specialist. We identified the estimation of the fair value of the assets acquired and liabilities assumed in the acquisition of SemGroup as a critical audit matter.</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considerations for our determination that the estimation of the fair value of the assets acquired and liabilities assumed in the acquisition of SemGroup was a critical audit matter are that there was a high degree of estimation uncertainty due to significant judgements with respect to the selection of the valuation methodologies applied, the assumptions used to estimate the future revenues and cash flows, including revenue growth rates, forecasted costs, discount rates and future market conditions in the determination of the fair value of the intangible assets acquired, and the estimation of replacement costs of the property, plant and equipment acquired. This required an increased extent of effort when performing audit procedures to evaluate the reasonableness of management’s estimates and assumptions related to the fair value of the assets acquired and liabilities assumed, including the need to involve our fair value specialists.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audit procedures responsive to the estimation of the fair value of the assets acquired and liabilities assumed in the acquisition of SemGroup included the following procedures, among others. We tested the effectiveness of controls relating to management’s review of the assumptions used to develop the future revenues and cash flows, the reconciliation of future revenues and cash flows prepared by management to the data used in the third party valuation report, the review of estimated replacement cost of property, plant and equipment as compared to current carrying values, and the valuation methodologies applied. In addition to testing the effectiveness of controls, we also performed the following:</w:t>
      </w:r>
    </w:p>
    <w:p>
      <w:pPr>
        <w:spacing w:after="0" w:line="173"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Utilized an internal valuation specialist to evaluate:</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methodologies used and whether they were acceptable for the underlying assets or operations and being applied correctly by performing an independent calculation,</w:t>
      </w:r>
    </w:p>
    <w:p>
      <w:pPr>
        <w:ind w:left="1300" w:right="20" w:hanging="320"/>
        <w:spacing w:after="0" w:line="281" w:lineRule="auto"/>
        <w:tabs>
          <w:tab w:leader="none" w:pos="130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The appropriateness of the replacement cost of property plant, and equipment, by performing an independent calculation and inspecting the estimated remaining years of service for the underlying assets based on the original acquisition dates and condition of assets,</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appropriateness of the discount rate by recalculating the weighted average costs of capital,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qualifications of the third party valuation specialist engaged by the Partnership based on their credentials and experience.</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Tested the revenue growth rates and forecasted costs of SemGroup by comparing such items to the historical operating results of the acquired entity and by assessing the likelihood or capability of the acquired entity to undertake activities or initiatives underpinning significant drivers of growth in the forecasted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Remediation (Note 11)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Partnership’s operations are subject to extensive federal, tribal, state and local environmental and safety laws and regulations that require expenditures for remediation at current and former facilities. We identified the identification, assessment and estimation of the environmental exposure associated with certain sites of ETC Sunoco Holdings LLC as a critical audit matter.</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considerations for our determination that the identification, assessment and estimation of the environmental exposure was a critical audit matter are that there was a high estimation uncertainty due to the complexity of the actuarial methods utilized, the discount rate applied and the potential for changes in the timing and extent of remediation. This required an increased extent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118" w:right="23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effort when performing audit procedures, related to identification, assessment and estimation of the environmental exposure, including the need to involve actuarial specialists.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audit procedures related to the identification, assessment and estimation of the Partnership’s environmental exposure included the following procedures, among others. We tested the effectiveness of controls relating to the identification and review of the historical claims, payments and reserve data provided to the third party actuary specialist and the reconciliation of that data to that used in the actuary report, and the review of the discount rate and actuarial methods applied. In addition to testing the effectiveness of controls, we performed the following procedures:</w:t>
      </w:r>
    </w:p>
    <w:p>
      <w:pPr>
        <w:spacing w:after="0" w:line="171"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Utilized an external actuarial specialist to evaluate: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methodologies used and whether they were acceptable for the underlying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qualifications of the third party actuary specialist engaged by the Partnership based on their credentials and experience.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Evaluated the appropriateness of the discount rate used by comparing it to the historical rate of return from the captive insurance company’s investment portfolio used to fund the underlying liabilities, and</w:t>
      </w:r>
    </w:p>
    <w:p>
      <w:pPr>
        <w:ind w:left="660" w:right="20" w:hanging="328"/>
        <w:spacing w:after="0" w:line="261"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Evaluated the life-to-date payments, reserves, and payment patterns by agreeing the historical claims and payment amounts to the underlying claims or general ledger.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118"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61"/>
        </w:trPr>
        <w:tc>
          <w:tcPr>
            <w:tcW w:w="8340" w:type="dxa"/>
            <w:vAlign w:val="bottom"/>
            <w:gridSpan w:val="6"/>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110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ENERGY TRANSFER LP AND SUBSIDIARIES</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540" w:type="dxa"/>
            <w:vAlign w:val="bottom"/>
            <w:gridSpan w:val="4"/>
          </w:tcPr>
          <w:p>
            <w:pPr>
              <w:jc w:val="center"/>
              <w:ind w:right="700"/>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(Dollars in millions)</w:t>
            </w:r>
          </w:p>
        </w:tc>
        <w:tc>
          <w:tcPr>
            <w:tcW w:w="106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5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40" w:type="dxa"/>
            <w:vAlign w:val="bottom"/>
            <w:gridSpan w:val="4"/>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8340" w:type="dxa"/>
            <w:vAlign w:val="bottom"/>
            <w:gridSpan w:val="6"/>
          </w:tcPr>
          <w:p>
            <w:pPr>
              <w:ind w:left="20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Accounts receivable from related companies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8340" w:type="dxa"/>
            <w:vAlign w:val="bottom"/>
            <w:gridSpan w:val="6"/>
          </w:tcPr>
          <w:p>
            <w:pPr>
              <w:ind w:left="20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8340" w:type="dxa"/>
            <w:vAlign w:val="bottom"/>
            <w:gridSpan w:val="6"/>
          </w:tcPr>
          <w:p>
            <w:pPr>
              <w:ind w:left="200"/>
              <w:spacing w:after="0"/>
              <w:rPr>
                <w:sz w:val="20"/>
                <w:szCs w:val="20"/>
                <w:color w:val="auto"/>
              </w:rPr>
            </w:pPr>
            <w:r>
              <w:rPr>
                <w:rFonts w:ascii="Arial" w:cs="Arial" w:eastAsia="Arial" w:hAnsi="Arial"/>
                <w:sz w:val="18"/>
                <w:szCs w:val="18"/>
                <w:color w:val="auto"/>
              </w:rPr>
              <w:t>Derivative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7"/>
        </w:trPr>
        <w:tc>
          <w:tcPr>
            <w:tcW w:w="8340" w:type="dxa"/>
            <w:vAlign w:val="bottom"/>
            <w:gridSpan w:val="6"/>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1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89,790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79,776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Accumulated depreciation and depletion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74,193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66,963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1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Advances to and investments in unconsolidated affiliates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Lease right-of-use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Other non-current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6"/>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98,880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88,246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420"/>
          </w:cols>
          <w:pgMar w:left="240" w:top="114"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61"/>
        </w:trPr>
        <w:tc>
          <w:tcPr>
            <w:tcW w:w="8340" w:type="dxa"/>
            <w:vAlign w:val="bottom"/>
            <w:gridSpan w:val="6"/>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1100" w:type="dxa"/>
            <w:vAlign w:val="bottom"/>
            <w:tcBorders>
              <w:top w:val="single" w:sz="8" w:color="0000EE"/>
            </w:tcBorders>
          </w:tcPr>
          <w:p>
            <w:pPr>
              <w:spacing w:after="0"/>
              <w:rPr>
                <w:sz w:val="24"/>
                <w:szCs w:val="24"/>
                <w:color w:val="auto"/>
              </w:rPr>
            </w:pPr>
          </w:p>
        </w:tc>
        <w:tc>
          <w:tcPr>
            <w:tcW w:w="2700" w:type="dxa"/>
            <w:vAlign w:val="bottom"/>
          </w:tcPr>
          <w:p>
            <w:pPr>
              <w:spacing w:after="0"/>
              <w:rPr>
                <w:sz w:val="24"/>
                <w:szCs w:val="24"/>
                <w:color w:val="auto"/>
              </w:rPr>
            </w:pPr>
          </w:p>
        </w:tc>
        <w:tc>
          <w:tcPr>
            <w:tcW w:w="3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ENERGY TRANSFER LP AND SUBSIDIARIES</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540" w:type="dxa"/>
            <w:vAlign w:val="bottom"/>
            <w:gridSpan w:val="4"/>
          </w:tcPr>
          <w:p>
            <w:pPr>
              <w:jc w:val="center"/>
              <w:ind w:right="700"/>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(Dollars in millions)</w:t>
            </w:r>
          </w:p>
        </w:tc>
        <w:tc>
          <w:tcPr>
            <w:tcW w:w="106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240" w:type="dxa"/>
            <w:vAlign w:val="bottom"/>
            <w:gridSpan w:val="5"/>
            <w:vMerge w:val="restart"/>
          </w:tcPr>
          <w:p>
            <w:pPr>
              <w:ind w:left="19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tcPr>
          <w:p>
            <w:pPr>
              <w:spacing w:after="0"/>
              <w:rPr>
                <w:sz w:val="20"/>
                <w:szCs w:val="20"/>
                <w:color w:val="auto"/>
              </w:rPr>
            </w:pPr>
          </w:p>
        </w:tc>
        <w:tc>
          <w:tcPr>
            <w:tcW w:w="7240" w:type="dxa"/>
            <w:vAlign w:val="bottom"/>
            <w:gridSpan w:val="5"/>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43"/>
        </w:trPr>
        <w:tc>
          <w:tcPr>
            <w:tcW w:w="8340" w:type="dxa"/>
            <w:vAlign w:val="bottom"/>
            <w:gridSpan w:val="6"/>
          </w:tcPr>
          <w:p>
            <w:pPr>
              <w:ind w:left="200"/>
              <w:spacing w:after="0"/>
              <w:rPr>
                <w:sz w:val="20"/>
                <w:szCs w:val="20"/>
                <w:color w:val="auto"/>
              </w:rPr>
            </w:pPr>
            <w:r>
              <w:rPr>
                <w:rFonts w:ascii="Arial" w:cs="Arial" w:eastAsia="Arial" w:hAnsi="Arial"/>
                <w:sz w:val="18"/>
                <w:szCs w:val="18"/>
                <w:color w:val="auto"/>
              </w:rPr>
              <w:t>Accounts payable to related companies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Derivative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8340" w:type="dxa"/>
            <w:vAlign w:val="bottom"/>
            <w:gridSpan w:val="6"/>
          </w:tcPr>
          <w:p>
            <w:pPr>
              <w:ind w:left="200"/>
              <w:spacing w:after="0"/>
              <w:rPr>
                <w:sz w:val="20"/>
                <w:szCs w:val="20"/>
                <w:color w:val="auto"/>
              </w:rPr>
            </w:pPr>
            <w:r>
              <w:rPr>
                <w:rFonts w:ascii="Arial" w:cs="Arial" w:eastAsia="Arial" w:hAnsi="Arial"/>
                <w:sz w:val="18"/>
                <w:szCs w:val="18"/>
                <w:color w:val="auto"/>
              </w:rPr>
              <w:t>Operating lease current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43"/>
        </w:trPr>
        <w:tc>
          <w:tcPr>
            <w:tcW w:w="8340" w:type="dxa"/>
            <w:vAlign w:val="bottom"/>
            <w:gridSpan w:val="6"/>
          </w:tcPr>
          <w:p>
            <w:pPr>
              <w:ind w:left="20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43,373</w:t>
            </w:r>
          </w:p>
        </w:tc>
        <w:tc>
          <w:tcPr>
            <w:tcW w:w="0" w:type="dxa"/>
            <w:vAlign w:val="bottom"/>
          </w:tcPr>
          <w:p>
            <w:pPr>
              <w:spacing w:after="0"/>
              <w:rPr>
                <w:sz w:val="1"/>
                <w:szCs w:val="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Non-current derivative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Redeemable noncontrolling interests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1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6"/>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Limited Partners: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6"/>
          </w:tcPr>
          <w:p>
            <w:pPr>
              <w:ind w:left="360"/>
              <w:spacing w:after="0"/>
              <w:rPr>
                <w:sz w:val="20"/>
                <w:szCs w:val="20"/>
                <w:color w:val="auto"/>
              </w:rPr>
            </w:pPr>
            <w:r>
              <w:rPr>
                <w:rFonts w:ascii="Arial" w:cs="Arial" w:eastAsia="Arial" w:hAnsi="Arial"/>
                <w:sz w:val="18"/>
                <w:szCs w:val="18"/>
                <w:color w:val="auto"/>
                <w:w w:val="96"/>
              </w:rPr>
              <w:t>Common Unitholders (2,689,580,631 and 2,619,368,605 units authorized, issued and outstanding as of</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6"/>
          </w:tcPr>
          <w:p>
            <w:pPr>
              <w:ind w:left="520"/>
              <w:spacing w:after="0"/>
              <w:rPr>
                <w:sz w:val="20"/>
                <w:szCs w:val="20"/>
                <w:color w:val="auto"/>
              </w:rPr>
            </w:pPr>
            <w:r>
              <w:rPr>
                <w:rFonts w:ascii="Arial" w:cs="Arial" w:eastAsia="Arial" w:hAnsi="Arial"/>
                <w:sz w:val="18"/>
                <w:szCs w:val="18"/>
                <w:color w:val="auto"/>
              </w:rPr>
              <w:t>December 31, 2019 and 2018, respectively)</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21,842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20,606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6"/>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40" w:type="dxa"/>
            <w:vAlign w:val="bottom"/>
            <w:gridSpan w:val="6"/>
          </w:tcPr>
          <w:p>
            <w:pPr>
              <w:ind w:left="20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partners’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20,559</w:t>
            </w:r>
          </w:p>
        </w:tc>
        <w:tc>
          <w:tcPr>
            <w:tcW w:w="0" w:type="dxa"/>
            <w:vAlign w:val="bottom"/>
          </w:tcPr>
          <w:p>
            <w:pPr>
              <w:spacing w:after="0"/>
              <w:rPr>
                <w:sz w:val="1"/>
                <w:szCs w:val="1"/>
                <w:color w:val="auto"/>
              </w:rPr>
            </w:pPr>
          </w:p>
        </w:tc>
      </w:tr>
      <w:tr>
        <w:trPr>
          <w:trHeight w:val="243"/>
        </w:trPr>
        <w:tc>
          <w:tcPr>
            <w:tcW w:w="8340" w:type="dxa"/>
            <w:vAlign w:val="bottom"/>
            <w:gridSpan w:val="6"/>
          </w:tcPr>
          <w:p>
            <w:pPr>
              <w:ind w:left="20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10,291</w:t>
            </w:r>
          </w:p>
        </w:tc>
        <w:tc>
          <w:tcPr>
            <w:tcW w:w="0" w:type="dxa"/>
            <w:vAlign w:val="bottom"/>
          </w:tcPr>
          <w:p>
            <w:pPr>
              <w:spacing w:after="0"/>
              <w:rPr>
                <w:sz w:val="1"/>
                <w:szCs w:val="1"/>
                <w:color w:val="auto"/>
              </w:rPr>
            </w:pPr>
          </w:p>
        </w:tc>
      </w:tr>
      <w:tr>
        <w:trPr>
          <w:trHeight w:val="27"/>
        </w:trPr>
        <w:tc>
          <w:tcPr>
            <w:tcW w:w="11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33,845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30,850</w:t>
            </w:r>
          </w:p>
        </w:tc>
        <w:tc>
          <w:tcPr>
            <w:tcW w:w="0" w:type="dxa"/>
            <w:vAlign w:val="bottom"/>
          </w:tcPr>
          <w:p>
            <w:pPr>
              <w:spacing w:after="0"/>
              <w:rPr>
                <w:sz w:val="1"/>
                <w:szCs w:val="1"/>
                <w:color w:val="auto"/>
              </w:rPr>
            </w:pPr>
          </w:p>
        </w:tc>
      </w:tr>
      <w:tr>
        <w:trPr>
          <w:trHeight w:val="257"/>
        </w:trPr>
        <w:tc>
          <w:tcPr>
            <w:tcW w:w="8340" w:type="dxa"/>
            <w:vAlign w:val="bottom"/>
            <w:gridSpan w:val="6"/>
          </w:tcPr>
          <w:p>
            <w:pPr>
              <w:ind w:left="52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98,880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88,246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114" w:right="2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unit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Refined product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11,166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Crude sales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Gathering, transportation and other fees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Natural gas sales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40,523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losses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46,936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37,802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 of 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Equity in earnings of unconsolidated affiliates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investments in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Losses on extinguishments of debt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Gains (losses) on interest rate derivatives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Income tax expense (benefit) from continuing operations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Loss from discontinued operations, net of income taxes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PARTNERS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ET Series A Convertible Preferred Unitholders’ interest in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Partner’s interest in net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 Partners’ interest in 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INCOME FROM CONTINUING OPERATIONS PER LIMITED PARTNER UNIT:</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Basic</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160" w:type="dxa"/>
        <w:tblCellMar>
          <w:top w:w="0" w:type="dxa"/>
          <w:left w:w="0" w:type="dxa"/>
          <w:bottom w:w="0" w:type="dxa"/>
          <w:right w:w="0" w:type="dxa"/>
        </w:tblCellMar>
      </w:tblPr>
      <w:tr>
        <w:trPr>
          <w:trHeight w:val="230"/>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0.85</w:t>
            </w:r>
          </w:p>
        </w:tc>
      </w:tr>
      <w:tr>
        <w:trPr>
          <w:trHeight w:val="27"/>
        </w:trPr>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0.83</w:t>
            </w:r>
          </w:p>
        </w:tc>
      </w:tr>
      <w:tr>
        <w:trPr>
          <w:trHeight w:val="27"/>
        </w:trPr>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-213995</wp:posOffset>
            </wp:positionV>
            <wp:extent cx="7246620" cy="197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82" w:lineRule="exact"/>
        <w:rPr>
          <w:sz w:val="20"/>
          <w:szCs w:val="20"/>
          <w:color w:val="auto"/>
        </w:rPr>
      </w:pPr>
    </w:p>
    <w:p>
      <w:pPr>
        <w:jc w:val="center"/>
        <w:ind w:right="25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2560"/>
        <w:spacing w:after="0"/>
        <w:rPr>
          <w:sz w:val="20"/>
          <w:szCs w:val="20"/>
          <w:color w:val="auto"/>
        </w:rPr>
      </w:pPr>
      <w:r>
        <w:rPr>
          <w:rFonts w:ascii="Arial" w:cs="Arial" w:eastAsia="Arial" w:hAnsi="Arial"/>
          <w:sz w:val="18"/>
          <w:szCs w:val="18"/>
          <w:color w:val="auto"/>
        </w:rPr>
        <w:t>F - 7</w:t>
      </w:r>
    </w:p>
    <w:p>
      <w:pPr>
        <w:sectPr>
          <w:pgSz w:w="11900" w:h="16838" w:orient="portrait"/>
          <w:cols w:equalWidth="0" w:num="2">
            <w:col w:w="1860" w:space="720"/>
            <w:col w:w="8840"/>
          </w:cols>
          <w:pgMar w:left="240" w:top="118" w:right="239" w:bottom="1440" w:gutter="0" w:footer="0" w:header="0"/>
          <w:type w:val="continuous"/>
        </w:sectPr>
      </w:pPr>
    </w:p>
    <w:bookmarkStart w:id="173" w:name="page174"/>
    <w:bookmarkEnd w:id="1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value of available-for-sale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Actuarial gain (loss) relating to pension and other postretirement benefits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60"/>
              <w:spacing w:after="0"/>
              <w:rPr>
                <w:sz w:val="20"/>
                <w:szCs w:val="20"/>
                <w:color w:val="auto"/>
              </w:rPr>
            </w:pPr>
            <w:r>
              <w:rPr>
                <w:rFonts w:ascii="Arial" w:cs="Arial" w:eastAsia="Arial" w:hAnsi="Arial"/>
                <w:sz w:val="18"/>
                <w:szCs w:val="18"/>
                <w:color w:val="auto"/>
              </w:rPr>
              <w:t>Change in other comprehensive income from unconsolidated affiliates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partners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ectPr>
          <w:pgSz w:w="11900" w:h="16838" w:orient="portrait"/>
          <w:cols w:equalWidth="0" w:num="1">
            <w:col w:w="11420"/>
          </w:cols>
          <w:pgMar w:left="240" w:top="118" w:right="239" w:bottom="1440" w:gutter="0" w:footer="0" w:header="0"/>
          <w:type w:val="continuous"/>
        </w:sectPr>
      </w:pPr>
    </w:p>
    <w:bookmarkStart w:id="174" w:name="page175"/>
    <w:bookmarkEnd w:id="1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Accumulated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Series A</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Other</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Non-</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Convertible</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Common</w:t>
            </w:r>
          </w:p>
        </w:tc>
        <w:tc>
          <w:tcPr>
            <w:tcW w:w="22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General</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Comprehensive</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controlling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366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Preferred Units</w:t>
            </w: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Unitholders</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color w:val="auto"/>
                <w:w w:val="87"/>
              </w:rPr>
              <w:t>Partner</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Loss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Interest</w:t>
            </w:r>
          </w:p>
        </w:tc>
        <w:tc>
          <w:tcPr>
            <w:tcW w:w="260" w:type="dxa"/>
            <w:vAlign w:val="bottom"/>
          </w:tcPr>
          <w:p>
            <w:pPr>
              <w:spacing w:after="0"/>
              <w:rPr>
                <w:sz w:val="17"/>
                <w:szCs w:val="17"/>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jc w:val="center"/>
              <w:ind w:right="1559"/>
              <w:spacing w:after="0"/>
              <w:rPr>
                <w:sz w:val="20"/>
                <w:szCs w:val="20"/>
                <w:color w:val="auto"/>
              </w:rPr>
            </w:pPr>
            <w:r>
              <w:rPr>
                <w:rFonts w:ascii="Arial" w:cs="Arial" w:eastAsia="Arial" w:hAnsi="Arial"/>
                <w:sz w:val="16"/>
                <w:szCs w:val="16"/>
                <w:b w:val="1"/>
                <w:bCs w:val="1"/>
                <w:color w:val="auto"/>
                <w:w w:val="90"/>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22,431</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Distributions to partners</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(2,999)</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Distributions reinvested</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units issued for cash</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Subsidiary units issued for cash</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3,235</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Capital contributions from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Sale of Bakken pipeline interest</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Sale of Rover pipeline interest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Acquisition of PennTex noncontrolling interest</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2,366</w:t>
            </w:r>
          </w:p>
        </w:tc>
      </w:tr>
      <w:tr>
        <w:trPr>
          <w:trHeight w:val="217"/>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w w:val="90"/>
              </w:rPr>
              <w:t>Balance, December 31, 2017</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31,176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29,980</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Distributions to partners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(1,684)</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(3,117)</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Distributions reinvested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Subsidiary units repurchased</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Subsidiary units issued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Energy Transfer Merger</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21,869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Capital contributions from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w:t>
            </w:r>
          </w:p>
        </w:tc>
      </w:tr>
      <w:tr>
        <w:trPr>
          <w:trHeight w:val="220"/>
        </w:trPr>
        <w:tc>
          <w:tcPr>
            <w:tcW w:w="3660" w:type="dxa"/>
            <w:vAlign w:val="bottom"/>
          </w:tcPr>
          <w:p>
            <w:pPr>
              <w:ind w:left="200"/>
              <w:spacing w:after="0"/>
              <w:rPr>
                <w:sz w:val="20"/>
                <w:szCs w:val="20"/>
                <w:color w:val="auto"/>
              </w:rPr>
            </w:pPr>
            <w:r>
              <w:rPr>
                <w:rFonts w:ascii="Arial" w:cs="Arial" w:eastAsia="Arial" w:hAnsi="Arial"/>
                <w:sz w:val="16"/>
                <w:szCs w:val="16"/>
                <w:color w:val="auto"/>
              </w:rPr>
              <w:t>Cumulative effect adjustment due to change in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3660" w:type="dxa"/>
            <w:vAlign w:val="bottom"/>
          </w:tcPr>
          <w:p>
            <w:pPr>
              <w:jc w:val="center"/>
              <w:ind w:right="1539"/>
              <w:spacing w:after="0"/>
              <w:rPr>
                <w:sz w:val="20"/>
                <w:szCs w:val="20"/>
                <w:color w:val="auto"/>
              </w:rPr>
            </w:pPr>
            <w:r>
              <w:rPr>
                <w:rFonts w:ascii="Arial" w:cs="Arial" w:eastAsia="Arial" w:hAnsi="Arial"/>
                <w:sz w:val="16"/>
                <w:szCs w:val="16"/>
                <w:color w:val="auto"/>
                <w:w w:val="93"/>
              </w:rPr>
              <w:t>accounting principle</w:t>
            </w:r>
          </w:p>
        </w:tc>
        <w:tc>
          <w:tcPr>
            <w:tcW w:w="1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Acquisition of USAC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w w:val="94"/>
              </w:rPr>
              <w:t>ET Series A Convertible Preferred Units conversion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comprehensive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3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excluding amounts attributable to</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redeemable noncontrolling interests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3,326</w:t>
            </w:r>
          </w:p>
        </w:tc>
      </w:tr>
      <w:tr>
        <w:trPr>
          <w:trHeight w:val="217"/>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w w:val="90"/>
              </w:rPr>
              <w:t>Balance, December 31, 2018</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20,606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10,291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30,850</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Distributions to partners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(3,054)</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(1,597)</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Common units repurchased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Subsidiary units issued</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780</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Capital contributions from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Sale of noncontrolling interest in subsidiary</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SemGroup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w:t>
            </w:r>
          </w:p>
        </w:tc>
      </w:tr>
      <w:tr>
        <w:trPr>
          <w:trHeight w:val="237"/>
        </w:trPr>
        <w:tc>
          <w:tcPr>
            <w:tcW w:w="3660" w:type="dxa"/>
            <w:vAlign w:val="bottom"/>
          </w:tcPr>
          <w:p>
            <w:pPr>
              <w:ind w:left="20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20"/>
        </w:trPr>
        <w:tc>
          <w:tcPr>
            <w:tcW w:w="3660" w:type="dxa"/>
            <w:vAlign w:val="bottom"/>
          </w:tcPr>
          <w:p>
            <w:pPr>
              <w:ind w:left="200"/>
              <w:spacing w:after="0"/>
              <w:rPr>
                <w:sz w:val="20"/>
                <w:szCs w:val="20"/>
                <w:color w:val="auto"/>
              </w:rPr>
            </w:pPr>
            <w:r>
              <w:rPr>
                <w:rFonts w:ascii="Arial" w:cs="Arial" w:eastAsia="Arial" w:hAnsi="Arial"/>
                <w:sz w:val="16"/>
                <w:szCs w:val="16"/>
                <w:color w:val="auto"/>
              </w:rPr>
              <w:t>Net income, excluding amounts attributable to</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3660" w:type="dxa"/>
            <w:vAlign w:val="bottom"/>
          </w:tcPr>
          <w:p>
            <w:pPr>
              <w:ind w:left="360"/>
              <w:spacing w:after="0"/>
              <w:rPr>
                <w:sz w:val="20"/>
                <w:szCs w:val="20"/>
                <w:color w:val="auto"/>
              </w:rPr>
            </w:pPr>
            <w:r>
              <w:rPr>
                <w:rFonts w:ascii="Arial" w:cs="Arial" w:eastAsia="Arial" w:hAnsi="Arial"/>
                <w:sz w:val="16"/>
                <w:szCs w:val="16"/>
                <w:color w:val="auto"/>
              </w:rPr>
              <w:t>redeemable noncontrolling interests</w:t>
            </w:r>
          </w:p>
        </w:tc>
        <w:tc>
          <w:tcPr>
            <w:tcW w:w="1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4,848</w:t>
            </w:r>
          </w:p>
        </w:tc>
      </w:tr>
      <w:tr>
        <w:trPr>
          <w:trHeight w:val="33"/>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660" w:type="dxa"/>
            <w:vAlign w:val="bottom"/>
            <w:shd w:val="clear" w:color="auto" w:fill="CCEEFF"/>
          </w:tcPr>
          <w:p>
            <w:pPr>
              <w:jc w:val="center"/>
              <w:ind w:right="1559"/>
              <w:spacing w:after="0"/>
              <w:rPr>
                <w:sz w:val="20"/>
                <w:szCs w:val="20"/>
                <w:color w:val="auto"/>
              </w:rPr>
            </w:pPr>
            <w:r>
              <w:rPr>
                <w:rFonts w:ascii="Arial" w:cs="Arial" w:eastAsia="Arial" w:hAnsi="Arial"/>
                <w:sz w:val="16"/>
                <w:szCs w:val="16"/>
                <w:b w:val="1"/>
                <w:bCs w:val="1"/>
                <w:color w:val="auto"/>
                <w:w w:val="90"/>
              </w:rPr>
              <w:t>Balance,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33,845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118" w:right="239" w:bottom="1440" w:gutter="0" w:footer="0" w:header="0"/>
          <w:type w:val="continuous"/>
        </w:sectPr>
      </w:pPr>
    </w:p>
    <w:bookmarkStart w:id="175" w:name="page176"/>
    <w:bookmarkEnd w:id="1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Inventory valuation adjustments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Impairment losses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Impairment of investments in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Losses on extinguishment of debt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on unvested awards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Equity in earnings of unconsolidated affiliates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from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 non-cash</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change in operating assets and liabilities, net of effects of acquisitions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Cash proceeds from sale of noncontrolling interest in subsidiary</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received in USAC acquisition, net of cash paid</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Cash proceeds from Bakken pipeline transaction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proceeds from Rover pipeline transaction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Cash paid for SemGroup Acquisition, net of cash received</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acquisition of PennTex noncontrolling interest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Cash paid for all other acquisitions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Capital expenditures, excluding allowance for equity funds used during construction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Contributions in aid of construction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Contributions to unconsolidated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Distributions from unconsolidated affiliates in excess of cumulative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the sale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118" w:right="2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borrowings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31,608</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Repayments of debt</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(31,268)</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Repayments of notes payable to related party</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Common units issued for cash</w:t>
            </w:r>
          </w:p>
        </w:tc>
        <w:tc>
          <w:tcPr>
            <w:tcW w:w="4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Subsidiary units issued for cash</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3,235</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Capital contributions from noncontrolling interests</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1,214</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partners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redeemable noncontrolling interests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Common units repurchased under buyback program</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Subsidiary units repurchased</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Redemption of preferred units</w:t>
            </w:r>
          </w:p>
        </w:tc>
        <w:tc>
          <w:tcPr>
            <w:tcW w:w="4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Investing activities</w:t>
            </w:r>
          </w:p>
        </w:tc>
        <w:tc>
          <w:tcPr>
            <w:tcW w:w="4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Changes in cash included in current assets held for sale</w:t>
            </w:r>
          </w:p>
        </w:tc>
        <w:tc>
          <w:tcPr>
            <w:tcW w:w="4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6740" w:type="dxa"/>
            <w:vAlign w:val="bottom"/>
          </w:tcPr>
          <w:p>
            <w:pPr>
              <w:ind w:left="360"/>
              <w:spacing w:after="0"/>
              <w:rPr>
                <w:sz w:val="20"/>
                <w:szCs w:val="20"/>
                <w:color w:val="auto"/>
              </w:rPr>
            </w:pPr>
            <w:r>
              <w:rPr>
                <w:rFonts w:ascii="Arial" w:cs="Arial" w:eastAsia="Arial" w:hAnsi="Arial"/>
                <w:sz w:val="18"/>
                <w:szCs w:val="18"/>
                <w:color w:val="auto"/>
              </w:rPr>
              <w:t>Net increase in cash and cash equivalents of discontinued operations</w:t>
            </w: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67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0"/>
        </w:trPr>
        <w:tc>
          <w:tcPr>
            <w:tcW w:w="6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18" w:right="2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369"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AND BASIS OF PRESENTATION</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presented herein contain the results of Energy Transfer LP and its subsidiaries (the “Partnership,” “we,” “us,” “our” or “ET”). References to the “Parent Company” mean Energy Transfer LP on a stand-alone basis.</w:t>
      </w:r>
    </w:p>
    <w:p>
      <w:pPr>
        <w:spacing w:after="0" w:line="116"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October 2018, we completed the merger of ETO with a wholly-owned subsidiary of ET in a unit-for-unit exchange (the “Energy Transfer Merger”). In connection with the transaction, the former common unitholders (other than ET and its subsidiaries) received 1.28 common units of ET for each common unit of ETO they owned. Following the closing of the Energy Transfer Merger, Energy Transfer Partners, L.P. was renamed Energy Transfer Operating, L.P. In addition, Energy Transfer Equity, L.P. was renamed Energy Transfer LP, and its common units began trading on the NYSE under the “ET” ticker symbol on Friday, October 19, 2018.</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Immediately prior to the closing of the Energy Transfer Merger, the following also occurred:</w:t>
      </w:r>
    </w:p>
    <w:p>
      <w:pPr>
        <w:spacing w:after="0" w:line="333" w:lineRule="exact"/>
        <w:rPr>
          <w:rFonts w:ascii="Arial" w:cs="Arial" w:eastAsia="Arial" w:hAnsi="Arial"/>
          <w:sz w:val="18"/>
          <w:szCs w:val="18"/>
          <w:b w:val="1"/>
          <w:bCs w:val="1"/>
          <w:color w:val="auto"/>
        </w:rPr>
      </w:pPr>
    </w:p>
    <w:p>
      <w:pPr>
        <w:ind w:left="660" w:hanging="328"/>
        <w:spacing w:after="0"/>
        <w:tabs>
          <w:tab w:leader="none" w:pos="6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IDRs in Energy Transfer Partners, L.P. were converted into 1,168,205,710 common units;</w:t>
      </w:r>
    </w:p>
    <w:p>
      <w:pPr>
        <w:spacing w:after="0" w:line="33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general partner interest in ETO was converted to a non-economic general partner interest and ETO issued 18,448,341 ETO common units to ETP GP;</w:t>
      </w:r>
    </w:p>
    <w:p>
      <w:pPr>
        <w:spacing w:after="0" w:line="224" w:lineRule="exact"/>
        <w:rPr>
          <w:rFonts w:ascii="Arial" w:cs="Arial" w:eastAsia="Arial" w:hAnsi="Arial"/>
          <w:sz w:val="18"/>
          <w:szCs w:val="18"/>
          <w:color w:val="auto"/>
        </w:rPr>
      </w:pPr>
    </w:p>
    <w:p>
      <w:pPr>
        <w:ind w:left="660" w:hanging="328"/>
        <w:spacing w:after="0" w:line="264" w:lineRule="auto"/>
        <w:tabs>
          <w:tab w:leader="none" w:pos="6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ET contributed its 2,263,158 Sunoco LP common units to ETO in exchange for 2,874,275 ETO common units and 100 percent of the limited liability company interests in Sunoco GP LLC, the sole general partner of Sunoco LP, and all of the IDRs in Sunoco LP, to ETO in exchange for 42,812,389 ETO common units;</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ET contributed its 12,466,912 common units representing limited partner interests in USAC and 100 percent of the limited liability company interests in USA Compression GP, LLC, the general partner of USAC, to ETO in exchange for 16,134,903 ETO common units; and</w:t>
      </w:r>
    </w:p>
    <w:p>
      <w:pPr>
        <w:spacing w:after="0" w:line="3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ET contributed its 100 percent limited liability company interest in Lake Charles LNG and a 60 percent limited liability company interest in each of Energy Transfer LNG Export, LLC, ET Crude Oil Terminals, LLC and ETC Illinois LLC (collectively, “Lake Charles LNG and Other”) to ETO in exchange for 37,557,815 ETO common units.</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Subsequent to the Energy Transfer Merger, substantially all of the Partnership’s cash flows are derived from distributions related to its investment in ETO, whose cash flows are derived from its subsidiaries, including ETO’s investments in Sunoco LP and USAC. The Parent Company’s primary cash requirements are for general and administrative expenses, debt service requirements and distributions to its partners. Parent Company-only assets are not available to satisfy the debts and other obligations of ET’s subsidiaries.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reflect the following reportable segments:</w:t>
      </w:r>
    </w:p>
    <w:p>
      <w:pPr>
        <w:spacing w:after="0" w:line="117" w:lineRule="exact"/>
        <w:rPr>
          <w:sz w:val="20"/>
          <w:szCs w:val="20"/>
          <w:color w:val="auto"/>
        </w:rPr>
      </w:pPr>
    </w:p>
    <w:p>
      <w:pPr>
        <w:ind w:left="720" w:hanging="388"/>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corporate and other, including the following: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activities of the Parent Company;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certain operations and investments that are not separately reflected as reportable segments.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Partnership is engaged in the gathering and processing, compression, treating and transportation of natural gas, focusing on providing midstream services in some of the most prolific natural gas producing regions in the United States, including the Eagle Ford, Haynesville, Barnett, Fayetteville, Marcellus, Utica, Bone Spring and Avalon shales.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18" w:right="2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Partnership owns and operates intrastate natural gas pipeline systems and storage facilities that are engaged in the business of purchasing, gathering, transporting, processing, and marketing natural gas and NGLs in the states of Texas, Louisiana, New Mexico and West Virginia.</w:t>
      </w:r>
    </w:p>
    <w:p>
      <w:pPr>
        <w:spacing w:after="0" w:line="9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Partnership owns and operates interstate pipelines, either directly or through equity method investments, that transport natural gas to various markets in the United States.</w:t>
      </w:r>
    </w:p>
    <w:p>
      <w:pPr>
        <w:spacing w:after="0" w:line="11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Partnership owns and operates a logistics business, consisting of a geographically diverse portfolio of complementary pipeline, terminalling, and acquisition and marketing assets, which are used to facilitate the purchase and sale of crude oil, NGLs and refined products.</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Partnership owns a controlling interest in Sunoco LP which is engaged in the wholesale distribution of motor fuels to convenience stores, independent dealers, commercial customers, and distributors, as well as the retail sale of motor fuels and merchandise through Sunoco LP operated convenience stores and retail fuel sites. As of December 31, 2019, our interest in Sunoco LP consisted of 100% of the general partner and IDRs, as well as 28.5 million common units.</w:t>
      </w:r>
    </w:p>
    <w:p>
      <w:pPr>
        <w:spacing w:after="0" w:line="13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Partnership owns a controlling interest in USAC which provides compression services to producers, processors, gatherers and transporters of natural gas and crude oil. As of December 31, 2019, our interest in USAC consisted of 100% of the general partner and 46.1 million common units.</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consolidated financial statements of Energy Transfer LP presented herein for the years ended December 31, 2019,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have been prepared in accordance with GAAP and pursuant to the rules and regulations of the SEC. We consolidate all majority-owned subsidiaries and limited partnerships, which we control as the general partner or owner of the general partner. All significant intercompany transactions and accounts are eliminated in consolidation.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consolidated financial statements of ET presented herein include the results of operations of:</w:t>
      </w:r>
    </w:p>
    <w:p>
      <w:pPr>
        <w:spacing w:after="0" w:line="171"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Parent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our controlled subsidiary, Energy Transfer Operating, L.P.;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Energy Transfer Partners GP, L.P. (“ETP GP”), the general partner of ETO, and Energy Transfer Partners, L.L.C. (“ETP LLC”), the general partner of ETP GP.</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For prior periods herein, certain balances have been reclassified to assets and liabilities held for sale and certain revenues and expenses to discontinued operations. These reclassifications had no impact on net income or total equity.</w:t>
      </w:r>
    </w:p>
    <w:p>
      <w:pPr>
        <w:spacing w:after="0" w:line="112" w:lineRule="exact"/>
        <w:rPr>
          <w:sz w:val="20"/>
          <w:szCs w:val="20"/>
          <w:color w:val="auto"/>
        </w:rPr>
      </w:pPr>
    </w:p>
    <w:p>
      <w:pPr>
        <w:ind w:left="340" w:right="3780" w:hanging="332"/>
        <w:spacing w:after="0" w:line="440" w:lineRule="auto"/>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ESTIMATES, SIGNIFICANT ACCOUNTING POLICIES AND BALANCE SHEET DETAIL</w:t>
      </w:r>
      <w:r>
        <w:rPr>
          <w:rFonts w:ascii="Arial" w:cs="Arial" w:eastAsia="Arial" w:hAnsi="Arial"/>
          <w:sz w:val="18"/>
          <w:szCs w:val="18"/>
          <w:b w:val="1"/>
          <w:bCs w:val="1"/>
          <w:color w:val="auto"/>
        </w:rPr>
        <w:t>: Use of Estimates</w:t>
      </w:r>
    </w:p>
    <w:p>
      <w:pPr>
        <w:spacing w:after="0" w:line="1"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accrual for and disclosure of contingent assets and liabilities at the date of the financial statements and the reported amounts of revenues and expenses during the reporting period.</w:t>
      </w:r>
    </w:p>
    <w:p>
      <w:pPr>
        <w:spacing w:after="0" w:line="127"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natural gas industry conducts its business by processing actual transactions at the end of the month following the month of delivery. Consequently, the most current month’s financial results for the midstream, NGL and intrastate transportation and storage operations are estimated using volume estimates and market prices. Any differences between estimated results and actual results are recognized in the following month’s financial statements. Management believes that the estimated operating results represent the actual results in all material respects.</w:t>
      </w:r>
    </w:p>
    <w:p>
      <w:pPr>
        <w:spacing w:after="0" w:line="117" w:lineRule="exact"/>
        <w:rPr>
          <w:rFonts w:ascii="Arial" w:cs="Arial" w:eastAsia="Arial" w:hAnsi="Arial"/>
          <w:sz w:val="18"/>
          <w:szCs w:val="18"/>
          <w:b w:val="1"/>
          <w:bCs w:val="1"/>
          <w:color w:val="auto"/>
        </w:rPr>
      </w:pP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Some of the other significant estimates made by management include, but are not limited to, the timing of certain forecasted transactions that are hedged, the fair value of derivative instruments, useful lives for depreciation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9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 Accounting</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In February 2016, the Financial Accounting Standards Board (“FASB”) issued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has amended the FASB Accounting Standards Codification (“ASC”) and introduced Topic 842, Leases. On January 1, 2019, the Partnership has adopted ASC Topic 842 (“Topic 842”), which is effective for interim and annual reporting periods beginning on or after December 15, 2018. Topic 842 requires entities to recognize lease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18" w:right="23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and liabilities on the balance sheet for all leases with a term of more than one year, including operating leases, which historically were not recorded on the balance sheet in accordance with the prior standard.</w:t>
      </w:r>
    </w:p>
    <w:p>
      <w:pPr>
        <w:spacing w:after="0" w:line="11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To adopt Topic 842, the Partnership recognized a cumulative catch-up adjustment to the opening balance sheet as of January 1, 2019 related to certain leases that existed as of that date. As permitted, we have not retrospectively modified our consolidated financial statements for comparative purposes. The adoption of the standard had a material impact on our consolidated balance sheet, but did not have an impact on our consolidated statements of operations, comprehensive income or cash flows. As a result of adoption, we have recorded additional net right-of-use (“ROU”) lease assets and lease liabilities of approximately $888 million and $888 million, respectively, as of January 1, 2019. In addition, we have updated our business processes, systems, and internal controls to support the on-going reporting requirements under the new standard.</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To adopt Topic 842, the Partnership elected the package of practical expedients permitted under the transition guidance within the standard. The expedient package allowed us not to reassess whether existing contracts contained a lease, the lease classification of existing leases and initial direct cost for existing leases. In addition to the package of practical expedients, the Partnership has elected not to capitalize amounts pertaining to leases with terms less than twelve months, to use the portfolio approach to determine discount rates, not to separate non-lease components from lease components and not to apply the use of hindsight to the active lease population.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Cumulative-effect adjustments made to the opening balance sheet at January 1, 2019 were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Balance at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December 31,</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2018, as</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Adjustments due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previously</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to Topic 842</w:t>
            </w:r>
          </w:p>
        </w:tc>
        <w:tc>
          <w:tcPr>
            <w:tcW w:w="12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Balance at</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reported</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(Leases)</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w w:val="86"/>
              </w:rPr>
              <w:t>January 1, 2019</w:t>
            </w:r>
          </w:p>
        </w:tc>
        <w:tc>
          <w:tcPr>
            <w:tcW w:w="0" w:type="dxa"/>
            <w:vAlign w:val="bottom"/>
          </w:tcPr>
          <w:p>
            <w:pPr>
              <w:spacing w:after="0"/>
              <w:rPr>
                <w:sz w:val="1"/>
                <w:szCs w:val="1"/>
                <w:color w:val="auto"/>
              </w:rPr>
            </w:pPr>
          </w:p>
        </w:tc>
      </w:tr>
      <w:tr>
        <w:trPr>
          <w:trHeight w:val="27"/>
        </w:trPr>
        <w:tc>
          <w:tcPr>
            <w:tcW w:w="6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66,962</w:t>
            </w:r>
          </w:p>
        </w:tc>
        <w:tc>
          <w:tcPr>
            <w:tcW w:w="0" w:type="dxa"/>
            <w:vAlign w:val="bottom"/>
          </w:tcPr>
          <w:p>
            <w:pPr>
              <w:spacing w:after="0"/>
              <w:rPr>
                <w:sz w:val="1"/>
                <w:szCs w:val="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Lease right-of-use assets, net</w:t>
            </w:r>
          </w:p>
        </w:tc>
        <w:tc>
          <w:tcPr>
            <w:tcW w:w="1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current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43,379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disclosures related to lease accounting are included in Note 13.</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Regulatory Accounting – Regulatory Assets and Liabilities</w:t>
      </w:r>
    </w:p>
    <w:p>
      <w:pPr>
        <w:spacing w:after="0" w:line="17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Our interstate transportation and storage segment is subject to regulation by certain state and federal authorities, and certain subsidiaries in that segment have accounting policies that conform to the accounting requirements and ratemaking practices of the regulatory authorities. The application of these accounting policies allows certain of our regulated entities to defer expenses and revenues on the balance sheet as regulatory assets and liabilities when it is probable that those expenses and revenues will be allowed in the ratemaking process in a period different from the period in which they would have been reflected in the consolidated statement of operations by an unregulated company. These deferred assets and liabilities will be reported in results of operations in the period in which the same amounts are included in rates and recovered from or refunded to customers. Management’s assessment of the probability of recovery or pass through of regulatory assets and liabilities will require judgment and interpretation of laws and regulatory commission orders. If, for any reason, we cease to meet the criteria for application of regulatory accounting treatment for these entities, the regulatory assets and liabilities related to those portions ceasing to meet such criteria would be eliminated from the consolidated balance sheet for the period in which the discontinuance of regulatory accounting treatment occurs.</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Although Panhandle’s natural gas transmission systems and storage operations are subject to the jurisdiction of the FERC in accordance with the Natural Gas Act of 1938 and Natural Gas Policy Act of 1978, it does not currently apply regulatory accounting policies in accounting for its operations. Panhandle does not apply regulatory accounting policies primarily due to the level of discounting from tariff rates and its inability to recover specific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18" w:right="2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Cash Equivalents and Supplemental Cash Flow Information</w:t>
      </w:r>
    </w:p>
    <w:p>
      <w:pPr>
        <w:spacing w:after="0" w:line="17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change in operating assets and liabilities (net of effects of acquisitions) included in cash flows from operating activities is comprised as follows:</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6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to related companies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Derivative assets and liabilities, net</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7"/>
              </w:rPr>
              <w:t>Net change in operating assets and liabilities, net of effects of acquisitions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investing and financing activities and supplemental cash flow information are as follows:</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5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Accrued capital expenditures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1,060</w:t>
            </w: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Lease assets obtained in exchange for new lease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Net losses from subsidiary common unit transactions</w:t>
            </w:r>
          </w:p>
        </w:tc>
        <w:tc>
          <w:tcPr>
            <w:tcW w:w="96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Contribution of assets from noncontrolling interests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988</w:t>
            </w: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160"/>
              <w:spacing w:after="0"/>
              <w:rPr>
                <w:sz w:val="20"/>
                <w:szCs w:val="20"/>
                <w:color w:val="auto"/>
              </w:rPr>
            </w:pPr>
            <w:r>
              <w:rPr>
                <w:rFonts w:ascii="Arial" w:cs="Arial" w:eastAsia="Arial" w:hAnsi="Arial"/>
                <w:sz w:val="18"/>
                <w:szCs w:val="18"/>
                <w:color w:val="auto"/>
              </w:rPr>
              <w:t>Cash paid for interest, net of interest capitalized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1,932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1,914</w:t>
            </w: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Our operations deal with a variety of counterparties across the energy sector, some of which are investment grade, and most of which are not. Internal credit ratings and credit limits are assigned to all counterparties and limits are monitored against credit exposure. Letters of credit or prepayments may be required from those counterparties that are not investment grade depending on the internal credit rating and level of commercial activity with the counterparty.</w:t>
      </w:r>
    </w:p>
    <w:p>
      <w:pPr>
        <w:spacing w:after="0" w:line="13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have a diverse portfolio of customers; however, because of the midstream and transportation services we provide, many of our customers are engaged in the exploration and production segment. We manage trade credit risk to mitigate credit losses and exposure to uncollectible trade receivables. Prospective and existing customers are reviewed regularly for creditworthiness to manage credit risk within approved tolerances. Customers that do not meet minimum credit standards are required to provide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18" w:right="2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additional credit support in the form of a letter of credit, prepayment, or other forms of security. We establish an allowance for doubtful accounts on trade receivables based on the expected ultimate recovery of these receivables and consider many factors including historical customer collection experience, general and specific economic trends, and known specific issues related to individual customers, sectors, and transactions that might impact collectability. Increases in the allowance are recorded as a component of operating expenses; reductions in the allowance are recorded when receivables are subsequently collected or written-off. Past due receivable balances are written-off when our efforts have been unsuccessful in collecting the amount due.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Inventories consist principally of natural gas held in storage, NGLs and refined products, crude oil and spare parts, all of which are valued at the lower of cost or net realizable value utilizing the weighted-average cost method.</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7"/>
              </w:rPr>
              <w:t>December 31,</w:t>
            </w:r>
          </w:p>
        </w:tc>
        <w:tc>
          <w:tcPr>
            <w:tcW w:w="980" w:type="dxa"/>
            <w:vAlign w:val="bottom"/>
          </w:tcPr>
          <w:p>
            <w:pPr>
              <w:spacing w:after="0"/>
              <w:rPr>
                <w:sz w:val="24"/>
                <w:szCs w:val="24"/>
                <w:color w:val="auto"/>
              </w:rPr>
            </w:pPr>
          </w:p>
        </w:tc>
      </w:tr>
      <w:tr>
        <w:trPr>
          <w:trHeight w:val="27"/>
        </w:trPr>
        <w:tc>
          <w:tcPr>
            <w:tcW w:w="7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2018</w:t>
            </w:r>
          </w:p>
        </w:tc>
      </w:tr>
      <w:tr>
        <w:trPr>
          <w:trHeight w:val="27"/>
        </w:trPr>
        <w:tc>
          <w:tcPr>
            <w:tcW w:w="7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5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Natural gas, NGLs and refined products </w:t>
            </w:r>
            <w:r>
              <w:rPr>
                <w:rFonts w:ascii="Arial" w:cs="Arial" w:eastAsia="Arial" w:hAnsi="Arial"/>
                <w:sz w:val="25"/>
                <w:szCs w:val="25"/>
                <w:color w:val="auto"/>
                <w:vertAlign w:val="superscript"/>
              </w:rPr>
              <w:t>(1)</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Spare parts and 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57"/>
        </w:trPr>
        <w:tc>
          <w:tcPr>
            <w:tcW w:w="7580" w:type="dxa"/>
            <w:vAlign w:val="bottom"/>
          </w:tcPr>
          <w:p>
            <w:pPr>
              <w:ind w:left="260"/>
              <w:spacing w:after="0"/>
              <w:rPr>
                <w:sz w:val="20"/>
                <w:szCs w:val="20"/>
                <w:color w:val="auto"/>
              </w:rPr>
            </w:pPr>
            <w:r>
              <w:rPr>
                <w:rFonts w:ascii="Arial" w:cs="Arial" w:eastAsia="Arial" w:hAnsi="Arial"/>
                <w:sz w:val="18"/>
                <w:szCs w:val="18"/>
                <w:color w:val="auto"/>
              </w:rPr>
              <w:t>Total inventories</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1,935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w:t>
            </w:r>
          </w:p>
        </w:tc>
      </w:tr>
      <w:tr>
        <w:trPr>
          <w:trHeight w:val="20"/>
        </w:trPr>
        <w:tc>
          <w:tcPr>
            <w:tcW w:w="7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24"/>
          <w:szCs w:val="24"/>
          <w:color w:val="auto"/>
          <w:vertAlign w:val="superscript"/>
        </w:rPr>
      </w:pPr>
      <w:r>
        <w:rPr>
          <w:rFonts w:ascii="Arial" w:cs="Arial" w:eastAsia="Arial" w:hAnsi="Arial"/>
          <w:sz w:val="17"/>
          <w:szCs w:val="17"/>
          <w:color w:val="auto"/>
        </w:rPr>
        <w:t>Due to changes in fuel prices, Sunoco LP recorded a write-down on the value of its fuel inventory of $85 million as of December 31, 2018.</w:t>
      </w:r>
    </w:p>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We utilize commodity derivatives to manage price volatility associated with our natural gas inventory. Changes in fair value of designated hedged inventory are recorded in inventory on our consolidated balance sheets and cost of products sold in our consolidated statements of operations.</w:t>
      </w:r>
    </w:p>
    <w:p>
      <w:pPr>
        <w:spacing w:after="0" w:line="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Current Assets</w:t>
            </w: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580" w:type="dxa"/>
            <w:vAlign w:val="bottom"/>
          </w:tcPr>
          <w:p>
            <w:pPr>
              <w:spacing w:after="0"/>
              <w:rPr>
                <w:sz w:val="20"/>
                <w:szCs w:val="20"/>
                <w:color w:val="auto"/>
              </w:rPr>
            </w:pPr>
            <w:r>
              <w:rPr>
                <w:rFonts w:ascii="Arial" w:cs="Arial" w:eastAsia="Arial" w:hAnsi="Arial"/>
                <w:sz w:val="18"/>
                <w:szCs w:val="18"/>
                <w:color w:val="auto"/>
              </w:rPr>
              <w:t>Other current assets consisted of the following:</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7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3"/>
              </w:rPr>
              <w:t>December 31,</w:t>
            </w:r>
          </w:p>
        </w:tc>
        <w:tc>
          <w:tcPr>
            <w:tcW w:w="980" w:type="dxa"/>
            <w:vAlign w:val="bottom"/>
          </w:tcPr>
          <w:p>
            <w:pPr>
              <w:spacing w:after="0"/>
              <w:rPr>
                <w:sz w:val="24"/>
                <w:szCs w:val="24"/>
                <w:color w:val="auto"/>
              </w:rPr>
            </w:pPr>
          </w:p>
        </w:tc>
      </w:tr>
      <w:tr>
        <w:trPr>
          <w:trHeight w:val="27"/>
        </w:trPr>
        <w:tc>
          <w:tcPr>
            <w:tcW w:w="7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2018</w:t>
            </w:r>
          </w:p>
        </w:tc>
      </w:tr>
      <w:tr>
        <w:trPr>
          <w:trHeight w:val="27"/>
        </w:trPr>
        <w:tc>
          <w:tcPr>
            <w:tcW w:w="7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Deposits paid to vendors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current assets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or FERC-mandated lives of the assets, if applicable. Expenditures for maintenance and repairs that do not add capacity or extend the useful life are expensed as incurred. Expenditures to refurbish assets that either extend the useful lives of the asset or prevent environmental contamination are capitalized and depreciated over the remaining useful life of the asset. Additionally, we capitalize certain costs directly related to the construction of assets including internal labor costs, interest and engineering costs. Upon disposition or retirement of pipeline components or natural gas plant components, any gain or loss is recorded to accumulated depreciation. When entire pipeline systems, gas plants or other property and equipment are retired or sold, any gain or loss is included in our consolidated statements of operations.</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Property, plant and equipment is reviewed for impairment whenever events or changes in circumstances indicate that the carrying amount of such assets may not be recoverable. If such a review should indicate that the carrying amount of long-lived assets is not recoverable, we reduce the carrying amount of such assets to fair value.</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2019, USAC recognized a $6 million fixed asset impairment related to certain idle compressor assets. Sunoco LP recognized a $47 million write-down on assets held for sale related to its ethanol plant in Fulton, New York.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USAC recognized a $9 million fixed asset impairment related to certain idle compressor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18" w:right="23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2017, the Partnership recorded a $127 million fixed asset impairment related to Sea Robin primarily due to a reduction in expected future cash flows due to an increase during 2017 in insurance costs related to offshore assets.</w:t>
      </w:r>
    </w:p>
    <w:p>
      <w:pPr>
        <w:spacing w:after="0" w:line="11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Capitalized interest is included for pipeline construction projects, except for certain interstate projects for which an allowance for funds used during construction (“AFUDC”) is accrued. Interest is capitalized based on the current borrowing rate of our revolving credit facilities when the related costs are incurred. AFUDC is calculated under guidelines prescribed by the FERC and capitalized as part of the cost of utility plant for interstate projects. It represents the cost of servicing the capital invested in construction work-in-process. AFUDC is segregated into two component parts – borrowed funds and equity funds.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4"/>
              </w:rPr>
              <w:t>Components and useful lives of property, plant and equipment were as follows: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Buildings and improvements (1 to 45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Pipelines and equipment (5 to 83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58,783</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Product storage and related facilities (2 to 83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way (20 to 83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Other (1 to 48 years)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work-in-process</w:t>
            </w:r>
          </w:p>
        </w:tc>
        <w:tc>
          <w:tcPr>
            <w:tcW w:w="9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89,790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79,776</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depletion</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(12,813)</w:t>
            </w:r>
          </w:p>
        </w:tc>
        <w:tc>
          <w:tcPr>
            <w:tcW w:w="0" w:type="dxa"/>
            <w:vAlign w:val="bottom"/>
          </w:tcPr>
          <w:p>
            <w:pPr>
              <w:spacing w:after="0"/>
              <w:rPr>
                <w:sz w:val="1"/>
                <w:szCs w:val="1"/>
                <w:color w:val="auto"/>
              </w:rPr>
            </w:pP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74,193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66,963</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We recognized the following amounts for the periods presented:</w:t>
            </w: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80" w:type="dxa"/>
            <w:vAlign w:val="bottom"/>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9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60" w:type="dxa"/>
            <w:vAlign w:val="bottom"/>
            <w:gridSpan w:val="7"/>
          </w:tcPr>
          <w:p>
            <w:pPr>
              <w:jc w:val="right"/>
              <w:ind w:right="290"/>
              <w:spacing w:after="0"/>
              <w:rPr>
                <w:sz w:val="20"/>
                <w:szCs w:val="20"/>
                <w:color w:val="auto"/>
              </w:rPr>
            </w:pPr>
            <w:r>
              <w:rPr>
                <w:rFonts w:ascii="Arial" w:cs="Arial" w:eastAsia="Arial" w:hAnsi="Arial"/>
                <w:sz w:val="18"/>
                <w:szCs w:val="18"/>
                <w:color w:val="auto"/>
              </w:rPr>
              <w:t>Years Ended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 expense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Advances to and Investments in Unconsolidated Affiliates</w:t>
      </w:r>
    </w:p>
    <w:p>
      <w:pPr>
        <w:spacing w:after="0" w:line="175"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We own interests in a number of related businesses that are accounted for by the equity method. In general, we use the equity method of accounting for an investment for which we exercise significant influence over, but do not control, the investee’s operating and financial policies. An impairment of an investment in an unconsolidated affiliate is recognized when circumstances indicate that a decline in the investment value is other than temporary.</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Non-Current Assets,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net are stated at cost less accumulated amortization. Other non-current assets, net consisted of the following:</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5"/>
              </w:rPr>
              <w:t>December 31,</w:t>
            </w:r>
          </w:p>
        </w:tc>
        <w:tc>
          <w:tcPr>
            <w:tcW w:w="98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2018</w:t>
            </w:r>
          </w:p>
        </w:tc>
      </w:tr>
      <w:tr>
        <w:trPr>
          <w:trHeight w:val="27"/>
        </w:trPr>
        <w:tc>
          <w:tcPr>
            <w:tcW w:w="7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Pension assets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charges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Restricted funds</w:t>
            </w: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57"/>
        </w:trPr>
        <w:tc>
          <w:tcPr>
            <w:tcW w:w="7580" w:type="dxa"/>
            <w:vAlign w:val="bottom"/>
          </w:tcPr>
          <w:p>
            <w:pPr>
              <w:ind w:left="380"/>
              <w:spacing w:after="0"/>
              <w:rPr>
                <w:sz w:val="20"/>
                <w:szCs w:val="20"/>
                <w:color w:val="auto"/>
              </w:rPr>
            </w:pPr>
            <w:r>
              <w:rPr>
                <w:rFonts w:ascii="Arial" w:cs="Arial" w:eastAsia="Arial" w:hAnsi="Arial"/>
                <w:sz w:val="18"/>
                <w:szCs w:val="18"/>
                <w:color w:val="auto"/>
              </w:rPr>
              <w:t>Total other non-current assets, net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1,075</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1,006</w:t>
            </w:r>
          </w:p>
        </w:tc>
      </w:tr>
      <w:tr>
        <w:trPr>
          <w:trHeight w:val="20"/>
        </w:trPr>
        <w:tc>
          <w:tcPr>
            <w:tcW w:w="7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funds include an immaterial amount of restricted cash primarily held in our wholly-owned captive insurance companies.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18" w:right="23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Intangible assets are stated at cost, net of amortization computed on the straight-line method. The Partnership removes the gross carrying amount and the related accumulated amortization for any fully amortized intangibles in the year they are fully amortized.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and useful lives of intangible assets were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5"/>
          </w:tcPr>
          <w:p>
            <w:pPr>
              <w:ind w:left="640"/>
              <w:spacing w:after="0"/>
              <w:rPr>
                <w:sz w:val="20"/>
                <w:szCs w:val="20"/>
                <w:color w:val="auto"/>
              </w:rPr>
            </w:pPr>
            <w:r>
              <w:rPr>
                <w:rFonts w:ascii="Arial" w:cs="Arial" w:eastAsia="Arial" w:hAnsi="Arial"/>
                <w:sz w:val="18"/>
                <w:szCs w:val="18"/>
                <w:color w:val="auto"/>
              </w:rPr>
              <w:t>December 31, 2019</w:t>
            </w:r>
          </w:p>
        </w:tc>
        <w:tc>
          <w:tcPr>
            <w:tcW w:w="140" w:type="dxa"/>
            <w:vAlign w:val="bottom"/>
          </w:tcPr>
          <w:p>
            <w:pPr>
              <w:spacing w:after="0"/>
              <w:rPr>
                <w:sz w:val="20"/>
                <w:szCs w:val="20"/>
                <w:color w:val="auto"/>
              </w:rPr>
            </w:pPr>
          </w:p>
        </w:tc>
        <w:tc>
          <w:tcPr>
            <w:tcW w:w="2840" w:type="dxa"/>
            <w:vAlign w:val="bottom"/>
            <w:gridSpan w:val="4"/>
          </w:tcPr>
          <w:p>
            <w:pPr>
              <w:jc w:val="right"/>
              <w:ind w:right="690"/>
              <w:spacing w:after="0"/>
              <w:rPr>
                <w:sz w:val="20"/>
                <w:szCs w:val="20"/>
                <w:color w:val="auto"/>
              </w:rPr>
            </w:pPr>
            <w:r>
              <w:rPr>
                <w:rFonts w:ascii="Arial" w:cs="Arial" w:eastAsia="Arial" w:hAnsi="Arial"/>
                <w:sz w:val="18"/>
                <w:szCs w:val="18"/>
                <w:color w:val="auto"/>
              </w:rPr>
              <w:t>December 31, 2018</w:t>
            </w:r>
          </w:p>
        </w:tc>
      </w:tr>
      <w:tr>
        <w:trPr>
          <w:trHeight w:val="27"/>
        </w:trPr>
        <w:tc>
          <w:tcPr>
            <w:tcW w:w="4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Gross Carrying</w:t>
            </w: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Gross Carrying</w:t>
            </w:r>
          </w:p>
        </w:tc>
        <w:tc>
          <w:tcPr>
            <w:tcW w:w="1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94"/>
              </w:rPr>
              <w:t>Accumulated</w:t>
            </w:r>
          </w:p>
        </w:tc>
      </w:tr>
      <w:tr>
        <w:trPr>
          <w:trHeight w:val="230"/>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w w:val="97"/>
              </w:rPr>
              <w:t>Amortization</w:t>
            </w:r>
          </w:p>
        </w:tc>
      </w:tr>
      <w:tr>
        <w:trPr>
          <w:trHeight w:val="27"/>
        </w:trPr>
        <w:tc>
          <w:tcPr>
            <w:tcW w:w="4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Amortizable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4600" w:type="dxa"/>
            <w:vAlign w:val="bottom"/>
          </w:tcPr>
          <w:p>
            <w:pPr>
              <w:ind w:left="160"/>
              <w:spacing w:after="0"/>
              <w:rPr>
                <w:sz w:val="20"/>
                <w:szCs w:val="20"/>
                <w:color w:val="auto"/>
              </w:rPr>
            </w:pPr>
            <w:r>
              <w:rPr>
                <w:rFonts w:ascii="Arial" w:cs="Arial" w:eastAsia="Arial" w:hAnsi="Arial"/>
                <w:sz w:val="18"/>
                <w:szCs w:val="18"/>
                <w:color w:val="auto"/>
                <w:w w:val="94"/>
              </w:rPr>
              <w:t>Customer relationships, contracts and agreements (3 to 46</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00" w:type="dxa"/>
            <w:vAlign w:val="bottom"/>
          </w:tcPr>
          <w:p>
            <w:pPr>
              <w:ind w:left="320"/>
              <w:spacing w:after="0"/>
              <w:rPr>
                <w:sz w:val="20"/>
                <w:szCs w:val="20"/>
                <w:color w:val="auto"/>
              </w:rPr>
            </w:pPr>
            <w:r>
              <w:rPr>
                <w:rFonts w:ascii="Arial" w:cs="Arial" w:eastAsia="Arial" w:hAnsi="Arial"/>
                <w:sz w:val="18"/>
                <w:szCs w:val="18"/>
                <w:color w:val="auto"/>
              </w:rPr>
              <w:t>years)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Patents (10 years)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Trade names (20 years)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(5 to 20 years)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4600" w:type="dxa"/>
            <w:vAlign w:val="bottom"/>
          </w:tcPr>
          <w:p>
            <w:pPr>
              <w:ind w:left="380"/>
              <w:spacing w:after="0"/>
              <w:rPr>
                <w:sz w:val="20"/>
                <w:szCs w:val="20"/>
                <w:color w:val="auto"/>
              </w:rPr>
            </w:pPr>
            <w:r>
              <w:rPr>
                <w:rFonts w:ascii="Arial" w:cs="Arial" w:eastAsia="Arial" w:hAnsi="Arial"/>
                <w:sz w:val="18"/>
                <w:szCs w:val="18"/>
                <w:color w:val="auto"/>
              </w:rPr>
              <w:t>Total amortizable intangible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Non-amortizable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00" w:type="dxa"/>
            <w:vAlign w:val="bottom"/>
          </w:tcPr>
          <w:p>
            <w:pPr>
              <w:ind w:left="160"/>
              <w:spacing w:after="0"/>
              <w:rPr>
                <w:sz w:val="20"/>
                <w:szCs w:val="20"/>
                <w:color w:val="auto"/>
              </w:rPr>
            </w:pPr>
            <w:r>
              <w:rPr>
                <w:rFonts w:ascii="Arial" w:cs="Arial" w:eastAsia="Arial" w:hAnsi="Arial"/>
                <w:sz w:val="18"/>
                <w:szCs w:val="18"/>
                <w:color w:val="auto"/>
              </w:rPr>
              <w:t>Total non-amortizable intangible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gridSpan w:val="3"/>
          </w:tcPr>
          <w:p>
            <w:pPr>
              <w:spacing w:after="0"/>
              <w:rPr>
                <w:sz w:val="20"/>
                <w:szCs w:val="20"/>
                <w:color w:val="auto"/>
              </w:rPr>
            </w:pPr>
            <w:r>
              <w:rPr>
                <w:rFonts w:ascii="Arial" w:cs="Arial" w:eastAsia="Arial" w:hAnsi="Arial"/>
                <w:sz w:val="18"/>
                <w:szCs w:val="18"/>
                <w:color w:val="auto"/>
              </w:rPr>
              <w:t>Aggregate amortization expense of intangible assets was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Reported in depreciation, depletion and amortization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594"/>
        </w:trPr>
        <w:tc>
          <w:tcPr>
            <w:tcW w:w="7580" w:type="dxa"/>
            <w:vAlign w:val="bottom"/>
            <w:gridSpan w:val="6"/>
          </w:tcPr>
          <w:p>
            <w:pPr>
              <w:spacing w:after="0"/>
              <w:rPr>
                <w:sz w:val="20"/>
                <w:szCs w:val="20"/>
                <w:color w:val="auto"/>
              </w:rPr>
            </w:pPr>
            <w:r>
              <w:rPr>
                <w:rFonts w:ascii="Arial" w:cs="Arial" w:eastAsia="Arial" w:hAnsi="Arial"/>
                <w:sz w:val="18"/>
                <w:szCs w:val="18"/>
                <w:color w:val="auto"/>
                <w:w w:val="93"/>
              </w:rPr>
              <w:t>Estimated aggregate amortization expense of intangible assets for the next five years was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0"/>
        </w:trPr>
        <w:tc>
          <w:tcPr>
            <w:tcW w:w="20" w:type="dxa"/>
            <w:vAlign w:val="bottom"/>
          </w:tcPr>
          <w:p>
            <w:pPr>
              <w:spacing w:after="0"/>
              <w:rPr>
                <w:sz w:val="24"/>
                <w:szCs w:val="24"/>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3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43"/>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review amortizable intangible assets for impairment whenever events or changes in circumstances indicate that the carrying amount of such assets may not be recoverable. If such a review should indicate that the carrying amount of amortizable intangible assets is not recoverable, we reduce the carrying amount of such assets to fair value. We review non-amortizable intangible assets for impairment annually, or more frequently if circumstances dictate.</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Sunoco LP performed impairment tests on its indefinite-lived intangible assets during the fourth quarter of 2018 and recognized a $30 million impairment charge on its contractual rights primarily due to decreases in projected future revenues and cash flows from the date the intangible assets were originally recorded.</w:t>
      </w:r>
    </w:p>
    <w:p>
      <w:pPr>
        <w:spacing w:after="0" w:line="12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Sunoco LP performed impairment tests on its indefinite-lived intangible assets during the fourth quarter of 2017 and recognized a total of $17 million in impairment charges on their contractual rights and liquor licenses primarily due to decreases in projected future revenues and cash flows from the date the intangible assets were originally recorded.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18" w:right="2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Goodwill is tested for impairment annually or more frequently if circumstances indicate that goodwill might be impaired. The annual impairment test is performed during the fourth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319"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3"/>
                <w:szCs w:val="13"/>
                <w:color w:val="auto"/>
                <w:w w:val="89"/>
              </w:rPr>
              <w:t>NGL and Refined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4"/>
              </w:rPr>
              <w:t>Intrastate</w:t>
            </w:r>
          </w:p>
        </w:tc>
        <w:tc>
          <w:tcPr>
            <w:tcW w:w="20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color w:val="auto"/>
                <w:w w:val="88"/>
              </w:rPr>
              <w:t>Interstate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5"/>
              </w:rPr>
              <w:t>Products</w:t>
            </w:r>
          </w:p>
        </w:tc>
        <w:tc>
          <w:tcPr>
            <w:tcW w:w="18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90"/>
              </w:rPr>
              <w:t>Crude Oil</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8"/>
              </w:rPr>
              <w:t>Transportation</w:t>
            </w:r>
          </w:p>
        </w:tc>
        <w:tc>
          <w:tcPr>
            <w:tcW w:w="120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7"/>
              </w:rPr>
              <w:t>Transportation and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6"/>
              </w:rPr>
              <w:t>Transportation and</w:t>
            </w:r>
          </w:p>
        </w:tc>
        <w:tc>
          <w:tcPr>
            <w:tcW w:w="114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8"/>
              </w:rPr>
              <w:t>Transportation and</w:t>
            </w:r>
          </w:p>
        </w:tc>
        <w:tc>
          <w:tcPr>
            <w:tcW w:w="94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90"/>
              </w:rPr>
              <w:t>Investment in</w:t>
            </w:r>
          </w:p>
        </w:tc>
        <w:tc>
          <w:tcPr>
            <w:tcW w:w="92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87"/>
              </w:rPr>
              <w:t>Investment in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color w:val="auto"/>
                <w:w w:val="84"/>
              </w:rPr>
              <w:t>and Storage</w:t>
            </w:r>
          </w:p>
        </w:tc>
        <w:tc>
          <w:tcPr>
            <w:tcW w:w="2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3"/>
                <w:szCs w:val="13"/>
                <w:color w:val="auto"/>
                <w:w w:val="83"/>
              </w:rPr>
              <w:t>Storage</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color w:val="auto"/>
              </w:rPr>
              <w:t>Midstream</w:t>
            </w:r>
          </w:p>
        </w:tc>
        <w:tc>
          <w:tcPr>
            <w:tcW w:w="2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color w:val="auto"/>
                <w:w w:val="84"/>
              </w:rPr>
              <w:t>Services</w:t>
            </w:r>
          </w:p>
        </w:tc>
        <w:tc>
          <w:tcPr>
            <w:tcW w:w="1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color w:val="auto"/>
                <w:w w:val="88"/>
              </w:rPr>
              <w:t>Services</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Sunoco LP</w:t>
            </w:r>
          </w:p>
        </w:tc>
        <w:tc>
          <w:tcPr>
            <w:tcW w:w="16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color w:val="auto"/>
                <w:w w:val="94"/>
              </w:rPr>
              <w:t>USAC</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color w:val="auto"/>
              </w:rPr>
              <w:t>All Other</w:t>
            </w:r>
          </w:p>
        </w:tc>
        <w:tc>
          <w:tcPr>
            <w:tcW w:w="180" w:type="dxa"/>
            <w:vAlign w:val="bottom"/>
          </w:tcPr>
          <w:p>
            <w:pPr>
              <w:spacing w:after="0"/>
              <w:rPr>
                <w:sz w:val="14"/>
                <w:szCs w:val="14"/>
                <w:color w:val="auto"/>
              </w:rPr>
            </w:pPr>
          </w:p>
        </w:tc>
        <w:tc>
          <w:tcPr>
            <w:tcW w:w="640" w:type="dxa"/>
            <w:vAlign w:val="bottom"/>
          </w:tcPr>
          <w:p>
            <w:pPr>
              <w:jc w:val="right"/>
              <w:ind w:right="2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34"/>
        </w:trPr>
        <w:tc>
          <w:tcPr>
            <w:tcW w:w="128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3"/>
                <w:szCs w:val="13"/>
                <w:color w:val="auto"/>
                <w:w w:val="91"/>
              </w:rPr>
              <w:t>Balance, December 31,</w:t>
            </w: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4,768</w:t>
            </w:r>
          </w:p>
        </w:tc>
        <w:tc>
          <w:tcPr>
            <w:tcW w:w="0" w:type="dxa"/>
            <w:vAlign w:val="bottom"/>
          </w:tcPr>
          <w:p>
            <w:pPr>
              <w:spacing w:after="0"/>
              <w:rPr>
                <w:sz w:val="1"/>
                <w:szCs w:val="1"/>
                <w:color w:val="auto"/>
              </w:rPr>
            </w:pPr>
          </w:p>
        </w:tc>
      </w:tr>
      <w:tr>
        <w:trPr>
          <w:trHeight w:val="173"/>
        </w:trPr>
        <w:tc>
          <w:tcPr>
            <w:tcW w:w="1280" w:type="dxa"/>
            <w:vAlign w:val="bottom"/>
          </w:tcPr>
          <w:p>
            <w:pPr>
              <w:ind w:left="160"/>
              <w:spacing w:after="0"/>
              <w:rPr>
                <w:sz w:val="20"/>
                <w:szCs w:val="20"/>
                <w:color w:val="auto"/>
              </w:rPr>
            </w:pPr>
            <w:r>
              <w:rPr>
                <w:rFonts w:ascii="Arial" w:cs="Arial" w:eastAsia="Arial" w:hAnsi="Arial"/>
                <w:sz w:val="13"/>
                <w:szCs w:val="13"/>
                <w:color w:val="auto"/>
              </w:rPr>
              <w:t>Acquired</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495</w:t>
            </w:r>
          </w:p>
        </w:tc>
        <w:tc>
          <w:tcPr>
            <w:tcW w:w="0" w:type="dxa"/>
            <w:vAlign w:val="bottom"/>
          </w:tcPr>
          <w:p>
            <w:pPr>
              <w:spacing w:after="0"/>
              <w:rPr>
                <w:sz w:val="1"/>
                <w:szCs w:val="1"/>
                <w:color w:val="auto"/>
              </w:rPr>
            </w:pPr>
          </w:p>
        </w:tc>
      </w:tr>
      <w:tr>
        <w:trPr>
          <w:trHeight w:val="89"/>
        </w:trPr>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CDM Contribution</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160"/>
              <w:spacing w:after="0"/>
              <w:rPr>
                <w:sz w:val="20"/>
                <w:szCs w:val="20"/>
                <w:color w:val="auto"/>
              </w:rPr>
            </w:pPr>
            <w:r>
              <w:rPr>
                <w:rFonts w:ascii="Arial" w:cs="Arial" w:eastAsia="Arial" w:hAnsi="Arial"/>
                <w:sz w:val="13"/>
                <w:szCs w:val="13"/>
                <w:color w:val="auto"/>
              </w:rPr>
              <w:t>Impaired</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89"/>
        </w:trPr>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280" w:type="dxa"/>
            <w:vAlign w:val="bottom"/>
          </w:tcPr>
          <w:p>
            <w:pPr>
              <w:ind w:left="20"/>
              <w:spacing w:after="0" w:line="128" w:lineRule="exact"/>
              <w:rPr>
                <w:sz w:val="20"/>
                <w:szCs w:val="20"/>
                <w:color w:val="auto"/>
              </w:rPr>
            </w:pPr>
            <w:r>
              <w:rPr>
                <w:rFonts w:ascii="Arial" w:cs="Arial" w:eastAsia="Arial" w:hAnsi="Arial"/>
                <w:sz w:val="13"/>
                <w:szCs w:val="13"/>
                <w:color w:val="auto"/>
                <w:w w:val="91"/>
              </w:rPr>
              <w:t>Balance, December 31,</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280" w:type="dxa"/>
            <w:vAlign w:val="bottom"/>
          </w:tcPr>
          <w:p>
            <w:pPr>
              <w:ind w:left="180"/>
              <w:spacing w:after="0"/>
              <w:rPr>
                <w:sz w:val="20"/>
                <w:szCs w:val="20"/>
                <w:color w:val="auto"/>
              </w:rPr>
            </w:pPr>
            <w:r>
              <w:rPr>
                <w:rFonts w:ascii="Arial" w:cs="Arial" w:eastAsia="Arial" w:hAnsi="Arial"/>
                <w:sz w:val="13"/>
                <w:szCs w:val="13"/>
                <w:color w:val="auto"/>
              </w:rPr>
              <w:t>2018</w:t>
            </w:r>
          </w:p>
        </w:tc>
        <w:tc>
          <w:tcPr>
            <w:tcW w:w="12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1,559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149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4,885</w:t>
            </w: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Acquired</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97"/>
        </w:trPr>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160"/>
              <w:spacing w:after="0"/>
              <w:rPr>
                <w:sz w:val="20"/>
                <w:szCs w:val="20"/>
                <w:color w:val="auto"/>
              </w:rPr>
            </w:pPr>
            <w:r>
              <w:rPr>
                <w:rFonts w:ascii="Arial" w:cs="Arial" w:eastAsia="Arial" w:hAnsi="Arial"/>
                <w:sz w:val="13"/>
                <w:szCs w:val="13"/>
                <w:color w:val="auto"/>
              </w:rPr>
              <w:t>Impaired</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vMerge w:val="restart"/>
          </w:tcPr>
          <w:p>
            <w:pPr>
              <w:jc w:val="right"/>
              <w:ind w:right="1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89"/>
        </w:trPr>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97"/>
        </w:trPr>
        <w:tc>
          <w:tcPr>
            <w:tcW w:w="1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280" w:type="dxa"/>
            <w:vAlign w:val="bottom"/>
          </w:tcPr>
          <w:p>
            <w:pPr>
              <w:ind w:left="20"/>
              <w:spacing w:after="0" w:line="128" w:lineRule="exact"/>
              <w:rPr>
                <w:sz w:val="20"/>
                <w:szCs w:val="20"/>
                <w:color w:val="auto"/>
              </w:rPr>
            </w:pPr>
            <w:r>
              <w:rPr>
                <w:rFonts w:ascii="Arial" w:cs="Arial" w:eastAsia="Arial" w:hAnsi="Arial"/>
                <w:sz w:val="13"/>
                <w:szCs w:val="13"/>
                <w:color w:val="auto"/>
                <w:w w:val="91"/>
              </w:rPr>
              <w:t>Balance, December 31,</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483</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693</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1,397</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1,555</w:t>
            </w:r>
          </w:p>
        </w:tc>
        <w:tc>
          <w:tcPr>
            <w:tcW w:w="12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184</w:t>
            </w:r>
          </w:p>
        </w:tc>
        <w:tc>
          <w:tcPr>
            <w:tcW w:w="12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5,167</w:t>
            </w:r>
          </w:p>
        </w:tc>
        <w:tc>
          <w:tcPr>
            <w:tcW w:w="0" w:type="dxa"/>
            <w:vAlign w:val="bottom"/>
          </w:tcPr>
          <w:p>
            <w:pPr>
              <w:spacing w:after="0"/>
              <w:rPr>
                <w:sz w:val="1"/>
                <w:szCs w:val="1"/>
                <w:color w:val="auto"/>
              </w:rPr>
            </w:pPr>
          </w:p>
        </w:tc>
      </w:tr>
      <w:tr>
        <w:trPr>
          <w:trHeight w:val="167"/>
        </w:trPr>
        <w:tc>
          <w:tcPr>
            <w:tcW w:w="1280" w:type="dxa"/>
            <w:vAlign w:val="bottom"/>
          </w:tcPr>
          <w:p>
            <w:pPr>
              <w:ind w:left="180"/>
              <w:spacing w:after="0"/>
              <w:rPr>
                <w:sz w:val="20"/>
                <w:szCs w:val="20"/>
                <w:color w:val="auto"/>
              </w:rPr>
            </w:pPr>
            <w:r>
              <w:rPr>
                <w:rFonts w:ascii="Arial" w:cs="Arial" w:eastAsia="Arial" w:hAnsi="Arial"/>
                <w:sz w:val="13"/>
                <w:szCs w:val="13"/>
                <w:color w:val="auto"/>
              </w:rPr>
              <w:t>2019</w:t>
            </w:r>
          </w:p>
        </w:tc>
        <w:tc>
          <w:tcPr>
            <w:tcW w:w="12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Goodwill is recorded at the acquisition date based on a preliminary purchase price allocation and generally may be adjusted when the purchase price allocation is finalized. During the fourth quarter of 2019, $265 million goodwill was recorded in conjunction with the acquisition of SemGroup.</w:t>
      </w:r>
    </w:p>
    <w:p>
      <w:pPr>
        <w:spacing w:after="0" w:line="9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third quarter of 2019, the Partnership recognized a goodwill impairment of $12 million related to the Southwest Gas operations within the interstate segment primarily due to decreases in projected future revenues and cash flows. During the fourth quarter of 2019, the Partnership recognized a goodwill impairment of $9 million related to our North Central operations within the midstream segment primarily due to changes in assumptions related to projected future revenues and cash flows.</w:t>
      </w:r>
    </w:p>
    <w:p>
      <w:pPr>
        <w:spacing w:after="0" w:line="13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During the fourth quarter of 2018, the Partnership recognized goodwill impairments of $378 million related to our Northeast operations within the midstream segment primarily due to changes in assumptions related to projected future revenues and cash flows from the dates the goodwill was originally recorded. These changes in assumptions reflect delays in the construction of third-party takeaway capacity in the Northeast.</w:t>
      </w:r>
    </w:p>
    <w:p>
      <w:pPr>
        <w:spacing w:after="0" w:line="111"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During the fourth quarter of 2017, the Partnership recognized goodwill impairments of $262 million in the interstate transportation and storage segment, $79 million in the NGL and refined products transportation and services segment and $452 million in the all other segment primarily due to changes in assumptions related to projected future revenues and cash flows from the dates the goodwill was originally recorded. Sunoco LP recognized goodwill impairments of $387 million, of which $102 million was allocated to continuing operations, primarily due to changes in assumptions related to projected future revenues and cash flows from the dates the goodwill was originally recorded.</w:t>
      </w:r>
    </w:p>
    <w:p>
      <w:pPr>
        <w:spacing w:after="0" w:line="119" w:lineRule="exact"/>
        <w:rPr>
          <w:sz w:val="20"/>
          <w:szCs w:val="20"/>
          <w:color w:val="auto"/>
        </w:rPr>
      </w:pPr>
    </w:p>
    <w:p>
      <w:pPr>
        <w:jc w:val="both"/>
        <w:ind w:left="340"/>
        <w:spacing w:after="0" w:line="268" w:lineRule="auto"/>
        <w:rPr>
          <w:sz w:val="20"/>
          <w:szCs w:val="20"/>
          <w:color w:val="auto"/>
        </w:rPr>
      </w:pPr>
      <w:r>
        <w:rPr>
          <w:rFonts w:ascii="Arial" w:cs="Arial" w:eastAsia="Arial" w:hAnsi="Arial"/>
          <w:sz w:val="17"/>
          <w:szCs w:val="17"/>
          <w:color w:val="auto"/>
        </w:rPr>
        <w:t>In connection with aforementioned impairments, the Partnership determined the fair value of our reporting units using a weighted combination of the discounted cash flow method and the guideline company method.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determined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determined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estimated a reasonable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18" w:right="23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control premium representing the incremental value that accrues to the majority owner from the opportunity to dictate the strategic and operational actions of the business.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Management does not believe that any of the goodwill balances in its reporting units is currently at significant risk of impairment; however, of the $5.17 billion of goodwill on the Partnership’s consolidated balance sheet as of December 31, 2019, approximately $380 million is recorded in reporting units for which the estimated fair value exceeded the carrying value by less than 20% in the most recent quantitative test.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 Retirement Obligations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have determined that we are obligated by contractual or regulatory requirements to remove facilities or perform other remediation upon retirement of certain assets. The fair value of any ARO is determined based on estimates and assumptions related to retirement costs, which the Partnership bases on historical retirement costs, future inflation rates and credit-adjusted risk-free interest rates. These fair value assessments are considered to be Level 3 measurements, as they are based on both observable and unobservable inputs. Changes in the liability are recorded for the passage of time (accretion) or for revisions to cash flows originally estimated to settle the ARO.</w:t>
      </w:r>
    </w:p>
    <w:p>
      <w:pPr>
        <w:spacing w:after="0" w:line="13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An ARO is required to be recorded when a legal obligation to retire an asset exists and such obligation can be reasonably estimated. We will record an ARO in the periods in which management can reasonably estimate the settlement dates.</w:t>
      </w:r>
    </w:p>
    <w:p>
      <w:pPr>
        <w:spacing w:after="0" w:line="11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Except for certain amounts discussed below, management was not able to reasonably measure the fair value of AROs as of December 31, 2019 and 2018, in most cases because the settlement dates were indeterminable. Although a number of other onshore assets in Panhandle’s system are subject to agreements or regulations that give rise to an ARO upon Panhandle’s discontinued use of these assets, AROs were not recorded because these assets have an indeterminate removal or abandonment date given the expected continued use of the assets with proper maintenance or replacement. ETC Sunoco has legal AROs for several other assets at its previously owned refineries, pipelines and terminals, for which it is not possible to estimate when the obligations will be settled. Consequently, the retirement obligations for these assets cannot be measured at this time. At the end of the useful life of these underlying assets, ETC Sunoco is legally or contractually required to abandon in place or remove the asset. We believe we may have additional AROs related to ETC Sunoco’s pipeline assets and storage tanks, for which it is not possible to estimate whether or when the AROs will be settled. Consequently, these AROs cannot be measured at this time. Sunoco LP has AROs related to the estimated future cost to remove underground storage tanks.</w:t>
      </w:r>
    </w:p>
    <w:p>
      <w:pPr>
        <w:spacing w:after="0" w:line="14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2019 and 2018, other non-current liabilities in the Partnership’s consolidated balance sheets included AROs of $247 million and $193 million, respectively. For the years ended December 31, 2019, 2018 and 2017 aggregate accretion expense related to AROs was $5 million, $13 million and $9 million, respectively.</w:t>
      </w:r>
    </w:p>
    <w:p>
      <w:pPr>
        <w:spacing w:after="0" w:line="12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Individual component assets have been and will continue to be replaced, but the pipeline and the natural gas gathering and processing systems will continue in operation as long as supply and demand for natural gas exists. Based on the widespread use of natural gas in industrial and power generation activities, management expects supply and demand to exist for the foreseeable future. We have in place a rigorous repair and maintenance program that keeps the pipelines and the natural gas gathering and processing systems in good working order. Therefore, although some of the individual assets may be replaced, the pipelines and the natural gas gathering and processing systems themselves will remain intact indefinitely.</w:t>
      </w:r>
    </w:p>
    <w:p>
      <w:pPr>
        <w:spacing w:after="0" w:line="10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Other non-current assets on the Partnership’s consolidated balance sheet included $31 million and $26 million of legally restricted funds for the purpose of settling AROs as of December 31, 2019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18" w:right="2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2"/>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7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01"/>
        </w:trPr>
        <w:tc>
          <w:tcPr>
            <w:tcW w:w="34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Accrued and Other Current Liabilities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Accrued and other current liabilities consisted of the following:</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w w:val="97"/>
              </w:rPr>
              <w:t>December 31,</w:t>
            </w:r>
          </w:p>
        </w:tc>
        <w:tc>
          <w:tcPr>
            <w:tcW w:w="102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jc w:val="right"/>
              <w:ind w:right="490"/>
              <w:spacing w:after="0"/>
              <w:rPr>
                <w:sz w:val="20"/>
                <w:szCs w:val="20"/>
                <w:color w:val="auto"/>
              </w:rPr>
            </w:pPr>
            <w:r>
              <w:rPr>
                <w:rFonts w:ascii="Arial" w:cs="Arial" w:eastAsia="Arial" w:hAnsi="Arial"/>
                <w:sz w:val="18"/>
                <w:szCs w:val="18"/>
                <w:color w:val="auto"/>
              </w:rPr>
              <w:t>2018</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r>
      <w:tr>
        <w:trPr>
          <w:trHeight w:val="243"/>
        </w:trPr>
        <w:tc>
          <w:tcPr>
            <w:tcW w:w="34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Customer advances and deposits</w:t>
            </w: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34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Accrued wages and benefits</w:t>
            </w: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Taxes payable other than income taxes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34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Exchanges payable</w:t>
            </w:r>
          </w:p>
        </w:tc>
        <w:tc>
          <w:tcPr>
            <w:tcW w:w="10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37"/>
        </w:trPr>
        <w:tc>
          <w:tcPr>
            <w:tcW w:w="340" w:type="dxa"/>
            <w:vAlign w:val="bottom"/>
          </w:tcPr>
          <w:p>
            <w:pPr>
              <w:spacing w:after="0"/>
              <w:rPr>
                <w:sz w:val="20"/>
                <w:szCs w:val="20"/>
                <w:color w:val="auto"/>
              </w:rPr>
            </w:pPr>
          </w:p>
        </w:tc>
        <w:tc>
          <w:tcPr>
            <w:tcW w:w="7860" w:type="dxa"/>
            <w:vAlign w:val="bottom"/>
            <w:gridSpan w:val="2"/>
          </w:tcPr>
          <w:p>
            <w:pPr>
              <w:ind w:left="160"/>
              <w:spacing w:after="0"/>
              <w:rPr>
                <w:sz w:val="20"/>
                <w:szCs w:val="20"/>
                <w:color w:val="auto"/>
              </w:rPr>
            </w:pPr>
            <w:r>
              <w:rPr>
                <w:rFonts w:ascii="Arial" w:cs="Arial" w:eastAsia="Arial" w:hAnsi="Arial"/>
                <w:sz w:val="18"/>
                <w:szCs w:val="18"/>
                <w:color w:val="auto"/>
              </w:rPr>
              <w:t>Total accrued and other current liabilities</w:t>
            </w: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3,342</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2,918</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Deposits or advances are received from our customers as prepayments for natural gas deliveries in the following month. Prepayments and security deposits may be required when customers exceed their credit limits or do not qualify for open credit.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Redeemable Noncontrolling Interests</w:t>
      </w:r>
    </w:p>
    <w:p>
      <w:pPr>
        <w:spacing w:after="0" w:line="17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Our redeemable noncontrolling interests relate to certain preferred unitholders of one of our consolidated subsidiaries that have the option to convert their preferred units to such subsidiary’s common units at the election of the holders and the noncontrolling interest holders in one of our consolidated subsidiaries that have the option to sell their interests to us. In accordance with applicable accounting guidance, the noncontrolling interest is excluded from total equity and reflected as redeemable noncontrolling interests on our consolidated balance sheet. See Note 7 for further information.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Remediation</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accrue environmental remediation costs for work at identified sites where an assessment has indicated that cleanup costs are probable and reasonably estimable. Such accruals are undiscounted and are based on currently available information, estimated timing of remedial actions and related inflation assumptions, existing technology and presently enacted laws and regulations. If a range of probable environmental cleanup costs exists for an identified site, the minimum of the range is accrued unless some other point in the range is more likely in which case the most likely amount in the range is accrued.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cash equivalents, accounts receivable and accounts payable approximate their fair value.</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Based on the estimated borrowing rates currently available to us and our subsidiaries for loans with similar terms and average maturities, the aggregate fair value and carrying amount of our debt obligations as of December 31, 2019 was $54.79 billion and $51.05 billion, respectively. As of December 31, 2018, the aggregate fair value and carrying amount of our debt obligations was $45.06 billion and $46.03 billion, respectively. The fair value of our consolidated debt obligations is a Level 2 valuation based on the observable inputs used for similar liabilities.</w:t>
      </w:r>
    </w:p>
    <w:p>
      <w:pPr>
        <w:spacing w:after="0" w:line="117"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We have commodity derivatives, interest rate derivatives and embedded derivatives in our preferred units that are 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 interest rate derivatives as Level 2 as the primary input, the LIBOR curve, is based on quotes from an active exchange of Eurodollar futures for the same period as the future interest swap settlements. Level 3 inputs are unobservable. During the year ended December 31, 2019, no transfers were made between any levels within the fair value hierarchy.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14" w:right="23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fair value of our financial assets and liabilities measured and recorded at fair value on a recurring basis as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2019 and 2018 based on inputs used to derive their fair values:</w:t>
      </w:r>
    </w:p>
    <w:p>
      <w:pPr>
        <w:spacing w:after="0" w:line="31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4"/>
          </w:tcPr>
          <w:p>
            <w:pPr>
              <w:jc w:val="right"/>
              <w:ind w:right="350"/>
              <w:spacing w:after="0"/>
              <w:rPr>
                <w:sz w:val="20"/>
                <w:szCs w:val="20"/>
                <w:color w:val="auto"/>
              </w:rPr>
            </w:pPr>
            <w:r>
              <w:rPr>
                <w:rFonts w:ascii="Arial" w:cs="Arial" w:eastAsia="Arial" w:hAnsi="Arial"/>
                <w:sz w:val="18"/>
                <w:szCs w:val="18"/>
                <w:color w:val="auto"/>
                <w:w w:val="96"/>
              </w:rPr>
              <w:t>Fair Value Measurements at</w:t>
            </w:r>
          </w:p>
        </w:tc>
      </w:tr>
      <w:tr>
        <w:trPr>
          <w:trHeight w:val="230"/>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gridSpan w:val="4"/>
          </w:tcPr>
          <w:p>
            <w:pPr>
              <w:jc w:val="right"/>
              <w:ind w:right="650"/>
              <w:spacing w:after="0"/>
              <w:rPr>
                <w:sz w:val="20"/>
                <w:szCs w:val="20"/>
                <w:color w:val="auto"/>
              </w:rPr>
            </w:pPr>
            <w:r>
              <w:rPr>
                <w:rFonts w:ascii="Arial" w:cs="Arial" w:eastAsia="Arial" w:hAnsi="Arial"/>
                <w:sz w:val="18"/>
                <w:szCs w:val="18"/>
                <w:color w:val="auto"/>
              </w:rPr>
              <w:t>December 31, 2019</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Level 2</w:t>
            </w:r>
          </w:p>
        </w:tc>
      </w:tr>
      <w:tr>
        <w:trPr>
          <w:trHeight w:val="27"/>
        </w:trPr>
        <w:tc>
          <w:tcPr>
            <w:tcW w:w="37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Power:</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 Puts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Options – Calls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Refined Products – 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 Forwards/Swaps</w:t>
            </w:r>
          </w:p>
        </w:tc>
        <w:tc>
          <w:tcPr>
            <w:tcW w:w="2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3740" w:type="dxa"/>
            <w:vAlign w:val="bottom"/>
          </w:tcPr>
          <w:p>
            <w:pPr>
              <w:ind w:left="340"/>
              <w:spacing w:after="0"/>
              <w:rPr>
                <w:sz w:val="20"/>
                <w:szCs w:val="20"/>
                <w:color w:val="auto"/>
              </w:rPr>
            </w:pPr>
            <w:r>
              <w:rPr>
                <w:rFonts w:ascii="Arial" w:cs="Arial" w:eastAsia="Arial" w:hAnsi="Arial"/>
                <w:sz w:val="18"/>
                <w:szCs w:val="18"/>
                <w:color w:val="auto"/>
              </w:rPr>
              <w:t>Total commodity derivatives</w:t>
            </w:r>
          </w:p>
        </w:tc>
        <w:tc>
          <w:tcPr>
            <w:tcW w:w="25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5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97"/>
        </w:trPr>
        <w:tc>
          <w:tcPr>
            <w:tcW w:w="3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5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r>
      <w:tr>
        <w:trPr>
          <w:trHeight w:val="23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Interest rate derivatives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Power:</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2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740" w:type="dxa"/>
            <w:vAlign w:val="bottom"/>
          </w:tcPr>
          <w:p>
            <w:pPr>
              <w:ind w:left="180"/>
              <w:spacing w:after="0"/>
              <w:rPr>
                <w:sz w:val="20"/>
                <w:szCs w:val="20"/>
                <w:color w:val="auto"/>
              </w:rPr>
            </w:pPr>
            <w:r>
              <w:rPr>
                <w:rFonts w:ascii="Arial" w:cs="Arial" w:eastAsia="Arial" w:hAnsi="Arial"/>
                <w:sz w:val="18"/>
                <w:szCs w:val="18"/>
                <w:color w:val="auto"/>
              </w:rPr>
              <w:t>Refined Products – Futures</w:t>
            </w: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commodity derivatives</w:t>
            </w:r>
          </w:p>
        </w:tc>
        <w:tc>
          <w:tcPr>
            <w:tcW w:w="2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37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5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3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9"/>
        </w:trPr>
        <w:tc>
          <w:tcPr>
            <w:tcW w:w="3740" w:type="dxa"/>
            <w:vAlign w:val="bottom"/>
          </w:tcPr>
          <w:p>
            <w:pPr>
              <w:spacing w:after="0"/>
              <w:rPr>
                <w:sz w:val="24"/>
                <w:szCs w:val="24"/>
                <w:color w:val="auto"/>
              </w:rPr>
            </w:pPr>
          </w:p>
        </w:tc>
        <w:tc>
          <w:tcPr>
            <w:tcW w:w="2680" w:type="dxa"/>
            <w:vAlign w:val="bottom"/>
            <w:gridSpan w:val="2"/>
          </w:tcPr>
          <w:p>
            <w:pPr>
              <w:jc w:val="right"/>
              <w:ind w:right="950"/>
              <w:spacing w:after="0"/>
              <w:rPr>
                <w:sz w:val="20"/>
                <w:szCs w:val="20"/>
                <w:color w:val="auto"/>
              </w:rPr>
            </w:pPr>
            <w:r>
              <w:rPr>
                <w:rFonts w:ascii="Arial" w:cs="Arial" w:eastAsia="Arial" w:hAnsi="Arial"/>
                <w:sz w:val="18"/>
                <w:szCs w:val="18"/>
                <w:color w:val="auto"/>
              </w:rPr>
              <w:t>F - 22</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4"/>
          </w:tcPr>
          <w:p>
            <w:pPr>
              <w:jc w:val="right"/>
              <w:ind w:right="330"/>
              <w:spacing w:after="0"/>
              <w:rPr>
                <w:sz w:val="20"/>
                <w:szCs w:val="20"/>
                <w:color w:val="auto"/>
              </w:rPr>
            </w:pPr>
            <w:r>
              <w:rPr>
                <w:rFonts w:ascii="Arial" w:cs="Arial" w:eastAsia="Arial" w:hAnsi="Arial"/>
                <w:sz w:val="18"/>
                <w:szCs w:val="18"/>
                <w:color w:val="auto"/>
                <w:w w:val="96"/>
              </w:rPr>
              <w:t>Fair Value Measurements at</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4"/>
          </w:tcPr>
          <w:p>
            <w:pPr>
              <w:jc w:val="right"/>
              <w:ind w:right="63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Fair Value Total</w:t>
            </w:r>
          </w:p>
        </w:tc>
        <w:tc>
          <w:tcPr>
            <w:tcW w:w="28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28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Power:</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Power – Forwards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280" w:type="dxa"/>
            <w:vAlign w:val="bottom"/>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Crude - Forwards/Swaps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commodity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28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Power:</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280" w:type="dxa"/>
            <w:vAlign w:val="bottom"/>
          </w:tcPr>
          <w:p>
            <w:pPr>
              <w:ind w:left="340"/>
              <w:spacing w:after="0"/>
              <w:rPr>
                <w:sz w:val="20"/>
                <w:szCs w:val="20"/>
                <w:color w:val="auto"/>
              </w:rPr>
            </w:pPr>
            <w:r>
              <w:rPr>
                <w:rFonts w:ascii="Arial" w:cs="Arial" w:eastAsia="Arial" w:hAnsi="Arial"/>
                <w:sz w:val="18"/>
                <w:szCs w:val="18"/>
                <w:color w:val="auto"/>
              </w:rPr>
              <w:t>Futures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Refined Products – Futures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 Forwards/Swaps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80" w:type="dxa"/>
            <w:vAlign w:val="bottom"/>
          </w:tcPr>
          <w:p>
            <w:pPr>
              <w:ind w:left="500"/>
              <w:spacing w:after="0"/>
              <w:rPr>
                <w:sz w:val="20"/>
                <w:szCs w:val="20"/>
                <w:color w:val="auto"/>
              </w:rPr>
            </w:pPr>
            <w:r>
              <w:rPr>
                <w:rFonts w:ascii="Arial" w:cs="Arial" w:eastAsia="Arial" w:hAnsi="Arial"/>
                <w:sz w:val="18"/>
                <w:szCs w:val="18"/>
                <w:color w:val="auto"/>
              </w:rPr>
              <w:t>Total commodity derivatives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 in Aid of Construction Costs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certain of our capital projects, third parties are obligated to reimburse us for all or a portion of project expenditures. The majority of such arrangements are associated with pipeline construction and production well tie-ins. Contributions in aid of construction costs (“CIAC”) are netted against our project costs as they are received, and any CIAC which exceeds our total project costs, is recognized as other income in the period in which it is realized.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Shipping and Handling Costs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Shipping and handling costs are included in cost of products sold, except for shipping and handling costs related to fuel consumed for compression and treating which are included in operating expenses.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18" w:right="2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Costs and Expenses</w:t>
      </w:r>
    </w:p>
    <w:p>
      <w:pPr>
        <w:spacing w:after="0" w:line="17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Cost of products sold include actual cost of fuel sold, adjusted for the effects of our hedging and other commodity derivative activities, and the cost of appliances, parts and fittings. Operating expenses include all costs incurred to provide products to customers, including compensation for operations personnel, insurance costs, vehicle maintenance, advertising costs, purchasing costs and plant operations. Selling, general and administrative expenses include all partnership related expenses and compensation for executive, partnership, and administrative personnel.</w:t>
      </w:r>
    </w:p>
    <w:p>
      <w:pPr>
        <w:spacing w:after="0" w:line="11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record the collection of taxes to be remitted to government authorities on a net basis except for our all other segment in which consumer excise taxes on sales of refined products and merchandise are included in both revenues and costs and expenses in the consolidated statements of operations, with no effect on net income. Excise taxes collected by Sunoco LP’s retail locations where Sunoco LP holds the inventory were $386 million, $370 million and $234 million for the years ended December 31, 2019, 2018 and 2017, respectively.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Issuances of Subsidiary Units</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record changes in our ownership interest of our subsidiaries as equity transactions, with no gain or loss recognized in consolidated net income or comprehensive income. For example, upon our subsidiary’s issuance of common units in a public offering, we record any difference between the amount of consideration received or paid and the amount by which the noncontrolling interests are adjusted as a change in partners’ capital.</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ET is a publicly traded limited partnership and is not taxable for federal and most state income tax purposes. As a result, our earnings or losses, to the extent not included in a taxable subsidiary, for federal and most state purposes are included in the tax returns of the individual partners. Net earnings for financial statement purposes may differ significantly from taxable income reportable to Unitholders as a result of differences between the tax basis and financial reporting basis of assets and liabilities, in addition to the allocation requirements related to taxable income under our Third Amended and Restated Agreement of Limited Partnership (the “Partnership Agreement”).</w:t>
      </w:r>
    </w:p>
    <w:p>
      <w:pPr>
        <w:spacing w:after="0" w:line="13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As a publicly traded limited partnership, we are subject to a statutory requirement that our “qualifying income” (as defined by the Internal Revenue Code, related Treasury Regulations, and Internal Revenue Service (“IRS”) pronouncements) exceed 90% of our total gross income, determined on a calendar year basis. If our qualifying income does not meet this statutory requirement, ET would be taxed as a corporation for federal and state income tax purposes. For the years ended December 31, 2019, 2018 and 2017, our qualifying income met the statutory requirement.</w:t>
      </w:r>
    </w:p>
    <w:p>
      <w:pPr>
        <w:spacing w:after="0" w:line="117"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The Partnership conducts certain activities through corporate subsidiaries which are subject to federal, state and local income taxes. These corporate subsidiaries include ETP Holdco, Inland Corporation, Sunoco Property Company LLC and Aloha. The Partnership and its corporate subsidiaries account for income taxes under the asset and liability method.</w:t>
      </w:r>
    </w:p>
    <w:p>
      <w:pPr>
        <w:spacing w:after="0" w:line="12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Under this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on deferred tax assets and liabilities of a change in tax rate is recognized in earnings in the period that includes the enactment date. Valuation allowances are established when necessary to reduce deferred tax assets to the amounts more likely than not to be realized.</w:t>
      </w:r>
    </w:p>
    <w:p>
      <w:pPr>
        <w:spacing w:after="0" w:line="11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our financial statements only after determining a more-likely-than-not probability that the uncertain tax positions will withstand challenge, if any, from taxing authorities. When facts and circumstances change, we reassess these probabilities and record any changes through the provision for income taxes.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for Derivative Instruments and Hedging Activities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qualifying hedges, we formally document, designate and assess the effectiveness of transactions that receive hedge accounting treatment and the gains and losses offset related results on the hedged item in the statement of operations. The market prices used to value our financial derivatives and related transactions have been determined using independent third-party prices, readily available market information, broker quotes and appropriate valuation techniques.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18" w:right="2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At inception of a hedge, we formally document the relationship between the hedging instrument and the hedged item, the risk management objectives, and the methods used for assessing and testing effectiveness and how any ineffectiveness will be measured and recorded. We also assess, both at the inception of the hedge and on a quarterly basis, whether the derivatives that are used in our hedging transactions are highly effective in offsetting changes in cash flows. If we determine that a derivative is no longer highly effective as a hedge, we discontinue hedge accounting prospectively by including changes in the fair value of the derivative in net income for the period.</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If we designate a commodity hedging relationship as a fair value hedge, we record the changes in fair value of the hedged asset or liability in cost of products sold in our consolidated statements of operations. This amount is offset by the changes in fair value of the related hedging instrument. Any ineffective portion or amount excluded from the assessment of hedge ineffectiveness is also included in the cost of products sold in the consolidated statements of operations.</w:t>
      </w:r>
    </w:p>
    <w:p>
      <w:pPr>
        <w:spacing w:after="0" w:line="13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Cash flows from derivatives accounted for as cash flow hedges are reported as cash flows from operating activities, in the same category as the cash flows from the items being hedged.</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If we designate a derivative financial instrument as a cash flow hedge and it qualifies for hedge accounting, the change in the fair value is deferred in AOCI until the underlying hedged transaction occurs. Any ineffective portion of a cash flow hedge’s change in fair value is recognized each period in earnings. Gains and losses deferred in AOCI related to cash flow hedges remain in AOCI until the underlying physical transaction occurs, unless it is probable that the forecasted transaction will not occur by the end of the originally specified time period or within an additional two-month period of time thereafter. For financial derivative instruments that do not qualify for hedge accounting, the change in fair value is recorded in cost of products sold in the consolidated statements of operations.</w:t>
      </w:r>
    </w:p>
    <w:p>
      <w:pPr>
        <w:spacing w:after="0" w:line="13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manage a portion of our interest rate exposures by utilizing interest rate swaps and similar instruments. Certain of our interest rate derivatives are accounted for as either cash flow hedges or fair value hedges. For interest rate derivatives accounted for as either cash flow or fair value hedges, we report realized gains and losses and ineffectiveness portions of those hedges in interest expense. For interest rate derivatives not designated as hedges for accounting purposes, we report realized and unrealized gains and losses on those derivatives in “Gains (losses) on interest rate derivatives” in the consolidated statements of operations.</w:t>
      </w:r>
    </w:p>
    <w:p>
      <w:pPr>
        <w:spacing w:after="0" w:line="134"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Derivatives and Hedging (Topic 815): Targeted Improvements to Accounting for Hedging Activities.</w:t>
      </w:r>
      <w:r>
        <w:rPr>
          <w:rFonts w:ascii="Arial" w:cs="Arial" w:eastAsia="Arial" w:hAnsi="Arial"/>
          <w:sz w:val="17"/>
          <w:szCs w:val="17"/>
          <w:color w:val="auto"/>
        </w:rPr>
        <w:t xml:space="preserve"> The amendments in this update improve the financial reporting of hedging relationships to better portray the economic results of an entity’s risk management activities in its financial statements. In addition, the amendments in this update make certain targeted improvements to simplify the application of the hedge accounting guidance in current GAAP. The Partnership adopted the new rules in the first quarter of 2019, and the adoption of the new accounting rules did not have a material impact on the consolidated financial statements and related disclosures.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Non-Cash Compensation</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awards of restricted units, we recognize compensation expense over the vesting period based on the grant-date fair value, which is determined based on the market price of the underlying common units on the grant date. For awards of cash restricted units, we remeasure the fair value of the award at the end of each reporting period based on the market price of the underlying common units as of the reporting date, and the fair value is recorded in other non-current liabilities on our consolidated balance sheets.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Pensions and Other Postretirement Benefit Plans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Partnership recognizes the overfunded or underfunded status of defined benefit pension and other postretirement plans, measured as the difference between the fair value of the plan assets and the benefit obligation (the projected benefit obligation for pension plans and the accumulated postretirement benefit obligation for other postretirement plans). Each overfunded plan is recognized as an asset and each underfunded plan is recognized as a liability. Changes in the funded status of the plan are recorded in the year in which the change occurs within AOCI in equity or, for entities applying regulatory accounting, as a regulatory asset or regulatory liability.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Allocation of Income</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purposes of maintaining partner capital accounts, the Partnership Agreement specifies that items of income and loss shall generally be allocated among the partners in accordance with their percentage interests.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18" w:right="2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 DIVESTITURES AND RELATED TRANSACTIONS</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2019 and 2020 Transactions</w:t>
      </w:r>
    </w:p>
    <w:p>
      <w:pPr>
        <w:spacing w:after="0" w:line="16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SemGroup Acquisition and ET Contribution of SemGroup Assets to ETO</w:t>
      </w:r>
    </w:p>
    <w:p>
      <w:pPr>
        <w:spacing w:after="0" w:line="175" w:lineRule="exact"/>
        <w:rPr>
          <w:rFonts w:ascii="Arial" w:cs="Arial" w:eastAsia="Arial" w:hAnsi="Arial"/>
          <w:sz w:val="18"/>
          <w:szCs w:val="18"/>
          <w:b w:val="1"/>
          <w:bCs w:val="1"/>
          <w:color w:val="auto"/>
        </w:rPr>
      </w:pPr>
    </w:p>
    <w:p>
      <w:pPr>
        <w:jc w:val="both"/>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December 5, 2019, ET completed the acquisition of SemGroup pursuant to the terms of the Agreement and Plan of Merger, dated as of September 15, 2019 (the “Merger Agreement”). Under the terms of the Merger Agreement, a wholly owned subsidiary of ET merged with and into SemGroup (the “SemGroup Transaction”), with SemGroup surviving the Merger. At the effective time of the SemGroup Transaction on December 5, 2019, each share of class A common stock, par value $0.01 per share, of SemGroup issued and outstanding immediately prior to the effective time was converted into the right to receive (i) $6.80 in cash, without interest, and (ii) 0.7275 ET Common Units representing limited partner interests in ET. Each share of Series A Cumulative Perpetual Convertible Preferred Stock, par value $0.01 per share, of SemGroup that was issued and outstanding as of immediately prior to the effective time was redeemed by SemGroup for cash at a price per share equal to 101% of the liquidation preference.</w:t>
      </w:r>
    </w:p>
    <w:p>
      <w:pPr>
        <w:spacing w:after="0" w:line="113" w:lineRule="exact"/>
        <w:rPr>
          <w:rFonts w:ascii="Arial" w:cs="Arial" w:eastAsia="Arial" w:hAnsi="Arial"/>
          <w:sz w:val="18"/>
          <w:szCs w:val="18"/>
          <w:b w:val="1"/>
          <w:bCs w:val="1"/>
          <w:color w:val="auto"/>
        </w:rPr>
      </w:pPr>
    </w:p>
    <w:p>
      <w:pPr>
        <w:ind w:left="340" w:right="214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 xml:space="preserve">During the first quarter of 2020, ET contributed certain SemGroup assets to ETO through sale and contribution transactions. </w:t>
      </w:r>
      <w:r>
        <w:rPr>
          <w:rFonts w:ascii="Arial" w:cs="Arial" w:eastAsia="Arial" w:hAnsi="Arial"/>
          <w:sz w:val="18"/>
          <w:szCs w:val="18"/>
          <w:i w:val="1"/>
          <w:iCs w:val="1"/>
          <w:color w:val="auto"/>
        </w:rPr>
        <w:t>Summary of Assets Acquired and Liabilities Assumed</w:t>
      </w: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SemGroup merger was recorded using the acquisition method of accounting, which requires, among other things, that assets acquired and liabilities assumed be recognized on the balance sheet at their fair values as of the acquisition date. The purchase price allocation below is preliminary, as management is currently evaluating certain tax-related assumptions.</w:t>
      </w:r>
    </w:p>
    <w:p>
      <w:pPr>
        <w:spacing w:after="0" w:line="1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total purchase price was allocated as follows: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9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w w:val="89"/>
              </w:rPr>
              <w:t>At December 5,</w:t>
            </w:r>
          </w:p>
        </w:tc>
      </w:tr>
      <w:tr>
        <w:trPr>
          <w:trHeight w:val="230"/>
        </w:trPr>
        <w:tc>
          <w:tcPr>
            <w:tcW w:w="9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color w:val="auto"/>
              </w:rPr>
              <w:t>2019</w:t>
            </w:r>
          </w:p>
        </w:tc>
      </w:tr>
      <w:tr>
        <w:trPr>
          <w:trHeight w:val="27"/>
        </w:trPr>
        <w:tc>
          <w:tcPr>
            <w:tcW w:w="9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3,914</w:t>
            </w:r>
          </w:p>
        </w:tc>
      </w:tr>
      <w:tr>
        <w:trPr>
          <w:trHeight w:val="27"/>
        </w:trPr>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r>
      <w:tr>
        <w:trPr>
          <w:trHeight w:val="270"/>
        </w:trPr>
        <w:tc>
          <w:tcPr>
            <w:tcW w:w="9300" w:type="dxa"/>
            <w:vAlign w:val="bottom"/>
          </w:tcPr>
          <w:p>
            <w:pPr>
              <w:ind w:left="20"/>
              <w:spacing w:after="0" w:line="270"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265</w:t>
            </w:r>
          </w:p>
        </w:tc>
      </w:tr>
      <w:tr>
        <w:trPr>
          <w:trHeight w:val="27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w:t>
            </w:r>
          </w:p>
        </w:tc>
      </w:tr>
      <w:tr>
        <w:trPr>
          <w:trHeight w:val="237"/>
        </w:trPr>
        <w:tc>
          <w:tcPr>
            <w:tcW w:w="93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6,056</w:t>
            </w:r>
          </w:p>
        </w:tc>
      </w:tr>
      <w:tr>
        <w:trPr>
          <w:trHeight w:val="27"/>
        </w:trPr>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9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629</w:t>
            </w:r>
          </w:p>
        </w:tc>
      </w:tr>
      <w:tr>
        <w:trPr>
          <w:trHeight w:val="27"/>
        </w:trPr>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Long-term debt, less current maturities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2,576</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196</w:t>
            </w:r>
          </w:p>
        </w:tc>
      </w:tr>
      <w:tr>
        <w:trPr>
          <w:trHeight w:val="27"/>
        </w:trPr>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SemCAMS Preferred shares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r>
      <w:tr>
        <w:trPr>
          <w:trHeight w:val="237"/>
        </w:trPr>
        <w:tc>
          <w:tcPr>
            <w:tcW w:w="93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3,642</w:t>
            </w:r>
          </w:p>
        </w:tc>
      </w:tr>
      <w:tr>
        <w:trPr>
          <w:trHeight w:val="27"/>
        </w:trPr>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9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822</w:t>
            </w:r>
          </w:p>
        </w:tc>
      </w:tr>
      <w:tr>
        <w:trPr>
          <w:trHeight w:val="27"/>
        </w:trPr>
        <w:tc>
          <w:tcPr>
            <w:tcW w:w="9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93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r>
      <w:tr>
        <w:trPr>
          <w:trHeight w:val="264"/>
        </w:trPr>
        <w:tc>
          <w:tcPr>
            <w:tcW w:w="930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 xml:space="preserve">Total consideration </w:t>
            </w:r>
            <w:r>
              <w:rPr>
                <w:rFonts w:ascii="Arial" w:cs="Arial" w:eastAsia="Arial" w:hAnsi="Arial"/>
                <w:sz w:val="25"/>
                <w:szCs w:val="25"/>
                <w:color w:val="auto"/>
                <w:vertAlign w:val="superscript"/>
              </w:rPr>
              <w:t>(3)</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1,592</w:t>
            </w:r>
          </w:p>
        </w:tc>
      </w:tr>
      <w:tr>
        <w:trPr>
          <w:trHeight w:val="264"/>
        </w:trPr>
        <w:tc>
          <w:tcPr>
            <w:tcW w:w="93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Cash received</w:t>
            </w:r>
            <w:r>
              <w:rPr>
                <w:rFonts w:ascii="Arial" w:cs="Arial" w:eastAsia="Arial" w:hAnsi="Arial"/>
                <w:sz w:val="25"/>
                <w:szCs w:val="25"/>
                <w:color w:val="auto"/>
                <w:vertAlign w:val="superscript"/>
              </w:rPr>
              <w:t>(4)</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r>
      <w:tr>
        <w:trPr>
          <w:trHeight w:val="257"/>
        </w:trPr>
        <w:tc>
          <w:tcPr>
            <w:tcW w:w="9300" w:type="dxa"/>
            <w:vAlign w:val="bottom"/>
          </w:tcPr>
          <w:p>
            <w:pPr>
              <w:ind w:left="180"/>
              <w:spacing w:after="0"/>
              <w:rPr>
                <w:sz w:val="20"/>
                <w:szCs w:val="20"/>
                <w:color w:val="auto"/>
              </w:rPr>
            </w:pPr>
            <w:r>
              <w:rPr>
                <w:rFonts w:ascii="Arial" w:cs="Arial" w:eastAsia="Arial" w:hAnsi="Arial"/>
                <w:sz w:val="18"/>
                <w:szCs w:val="18"/>
                <w:color w:val="auto"/>
              </w:rPr>
              <w:t>Total consideration, net of cash received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1,439</w:t>
            </w:r>
          </w:p>
        </w:tc>
      </w:tr>
      <w:tr>
        <w:trPr>
          <w:trHeight w:val="20"/>
        </w:trPr>
        <w:tc>
          <w:tcPr>
            <w:tcW w:w="9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16" w:lineRule="auto"/>
        <w:tabs>
          <w:tab w:leader="none" w:pos="660" w:val="left"/>
        </w:tabs>
        <w:numPr>
          <w:ilvl w:val="0"/>
          <w:numId w:val="143"/>
        </w:numPr>
        <w:rPr>
          <w:rFonts w:ascii="Arial" w:cs="Arial" w:eastAsia="Arial" w:hAnsi="Arial"/>
          <w:sz w:val="25"/>
          <w:szCs w:val="25"/>
          <w:color w:val="auto"/>
          <w:vertAlign w:val="superscript"/>
        </w:rPr>
      </w:pPr>
      <w:r>
        <w:rPr>
          <w:rFonts w:ascii="Arial" w:cs="Arial" w:eastAsia="Arial" w:hAnsi="Arial"/>
          <w:sz w:val="18"/>
          <w:szCs w:val="18"/>
          <w:color w:val="auto"/>
        </w:rPr>
        <w:t>None of the goodwill is expected to be deductible for tax purposes. Goodwill recognized from the business combination primarily relates to the value attributed to additional growth opportunities, synergies and operating leverage within SemGroup’s operations.</w:t>
      </w:r>
    </w:p>
    <w:p>
      <w:pPr>
        <w:spacing w:after="0" w:line="95"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143"/>
        </w:numPr>
        <w:rPr>
          <w:rFonts w:ascii="Arial" w:cs="Arial" w:eastAsia="Arial" w:hAnsi="Arial"/>
          <w:sz w:val="25"/>
          <w:szCs w:val="25"/>
          <w:color w:val="auto"/>
          <w:vertAlign w:val="superscript"/>
        </w:rPr>
      </w:pPr>
      <w:r>
        <w:rPr>
          <w:rFonts w:ascii="Arial" w:cs="Arial" w:eastAsia="Arial" w:hAnsi="Arial"/>
          <w:sz w:val="18"/>
          <w:szCs w:val="18"/>
          <w:color w:val="auto"/>
        </w:rPr>
        <w:t>Long-term debt at December 5, 2019 includes SemGroup senior notes with an aggregate principal amount of $1.375 billion and SemGroup subsidiary debt of $593 million, all of which were redeemed in total in December 2019, subsequent to the close of the SemGroup Transaction, utilizing proceeds from an intercompany promissory note from ETO.</w:t>
      </w:r>
    </w:p>
    <w:p>
      <w:pPr>
        <w:spacing w:after="0" w:line="95"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43"/>
        </w:numPr>
        <w:rPr>
          <w:rFonts w:ascii="Arial" w:cs="Arial" w:eastAsia="Arial" w:hAnsi="Arial"/>
          <w:sz w:val="25"/>
          <w:szCs w:val="25"/>
          <w:color w:val="auto"/>
          <w:vertAlign w:val="superscript"/>
        </w:rPr>
      </w:pPr>
      <w:r>
        <w:rPr>
          <w:rFonts w:ascii="Arial" w:cs="Arial" w:eastAsia="Arial" w:hAnsi="Arial"/>
          <w:sz w:val="18"/>
          <w:szCs w:val="18"/>
          <w:color w:val="auto"/>
        </w:rPr>
        <w:t>Total consideration includes (i) cash paid to SemGroup shareholders, (ii) fair value of ET Common Units issued in the acquisition and (iii) cash paid to redeem SemGroup’s preferred shares.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ectPr>
          <w:pgSz w:w="11900" w:h="16838" w:orient="portrait"/>
          <w:cols w:equalWidth="0" w:num="1">
            <w:col w:w="11420"/>
          </w:cols>
          <w:pgMar w:left="240" w:top="118" w:right="23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6" w:lineRule="exact"/>
        <w:rPr>
          <w:sz w:val="20"/>
          <w:szCs w:val="20"/>
          <w:color w:val="auto"/>
        </w:rPr>
      </w:pPr>
    </w:p>
    <w:p>
      <w:pPr>
        <w:ind w:left="660" w:hanging="328"/>
        <w:spacing w:after="0"/>
        <w:tabs>
          <w:tab w:leader="none" w:pos="660" w:val="left"/>
        </w:tabs>
        <w:numPr>
          <w:ilvl w:val="0"/>
          <w:numId w:val="144"/>
        </w:numPr>
        <w:rPr>
          <w:rFonts w:ascii="Arial" w:cs="Arial" w:eastAsia="Arial" w:hAnsi="Arial"/>
          <w:sz w:val="25"/>
          <w:szCs w:val="25"/>
          <w:color w:val="auto"/>
          <w:vertAlign w:val="superscript"/>
        </w:rPr>
      </w:pPr>
      <w:r>
        <w:rPr>
          <w:rFonts w:ascii="Arial" w:cs="Arial" w:eastAsia="Arial" w:hAnsi="Arial"/>
          <w:sz w:val="18"/>
          <w:szCs w:val="18"/>
          <w:color w:val="auto"/>
        </w:rPr>
        <w:t>Cash received represents cash and cash equivalents held by SemGroup as of the acquisition date.</w:t>
      </w:r>
    </w:p>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fair values of the assets acquired and liabilities assumed were determined using various valuation techniques, including the income and market approaches.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Transactions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 Contribution of Assets to ETO</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prior to the closing of the Energy Transfer Merger discussed in Note 1, ET contributed the following to ETO:</w:t>
      </w:r>
    </w:p>
    <w:p>
      <w:pPr>
        <w:spacing w:after="0" w:line="117"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2,263,158 common units representing limited partner interests in Sunoco LP to ETO in exchange for 2,874,275 ETO common units;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100 percent of the limited liability company interests in Sunoco GP LLC, the sole general partner of Sunoco LP, and all of the IDRs in Sunoco LP, to ETO in exchange for 42,812,389 ETO common units;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12,466,912 common units representing limited partner interests in USAC and 100 percent of the limited liability company interests in USA Compression GP, LLC, the general partner of USAC, to ETO in exchange for 16,134,903 ETO common units; and</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 100 percent limited liability company interest in Lake Charles LNG and a 60 percent limited liability company interest in each of Energy Transfer LNG Export, LLC, ET Crude Oil Terminals, LLC and ETC Illinois LLC to ETO in exchange for 37,557,815 ETO common units.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USAC Acquisition</w:t>
      </w:r>
    </w:p>
    <w:p>
      <w:pPr>
        <w:spacing w:after="0" w:line="175"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On April 2, 2018, ET acquired a controlling interest in USAC, a publicly traded partnership that provides compression services in the United States. Specifically the Partnership acquired (i) all of the outstanding limited liability company interests in USA Compression GP, LLC (“USAC GP”), the general partner of USAC, and (ii) 12,466,912 USAC common units representing limited partner interests in USAC for cash consideration equal to $250 million (the “USAC Transaction”). Concurrently, USAC cancelled its IDRs and converted its economic general partner interest into a non-economic general partner interest in exchange for the issuance of 8,000,000 USAC common units to USAC GP.</w:t>
      </w:r>
    </w:p>
    <w:p>
      <w:pPr>
        <w:spacing w:after="0" w:line="11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Concurrent with these transactions, ETO contributed to USAC all of the issued and outstanding membership interests of CDM for aggregate consideration of approximately $1.7 billion, consisting of (i) 19,191,351 USAC common units, (ii) 6,397,965 units of a newly authorized and established class of units representing limited partner interests in USAC (“USAC Class B Units”) and (iii) $1.23 billion in cash, including customary closing adjustments (the “CDM Contribution”). The USAC Class B Units are a new class of partnership interests of USAC that have substantially all of the rights and obligations of a USAC common unit, except the USAC Class B Units will not participate in distributions for the first four quarters following the closing date of April 2, 2018. Each USAC Class B Unit will automatically convert into one USAC common unit on the first business day following the record date attributable to the quarter ending June 30, 2019.</w:t>
      </w:r>
    </w:p>
    <w:p>
      <w:pPr>
        <w:spacing w:after="0" w:line="135" w:lineRule="exact"/>
        <w:rPr>
          <w:sz w:val="20"/>
          <w:szCs w:val="20"/>
          <w:color w:val="auto"/>
        </w:rPr>
      </w:pPr>
    </w:p>
    <w:p>
      <w:pPr>
        <w:ind w:left="340" w:right="2320"/>
        <w:spacing w:after="0" w:line="277" w:lineRule="auto"/>
        <w:rPr>
          <w:sz w:val="20"/>
          <w:szCs w:val="20"/>
          <w:color w:val="auto"/>
        </w:rPr>
      </w:pPr>
      <w:r>
        <w:rPr>
          <w:rFonts w:ascii="Arial" w:cs="Arial" w:eastAsia="Arial" w:hAnsi="Arial"/>
          <w:sz w:val="18"/>
          <w:szCs w:val="18"/>
          <w:color w:val="auto"/>
        </w:rPr>
        <w:t>Prior to the USAC acquisition, the CDM entities were indirect wholly-owned subsidiaries of ETO. Beginning April 2018, ETE’s consolidated financial statements reflected USAC as a consolidated subsidiary.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18" w:right="23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Assets Acquired and Liabilities Assumed</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USAC Transaction was recorded using the acquisition method of accounting, which requires, among other things, that assets acquired and liabilities assumed be recognized on the balance sheet at their fair values as of the acquisition date.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purchase price was allocated as follows: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930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At April 2, 2018</w:t>
            </w:r>
          </w:p>
        </w:tc>
      </w:tr>
      <w:tr>
        <w:trPr>
          <w:trHeight w:val="27"/>
        </w:trPr>
        <w:tc>
          <w:tcPr>
            <w:tcW w:w="9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1,332</w:t>
            </w:r>
          </w:p>
        </w:tc>
      </w:tr>
      <w:tr>
        <w:trPr>
          <w:trHeight w:val="27"/>
        </w:trPr>
        <w:tc>
          <w:tcPr>
            <w:tcW w:w="9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70"/>
        </w:trPr>
        <w:tc>
          <w:tcPr>
            <w:tcW w:w="9300" w:type="dxa"/>
            <w:vAlign w:val="bottom"/>
          </w:tcPr>
          <w:p>
            <w:pPr>
              <w:ind w:left="20"/>
              <w:spacing w:after="0" w:line="270" w:lineRule="exact"/>
              <w:rPr>
                <w:sz w:val="20"/>
                <w:szCs w:val="20"/>
                <w:color w:val="auto"/>
              </w:rPr>
            </w:pPr>
            <w:r>
              <w:rPr>
                <w:rFonts w:ascii="Arial" w:cs="Arial" w:eastAsia="Arial" w:hAnsi="Arial"/>
                <w:sz w:val="18"/>
                <w:szCs w:val="18"/>
                <w:color w:val="auto"/>
              </w:rPr>
              <w:t>Goodwill</w:t>
            </w:r>
            <w:r>
              <w:rPr>
                <w:rFonts w:ascii="Arial" w:cs="Arial" w:eastAsia="Arial" w:hAnsi="Arial"/>
                <w:sz w:val="25"/>
                <w:szCs w:val="25"/>
                <w:color w:val="auto"/>
                <w:vertAlign w:val="superscript"/>
              </w:rPr>
              <w:t>(1)</w:t>
            </w:r>
          </w:p>
        </w:tc>
        <w:tc>
          <w:tcPr>
            <w:tcW w:w="5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366</w:t>
            </w:r>
          </w:p>
        </w:tc>
      </w:tr>
      <w:tr>
        <w:trPr>
          <w:trHeight w:val="27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37"/>
        </w:trPr>
        <w:tc>
          <w:tcPr>
            <w:tcW w:w="93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5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2,721</w:t>
            </w:r>
          </w:p>
        </w:tc>
      </w:tr>
      <w:tr>
        <w:trPr>
          <w:trHeight w:val="27"/>
        </w:trPr>
        <w:tc>
          <w:tcPr>
            <w:tcW w:w="9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93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9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1,527</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5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9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1,639</w:t>
            </w:r>
          </w:p>
        </w:tc>
      </w:tr>
      <w:tr>
        <w:trPr>
          <w:trHeight w:val="324"/>
        </w:trPr>
        <w:tc>
          <w:tcPr>
            <w:tcW w:w="9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r>
      <w:tr>
        <w:trPr>
          <w:trHeight w:val="324"/>
        </w:trPr>
        <w:tc>
          <w:tcPr>
            <w:tcW w:w="93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64"/>
        </w:trPr>
        <w:tc>
          <w:tcPr>
            <w:tcW w:w="9300" w:type="dxa"/>
            <w:vAlign w:val="bottom"/>
            <w:tcBorders>
              <w:bottom w:val="single" w:sz="8" w:color="CCEEFF"/>
            </w:tcBorders>
          </w:tcPr>
          <w:p>
            <w:pPr>
              <w:ind w:left="20"/>
              <w:spacing w:after="0" w:line="264" w:lineRule="exact"/>
              <w:rPr>
                <w:sz w:val="20"/>
                <w:szCs w:val="20"/>
                <w:color w:val="auto"/>
              </w:rPr>
            </w:pPr>
            <w:r>
              <w:rPr>
                <w:rFonts w:ascii="Arial" w:cs="Arial" w:eastAsia="Arial" w:hAnsi="Arial"/>
                <w:sz w:val="18"/>
                <w:szCs w:val="18"/>
                <w:color w:val="auto"/>
              </w:rPr>
              <w:t>Cash received</w:t>
            </w:r>
            <w:r>
              <w:rPr>
                <w:rFonts w:ascii="Arial" w:cs="Arial" w:eastAsia="Arial" w:hAnsi="Arial"/>
                <w:sz w:val="25"/>
                <w:szCs w:val="25"/>
                <w:color w:val="auto"/>
                <w:vertAlign w:val="superscript"/>
              </w:rPr>
              <w:t>(2)</w:t>
            </w:r>
          </w:p>
        </w:tc>
        <w:tc>
          <w:tcPr>
            <w:tcW w:w="5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711</w:t>
            </w:r>
          </w:p>
        </w:tc>
      </w:tr>
      <w:tr>
        <w:trPr>
          <w:trHeight w:val="264"/>
        </w:trPr>
        <w:tc>
          <w:tcPr>
            <w:tcW w:w="9300" w:type="dxa"/>
            <w:vAlign w:val="bottom"/>
            <w:tcBorders>
              <w:bottom w:val="single" w:sz="8" w:color="CCEEFF"/>
            </w:tcBorders>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consideration, net of cash received</w:t>
            </w:r>
            <w:r>
              <w:rPr>
                <w:rFonts w:ascii="Arial" w:cs="Arial" w:eastAsia="Arial" w:hAnsi="Arial"/>
                <w:sz w:val="25"/>
                <w:szCs w:val="25"/>
                <w:color w:val="auto"/>
                <w:vertAlign w:val="superscript"/>
              </w:rPr>
              <w:t>(2)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9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16" w:lineRule="auto"/>
        <w:tabs>
          <w:tab w:leader="none" w:pos="660" w:val="left"/>
        </w:tabs>
        <w:numPr>
          <w:ilvl w:val="0"/>
          <w:numId w:val="146"/>
        </w:numPr>
        <w:rPr>
          <w:rFonts w:ascii="Arial" w:cs="Arial" w:eastAsia="Arial" w:hAnsi="Arial"/>
          <w:sz w:val="25"/>
          <w:szCs w:val="25"/>
          <w:color w:val="auto"/>
          <w:vertAlign w:val="superscript"/>
        </w:rPr>
      </w:pPr>
      <w:r>
        <w:rPr>
          <w:rFonts w:ascii="Arial" w:cs="Arial" w:eastAsia="Arial" w:hAnsi="Arial"/>
          <w:sz w:val="18"/>
          <w:szCs w:val="18"/>
          <w:color w:val="auto"/>
        </w:rPr>
        <w:t>None of the goodwill is expected to be deductible for tax purposes. Goodwill recognized from the business combination primarily relates to the value attributed to additional growth opportunities, synergies and operating leverage within USAC’s operations.</w:t>
      </w:r>
    </w:p>
    <w:p>
      <w:pPr>
        <w:spacing w:after="0" w:line="38"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146"/>
        </w:numPr>
        <w:rPr>
          <w:rFonts w:ascii="Arial" w:cs="Arial" w:eastAsia="Arial" w:hAnsi="Arial"/>
          <w:sz w:val="25"/>
          <w:szCs w:val="25"/>
          <w:color w:val="auto"/>
          <w:vertAlign w:val="superscript"/>
        </w:rPr>
      </w:pPr>
      <w:r>
        <w:rPr>
          <w:rFonts w:ascii="Arial" w:cs="Arial" w:eastAsia="Arial" w:hAnsi="Arial"/>
          <w:sz w:val="18"/>
          <w:szCs w:val="18"/>
          <w:color w:val="auto"/>
        </w:rPr>
        <w:t>Cash received represents cash and cash equivalents held by USAC as of the acquisition date.</w:t>
      </w:r>
    </w:p>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fair values of the assets acquired and liabilities assumed were determined using various valuation techniques, including the income and market approaches.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Retail Store Divestment</w:t>
      </w:r>
    </w:p>
    <w:p>
      <w:pPr>
        <w:spacing w:after="0" w:line="33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January 23, 2018, Sunoco LP completed the disposition of assets pursuant to the purchase agreement with 7-Eleven, Inc. (the “7-Eleven Transaction”). As a result of the 7-Eleven Transaction, previously eliminated wholesale motor fuel sales to Sunoco LP’s retail locations are reported as wholesale motor fuel sales to third parties. Also, the related accounts receivable from such sales are no longer eliminated from the Partnership’s consolidated balance sheets and are reported as accounts receivable.</w:t>
      </w:r>
    </w:p>
    <w:p>
      <w:pPr>
        <w:spacing w:after="0" w:line="13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In connection with the 7-Eleven Transaction, Sunoco LP entered into a Distributor Motor Fuel Agreement dated as of January 23, 2018 (“Supply Agreement”), with 7-Eleven and SEI Fuel (collectively, “Distributor”). The Supply Agreement consists of a 15-year take-or-pay fuel supply arrangement under which Sunoco LP has agreed to supply approximately 2.0 billion gallons of fuel annually plus additional aggregate growth volumes of up to 500 million gallons to be added incrementally over the first four years. For the period from January 1, 2018 through January 22, 2018 and the years ended December 31, 2017, Sunoco LP recorded sales to the sites that were subsequently sold to 7-Eleven of $199 million and $3.2 billion, respectively, which were eliminated in consolidation. Sunoco LP received payments on trade receivables of $3.7 billion and $3.4 billion, respectively, from 7-Eleven for the years ended December 31, 2019 and December 31, 2018 subsequent to the closing of the sale.</w:t>
      </w:r>
    </w:p>
    <w:p>
      <w:pPr>
        <w:spacing w:after="0" w:line="1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Partnership has concluded that it meets the accounting requirements for reporting the financial position, results of operations and cash flows of Sunoco LP’s retail divestment as discontinued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18" w:right="23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There were no results of operations associated with discontinued operations for the year ended December 31, 2019. The results of operations associated with discontinued operations for the years ended December 31, 2018 and 2017 are presented in the following table:</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2740" w:type="dxa"/>
            <w:vAlign w:val="bottom"/>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6,964</w:t>
            </w:r>
          </w:p>
        </w:tc>
        <w:tc>
          <w:tcPr>
            <w:tcW w:w="0" w:type="dxa"/>
            <w:vAlign w:val="bottom"/>
          </w:tcPr>
          <w:p>
            <w:pPr>
              <w:spacing w:after="0"/>
              <w:rPr>
                <w:sz w:val="1"/>
                <w:szCs w:val="1"/>
                <w:color w:val="auto"/>
              </w:rPr>
            </w:pPr>
          </w:p>
        </w:tc>
      </w:tr>
      <w:tr>
        <w:trPr>
          <w:trHeight w:val="324"/>
        </w:trPr>
        <w:tc>
          <w:tcPr>
            <w:tcW w:w="7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Cost of products sold</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5,806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expenses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0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Impairment losses</w:t>
            </w:r>
          </w:p>
        </w:tc>
        <w:tc>
          <w:tcPr>
            <w:tcW w:w="10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7,056</w:t>
            </w:r>
          </w:p>
        </w:tc>
        <w:tc>
          <w:tcPr>
            <w:tcW w:w="0" w:type="dxa"/>
            <w:vAlign w:val="bottom"/>
          </w:tcPr>
          <w:p>
            <w:pPr>
              <w:spacing w:after="0"/>
              <w:rPr>
                <w:sz w:val="1"/>
                <w:szCs w:val="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 EXPENSE</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8"/>
                <w:szCs w:val="18"/>
                <w:color w:val="auto"/>
                <w:w w:val="99"/>
              </w:rPr>
              <w:t>LOSS FROM DISCONTINUED OPERATIONS, NET OF INCOME TAXES ATTRIBUTABLE</w:t>
            </w:r>
          </w:p>
        </w:tc>
        <w:tc>
          <w:tcPr>
            <w:tcW w:w="1080" w:type="dxa"/>
            <w:vAlign w:val="bottom"/>
            <w:tcBorders>
              <w:top w:val="single" w:sz="8" w:color="auto"/>
            </w:tcBorders>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40" w:type="dxa"/>
            <w:vAlign w:val="bottom"/>
            <w:tcBorders>
              <w:top w:val="single" w:sz="8" w:color="auto"/>
            </w:tcBorders>
            <w:vMerge w:val="restart"/>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2"/>
        </w:trPr>
        <w:tc>
          <w:tcPr>
            <w:tcW w:w="7300" w:type="dxa"/>
            <w:vAlign w:val="bottom"/>
          </w:tcPr>
          <w:p>
            <w:pPr>
              <w:ind w:left="180"/>
              <w:spacing w:after="0"/>
              <w:rPr>
                <w:sz w:val="20"/>
                <w:szCs w:val="20"/>
                <w:color w:val="auto"/>
              </w:rPr>
            </w:pPr>
            <w:r>
              <w:rPr>
                <w:rFonts w:ascii="Arial" w:cs="Arial" w:eastAsia="Arial" w:hAnsi="Arial"/>
                <w:sz w:val="18"/>
                <w:szCs w:val="18"/>
                <w:color w:val="auto"/>
              </w:rPr>
              <w:t>TO ET</w:t>
            </w:r>
          </w:p>
        </w:tc>
        <w:tc>
          <w:tcPr>
            <w:tcW w:w="10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Transactions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Rover Contribution Agreement</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October 2017, ETO completed the previously announced contribution transaction with a fund managed by Blackstone Energy Partners and Blackstone Capital Partners, pursuant to which ETO exchanged a 49.9% interest in the holding company that owns 65% of the Rover pipeline (“Rover Holdco”). As a result, Rover Holdco is now owned 50.1% by ETO and 49.9% by Blackstone. Upon closing, Blackstone contributed funds to reimburse ETO for its pro rata share of the Rover construction costs incurred by ETO through the closing date, along with the payment of additional amounts subject to certain adjustments.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and Sunoco Logistics Merger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 in April 2017, Energy Transfer Partners, L.P. and Sunoco Logistics completed the Sunoco Logistics Merger.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Permian Express Partners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February 2017, the Partnership formed PEP, a strategic joint venture with ExxonMobil. The Partnership contributed its Permian Express 1, Permian Express 2, Permian Longview and Louisiana Access pipelines. ExxonMobil contributed its Longview to Louisiana and Pegasus pipelines, Hawkins gathering system, an idle pipeline in southern Oklahoma, and its Patoka, Illinois terminal. Assets contributed to PEP by ExxonMobil were reflected at fair value on the Partnership’s consolidated balance sheet at the date of the contribution, including $547 million of intangible assets and $435 million of property, plant and equipment.</w:t>
      </w:r>
    </w:p>
    <w:p>
      <w:pPr>
        <w:spacing w:after="0" w:line="13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July 2017, ETO contributed an approximate 15% ownership interest in Dakota Access and ETCO to PEP, which resulted in an increase in ETO’s ownership interest in PEP to approximately 88%. ETO maintains a controlling financial and voting interest in PEP and is the operator of all of the assets. As such, PEP is reflected as a consolidated subsidiary of the Partnership.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18" w:right="23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ExxonMobil’s interest in PEP is reflected as noncontrolling interest in the consolidated balance sheets. ExxonMobil’s contribution resulted in an increase of $988 million in noncontrolling interest, which is reflected in “Capital contributions from noncontrolling interest” in the consolidated statement of equity.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Bakken Equity Sale</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February 2017, Bakken Holdings Company LLC, an entity in which ETO indirectly owns a 100% membership interest, sold a 49% interest in its wholly-owned subsidiary, Bakken Pipeline Investments LLC, to MarEn Bakken Company LLC, an entity jointly owned by MPLX LP and Enbridge Energy Partners, L.P., for $2.00 billion in cash. Bakken Pipeline Investments LLC indirectly owns a 75% interest in each of Dakota Access and ETCO. The remaining 25% of each of Dakota Access and ETCO is owned by wholly-owned subsidiaries of Phillips 66. ETO continues to consolidate Dakota Access and ETCO subsequent to this transaction.</w:t>
      </w:r>
    </w:p>
    <w:p>
      <w:pPr>
        <w:spacing w:after="0" w:line="130" w:lineRule="exact"/>
        <w:rPr>
          <w:sz w:val="20"/>
          <w:szCs w:val="20"/>
          <w:color w:val="auto"/>
        </w:rPr>
      </w:pPr>
    </w:p>
    <w:p>
      <w:pPr>
        <w:ind w:left="340" w:right="4840" w:hanging="332"/>
        <w:spacing w:after="0" w:line="440" w:lineRule="auto"/>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ADVANCES TO AND INVESTMENTS IN UNCONSOLIDATED AFFILIATES</w:t>
      </w:r>
      <w:r>
        <w:rPr>
          <w:rFonts w:ascii="Arial" w:cs="Arial" w:eastAsia="Arial" w:hAnsi="Arial"/>
          <w:sz w:val="18"/>
          <w:szCs w:val="18"/>
          <w:b w:val="1"/>
          <w:bCs w:val="1"/>
          <w:color w:val="auto"/>
        </w:rPr>
        <w:t>: Citrus</w:t>
      </w:r>
    </w:p>
    <w:p>
      <w:pPr>
        <w:spacing w:after="0" w:line="1"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ETO owns CrossCountry Energy, LLC, a wholly-owned subsidiary of ETO, which in turn owns a 50% interest in Citrus. The other 50% interest in Citrus is owned by a subsidiary of KMI. Citrus owns 100% of FGT, an approximately 5,362-mile natural gas pipeline system that originates in Texas and delivers natural gas to the Florida peninsula. Our investment in Citrus is reflected in our interstate transportation and storage segment.</w:t>
      </w:r>
    </w:p>
    <w:p>
      <w:pPr>
        <w:spacing w:after="0" w:line="10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FEP</w:t>
      </w:r>
    </w:p>
    <w:p>
      <w:pPr>
        <w:spacing w:after="0" w:line="175"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ETO has a 50% interest in FEP which owns an approximately 185-mile natural gas pipeline that originates in Conway County, Arkansas, continues eastward through White County, Arkansas and terminates at an interconnect with Trunkline in Panola County, Mississippi. ETO’s investment in FEP is reflected in the interstate transportation and storage segment. The Partnership evaluated its investment in FEP for impairment as of December 31, 2017, based on FASB Accounting Standards Codification 323, </w:t>
      </w:r>
      <w:r>
        <w:rPr>
          <w:rFonts w:ascii="Arial" w:cs="Arial" w:eastAsia="Arial" w:hAnsi="Arial"/>
          <w:sz w:val="17"/>
          <w:szCs w:val="17"/>
          <w:i w:val="1"/>
          <w:iCs w:val="1"/>
          <w:color w:val="auto"/>
        </w:rPr>
        <w:t>Investments - Equity Method and Joint Ventures</w:t>
      </w:r>
      <w:r>
        <w:rPr>
          <w:rFonts w:ascii="Arial" w:cs="Arial" w:eastAsia="Arial" w:hAnsi="Arial"/>
          <w:sz w:val="17"/>
          <w:szCs w:val="17"/>
          <w:color w:val="auto"/>
        </w:rPr>
        <w:t>. The Partnership recorded an impairment of its investment in FEP of $141 million during the year ended December 31, 2017 due to a negative outlook for long-term transportation contracts as a result of a decrease in production in the Fayetteville basin and a customer re-contracting with a competitor.</w:t>
      </w:r>
    </w:p>
    <w:p>
      <w:pPr>
        <w:spacing w:after="0" w:line="12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MEP</w:t>
      </w:r>
    </w:p>
    <w:p>
      <w:pPr>
        <w:spacing w:after="0" w:line="175"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ETO owns a 50% interest in MEP, which owns approximately 500 miles of natural gas pipeline that extends from Southeast Oklahoma, across Northeast Texas, Northern Louisiana and Central Mississippi to an interconnect with the Transcontinental natural gas pipeline system in Butler, Alabama. ETO’s investment in MEP is reflected in the interstate transportation and storage segment.</w:t>
      </w:r>
    </w:p>
    <w:p>
      <w:pPr>
        <w:spacing w:after="0" w:line="12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carrying values of the Partnership’s investments advances to and in unconsolidated affiliates as of December 31, 2019 and 2018 were as follows:</w:t>
      </w:r>
    </w:p>
    <w:p>
      <w:pPr>
        <w:spacing w:after="0" w:line="35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w w:val="93"/>
              </w:rPr>
              <w:t>December 31,</w:t>
            </w:r>
          </w:p>
        </w:tc>
        <w:tc>
          <w:tcPr>
            <w:tcW w:w="92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592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color w:val="auto"/>
                <w:w w:val="89"/>
              </w:rPr>
              <w:t>2018</w:t>
            </w:r>
          </w:p>
        </w:tc>
      </w:tr>
      <w:tr>
        <w:trPr>
          <w:trHeight w:val="27"/>
        </w:trPr>
        <w:tc>
          <w:tcPr>
            <w:tcW w:w="276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Citrus</w:t>
            </w:r>
          </w:p>
        </w:tc>
        <w:tc>
          <w:tcPr>
            <w:tcW w:w="592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1,737</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FEP</w:t>
            </w:r>
          </w:p>
        </w:tc>
        <w:tc>
          <w:tcPr>
            <w:tcW w:w="5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7"/>
        </w:trPr>
        <w:tc>
          <w:tcPr>
            <w:tcW w:w="27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MEP</w:t>
            </w:r>
          </w:p>
        </w:tc>
        <w:tc>
          <w:tcPr>
            <w:tcW w:w="5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Others</w:t>
            </w:r>
          </w:p>
        </w:tc>
        <w:tc>
          <w:tcPr>
            <w:tcW w:w="5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573</w:t>
            </w:r>
          </w:p>
        </w:tc>
      </w:tr>
      <w:tr>
        <w:trPr>
          <w:trHeight w:val="27"/>
        </w:trPr>
        <w:tc>
          <w:tcPr>
            <w:tcW w:w="276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3,460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2,642</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2760" w:type="dxa"/>
            <w:vAlign w:val="bottom"/>
          </w:tcPr>
          <w:p>
            <w:pPr>
              <w:spacing w:after="0"/>
              <w:rPr>
                <w:sz w:val="24"/>
                <w:szCs w:val="24"/>
                <w:color w:val="auto"/>
              </w:rPr>
            </w:pPr>
          </w:p>
        </w:tc>
        <w:tc>
          <w:tcPr>
            <w:tcW w:w="5920" w:type="dxa"/>
            <w:vAlign w:val="bottom"/>
            <w:gridSpan w:val="2"/>
          </w:tcPr>
          <w:p>
            <w:pPr>
              <w:jc w:val="right"/>
              <w:ind w:right="3300"/>
              <w:spacing w:after="0"/>
              <w:rPr>
                <w:sz w:val="20"/>
                <w:szCs w:val="20"/>
                <w:color w:val="auto"/>
              </w:rPr>
            </w:pPr>
            <w:r>
              <w:rPr>
                <w:rFonts w:ascii="Arial" w:cs="Arial" w:eastAsia="Arial" w:hAnsi="Arial"/>
                <w:sz w:val="18"/>
                <w:szCs w:val="18"/>
                <w:color w:val="auto"/>
              </w:rPr>
              <w:t>F - 30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2"/>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01"/>
        </w:trPr>
        <w:tc>
          <w:tcPr>
            <w:tcW w:w="34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w w:val="95"/>
              </w:rPr>
              <w:t>The following table presents equity in earnings (losses) of unconsolidated affiliates: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0"/>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gridSpan w:val="6"/>
          </w:tcPr>
          <w:p>
            <w:pPr>
              <w:jc w:val="right"/>
              <w:ind w:right="90"/>
              <w:spacing w:after="0"/>
              <w:rPr>
                <w:sz w:val="20"/>
                <w:szCs w:val="20"/>
                <w:color w:val="auto"/>
              </w:rPr>
            </w:pPr>
            <w:r>
              <w:rPr>
                <w:rFonts w:ascii="Arial" w:cs="Arial" w:eastAsia="Arial" w:hAnsi="Arial"/>
                <w:sz w:val="18"/>
                <w:szCs w:val="18"/>
                <w:color w:val="auto"/>
                <w:w w:val="99"/>
              </w:rPr>
              <w:t>Years Ended December 31,</w:t>
            </w:r>
          </w:p>
        </w:tc>
        <w:tc>
          <w:tcPr>
            <w:tcW w:w="102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Citrus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340" w:type="dxa"/>
            <w:vAlign w:val="bottom"/>
          </w:tcPr>
          <w:p>
            <w:pPr>
              <w:spacing w:after="0"/>
              <w:rPr>
                <w:sz w:val="21"/>
                <w:szCs w:val="21"/>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FEP</w:t>
            </w:r>
          </w:p>
        </w:tc>
        <w:tc>
          <w:tcPr>
            <w:tcW w:w="9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MEP</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340" w:type="dxa"/>
            <w:vAlign w:val="bottom"/>
          </w:tcPr>
          <w:p>
            <w:pPr>
              <w:spacing w:after="0"/>
              <w:rPr>
                <w:sz w:val="21"/>
                <w:szCs w:val="21"/>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63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equity in earnings of unconsolidated affiliates</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Summarized Financial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aggregated selected balance sheet and income statement data for our unconsolidated affiliates, Citrus, FEP, and MEP (on a</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100% basis) for all periods presented, except as noted below:</w:t>
      </w:r>
    </w:p>
    <w:p>
      <w:pPr>
        <w:spacing w:after="0" w:line="31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2018</w:t>
            </w: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7,800</w:t>
            </w: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97"/>
        </w:trPr>
        <w:tc>
          <w:tcPr>
            <w:tcW w:w="6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88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w:t>
            </w:r>
          </w:p>
        </w:tc>
      </w:tr>
      <w:tr>
        <w:trPr>
          <w:trHeight w:val="311"/>
        </w:trPr>
        <w:tc>
          <w:tcPr>
            <w:tcW w:w="6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Equity</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3,078</w:t>
            </w: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w:t>
            </w:r>
          </w:p>
        </w:tc>
      </w:tr>
      <w:tr>
        <w:trPr>
          <w:trHeight w:val="20"/>
        </w:trPr>
        <w:tc>
          <w:tcPr>
            <w:tcW w:w="6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27"/>
        </w:trPr>
        <w:tc>
          <w:tcPr>
            <w:tcW w:w="6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gridSpan w:val="6"/>
          </w:tcPr>
          <w:p>
            <w:pPr>
              <w:jc w:val="right"/>
              <w:ind w:right="210"/>
              <w:spacing w:after="0"/>
              <w:rPr>
                <w:sz w:val="20"/>
                <w:szCs w:val="20"/>
                <w:color w:val="auto"/>
              </w:rPr>
            </w:pPr>
            <w:r>
              <w:rPr>
                <w:rFonts w:ascii="Arial" w:cs="Arial" w:eastAsia="Arial" w:hAnsi="Arial"/>
                <w:sz w:val="18"/>
                <w:szCs w:val="18"/>
                <w:color w:val="auto"/>
              </w:rPr>
              <w:t>Years Ended December 31,</w:t>
            </w:r>
          </w:p>
        </w:tc>
        <w:tc>
          <w:tcPr>
            <w:tcW w:w="900" w:type="dxa"/>
            <w:vAlign w:val="bottom"/>
          </w:tcPr>
          <w:p>
            <w:pPr>
              <w:spacing w:after="0"/>
              <w:rPr>
                <w:sz w:val="24"/>
                <w:szCs w:val="24"/>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10"/>
              <w:spacing w:after="0" w:line="264" w:lineRule="exact"/>
              <w:rPr>
                <w:sz w:val="20"/>
                <w:szCs w:val="20"/>
                <w:color w:val="auto"/>
              </w:rPr>
            </w:pPr>
            <w:r>
              <w:rPr>
                <w:rFonts w:ascii="Arial" w:cs="Arial" w:eastAsia="Arial" w:hAnsi="Arial"/>
                <w:sz w:val="18"/>
                <w:szCs w:val="18"/>
                <w:color w:val="auto"/>
              </w:rPr>
              <w:t xml:space="preserve">2018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2017</w:t>
            </w: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6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right="20" w:hanging="328"/>
        <w:spacing w:after="0" w:line="216" w:lineRule="auto"/>
        <w:tabs>
          <w:tab w:leader="none" w:pos="660" w:val="left"/>
        </w:tabs>
        <w:numPr>
          <w:ilvl w:val="0"/>
          <w:numId w:val="148"/>
        </w:numPr>
        <w:rPr>
          <w:rFonts w:ascii="Arial" w:cs="Arial" w:eastAsia="Arial" w:hAnsi="Arial"/>
          <w:sz w:val="25"/>
          <w:szCs w:val="25"/>
          <w:color w:val="auto"/>
          <w:vertAlign w:val="superscript"/>
        </w:rPr>
      </w:pPr>
      <w:r>
        <w:rPr>
          <w:rFonts w:ascii="Arial" w:cs="Arial" w:eastAsia="Arial" w:hAnsi="Arial"/>
          <w:sz w:val="18"/>
          <w:szCs w:val="18"/>
          <w:color w:val="auto"/>
        </w:rPr>
        <w:t>Selected income data related to HPC for the year ended December 31, 2018 reflects HPC’s results for January 1, 2018 through March 31, 2018. HPC was fully consolidated beginning April 1, 2018 as discussed above.</w:t>
      </w:r>
    </w:p>
    <w:p>
      <w:pPr>
        <w:spacing w:after="0" w:line="14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 addition to the equity method investments described above we have other equity method investments which are not significant to our consolidated financial statements.</w:t>
      </w:r>
    </w:p>
    <w:p>
      <w:pPr>
        <w:spacing w:after="0" w:line="112" w:lineRule="exact"/>
        <w:rPr>
          <w:sz w:val="20"/>
          <w:szCs w:val="20"/>
          <w:color w:val="auto"/>
        </w:rPr>
      </w:pPr>
    </w:p>
    <w:p>
      <w:pPr>
        <w:ind w:left="340" w:hanging="332"/>
        <w:spacing w:after="0"/>
        <w:tabs>
          <w:tab w:leader="none" w:pos="3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INCOME PER LIMITED PARTNER UNIT</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Basic net income per limited partner unit is computed by dividing net income, after considering the General Partner’s interest, by the weighted average number of limited partner interests outstanding. Diluted net income per limited partner unit is computed by dividing net income (as adjusted as discussed herein), after considering the General Partner’s interest, by the weighted average number of limited partner interests outstanding and the assumed conversion of the ET Series A Convertible Preferred Units, as discussed in Note 8. For the diluted earnings per share computation, income allocable to the limited partners is reduced, where applicable, for the decrease in earnings from ET’s limited partner unit ownership in ETO or Sunoco LP that would have resulted assuming the incremental units related to our or Sunoco LP’s equity incentive plans, as applicable, had been issued during the respective periods. Such units have been determined based on the treasury stock method.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14" w:right="23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net income and weighted average units used in computing basic and diluted net income per unit is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43"/>
        </w:trPr>
        <w:tc>
          <w:tcPr>
            <w:tcW w:w="6080" w:type="dxa"/>
            <w:vAlign w:val="bottom"/>
          </w:tcPr>
          <w:p>
            <w:pPr>
              <w:ind w:left="26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Less: Income (loss) from continuing operations attributable to noncontrolling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Income from continuing operations, net of noncontrolling interests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General Partner’s interest in 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080" w:type="dxa"/>
            <w:vAlign w:val="bottom"/>
          </w:tcPr>
          <w:p>
            <w:pPr>
              <w:ind w:left="260"/>
              <w:spacing w:after="0"/>
              <w:rPr>
                <w:sz w:val="20"/>
                <w:szCs w:val="20"/>
                <w:color w:val="auto"/>
              </w:rPr>
            </w:pPr>
            <w:r>
              <w:rPr>
                <w:rFonts w:ascii="Arial" w:cs="Arial" w:eastAsia="Arial" w:hAnsi="Arial"/>
                <w:sz w:val="18"/>
                <w:szCs w:val="18"/>
                <w:color w:val="auto"/>
                <w:w w:val="97"/>
              </w:rPr>
              <w:t>Less: ET Series A Convertible Preferred Unitholders’ interest in net income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420"/>
              <w:spacing w:after="0"/>
              <w:rPr>
                <w:sz w:val="20"/>
                <w:szCs w:val="20"/>
                <w:color w:val="auto"/>
              </w:rPr>
            </w:pPr>
            <w:r>
              <w:rPr>
                <w:rFonts w:ascii="Arial" w:cs="Arial" w:eastAsia="Arial" w:hAnsi="Arial"/>
                <w:sz w:val="18"/>
                <w:szCs w:val="18"/>
                <w:color w:val="auto"/>
              </w:rPr>
              <w:t>from continuing operations</w:t>
            </w:r>
          </w:p>
        </w:tc>
        <w:tc>
          <w:tcPr>
            <w:tcW w:w="3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available to Limited Partners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from Continuing Operations per Limited Partner Unit: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limited partner units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Basic income from continuing operations per Limited Partner unit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Basic loss from discontinued operations per Limited Partner unit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Income from Continuing Operations per Limited Partner Unit: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 available to Limited Partners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9"/>
        </w:trPr>
        <w:tc>
          <w:tcPr>
            <w:tcW w:w="6080" w:type="dxa"/>
            <w:vAlign w:val="bottom"/>
          </w:tcPr>
          <w:p>
            <w:pPr>
              <w:ind w:left="380"/>
              <w:spacing w:after="0"/>
              <w:rPr>
                <w:sz w:val="20"/>
                <w:szCs w:val="20"/>
                <w:color w:val="auto"/>
              </w:rPr>
            </w:pPr>
            <w:r>
              <w:rPr>
                <w:rFonts w:ascii="Arial" w:cs="Arial" w:eastAsia="Arial" w:hAnsi="Arial"/>
                <w:sz w:val="18"/>
                <w:szCs w:val="18"/>
                <w:color w:val="auto"/>
                <w:w w:val="93"/>
              </w:rPr>
              <w:t>Dilutive effect of equity-based compensation of subsidiaries and distributions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540"/>
              <w:spacing w:after="0"/>
              <w:rPr>
                <w:sz w:val="20"/>
                <w:szCs w:val="20"/>
                <w:color w:val="auto"/>
              </w:rPr>
            </w:pPr>
            <w:r>
              <w:rPr>
                <w:rFonts w:ascii="Arial" w:cs="Arial" w:eastAsia="Arial" w:hAnsi="Arial"/>
                <w:sz w:val="18"/>
                <w:szCs w:val="18"/>
                <w:color w:val="auto"/>
              </w:rPr>
              <w:t>to convertible units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income from continuing operations available to Limited Partners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Weighted average limited partner units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1,423.8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1,078.2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Dilutive effect of unconverted unit awards and ET Series A Convertible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Units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Dilutive effect of unvested unit awards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Weighted average limited partner units, assuming dilutive effect of unvested unit</w:t>
            </w:r>
          </w:p>
        </w:tc>
        <w:tc>
          <w:tcPr>
            <w:tcW w:w="3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2,637.6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1,461.4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awards</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160"/>
              <w:spacing w:after="0"/>
              <w:rPr>
                <w:sz w:val="20"/>
                <w:szCs w:val="20"/>
                <w:color w:val="auto"/>
              </w:rPr>
            </w:pPr>
            <w:r>
              <w:rPr>
                <w:rFonts w:ascii="Arial" w:cs="Arial" w:eastAsia="Arial" w:hAnsi="Arial"/>
                <w:sz w:val="18"/>
                <w:szCs w:val="18"/>
                <w:color w:val="auto"/>
              </w:rPr>
              <w:t>Diluted income from continuing operations per Limited Partner unit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loss from discontinued operations per Limited Partner unit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5160"/>
              <w:spacing w:after="0"/>
              <w:rPr>
                <w:sz w:val="20"/>
                <w:szCs w:val="20"/>
                <w:color w:val="auto"/>
              </w:rPr>
            </w:pPr>
            <w:r>
              <w:rPr>
                <w:rFonts w:ascii="Arial" w:cs="Arial" w:eastAsia="Arial" w:hAnsi="Arial"/>
                <w:sz w:val="18"/>
                <w:szCs w:val="18"/>
                <w:color w:val="auto"/>
              </w:rPr>
              <w:t>F - 32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8" w:right="63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OBLIGATIONS: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debt obligations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452120</wp:posOffset>
            </wp:positionV>
            <wp:extent cx="679196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extLst>
                    </a:blip>
                    <a:srcRect/>
                    <a:stretch>
                      <a:fillRect/>
                    </a:stretch>
                  </pic:blipFill>
                  <pic:spPr bwMode="auto">
                    <a:xfrm>
                      <a:off x="0" y="0"/>
                      <a:ext cx="67919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Parent Company Indebtedness: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7.50% Senior Notes due October 15, 2020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6985</wp:posOffset>
            </wp:positionV>
            <wp:extent cx="679196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4.25% Senior Notes due March 15, 2023</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5.875% Senior Notes due January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5.50% Senior Notes due June 1, 2027</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ET Senior Secured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Unamortized premiums, discounts and fair value adjustments, net</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6">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403860</wp:posOffset>
            </wp:positionV>
            <wp:extent cx="67919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7">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Subsidiary Indebtedness: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ETO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7919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9.70% Senior Notes due March 15, 2019</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9.00% Senior Notes due April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5.50% Senior Notes due February 15, 2020 </w:t>
      </w:r>
      <w:r>
        <w:rPr>
          <w:rFonts w:ascii="Arial" w:cs="Arial" w:eastAsia="Arial" w:hAnsi="Arial"/>
          <w:sz w:val="21"/>
          <w:szCs w:val="21"/>
          <w:color w:val="auto"/>
          <w:vertAlign w:val="superscript"/>
        </w:rPr>
        <w:t>(1)</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5.75% Senior Notes due September 1, 2020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679196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4.15% Senior Notes due October 1, 2020 </w:t>
      </w:r>
      <w:r>
        <w:rPr>
          <w:rFonts w:ascii="Arial" w:cs="Arial" w:eastAsia="Arial" w:hAnsi="Arial"/>
          <w:sz w:val="21"/>
          <w:szCs w:val="21"/>
          <w:color w:val="auto"/>
          <w:vertAlign w:val="superscript"/>
        </w:rPr>
        <w:t>(1)</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7.50% Senior Notes due October 15, 2020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679196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4.40% Senior Notes due April 1, 2021</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4.65% Senior Notes due June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2">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5.20% Senior Notes due February 1, 2022</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4.65% Senior Notes due 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3">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5.875% Senior Notes due March 1, 2022</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5.00% Senior Notes due October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3.45% Senior Notes due January 15, 2023</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3.60% Senior Notes due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5">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4.25% Senior Notes due March 15, 2023</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4.20% Senior Notes due September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6">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4.50% Senior Notes due November 1, 2023</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5.875% Senior Notes due January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7">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4.90% Senior Notes due February 1, 2024</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7.60% Senior Notes due February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8">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4.25% Senior Notes due April 1, 2024</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4.50% Senior Notes due April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9.00% Debentures due November 1, 2024</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4.05% Senior Notes due March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5.95% Senior Notes due December 1, 2025</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4.75% Senior Notes due January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3.90% Senior Notes due July 15, 2026</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4.20% Senior Notes due April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5.50% Senior Notes due June 1, 2027</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4.00% Senior Notes due October 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3">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4.95% Senior Notes due June 15, 2028</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5.25% Senior Notes due April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4">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8.25% Senior Notes due November 15, 2029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80" w:lineRule="exact"/>
        <w:rPr>
          <w:sz w:val="20"/>
          <w:szCs w:val="20"/>
          <w:color w:val="auto"/>
        </w:rPr>
      </w:pPr>
    </w:p>
    <w:p>
      <w:pPr>
        <w:ind w:left="520"/>
        <w:spacing w:after="0"/>
        <w:tabs>
          <w:tab w:leader="none" w:pos="2000" w:val="left"/>
        </w:tabs>
        <w:rPr>
          <w:sz w:val="20"/>
          <w:szCs w:val="20"/>
          <w:color w:val="auto"/>
        </w:rPr>
      </w:pPr>
      <w:r>
        <w:rPr>
          <w:rFonts w:ascii="Arial" w:cs="Arial" w:eastAsia="Arial" w:hAnsi="Arial"/>
          <w:sz w:val="16"/>
          <w:szCs w:val="16"/>
          <w:color w:val="auto"/>
        </w:rPr>
        <w:t>2019</w:t>
      </w:r>
      <w:r>
        <w:rPr>
          <w:sz w:val="20"/>
          <w:szCs w:val="20"/>
          <w:color w:val="auto"/>
        </w:rPr>
        <w:tab/>
      </w:r>
      <w:r>
        <w:rPr>
          <w:rFonts w:ascii="Arial" w:cs="Arial" w:eastAsia="Arial" w:hAnsi="Arial"/>
          <w:sz w:val="16"/>
          <w:szCs w:val="16"/>
          <w:color w:val="auto"/>
        </w:rPr>
        <w:t>2018</w:t>
      </w:r>
    </w:p>
    <w:p>
      <w:pPr>
        <w:spacing w:after="0" w:line="370" w:lineRule="exact"/>
        <w:rPr>
          <w:sz w:val="20"/>
          <w:szCs w:val="20"/>
          <w:color w:val="auto"/>
        </w:rPr>
      </w:pPr>
    </w:p>
    <w:p>
      <w:pPr>
        <w:ind w:left="20"/>
        <w:spacing w:after="0"/>
        <w:tabs>
          <w:tab w:leader="none" w:pos="1100" w:val="left"/>
          <w:tab w:leader="none" w:pos="1500" w:val="left"/>
          <w:tab w:leader="none" w:pos="2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1,187</w:t>
      </w:r>
    </w:p>
    <w:p>
      <w:pPr>
        <w:spacing w:after="0" w:line="86" w:lineRule="exact"/>
        <w:rPr>
          <w:sz w:val="20"/>
          <w:szCs w:val="20"/>
          <w:color w:val="auto"/>
        </w:rPr>
      </w:pPr>
    </w:p>
    <w:p>
      <w:pPr>
        <w:ind w:left="2400" w:hanging="1193"/>
        <w:spacing w:after="0"/>
        <w:tabs>
          <w:tab w:leader="none" w:pos="24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1,000</w:t>
      </w:r>
    </w:p>
    <w:p>
      <w:pPr>
        <w:spacing w:after="0" w:line="86"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720" w:type="dxa"/>
            <w:vAlign w:val="bottom"/>
          </w:tcPr>
          <w:p>
            <w:pPr>
              <w:jc w:val="right"/>
              <w:ind w:right="479"/>
              <w:spacing w:after="0"/>
              <w:rPr>
                <w:sz w:val="20"/>
                <w:szCs w:val="20"/>
                <w:color w:val="auto"/>
              </w:rPr>
            </w:pPr>
            <w:r>
              <w:rPr>
                <w:rFonts w:ascii="Arial" w:cs="Arial" w:eastAsia="Arial" w:hAnsi="Arial"/>
                <w:sz w:val="16"/>
                <w:szCs w:val="16"/>
                <w:color w:val="auto"/>
                <w:w w:val="78"/>
              </w:rPr>
              <w:t>23</w:t>
            </w:r>
          </w:p>
        </w:tc>
        <w:tc>
          <w:tcPr>
            <w:tcW w:w="94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70"/>
        </w:trPr>
        <w:tc>
          <w:tcPr>
            <w:tcW w:w="720" w:type="dxa"/>
            <w:vAlign w:val="bottom"/>
          </w:tcPr>
          <w:p>
            <w:pPr>
              <w:jc w:val="right"/>
              <w:ind w:right="479"/>
              <w:spacing w:after="0"/>
              <w:rPr>
                <w:sz w:val="20"/>
                <w:szCs w:val="20"/>
                <w:color w:val="auto"/>
              </w:rPr>
            </w:pPr>
            <w:r>
              <w:rPr>
                <w:rFonts w:ascii="Arial" w:cs="Arial" w:eastAsia="Arial" w:hAnsi="Arial"/>
                <w:sz w:val="16"/>
                <w:szCs w:val="16"/>
                <w:color w:val="auto"/>
                <w:w w:val="78"/>
              </w:rPr>
              <w:t>44</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6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1,220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38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5,520</w:t>
            </w: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206"/>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250</w:t>
            </w: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400</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1,050</w:t>
            </w:r>
          </w:p>
        </w:tc>
        <w:tc>
          <w:tcPr>
            <w:tcW w:w="94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1,135</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600</w:t>
            </w: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800</w:t>
            </w: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1,000</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300</w:t>
            </w: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900</w:t>
            </w:r>
          </w:p>
        </w:tc>
        <w:tc>
          <w:tcPr>
            <w:tcW w:w="940" w:type="dxa"/>
            <w:vAlign w:val="bottom"/>
          </w:tcPr>
          <w:p>
            <w:pPr>
              <w:jc w:val="right"/>
              <w:spacing w:after="0"/>
              <w:rPr>
                <w:sz w:val="20"/>
                <w:szCs w:val="20"/>
                <w:color w:val="auto"/>
              </w:rPr>
            </w:pPr>
            <w:r>
              <w:rPr>
                <w:rFonts w:ascii="Arial" w:cs="Arial" w:eastAsia="Arial" w:hAnsi="Arial"/>
                <w:sz w:val="16"/>
                <w:szCs w:val="16"/>
                <w:color w:val="auto"/>
              </w:rPr>
              <w:t>900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700</w:t>
            </w:r>
          </w:p>
        </w:tc>
        <w:tc>
          <w:tcPr>
            <w:tcW w:w="9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350</w:t>
            </w:r>
          </w:p>
        </w:tc>
        <w:tc>
          <w:tcPr>
            <w:tcW w:w="9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800</w:t>
            </w: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995</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500</w:t>
            </w: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600</w:t>
            </w: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1,127</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350</w:t>
            </w:r>
          </w:p>
        </w:tc>
        <w:tc>
          <w:tcPr>
            <w:tcW w:w="9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277</w:t>
            </w: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500</w:t>
            </w: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750</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65</w:t>
            </w: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1,000</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400</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1,000</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550</w:t>
            </w:r>
          </w:p>
        </w:tc>
        <w:tc>
          <w:tcPr>
            <w:tcW w:w="9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600</w:t>
            </w:r>
          </w:p>
        </w:tc>
        <w:tc>
          <w:tcPr>
            <w:tcW w:w="9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956</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750</w:t>
            </w: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1,000</w:t>
            </w: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w w:val="84"/>
              </w:rPr>
              <w:t>1,500</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20" w:type="dxa"/>
            <w:vAlign w:val="bottom"/>
          </w:tcPr>
          <w:p>
            <w:pPr>
              <w:jc w:val="right"/>
              <w:ind w:right="479"/>
              <w:spacing w:after="0"/>
              <w:rPr>
                <w:sz w:val="20"/>
                <w:szCs w:val="20"/>
                <w:color w:val="auto"/>
              </w:rPr>
            </w:pPr>
            <w:r>
              <w:rPr>
                <w:rFonts w:ascii="Arial" w:cs="Arial" w:eastAsia="Arial" w:hAnsi="Arial"/>
                <w:sz w:val="16"/>
                <w:szCs w:val="16"/>
                <w:color w:val="auto"/>
              </w:rPr>
              <w:t>267</w:t>
            </w: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r>
    </w:tbl>
    <w:p>
      <w:pPr>
        <w:spacing w:after="0" w:line="200" w:lineRule="exact"/>
        <w:rPr>
          <w:sz w:val="20"/>
          <w:szCs w:val="20"/>
          <w:color w:val="auto"/>
        </w:rPr>
      </w:pPr>
    </w:p>
    <w:p>
      <w:pPr>
        <w:sectPr>
          <w:pgSz w:w="11900" w:h="16838" w:orient="portrait"/>
          <w:cols w:equalWidth="0" w:num="2">
            <w:col w:w="7440" w:space="720"/>
            <w:col w:w="2860"/>
          </w:cols>
          <w:pgMar w:left="240" w:top="118" w:right="639" w:bottom="1440" w:gutter="0" w:footer="0" w:header="0"/>
        </w:sectPr>
      </w:pP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F - 33</w:t>
      </w:r>
    </w:p>
    <w:p>
      <w:pPr>
        <w:sectPr>
          <w:pgSz w:w="11900" w:h="16838" w:orient="portrait"/>
          <w:cols w:equalWidth="0" w:num="1">
            <w:col w:w="11020"/>
          </w:cols>
          <w:pgMar w:left="240" w:top="118" w:right="639" w:bottom="1440" w:gutter="0" w:footer="0" w:header="0"/>
          <w:type w:val="continuous"/>
        </w:sectPr>
      </w:pPr>
    </w:p>
    <w:bookmarkStart w:id="199" w:name="page200"/>
    <w:bookmarkEnd w:id="199"/>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2"/>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7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595"/>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4.90%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March 15, 2035</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6.625% Senior Notes due October 15, 2036</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5.80%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June 15, 2038</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7.50%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July 1, 2038</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6.85%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February 15, 2040</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6.05%</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June 1, 2041</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6.50%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February 1, 2042</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6.10%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February 15, 2042</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4.95%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January 15, 2043</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5.15%</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February 1, 2043</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5.95%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October 1, 2043</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5.30%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April 1, 2044</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5.15%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March 15, 2045</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5.35%</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May 15, 2045</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37"/>
        </w:trPr>
        <w:tc>
          <w:tcPr>
            <w:tcW w:w="340" w:type="dxa"/>
            <w:vAlign w:val="bottom"/>
          </w:tcPr>
          <w:p>
            <w:pPr>
              <w:spacing w:after="0"/>
              <w:rPr>
                <w:sz w:val="20"/>
                <w:szCs w:val="20"/>
                <w:color w:val="auto"/>
              </w:rPr>
            </w:pPr>
          </w:p>
        </w:tc>
        <w:tc>
          <w:tcPr>
            <w:tcW w:w="7820" w:type="dxa"/>
            <w:vAlign w:val="bottom"/>
            <w:gridSpan w:val="2"/>
          </w:tcPr>
          <w:p>
            <w:pPr>
              <w:ind w:left="320"/>
              <w:spacing w:after="0"/>
              <w:rPr>
                <w:sz w:val="20"/>
                <w:szCs w:val="20"/>
                <w:color w:val="auto"/>
              </w:rPr>
            </w:pPr>
            <w:r>
              <w:rPr>
                <w:rFonts w:ascii="Arial" w:cs="Arial" w:eastAsia="Arial" w:hAnsi="Arial"/>
                <w:sz w:val="16"/>
                <w:szCs w:val="16"/>
                <w:color w:val="auto"/>
              </w:rPr>
              <w:t>6.125% Senior Notes due December 15, 2045</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5.30%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April 15, 2047</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5.40%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October 1, 2047</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6.00%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June 15, 2048</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6.25%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April 15, 2049</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Floating Rate Junior Subordinated Notes due November 1, 2066</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37"/>
        </w:trPr>
        <w:tc>
          <w:tcPr>
            <w:tcW w:w="340" w:type="dxa"/>
            <w:vAlign w:val="bottom"/>
          </w:tcPr>
          <w:p>
            <w:pPr>
              <w:spacing w:after="0"/>
              <w:rPr>
                <w:sz w:val="20"/>
                <w:szCs w:val="20"/>
                <w:color w:val="auto"/>
              </w:rPr>
            </w:pPr>
          </w:p>
        </w:tc>
        <w:tc>
          <w:tcPr>
            <w:tcW w:w="7820" w:type="dxa"/>
            <w:vAlign w:val="bottom"/>
            <w:gridSpan w:val="2"/>
          </w:tcPr>
          <w:p>
            <w:pPr>
              <w:ind w:left="320"/>
              <w:spacing w:after="0"/>
              <w:rPr>
                <w:sz w:val="20"/>
                <w:szCs w:val="20"/>
                <w:color w:val="auto"/>
              </w:rPr>
            </w:pPr>
            <w:r>
              <w:rPr>
                <w:rFonts w:ascii="Arial" w:cs="Arial" w:eastAsia="Arial" w:hAnsi="Arial"/>
                <w:sz w:val="16"/>
                <w:szCs w:val="16"/>
                <w:color w:val="auto"/>
              </w:rPr>
              <w:t>ETO $2.00 billion Term Loan facility due October 2022</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ETO $5.00 billion Revolving Credit Facility due December 2023</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3,694</w:t>
            </w:r>
          </w:p>
        </w:tc>
      </w:tr>
      <w:tr>
        <w:trPr>
          <w:trHeight w:val="237"/>
        </w:trPr>
        <w:tc>
          <w:tcPr>
            <w:tcW w:w="340" w:type="dxa"/>
            <w:vAlign w:val="bottom"/>
          </w:tcPr>
          <w:p>
            <w:pPr>
              <w:spacing w:after="0"/>
              <w:rPr>
                <w:sz w:val="20"/>
                <w:szCs w:val="20"/>
                <w:color w:val="auto"/>
              </w:rPr>
            </w:pPr>
          </w:p>
        </w:tc>
        <w:tc>
          <w:tcPr>
            <w:tcW w:w="7820" w:type="dxa"/>
            <w:vAlign w:val="bottom"/>
            <w:gridSpan w:val="2"/>
          </w:tcPr>
          <w:p>
            <w:pPr>
              <w:ind w:left="320"/>
              <w:spacing w:after="0"/>
              <w:rPr>
                <w:sz w:val="20"/>
                <w:szCs w:val="20"/>
                <w:color w:val="auto"/>
              </w:rPr>
            </w:pPr>
            <w:r>
              <w:rPr>
                <w:rFonts w:ascii="Arial" w:cs="Arial" w:eastAsia="Arial" w:hAnsi="Arial"/>
                <w:sz w:val="16"/>
                <w:szCs w:val="16"/>
                <w:color w:val="auto"/>
              </w:rPr>
              <w:t>Unamortized premiums, discounts and fair value adjustments, net</w:t>
            </w:r>
          </w:p>
        </w:tc>
        <w:tc>
          <w:tcPr>
            <w:tcW w:w="14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7"/>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42,120</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32,288</w:t>
            </w:r>
          </w:p>
        </w:tc>
      </w:tr>
      <w:tr>
        <w:trPr>
          <w:trHeight w:val="33"/>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34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340" w:type="dxa"/>
            <w:vAlign w:val="bottom"/>
          </w:tcPr>
          <w:p>
            <w:pPr>
              <w:spacing w:after="0"/>
              <w:rPr>
                <w:sz w:val="20"/>
                <w:szCs w:val="20"/>
                <w:color w:val="auto"/>
              </w:rPr>
            </w:pPr>
          </w:p>
        </w:tc>
        <w:tc>
          <w:tcPr>
            <w:tcW w:w="7820" w:type="dxa"/>
            <w:vAlign w:val="bottom"/>
            <w:gridSpan w:val="2"/>
          </w:tcPr>
          <w:p>
            <w:pPr>
              <w:ind w:left="180"/>
              <w:spacing w:after="0"/>
              <w:rPr>
                <w:sz w:val="20"/>
                <w:szCs w:val="20"/>
                <w:color w:val="auto"/>
              </w:rPr>
            </w:pPr>
            <w:r>
              <w:rPr>
                <w:rFonts w:ascii="Arial" w:cs="Arial" w:eastAsia="Arial" w:hAnsi="Arial"/>
                <w:sz w:val="16"/>
                <w:szCs w:val="16"/>
                <w:b w:val="1"/>
                <w:bCs w:val="1"/>
                <w:i w:val="1"/>
                <w:iCs w:val="1"/>
                <w:color w:val="auto"/>
              </w:rPr>
              <w:t>Transwestern Debt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7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2"/>
              </w:rPr>
              <w:t>5.36%</w:t>
            </w:r>
          </w:p>
        </w:tc>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Senior Notes due December 9, 2020 </w:t>
            </w:r>
            <w:r>
              <w:rPr>
                <w:rFonts w:ascii="Arial" w:cs="Arial" w:eastAsia="Arial" w:hAnsi="Arial"/>
                <w:sz w:val="21"/>
                <w:szCs w:val="21"/>
                <w:color w:val="auto"/>
                <w:vertAlign w:val="superscript"/>
              </w:rPr>
              <w:t>(1)</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5.89%</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May 24, 2022</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5.66%</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December 9, 2024</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6.16%</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May 24, 2037</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w:t>
            </w:r>
          </w:p>
        </w:tc>
      </w:tr>
      <w:tr>
        <w:trPr>
          <w:trHeight w:val="33"/>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340" w:type="dxa"/>
            <w:vAlign w:val="bottom"/>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340" w:type="dxa"/>
            <w:vAlign w:val="bottom"/>
          </w:tcPr>
          <w:p>
            <w:pPr>
              <w:spacing w:after="0"/>
              <w:rPr>
                <w:sz w:val="20"/>
                <w:szCs w:val="20"/>
                <w:color w:val="auto"/>
              </w:rPr>
            </w:pPr>
          </w:p>
        </w:tc>
        <w:tc>
          <w:tcPr>
            <w:tcW w:w="7820" w:type="dxa"/>
            <w:vAlign w:val="bottom"/>
            <w:gridSpan w:val="2"/>
          </w:tcPr>
          <w:p>
            <w:pPr>
              <w:ind w:left="180"/>
              <w:spacing w:after="0"/>
              <w:rPr>
                <w:sz w:val="20"/>
                <w:szCs w:val="20"/>
                <w:color w:val="auto"/>
              </w:rPr>
            </w:pPr>
            <w:r>
              <w:rPr>
                <w:rFonts w:ascii="Arial" w:cs="Arial" w:eastAsia="Arial" w:hAnsi="Arial"/>
                <w:sz w:val="16"/>
                <w:szCs w:val="16"/>
                <w:b w:val="1"/>
                <w:bCs w:val="1"/>
                <w:i w:val="1"/>
                <w:iCs w:val="1"/>
                <w:color w:val="auto"/>
              </w:rPr>
              <w:t>Panhandle Debt</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8.125% Senior Notes due June 1, 2019</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7.60%</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February 1, 2024</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1100" w:type="dxa"/>
            <w:vAlign w:val="bottom"/>
            <w:gridSpan w:val="2"/>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2"/>
              </w:rPr>
              <w:t>7.00%</w:t>
            </w: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due July 15, 2029</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1100" w:type="dxa"/>
            <w:vAlign w:val="bottom"/>
            <w:gridSpan w:val="2"/>
          </w:tcPr>
          <w:p>
            <w:pPr>
              <w:ind w:left="660"/>
              <w:spacing w:after="0"/>
              <w:rPr>
                <w:sz w:val="20"/>
                <w:szCs w:val="20"/>
                <w:color w:val="auto"/>
              </w:rPr>
            </w:pPr>
            <w:r>
              <w:rPr>
                <w:rFonts w:ascii="Arial" w:cs="Arial" w:eastAsia="Arial" w:hAnsi="Arial"/>
                <w:sz w:val="16"/>
                <w:szCs w:val="16"/>
                <w:color w:val="auto"/>
                <w:w w:val="92"/>
              </w:rPr>
              <w:t>8.25%</w:t>
            </w:r>
          </w:p>
        </w:tc>
        <w:tc>
          <w:tcPr>
            <w:tcW w:w="7060" w:type="dxa"/>
            <w:vAlign w:val="bottom"/>
          </w:tcPr>
          <w:p>
            <w:pPr>
              <w:ind w:left="20"/>
              <w:spacing w:after="0"/>
              <w:rPr>
                <w:sz w:val="20"/>
                <w:szCs w:val="20"/>
                <w:color w:val="auto"/>
              </w:rPr>
            </w:pPr>
            <w:r>
              <w:rPr>
                <w:rFonts w:ascii="Arial" w:cs="Arial" w:eastAsia="Arial" w:hAnsi="Arial"/>
                <w:sz w:val="16"/>
                <w:szCs w:val="16"/>
                <w:color w:val="auto"/>
              </w:rPr>
              <w:t>Senior Notes due November 15, 2029</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Floating Rate Junior Subordinated Notes due November 1, 2066</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340" w:type="dxa"/>
            <w:vAlign w:val="bottom"/>
          </w:tcPr>
          <w:p>
            <w:pPr>
              <w:spacing w:after="0"/>
              <w:rPr>
                <w:sz w:val="20"/>
                <w:szCs w:val="20"/>
                <w:color w:val="auto"/>
              </w:rPr>
            </w:pPr>
          </w:p>
        </w:tc>
        <w:tc>
          <w:tcPr>
            <w:tcW w:w="7820" w:type="dxa"/>
            <w:vAlign w:val="bottom"/>
            <w:gridSpan w:val="2"/>
          </w:tcPr>
          <w:p>
            <w:pPr>
              <w:ind w:left="320"/>
              <w:spacing w:after="0"/>
              <w:rPr>
                <w:sz w:val="20"/>
                <w:szCs w:val="20"/>
                <w:color w:val="auto"/>
              </w:rPr>
            </w:pPr>
            <w:r>
              <w:rPr>
                <w:rFonts w:ascii="Arial" w:cs="Arial" w:eastAsia="Arial" w:hAnsi="Arial"/>
                <w:sz w:val="16"/>
                <w:szCs w:val="16"/>
                <w:color w:val="auto"/>
              </w:rPr>
              <w:t>Unamortized premiums, discounts and fair value adjustments, net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340" w:type="dxa"/>
            <w:vAlign w:val="bottom"/>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020"/>
          </w:cols>
          <w:pgMar w:left="240" w:top="114" w:right="639" w:bottom="1440" w:gutter="0" w:footer="0" w:header="0"/>
        </w:sectPr>
      </w:pPr>
    </w:p>
    <w:bookmarkStart w:id="200" w:name="page201"/>
    <w:bookmarkEnd w:id="20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Bakken Project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79196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6">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3.625% Senior Notes due April 1, 2022</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3.90% Senior Notes due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7">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4.625% Senior Notes due April 1, 2029</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Bakken $2.50 billion Credit Facility due August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8">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Unamortized premiums, discounts and fair value adjustments, net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403860</wp:posOffset>
            </wp:positionV>
            <wp:extent cx="679196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Sunoco LP Debt</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4.875% Senior Notes Due January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5.50% Senior Notes Due February 15, 2026</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6.00% Senior Notes Due April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2">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5.875% Senior Notes Due March 15, 2028</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Sunoco LP $1.50 billion Revolving Credit Facility due July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50800</wp:posOffset>
            </wp:positionV>
            <wp:extent cx="679196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3">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Lease-related obligations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4">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403860</wp:posOffset>
            </wp:positionV>
            <wp:extent cx="679196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5">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USAC Debt</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6.875% Senior Notes due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6">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6.875% Senior Notes due September 1, 2027</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USAC $1.60 billion Revolving Credit Facility due April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7">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215265</wp:posOffset>
            </wp:positionV>
            <wp:extent cx="679196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8">
                      <a:extLst>
                        <a:ext uri="{28A0092B-C50C-407E-A947-70E740481C1C}"/>
                      </a:extLst>
                    </a:blip>
                    <a:srcRect/>
                    <a:stretch>
                      <a:fillRect/>
                    </a:stretch>
                  </pic:blipFill>
                  <pic:spPr bwMode="auto">
                    <a:xfrm>
                      <a:off x="0" y="0"/>
                      <a:ext cx="679196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SemGroup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79196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HFOTCO Tax Exempt Notes due 2050</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SemCAMS Revolver due February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SemCAMS Term Loan A due February 25, 2024</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Unamortized premiums, discounts and fair value adjustments,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58420</wp:posOffset>
            </wp:positionV>
            <wp:extent cx="679196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215265</wp:posOffset>
            </wp:positionV>
            <wp:extent cx="679196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2">
                      <a:extLst>
                        <a:ext uri="{28A0092B-C50C-407E-A947-70E740481C1C}"/>
                      </a:extLst>
                    </a:blip>
                    <a:srcRect/>
                    <a:stretch>
                      <a:fillRect/>
                    </a:stretch>
                  </pic:blipFill>
                  <pic:spPr bwMode="auto">
                    <a:xfrm>
                      <a:off x="0" y="0"/>
                      <a:ext cx="679196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3">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Less: 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43815</wp:posOffset>
            </wp:positionV>
            <wp:extent cx="679196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4">
                      <a:extLst>
                        <a:ext uri="{28A0092B-C50C-407E-A947-70E740481C1C}"/>
                      </a:extLst>
                    </a:blip>
                    <a:srcRect/>
                    <a:stretch>
                      <a:fillRect/>
                    </a:stretch>
                  </pic:blipFill>
                  <pic:spPr bwMode="auto">
                    <a:xfrm>
                      <a:off x="0" y="0"/>
                      <a:ext cx="6791960" cy="18034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Long-term debt, less current maturities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70"/>
        </w:trPr>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2,481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2,497</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84"/>
        </w:trPr>
        <w:tc>
          <w:tcPr>
            <w:tcW w:w="48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70"/>
        </w:trPr>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2,984</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84"/>
        </w:trPr>
        <w:tc>
          <w:tcPr>
            <w:tcW w:w="48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1,050</w:t>
            </w:r>
          </w:p>
        </w:tc>
      </w:tr>
      <w:tr>
        <w:trPr>
          <w:trHeight w:val="270"/>
        </w:trPr>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1,759</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84"/>
        </w:trPr>
        <w:tc>
          <w:tcPr>
            <w:tcW w:w="48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14"/>
        </w:trPr>
        <w:tc>
          <w:tcPr>
            <w:tcW w:w="48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51,054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46,028</w:t>
            </w:r>
          </w:p>
        </w:tc>
      </w:tr>
      <w:tr>
        <w:trPr>
          <w:trHeight w:val="270"/>
        </w:trPr>
        <w:tc>
          <w:tcPr>
            <w:tcW w:w="4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2,655</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51,028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43,373</w:t>
            </w:r>
          </w:p>
        </w:tc>
      </w:tr>
      <w:tr>
        <w:trPr>
          <w:trHeight w:val="33"/>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40" w:space="720"/>
            <w:col w:w="3260"/>
          </w:cols>
          <w:pgMar w:left="240" w:top="118" w:right="239" w:bottom="1440" w:gutter="0" w:footer="0" w:header="0"/>
          <w:type w:val="continuous"/>
        </w:sectPr>
      </w:pPr>
    </w:p>
    <w:p>
      <w:pPr>
        <w:spacing w:after="0" w:line="110" w:lineRule="exact"/>
        <w:rPr>
          <w:sz w:val="20"/>
          <w:szCs w:val="20"/>
          <w:color w:val="auto"/>
        </w:rPr>
      </w:pPr>
    </w:p>
    <w:p>
      <w:pPr>
        <w:ind w:left="660" w:hanging="328"/>
        <w:spacing w:after="0" w:line="216" w:lineRule="auto"/>
        <w:tabs>
          <w:tab w:leader="none" w:pos="660" w:val="left"/>
        </w:tabs>
        <w:numPr>
          <w:ilvl w:val="0"/>
          <w:numId w:val="153"/>
        </w:numPr>
        <w:rPr>
          <w:rFonts w:ascii="Arial" w:cs="Arial" w:eastAsia="Arial" w:hAnsi="Arial"/>
          <w:sz w:val="25"/>
          <w:szCs w:val="25"/>
          <w:color w:val="auto"/>
          <w:vertAlign w:val="superscript"/>
        </w:rPr>
      </w:pPr>
      <w:r>
        <w:rPr>
          <w:rFonts w:ascii="Arial" w:cs="Arial" w:eastAsia="Arial" w:hAnsi="Arial"/>
          <w:sz w:val="18"/>
          <w:szCs w:val="18"/>
          <w:color w:val="auto"/>
        </w:rPr>
        <w:t>As of December 31, 2019, these notes were classified as long-term as management had the intent and ability to refinance the borrowings on a long-term basis. The notes were redeemed in January 2020.</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118" w:right="239" w:bottom="1440" w:gutter="0" w:footer="0" w:header="0"/>
          <w:type w:val="continuous"/>
        </w:sectPr>
      </w:pPr>
    </w:p>
    <w:bookmarkStart w:id="201" w:name="page202"/>
    <w:bookmarkEnd w:id="2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following table reflects future maturities of long-term debt for each of the next five years and thereafter. These amounts exclude $279 million in unamortized premiums, fair value adjustments and deferred debt issuance costs, net:</w:t>
      </w:r>
    </w:p>
    <w:p>
      <w:pPr>
        <w:spacing w:after="0" w:line="266"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7"/>
        </w:trPr>
        <w:tc>
          <w:tcPr>
            <w:tcW w:w="9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8,965</w:t>
            </w:r>
          </w:p>
        </w:tc>
      </w:tr>
      <w:tr>
        <w:trPr>
          <w:trHeight w:val="27"/>
        </w:trPr>
        <w:tc>
          <w:tcPr>
            <w:tcW w:w="9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r>
      <w:tr>
        <w:trPr>
          <w:trHeight w:val="243"/>
        </w:trPr>
        <w:tc>
          <w:tcPr>
            <w:tcW w:w="9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27,366</w:t>
            </w:r>
          </w:p>
        </w:tc>
      </w:tr>
      <w:tr>
        <w:trPr>
          <w:trHeight w:val="27"/>
        </w:trPr>
        <w:tc>
          <w:tcPr>
            <w:tcW w:w="9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51,329</w:t>
            </w:r>
          </w:p>
        </w:tc>
      </w:tr>
      <w:tr>
        <w:trPr>
          <w:trHeight w:val="20"/>
        </w:trPr>
        <w:tc>
          <w:tcPr>
            <w:tcW w:w="9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Long-term debt reflected on our consolidated balance sheets includes fair value adjustments related to interest rate swaps, which represent fair value adjustments that had been recorded in connection with fair value hedge accounting prior to the termination of the interest rate swap.</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Notes and Debentures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Senior Notes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ET Senior Notes are the Parent Company’s senior obligations, ranking equally in right of payment with our other existing and future unsubordinated debt and senior to any of its future subordinated debt. The Parent Company’s obligations under the ET Senior Notes previously were secured on a first-priority basis with its obligations under the Revolver Credit Agreement and the ET Term Loan Facility, by a lien on substantially all of the Parent Company’s and certain of its subsidiaries’ tangible and intangible assets, subject to certain exceptions and permitted liens. Subsequent to the termination of the Revolver Credit Agreement and the ET Term Loan Facility, the collateral securing the ET Senior Notes was released. The ET Senior Notes are not guaranteed by any of the Parent Company’s subsidiaries.</w:t>
      </w:r>
    </w:p>
    <w:p>
      <w:pPr>
        <w:spacing w:after="0" w:line="1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covenants related to the ET Senior Notes include a limitation on liens, a limitation on transactions with affiliates, a restriction on sale-leaseback transactions and limitations on mergers and sales of all or substantially all of the Parent Company’s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Senior Notes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ETO senior notes were registered under the Securities Act of 1933 (as amended). The Partnership may redeem some or all of the ETO senior notes at any time, or from time to time, pursuant to the terms of the indenture and related indenture supplements related to the ETO senior notes. The balance is payable upon maturity. Interest on the ETO senior notes is paid semi-annually.</w:t>
      </w:r>
    </w:p>
    <w:p>
      <w:pPr>
        <w:spacing w:after="0" w:line="12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ETO senior notes are unsecured obligations of the Partnership and as a result, the ETO senior notes effectively rank junior to any future indebtedness of ours or our subsidiaries that is both secured and unsubordinated to the extent of the value of the assets securing such indebtedness, and the ETO senior notes effectively rank junior to all indebtedness and other liabilities of our existing and future subsidiaries.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On January 22, 2020, ETO completed a registered offering (the “January 2020 Senior Notes Offering”) of $1 billion aggregate principal amount of ETO’s 2.900% Senior Notes due 2025, $1.5 billion aggregate principal amount of ETO’s 3.750% Senior Notes due 2030, and $2 billion aggregate principal amount of ETO’s 5.000% Senior Notes due 2050, (collectively, the “Notes”). The Notes are fully and unconditionally guaranteed by the Partnership’s wholly-owned subsidiary, Sunoco Logistics Partners Operations L.P., on a senior unsecured basis.</w:t>
      </w:r>
    </w:p>
    <w:p>
      <w:pPr>
        <w:spacing w:after="0" w:line="11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 amount of 5.50% Senior Notes due February 15, 2020, ET’s $52 million aggregate principal amount of 7.50% Senior Notes due October 15, 2020 and Transwestern’s $175 million aggregate principal amount of 5.36% Senior Notes due December 9,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1420"/>
          </w:cols>
          <w:pgMar w:left="240" w:top="118" w:right="23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ET-ETO Senior Notes Exchange</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In February 2019, ETO commenced offers to exchange all of ET’s outstanding senior notes for senior notes issued by ETO (the “ET-ETO senior notes exchange”). Approximately 97% of ET’s outstanding senior notes were tendered and accepted, and substantially all the exchanges settled on March 25, 2019. In connection with the exchange, ETO issued $4.21 billion aggregate principal amount of the following senior notes:</w:t>
      </w:r>
    </w:p>
    <w:p>
      <w:pPr>
        <w:spacing w:after="0" w:line="57" w:lineRule="exact"/>
        <w:rPr>
          <w:sz w:val="20"/>
          <w:szCs w:val="20"/>
          <w:color w:val="auto"/>
        </w:rPr>
      </w:pPr>
    </w:p>
    <w:p>
      <w:pPr>
        <w:ind w:left="720" w:hanging="388"/>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$1.14 billion aggregate principal amount of 7.50% senior notes due 2020;</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$995 million aggregate principal amount of 4.25% senior notes due 2023;</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$1.13 billion aggregate principal amount of 5.875% senior notes due 2024; and</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$956 million aggregate principal amount of 5.50% senior notes due 2027.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2019 ETO Senior Notes Offering and Redemption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2019, ETO issued the following senior notes:</w:t>
      </w:r>
    </w:p>
    <w:p>
      <w:pPr>
        <w:spacing w:after="0" w:line="117" w:lineRule="exact"/>
        <w:rPr>
          <w:sz w:val="20"/>
          <w:szCs w:val="20"/>
          <w:color w:val="auto"/>
        </w:rPr>
      </w:pPr>
    </w:p>
    <w:p>
      <w:pPr>
        <w:ind w:left="720" w:hanging="388"/>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$750 million aggregate principal amount of 4.50% senior notes due 2024;</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$1.50 billion aggregate principal amount of 5.25% senior notes due 2029; and</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$1.75 billion aggregate principal amount of 6.25% senior notes due 2049.</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$3.96 billion net proceeds from the offering were used to make an intercompany loan to ET (which ET used to repay its term loan in full), for general partnership purposes and to redeem at maturity all of the following:</w:t>
      </w:r>
    </w:p>
    <w:p>
      <w:pPr>
        <w:spacing w:after="0" w:line="62" w:lineRule="exact"/>
        <w:rPr>
          <w:sz w:val="20"/>
          <w:szCs w:val="20"/>
          <w:color w:val="auto"/>
        </w:rPr>
      </w:pPr>
    </w:p>
    <w:p>
      <w:pPr>
        <w:ind w:left="720" w:hanging="388"/>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ETO’s $400 million aggregate principal amount of 9.70% senior notes due March 15, 2019;</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ETO’s $450 million aggregate principal amount of 9.00% senior notes due April 15, 2019; and</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Panhandle’s $150 million aggregate principal amount of 8.125% senior notes due June 1,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Panhandle Senior Notes Redemption</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 June 2019, Panhandle’s $150 million aggregate principal amount of 8.125% senior notes matured and were repaid with borrowings under an affiliate loan agreement with ETO.</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Bakken Senior Notes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March 2019, Midwest Connector Capital Company LLC, a wholly-owned subsidiary of Dakota Access, issued the following senior notes related to the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Bakken pipeline:</w:t>
      </w:r>
    </w:p>
    <w:p>
      <w:pPr>
        <w:spacing w:after="0" w:line="103" w:lineRule="exact"/>
        <w:rPr>
          <w:sz w:val="20"/>
          <w:szCs w:val="20"/>
          <w:color w:val="auto"/>
        </w:rPr>
      </w:pPr>
    </w:p>
    <w:p>
      <w:pPr>
        <w:ind w:left="720" w:hanging="388"/>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$650 million aggregate principal amount of 3.625% senior notes due 2022;</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$1.00 billion aggregate principal amount of 3.90% senior notes due 2024; and</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$850 million aggregate principal amount of 4.625% senior notes due 2029.</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$2.48 billion in net proceeds from the offering were used to repay in full all amounts outstanding on the Bakken credit facility and the facility was terminated.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Senior Notes Offering</w:t>
      </w:r>
    </w:p>
    <w:p>
      <w:pPr>
        <w:spacing w:after="0" w:line="3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March 2019, Sunoco LP issued $600 million aggregate principal amount of 6.00% senior notes due 2027 in a private placement to eligible purchasers. The net proceeds from this offering were used to repay a portion of Sunoco LP’s existing borrowings under its credit facility. In July 2019, Sunoco LP completed an exchange of these notes for registered notes with substantially identical terms.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Senior Notes</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In March 2019, USAC issued $750 million aggregate principal amount of 6.875% senior notes due 2027 in a private placement, and in December 2019, USAC exchanged those notes for substantially identical senior notes registered under the Securities Act. The net proceeds from this offering were used to repay a portion of USAC’s existing borrowings under its credit facility and for general partnership purposes.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18" w:right="23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Transwestern Senior Notes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Transwestern senior notes are redeemable at any time in whole or pro rata, subject to a premium or upon a change of control event or an event of default, as defined. The balance is payable upon maturity. Interest is paid semi-annually.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Term Loans, Credit Facilities and Commercial Paper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Term Loan Facility</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February 2, 2017, the Partnership entered into a Senior Secured Term Loan Agreement (the “Term Credit Agreement”) with Credit Suisse AG, Cayman Islands Branch, as administrative agent, and the other lenders party thereto. The Term Credit Agreement had a scheduled maturity date of February 2, 2024, with an option for the Parent Company to extend the term subject to the terms and conditions set forth therein. The Term Credit Agreement contained an accordion feature, under which the total commitments may be increased, subject to the terms thereof. In connection with the Parent Company’s entry into the Senior Secured Term Loan Agreement on February 2, 2017, the Parent Company terminated its previous term loan agreements.</w:t>
      </w:r>
    </w:p>
    <w:p>
      <w:pPr>
        <w:spacing w:after="0" w:line="13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Pursuant to the Term Credit Agreement, the Term Lenders provided senior secured financing in an aggregate principal amount of $2.2 billion (the “Term Loan Facility”). Under the Term Credit Agreement, the obligations of the Parent Company were secured by a lien on substantially all of the Parent Company’s and certain of its subsidiaries’ tangible and intangible assets.</w:t>
      </w:r>
    </w:p>
    <w:p>
      <w:pPr>
        <w:spacing w:after="0" w:line="12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Interest accrued on advances at a LIBOR rate or a base rate, based on the election of the Parent Company for each interest period, plus an applicable margin.</w:t>
      </w:r>
    </w:p>
    <w:p>
      <w:pPr>
        <w:spacing w:after="0" w:line="6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January 15, 2019, Energy Transfer LP paid in full all outstanding borrowings under its Senior Secured Term Loan Agreement and thereafter terminated the term loan agreement. In connection with the termination of the term loan agreement, the collateral securing certain series of the Partnership’s outstanding senior notes was released in accordance with the terms of the applicable indentures governing such senior notes.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Term Loan</w:t>
      </w:r>
    </w:p>
    <w:p>
      <w:pPr>
        <w:spacing w:after="0" w:line="17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On October 17, 2019, ETO entered into a term loan credit agreement (the “ETO Term Loan”) providing for a $2.00 billion three-year term loan credit facility. Borrowings under the term loan agreement mature on October 17, 2022 and are available for working capital purposes and for general partnership purposes. The term loan agreement is unsecured and is guaranteed by our subsidiary, Sunoco Logistics Partners Operations L.P.</w:t>
      </w:r>
    </w:p>
    <w:p>
      <w:pPr>
        <w:spacing w:after="0" w:line="3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2019, the ETO Term Loan had $2.00 billion outstanding and was fully drawn. The weighted average interest rate on the total amount outstanding as of December 31, 2019 was 2.78%.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Five-Year Credit Facility</w:t>
      </w:r>
    </w:p>
    <w:p>
      <w:pPr>
        <w:spacing w:after="0" w:line="171"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ETO’s revolving credit facility (the “ETO Five-Year Credit Facility”) allows for unsecured borrowings up to $5.00 billion and matures on December 1, 2023. The ETO Five-Year Credit Facility contains an accordion feature, under which the total aggregate commitment may be increased up to $6.00 billion under certain conditions.</w:t>
      </w:r>
    </w:p>
    <w:p>
      <w:pPr>
        <w:spacing w:after="0" w:line="12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2019, the ETO Five-Year Credit Facility had $4.21 billion outstanding, of which $1.64 billion was commercial paper. The amount available for future borrowings was $709 million after taking into account letters of credit of $77 million. The weighted average interest rate on the total amount outstanding as of December 31, 2019 was 2.88%.</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364-Day Facility</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ETO’s 364-day revolving credit facility (the “ETO 364-Day Facility”) allows for unsecured borrowings up to $1.00 billion and matures on November 27, 2020. As of December 31, 2019, the ETO 364-Day Facility had no outstanding borrowings.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Sunoco LP maintains a $1.50 billion revolving credit facility (the “Sunoco LP Credit Facility”). As of December 31, 2019, the Sunoco LP Credit Facility had $162 million outstanding borrowings and $8 million in standby letters of credit. The amount available for future borrowings was $1.33 billion at December 31, 2019. The weighted average interest rate on the total amount outstanding as of December 31, 2019 was 3.75%.</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USAC maintains a $1.60 billion revolving credit facility (the “USAC Credit Facility”), which matures on April 2, 2023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18" w:right="23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permits up to $400 million of future increases in borrowing capacity. As of December 31, 2019, USAC had $403 million of outstanding borrowings and no outstanding letters of credit under the credit agreement. As of December 31, 2019, USAC had $1.2 billion of availability under its credit facility. The weighted average interest rate on the total amount outstanding as of December 31, 2019 was 4.31%.</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SemCAMS Credit Facilities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212529"/>
        </w:rPr>
        <w:t xml:space="preserve">SemCAMS is party to a credit agreement providing for a C$350 million (US$270 million at the </w:t>
      </w:r>
      <w:r>
        <w:rPr>
          <w:rFonts w:ascii="Arial" w:cs="Arial" w:eastAsia="Arial" w:hAnsi="Arial"/>
          <w:sz w:val="18"/>
          <w:szCs w:val="18"/>
          <w:color w:val="000000"/>
        </w:rPr>
        <w:t>December 31, 2019</w:t>
      </w:r>
      <w:r>
        <w:rPr>
          <w:rFonts w:ascii="Arial" w:cs="Arial" w:eastAsia="Arial" w:hAnsi="Arial"/>
          <w:sz w:val="18"/>
          <w:szCs w:val="18"/>
          <w:color w:val="212529"/>
        </w:rPr>
        <w:t xml:space="preserve"> exchange rate) senior secured term loan facility, a C$525 million (US$404 million at the December 31, 2019 exchange rate) senior secured revolving credit facility, and a C$300 million (US$231 million at the December 31, 2019 exchange rate) senior secured construction loan facility (the “KAPS Facility”). The term loan facility and the revolving credit facility mature on February 25, 2024. The KAPS Facility matures on June 13, 2024. SemCAMS may incur additional term loans and revolving commitments in an aggregate amount not to exceed C$250 million (US$193 million at the December 31, 2019 exchange rate), subject to receiving commitments for such additional term loans or revolving commitments from either new lenders or increased commitments from existing lenders.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Related to Our Credit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the Parent Company</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Term Loan Facility and ET Revolving Credit Facility contain customary representations, warranties, covenants and events of default, including a change of control event of default and limitations on incurrence of liens, new lines of business, merger, transactions with affiliates and restrictive agreements.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Loan Facility and ET Revolving Credit Facility contain financial covenants as follows:</w:t>
      </w:r>
    </w:p>
    <w:p>
      <w:pPr>
        <w:spacing w:after="0" w:line="117" w:lineRule="exact"/>
        <w:rPr>
          <w:sz w:val="20"/>
          <w:szCs w:val="20"/>
          <w:color w:val="auto"/>
        </w:rPr>
      </w:pPr>
    </w:p>
    <w:p>
      <w:pPr>
        <w:jc w:val="both"/>
        <w:ind w:left="660" w:hanging="328"/>
        <w:spacing w:after="0" w:line="264"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Maximum Leverage Ratio – Consolidated Funded Debt (as defined therein) of the Parent Company to Consolidated EBITDA (as defined therein) of the Parent Company of not more than 6.0 to 1, with a permitted increase to 7 to 1 during a specified acquisition period following the close of a specified acquisition;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Consolidated EBITDA (as defined therein) to interest expense of not less than 1.5 to 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ETO</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agreements relating to the ETO senior notes contain restrictive covenants customary for an issuer with an investment-grade rating from the rating agencies, which covenants include limitations on liens and a restriction on sale-leaseback transactions.</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ETO Credit Facilities contain covenants that limit (subject to certain exceptions) the Partnership’s and certain of the Partnership’s subsidiaries’ ability to, among other things:</w:t>
      </w:r>
    </w:p>
    <w:p>
      <w:pPr>
        <w:spacing w:after="0" w:line="62" w:lineRule="exact"/>
        <w:rPr>
          <w:sz w:val="20"/>
          <w:szCs w:val="20"/>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Distributions (as defined in the ETO Credit Facilities) during certain Defaults (as defined in the ETO Credit Facilities) and during any Event of Default (as defined in the ETO Credit Facilities);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engage in business substantially different in nature than the business currently conducted by the Partnership and its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17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ETO Credit Facilities applicable margin and rate used in connection with the interest rates and commitment fees, respectively, are based on the credit ratings assigned to our senior, unsecured, non-credit enhanced long-term debt. The applicable margin for eurodollar rate loans under the ETO Five-Year Facility ranges from 1.125% to 2.000% and the applicable margin for base rate loans ranges from 0.125% to 1.000%. The applicable rate for commitment fees under the ETO Five-Year Facility ranges from 0.125% to 0.300%. The applicable margin for eurodollar rate loans under the ETO 364-Day Facility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18" w:right="2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ranges from 1.250% to 1.750% and the applicable margin for base rate loans ranges from 0.250% to 0.750%. The applicable rate for commitment fees under the ETO 364-Day Facility ranges from 0.125% to 0.225%.</w:t>
      </w:r>
    </w:p>
    <w:p>
      <w:pPr>
        <w:spacing w:after="0" w:line="116"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ETO Credit Facilities contain various covenants including limitations on the creation of indebtedness and liens, and related to the operation and conduct of our business. The ETO Credit Facilities also limit us, on a rolling four quarter basis, to a maximum Consolidated Funded Indebtedness to Consolidated EBITDA ratio, as defined in the underlying credit agreements, of 5.0 to 1, which can generally be increased to 5.5 to 1 during a Specified Acquisition Period. Our Leverage Ratio was 4.04 to 1 at December 31, 2019, as calculated in accordance with the credit agreements.</w:t>
      </w:r>
    </w:p>
    <w:p>
      <w:pPr>
        <w:spacing w:after="0" w:line="10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Panhandle</w:t>
      </w:r>
    </w:p>
    <w:p>
      <w:pPr>
        <w:spacing w:after="0" w:line="17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w:t>
      </w:r>
    </w:p>
    <w:p>
      <w:pPr>
        <w:spacing w:after="0" w:line="9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Panhandle’s restrictive covenants include restrictions on liens securing debt and guarantees and restrictions on mergers and on the sales of assets. A breach of any of these covenants could result in acceleration of Panhandle’s debt.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Sunoco LP</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Net Leverage Ratio of not more than 5.5 to 1. The maximum Net Leverage Ratio is subject to upwards adjustment of not more than 6.0 to 1 for a period not to exceed three fiscal quarters in the event Sunoco LP engages in certain specified acquisitions of not less than $50 million (as permitted under Sunoco LP’s Credit Facility agreement). The Sunoco LP Credit Facility also requires Sunoco LP to maintain an Interest Coverage Ratio (as defined in the Sunoco LP’s Credit Facility agreement) of not less than 2.25 to 1.</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USAC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incur additional indebtedness or guarantee other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sell our assets;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make certain acquisitions.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facility is also subject to the following financial covenants, including covenants requiring us to maintain:</w:t>
      </w:r>
    </w:p>
    <w:p>
      <w:pPr>
        <w:spacing w:after="0" w:line="117"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minimum EBITDA to interest coverage ratio of 2.5 to 1.0, determined as of the last day of each fiscal quarter; and</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maximum funded debt to EBITDA ratio, determined as of the last day of each fiscal quarter, for the annualized trailing three months of (i) 5.5 to 1 through the end of the fiscal quarter ending December 31, 2019 and (ii) 5.0 to 1.0 thereafter, in each case subject to a provision for increases to such thresholds by 0.50 in connection with certain future acquisitions for the six consecutive month period following the period in which any such acquisition occurs.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12529"/>
        </w:rPr>
        <w:t>Covenants Related to the HFOTCO Tax Exempt Notes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212529"/>
        </w:rPr>
        <w:t>The indentures covering HFOTCO's tax exempt notes due 2050 ("IKE Bonds") include customary representations and warranties and affirmative and negative covenants. Such covenants include limitations on the creation of new liens, indebtedness, making of certain restricted payments and payments on indebtedness, making certain dispositions, making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18" w:right="23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212529"/>
        </w:rPr>
        <w:t>material changes in business activities, making fundamental changes including liquidations, mergers or consolidations, making certain investments, entering into certain transactions with affiliates, making amendments to certain credit or organizational agreements, modifying the fiscal year, creating or dealing with hazardous materials in certain ways, entering into certain hedging arrangements, entering into certain restrictive agreements, funding or engaging in sanctioned activities, taking actions or causing the trustee to take actions that materially adversely affect the rights, interests, remedies or security of the bondholders, taking actions to remove the trustee, making certain amendments to the bond documents, and taking actions or omitting to take actions that adversely impact the tax exempt status of the IKE Bonds.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and note agreements could require us or our subsidiaries to pay debt balances prior to scheduled maturity and could negatively impact the subsidiaries ability to incur additional debt and/or our ability to pay distributions.</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and our subsidiaries were in compliance with all requirements, tests, limitations, and covenants related to our debt agreements as of December 31, 2019.</w:t>
      </w:r>
    </w:p>
    <w:p>
      <w:pPr>
        <w:spacing w:after="0" w:line="112" w:lineRule="exact"/>
        <w:rPr>
          <w:sz w:val="20"/>
          <w:szCs w:val="20"/>
          <w:color w:val="auto"/>
        </w:rPr>
      </w:pPr>
    </w:p>
    <w:p>
      <w:pPr>
        <w:ind w:left="340" w:hanging="332"/>
        <w:spacing w:after="0"/>
        <w:tabs>
          <w:tab w:leader="none" w:pos="3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REDEEMABLE NONCONTROLLING INTERESTS:</w:t>
      </w:r>
    </w:p>
    <w:p>
      <w:pPr>
        <w:spacing w:after="0" w:line="17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Certain redeemable noncontrolling interests in the Partnership’s subsidiaries are reflected as mezzanine equity on the consolidated balance sheet. Redeemable noncontrolling interests as of December 31, 2019 included a balance of $477 million related to the USAC Preferred Units described below and a balance of $15 million related to noncontrolling interest holders in one of the Partnership’s consolidated subsidiaries that have the option to sell their interests to the Partnership. In addition, redeemable noncontrolling interests includes a balance of $247 million in SemCAMS preferred shares acquired as part of the merger with SemGroup.</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USAC Series A Preferred Units</w:t>
      </w:r>
    </w:p>
    <w:p>
      <w:pPr>
        <w:spacing w:after="0" w:line="17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2018, USAC issued 500,000 USAC Preferred Units in a private placement at a price of $1,000 per USAC Preferred Unit, for total gross proceeds of $500 million in a private placement.</w:t>
      </w:r>
    </w:p>
    <w:p>
      <w:pPr>
        <w:spacing w:after="0" w:line="116"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USAC Preferred Units are entitled to receive cumulative quarterly distributions equal to $24.375 per USAC Preferred Unit, subject to increase in certain limited circumstances. The USAC Preferred Units will have a perpetual term, unless converted or redeemed. Certain portions of the USAC Preferred Units will be convertible into USAC common units at the election of the holders beginning in 2021. To the extent the holders of the USAC Preferred Units have not elected to convert their preferred units by the fifth anniversary of the issue date, USAC will have the option to redeem all or any portion of the USAC Preferred Units for cash. In addition, at any time on or after the tenth anniversary of the issue date, the holders of the USAC Preferred Units will have the right to require USAC to redeem all or any portion of the USAC Preferred Units, and the Partnership may elect to pay up to 50% of such redemption amount in USAC common units.</w:t>
      </w:r>
    </w:p>
    <w:p>
      <w:pPr>
        <w:spacing w:after="0" w:line="13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SemCAMS Redeemable Preferred Stock</w:t>
      </w:r>
    </w:p>
    <w:p>
      <w:pPr>
        <w:spacing w:after="0" w:line="171" w:lineRule="exact"/>
        <w:rPr>
          <w:rFonts w:ascii="Arial" w:cs="Arial" w:eastAsia="Arial" w:hAnsi="Arial"/>
          <w:sz w:val="18"/>
          <w:szCs w:val="18"/>
          <w:b w:val="1"/>
          <w:bCs w:val="1"/>
          <w:color w:val="auto"/>
        </w:rPr>
      </w:pPr>
    </w:p>
    <w:p>
      <w:pPr>
        <w:jc w:val="both"/>
        <w:ind w:left="34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SemCAMS has 300,000 shares of cumulative preferred stock issued and outstanding. The preferred stock is redeemable at SemCAMS’s option subsequent to January 3, 2021 at a redemption price of C$1,100 (US$845 at the December 31, 2019 exchange rate) per share. The preferred stock is redeemable by the holder contingent upon a change of control or liquidation of SemCAMS. The preferred stock is convertible to SemCAMS common shares in the event of an initial public offering by SemCAMS.</w:t>
      </w:r>
    </w:p>
    <w:p>
      <w:pPr>
        <w:spacing w:after="0" w:line="132"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preferred stock was recorded at fair value in connection with the SemGroup purchase accounting. Dividends on the preferred stock are payable in-kind through the quarter ending June 30, 2020. The dividends paid-in-kind increased the liquidation preference such that as of December 31, 2019, the preferred stock was convertible into 315,859 shares.</w:t>
      </w:r>
    </w:p>
    <w:p>
      <w:pPr>
        <w:spacing w:after="0" w:line="123" w:lineRule="exact"/>
        <w:rPr>
          <w:rFonts w:ascii="Arial" w:cs="Arial" w:eastAsia="Arial" w:hAnsi="Arial"/>
          <w:sz w:val="18"/>
          <w:szCs w:val="18"/>
          <w:b w:val="1"/>
          <w:bCs w:val="1"/>
          <w:color w:val="auto"/>
        </w:rPr>
      </w:pPr>
    </w:p>
    <w:p>
      <w:pPr>
        <w:ind w:left="340" w:hanging="332"/>
        <w:spacing w:after="0"/>
        <w:tabs>
          <w:tab w:leader="none" w:pos="3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Limited Partner Units</w:t>
      </w:r>
    </w:p>
    <w:p>
      <w:pPr>
        <w:spacing w:after="0" w:line="175" w:lineRule="exact"/>
        <w:rPr>
          <w:rFonts w:ascii="Arial" w:cs="Arial" w:eastAsia="Arial" w:hAnsi="Arial"/>
          <w:sz w:val="18"/>
          <w:szCs w:val="18"/>
          <w:b w:val="1"/>
          <w:bCs w:val="1"/>
          <w:color w:val="auto"/>
        </w:rPr>
      </w:pPr>
    </w:p>
    <w:p>
      <w:pPr>
        <w:jc w:val="both"/>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Limited partner interests in the Partnership are represented by Common Units that entitle the holders thereof to the rights and privileges specified in the Partnership Agreement. The Partnership’s Common Units are registered under the Securities Exchange Act of 1934 (as amended) and are listed for trading on the NYSE. Each holder of a Common Unit is entitled to one vote per unit on all matters presented to the Limited Partners for a vote. In addition, if at any time any person or group (other than the Partnership’s General Partner and its affiliates) owns beneficially 20% or more of all Common Units, any Common Units owned by that person or group may not be voted on any matter and are not considered to be outstanding when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18" w:right="23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sending notices of a meeting of Unitholders (unless otherwise required by law), calculating required votes, determining the presence of a quorum or for other similar purposes under the Partnership Agreement. The Common Units are entitled to distributions of Available Cash as described below under “Parent Company Quarterly Distributions of Available Cash.”</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2019, there were issued and outstanding 2.69 billion Common Units representing an aggregate 99.9% limited partner interest in the Partnership.</w:t>
      </w:r>
    </w:p>
    <w:p>
      <w:pPr>
        <w:spacing w:after="0" w:line="116"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Our Partnership Agreement contains specific provisions for the allocation of net earnings and losses to the partners for purposes of maintaining the partner capital accounts. For any fiscal year that the Partnership has net profits, such net profits are first allocated to the General Partner until the aggregate amount of net profits for the current and all prior fiscal years equals the aggregate amount of net losses allocated to the General Partner for the current and all prior fiscal years. Second, such net profits shall be allocated to the Limited Partners pro rata in accordance with their respective sharing ratios. For any fiscal year in which the Partnership has net losses, such net losses shall be first allocated to the Limited Partners in proportion to their respective adjusted capital account balances, as defined by the Partnership Agreement, (before taking into account such net losses) until their adjusted capital account balances have been reduced to zero. Second, all remaining net losses shall be allocated to the General Partner. The General Partner may distribute to the Limited Partners funds of the Partnership that the General Partner reasonably determines are not needed for the payment of existing or foreseeable Partnership obligations and expenditures.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ET Common Units during the years ended December 31, 2019, 2018 and 2017 was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3580" w:type="dxa"/>
            <w:vAlign w:val="bottom"/>
            <w:gridSpan w:val="5"/>
          </w:tcPr>
          <w:p>
            <w:pPr>
              <w:ind w:left="1400"/>
              <w:spacing w:after="0"/>
              <w:rPr>
                <w:sz w:val="20"/>
                <w:szCs w:val="20"/>
                <w:color w:val="auto"/>
              </w:rPr>
            </w:pPr>
            <w:r>
              <w:rPr>
                <w:rFonts w:ascii="Arial" w:cs="Arial" w:eastAsia="Arial" w:hAnsi="Arial"/>
                <w:sz w:val="18"/>
                <w:szCs w:val="18"/>
                <w:color w:val="auto"/>
                <w:w w:val="97"/>
              </w:rPr>
              <w:t>Years Ended December 31,</w:t>
            </w:r>
          </w:p>
        </w:tc>
        <w:tc>
          <w:tcPr>
            <w:tcW w:w="1120" w:type="dxa"/>
            <w:vAlign w:val="bottom"/>
          </w:tcPr>
          <w:p>
            <w:pPr>
              <w:spacing w:after="0"/>
              <w:rPr>
                <w:sz w:val="20"/>
                <w:szCs w:val="20"/>
                <w:color w:val="auto"/>
              </w:rPr>
            </w:pPr>
          </w:p>
        </w:tc>
      </w:tr>
      <w:tr>
        <w:trPr>
          <w:trHeight w:val="27"/>
        </w:trPr>
        <w:tc>
          <w:tcPr>
            <w:tcW w:w="59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r>
      <w:tr>
        <w:trPr>
          <w:trHeight w:val="27"/>
        </w:trPr>
        <w:tc>
          <w:tcPr>
            <w:tcW w:w="5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Common Units, beginning of period</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2,619.4</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Conversion of ET Series A Convertible Preferred Units to common units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Units issued in mergers and acquisitions</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Common Units repurchased</w:t>
            </w: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Units</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color w:val="auto"/>
              </w:rPr>
              <w:t>Number of Common Units, end of period</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2,689.6</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2,619.4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1,079.1</w:t>
            </w:r>
          </w:p>
        </w:tc>
      </w:tr>
      <w:tr>
        <w:trPr>
          <w:trHeight w:val="27"/>
        </w:trPr>
        <w:tc>
          <w:tcPr>
            <w:tcW w:w="59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right="3240"/>
        <w:spacing w:after="0" w:line="438" w:lineRule="auto"/>
        <w:rPr>
          <w:sz w:val="20"/>
          <w:szCs w:val="20"/>
          <w:color w:val="auto"/>
        </w:rPr>
      </w:pPr>
      <w:r>
        <w:rPr>
          <w:rFonts w:ascii="Arial" w:cs="Arial" w:eastAsia="Arial" w:hAnsi="Arial"/>
          <w:sz w:val="18"/>
          <w:szCs w:val="18"/>
          <w:color w:val="auto"/>
        </w:rPr>
        <w:t xml:space="preserve">In October 2018, ET issued 1.46 billion ET Common Units in connection with the Energy Transfer Merger. In December 2019, ET issued 57.6 million ET Common Units in connection with the SemGroup acquisition. </w:t>
      </w:r>
      <w:r>
        <w:rPr>
          <w:rFonts w:ascii="Arial" w:cs="Arial" w:eastAsia="Arial" w:hAnsi="Arial"/>
          <w:sz w:val="18"/>
          <w:szCs w:val="18"/>
          <w:b w:val="1"/>
          <w:bCs w:val="1"/>
          <w:i w:val="1"/>
          <w:iCs w:val="1"/>
          <w:color w:val="auto"/>
        </w:rPr>
        <w:t>ET Equity Distribution Agreement</w:t>
      </w:r>
    </w:p>
    <w:p>
      <w:pPr>
        <w:spacing w:after="0" w:line="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In March 2017, the Partnership entered into an equity distribution agreement relating to at-the-market offerings of its common units with an aggregate offering price up to $1 billion. As of December 31, 2019, there have been no sales of common units under the equity distribution agreement.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Series A Convertible Preferred Units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May 2018, the Partnership converted its 329.3 million Series A Convertible Preferred Units into approximately 79.1 million ET common units in accordance with the terms of ET’s partnership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Class A Units</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In connection with the Energy Transfer Merger, the Partnership issued 647,745,099 Class A units (“ET Class A Units”) representing limited partner interests in the Partnership to LE GP, LLC (“LE GP”), the general partner of ET. The number of ET Class A Units issued allows LE GP and its affiliates to retain a voting interest in the Partnership that is identical to their voting interest in the Partnership prior to the completion of the Merger. The ET Class A Units are entitled to vote together with the Partnership’s common units, as a single class, except as required by law. Additionally, ET’s partnership agreement provides that, under certain circumstances, upon the issuance by the Partnership of additional common units or any securities that have voting rights that are pari passu with the Partnership common units, the Partnership will issue to any holder of ET Class A Units additional ET Class A Units such that the holder maintains a voting interest in the Partnership that is identical to its voting interest in the Partnership prior to such issuance. The ET Class A Units are not entitled to distributions and otherwise have no economic attributes.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- 42</w:t>
      </w:r>
    </w:p>
    <w:p>
      <w:pPr>
        <w:sectPr>
          <w:pgSz w:w="11900" w:h="16838" w:orient="portrait"/>
          <w:cols w:equalWidth="0" w:num="1">
            <w:col w:w="11420"/>
          </w:cols>
          <w:pgMar w:left="240" w:top="118" w:right="23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Repurchase Program</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In February 2015, the Partnership announced a common unit repurchase program, whereby the Partnership may repurchase up to an additional $2 billion of ET Common Units in the open market at the Partnership’s discretion, subject to market conditions and other factors, and in accordance with applicable regulatory requirements. The Partnership repurchased 1.9 million ET Common Units under this program in 2019 and no ET Common Units in 2018 or 2017 and there was $911 million available to use under the program as of December 31,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 Distribution Reinvestment Program</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During the year ended December 31, 2019, distributions of $148 million were reinvested under the distribution reinvestment program. As of December 31, 2019, a total of 29 million common units remain available to be issued under the existing registration statement in connection with the distribution reinvestment program.</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Sale of Common Units by Subsidiaries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Parent Company accounts for the difference between the carrying amount of its investment in subsidiaries and the underlying book value arising from issuance of units by subsidiaries (excluding unit issuances to the Parent Company) as a capital transaction. If a subsidiary issues units at a price less than the Parent Company’s carrying value per unit, the Parent Company assesses whether the investment has been impaired, in which case a provision would be reflected in our statement of operations. The Parent Company did not recognize any impairment related to the issuances of subsidiary common units during the periods presented.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Class K Units</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2019, a total of 101.5 million Class K Units were held by wholly-owned subsidiaries of ETO. Each Class K Unit is entitled to a quarterly cash distribution of $0.67275 per Class K Unit prior to ETO making distributions of available cash to any class of units, excluding any cash available distributions or dividends or capital stock sales proceeds received by ETO from ETP Holdco. If the Partnership is unable to pay the Class K Unit quarterly distribution with respect to any quarter, the accrued and unpaid distributions will accumulate until paid and any accumulated balance will accrue 1.5% per annum until paid.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Class L Units</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December 31, 2018, ETO issued a new class of limited partner interests titled Class L Units to two wholly-owned subsidiaries of the Partnership when the Partnership’s previously outstanding Class E units and Class G units held by such subsidiaries were converted into Class L Units. As a result of the conversion, the Class E units and Class G units were cancelled.</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Class L Units generally do not have any voting rights. The Class L Units are entitled to aggregate cash distributions equal to 7.65% per annum of the total amount of cash generated by us and our subsidiaries, other than ETP Holdco, and available for distribution. Distributions shall be paid quarterly, in arrears, within 45 days after the end of each quarter. As the Class L Units are owned by a wholly-owned subsidiary, the cash distributions on those units are eliminated in our consolidated financial statements.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Class M Units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July 1, 2019, ETO issued a new class of limited partner interests titled Class M Units to ETP Holdco, a wholly-owned subsidiary of the Partnership, in exchange for the contribution of ETP Holdco’s equity ownership interest in Panhandle to the Partnership.</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Class M Units generally do not have any voting rights. The Class M Units are entitled to aggregate cash distributions equal to 8.00% per annum of the total amount of cash generated by us and our subsidiaries, other than ETP Holdco, and available for distribution. Distributions shall be paid quarterly, in arrears, within 45 days after the end of each quarter. As the Class M Units are owned by a wholly-owned subsidiary, the cash distributions on those units are eliminated in our consolidated financial statements.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Preferred Units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November 2017, ETO issued 950,000 of its 6.250% Series A Preferred Units at a price of $1,000 per unit and 550,000 of its 6.625% Series B Preferred Units at a price of $1,000 per unit. In April 2018, ETO issued 18 million of its 7.375% Series C Preferred Units at a price of $25 per unit. In July 2018, ETO issued 17.8 million of its 7.625% Series D Preferred Units at a price of $25 per unit. In April 2019, ETO issued 32 million of its 7.600% Series E Preferred Units at a price of $25 per unit.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- 43</w:t>
      </w:r>
    </w:p>
    <w:p>
      <w:pPr>
        <w:sectPr>
          <w:pgSz w:w="11900" w:h="16838" w:orient="portrait"/>
          <w:cols w:equalWidth="0" w:num="1">
            <w:col w:w="11420"/>
          </w:cols>
          <w:pgMar w:left="240" w:top="118" w:right="23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right="1600"/>
        <w:spacing w:after="0" w:line="438" w:lineRule="auto"/>
        <w:rPr>
          <w:sz w:val="20"/>
          <w:szCs w:val="20"/>
          <w:color w:val="auto"/>
        </w:rPr>
      </w:pPr>
      <w:r>
        <w:rPr>
          <w:rFonts w:ascii="Arial" w:cs="Arial" w:eastAsia="Arial" w:hAnsi="Arial"/>
          <w:sz w:val="18"/>
          <w:szCs w:val="18"/>
          <w:color w:val="auto"/>
        </w:rPr>
        <w:t xml:space="preserve">As of December 31, 2019 all of ETO Series A, Series B, Series C, Series D and Series E Preferred Units issued remain outstanding. </w:t>
      </w:r>
      <w:r>
        <w:rPr>
          <w:rFonts w:ascii="Arial" w:cs="Arial" w:eastAsia="Arial" w:hAnsi="Arial"/>
          <w:sz w:val="18"/>
          <w:szCs w:val="18"/>
          <w:b w:val="1"/>
          <w:bCs w:val="1"/>
          <w:i w:val="1"/>
          <w:iCs w:val="1"/>
          <w:color w:val="auto"/>
        </w:rPr>
        <w:t>ETO Series A Preferred Units</w:t>
      </w:r>
    </w:p>
    <w:p>
      <w:pPr>
        <w:spacing w:after="0" w:line="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A Preferred Units will accrue and be cumulative from and including the date of original issue to, but excluding, February 15, 2023, at a rate of 6.250% per annum of the stated liquidation preference of $1,000. On and after February 15, 2023, distributions on the Series A Preferred Units will accumulate at a percentage of the $1,000 liquidation preference equal to an annual floating rate of the three-month LIBOR, determined quarterly, plus a spread of 4.028% per annum. The Series A Preferred Units are redeemable at ETO’s option on or after February 15, 2023 at a redemption price of $1,000 per Series A Preferred Unit, plus an amount equal to all accumulated and unpaid distributions thereon to, but excluding, the date of redemption.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B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B Preferred Units will accrue and be cumulative from and including the date of original issue to, but excluding, February 15, 2028, at a rate of 6.625% per annum of the stated liquidation preference of $1,000. On and after February 15, 2028, distributions on the Series B Preferred Units will accumulate at a percentage of the $1,000 liquidation preference equal to an annual floating rate of the three-month LIBOR, determined quarterly, plus a spread of 4.155% per annum. The Series B Preferred Units are redeemable at ETO’s option on or after February 15, 2028 at a redemption price of $1,000 per Series B Preferred Unit, plus an amount equal to all accumulated and unpaid distributions thereon to, but excluding, the date of redemption.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C Preferred Units</w:t>
      </w:r>
    </w:p>
    <w:p>
      <w:pPr>
        <w:spacing w:after="0" w:line="17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Distributions on the Series C Preferred Units will accrue and be cumulative from and including the date of original issue to, but excluding, May 15, 2023, at a rate of 7.375% per annum of the stated liquidation preference of $25. On and after May 15, 2023, distributions on the Series C Preferred Units will accumulate at a percentage of the $25 liquidation preference equal to an annual floating rate of the three-month LIBOR, determined quarterly, plus a spread of 4.530% per annum. The Series C Preferred Units are redeemable at ETO’s option on or after May 15, 2023 at a redemption price of $25 per Series C Preferred Unit, plus an amount equal to all accumulated and unpaid distributions thereon to, but excluding, the date of redemption.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D Preferred Units</w:t>
      </w:r>
    </w:p>
    <w:p>
      <w:pPr>
        <w:spacing w:after="0" w:line="17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Distributions on the Series D Preferred Units will accrue and be cumulative from and including the date of original issue to, but excluding, August 15, 2023, at a rate of 7.625% per annum of the stated liquidation preference of $25. On and after August 15, 2023, distributions on the Series D Preferred Units will accumulate at a percentage of the $25 liquidation preference equal to an annual floating rate of the three-month LIBOR, determined quarterly, plus a spread of 4.738% per annum. The Series D Preferred Units are redeemable at ETO’s option on or after August 15, 2023 at a redemption price of $25 per Series D Preferred Unit, plus an amount equal to all accumulated and unpaid distributions thereon to, but excluding, the date of redemption.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E Preferred Units</w:t>
      </w:r>
    </w:p>
    <w:p>
      <w:pPr>
        <w:spacing w:after="0" w:line="17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Distributions on the Series E Preferred Units will accrue and be cumulative from and including the date of original issue to, but excluding, May 15, 2024, at a rate of 7.600% per annum of the stated liquidation preference of $25. On and after May 15, 2024, distributions on the Series E Preferred Units will accumulate at a percentage of the $25 liquidation preference equal to an annual floating rate of the three-month LIBOR, determined quarterly, plus a spread of 5.161% per annum. The Series E Preferred Units are redeemable at ETO’s option on or after May 15, 2024 at a redemption price of $25 per Series E Preferred Unit, plus an amount equal to all accumulated and unpaid distributions thereon to, but excluding, the date of redemption.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F Preferred Units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January 22, 2020, the Partnership issued 500,000 of its 6.750% Series F Fixed-Rate Reset Cumulative Redeemable Perpetual Preferred Units representing limited partner interest in the Partnership, at a price to the public of $1,000 per unit. Distributions on the Series F Preferred Units are cumulative from and including the original issue date and will be payable semi-annually in arrears on the 15th day of May and November of each year, commencing on May 15, 2020 to, but excluding, May 15, 2025, at a rate equal to 6.750% per annum of the $1,000 liquidation preference. On and after May 15, 2025, the distribution rate on the Series F Preferred Units will equal a percentage of the $1,000 liquidation preference equal to the five-year U.S. treasury rate plus a spread of 5.134% per annum. The Series F Preferred Units are redeemable at ETO’s option on or after May 15, 2025 at a redemption price of $1,000 per Series F Preferred Unit, plus an amount equal to all accumulated and unpaid distributions thereon to, but excluding, the date of redemption.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118" w:right="2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G Preferred Units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January 22, 2020, the Partnership issued 1,100,000 of its 7.125% Series G Fixed-Rate Reset Cumulative Redeemable Perpetual Preferred Units representing limited partner interest in the Partnership, at a price to the public of $1,000 per unit. Distributions on the Series G Preferred Units are cumulative from and including the original issue date and will be payable semi-annually in arrears on the 15th day of May and November of each year, commencing on May 15, 2020 to, but excluding, May 15, 2030, at a rate equal to 7.125% per annum of the $1,000 liquidation preference. On and after May 15, 2030, the distribution rate on the Series G Preferred Units will equal a percentage of the $1,000 liquidation preference equal to the five-year U.S. treasury rate plus a spread of 5.306% per annum. The Series G Preferred Units are redeemable at ETO’s option on or after May 15, 2030 at a redemption price of $1,000 per Series G Preferred Unit, plus an amount equal to all accumulated and unpaid distributions thereon to, but excluding, the date of redemption.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PennTex Tender Offer and Limited Call Right Exercise</w:t>
      </w:r>
    </w:p>
    <w:p>
      <w:pPr>
        <w:spacing w:after="0" w:line="175"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In June 2017, ETO purchased all of the outstanding PennTex common units not previously owned by ETO for $20.00 per common unit in cash. ETO now owns all of the economic interests of PennTex, and PennTex common units are no longer publicly traded or listed on the NASDAQ.</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Subsidiary Equity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Common Unit Repurchase</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February 2018, after the record date for Sunoco LP’s fourth quarter 2017 cash distributions, Sunoco LP repurchased 17,286,859 Sunoco LP common units owned by ETO for aggregate cash consideration of approximately $540 million. ETO used the proceeds from the sale of the Sunoco LP common units to repay amounts outstanding under its revolving credit facility.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Equity Distribution Program</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Sunoco LP is party to an equity distribution agreement for an at-the-market (“ATM”) offering pursuant to which Sunoco LP may sell its common units from time to time. For the years ended December 31, 2019 and 2018, Sunoco LP issued no units under its ATM program. For the year ended December 31, 2017, Sunoco LP issued an additional 1.3 million units with total net proceeds of $33 million , net of commissions of $0.3 million. As of December 31, 2019, $295 million of Sunoco LP common units remained available to be issued under the currently effective equity distribution agreement.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Series A Preferred Units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March 30, 2017, ET purchased 12.0 million Sunoco LP Series A Preferred Units representing limited partner interests in Sunoco LP in a private placement transaction for an aggregate purchase price of $300 million. The distribution rate of Sunoco LP Series A Preferred Units is 10.00%, per annum, of the $25.00 liquidation preference per unit until March 30, 2022, at which point the distribution rate will become a floating rate of 8.00% plus three-month LIBOR of the liquidation preference.</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January 2018, Sunoco LP redeemed all outstanding Sunoco LP Series A Preferred Units held by ET for an aggregate redemption amount of approximately $313 million. The redemption amount included the original consideration of $300 million and a 1% call premium plus accrued and unpaid quarterly distributions.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Distribution Reinvestment Program</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During the year ended December 31, 2019 and nine months ended December 31, 2018, distributions of $1 million and $0.6 million, respectively, were reinvested under the USAC distribution reinvestment program resulting in the issuance of approximately 60,584 and 39,280 USAC common units, respectively.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Warrant Private Placement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April 2, 2018, USAC issued two tranches of warrants to purchase USAC common units (the “USAC Warrants”), which included USAC Warrants to purchase 5,000,000 common units with a strike price of $17.03 per unit and USAC Warrants to purchase 10,000,000 common units with a strike price of $19.59 per unit. The USAC Warrants may be exercised by the holders thereof at any time beginning on the one year anniversary of the closing date and before the tenth anniversary of the closing date. Upon exercise of the USAC Warrants, USAC may, at its option, elect to settle the USAC Warrants in common units on a net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- 45</w:t>
      </w:r>
    </w:p>
    <w:p>
      <w:pPr>
        <w:sectPr>
          <w:pgSz w:w="11900" w:h="16838" w:orient="portrait"/>
          <w:cols w:equalWidth="0" w:num="1">
            <w:col w:w="11420"/>
          </w:cols>
          <w:pgMar w:left="240" w:top="118" w:right="2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Class B Units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USAC Class B Units, all of which are owned by ETO, are a new class of partnership interests of USAC that have substantially all of the rights and obligations of a USAC common unit, except the USAC Class B Units will not participate in distributions for the first four quarters following the closing date of the USAC Transaction on April 2, 2018. Each USAC Class B Unit automatically converted into one USAC common unit on the first business day following the record date attributable to the quarter ending June 30, 2019.</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July 30, 2019, the 6,397,965 USAC Class B units held by the Partnership converted into 6,397,965 common units representing limited partner interests in USAC. These common units participate in distributions declared by USAC.</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Parent Company Quarterly Distributions of Available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distribution policy is consistent with the terms of our Partnership Agreement, which requires that we distribute all of our available cash quarterly.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Parent Company’s only cash-generating assets currently consist of distributions from its interest in ETO.</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distributions declared and paid with respect to our common units were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20" w:type="dxa"/>
            <w:vAlign w:val="bottom"/>
            <w:gridSpan w:val="2"/>
          </w:tcPr>
          <w:p>
            <w:pPr>
              <w:ind w:left="1080"/>
              <w:spacing w:after="0"/>
              <w:rPr>
                <w:sz w:val="20"/>
                <w:szCs w:val="20"/>
                <w:color w:val="auto"/>
              </w:rPr>
            </w:pPr>
            <w:r>
              <w:rPr>
                <w:rFonts w:ascii="Arial" w:cs="Arial" w:eastAsia="Arial" w:hAnsi="Arial"/>
                <w:sz w:val="18"/>
                <w:szCs w:val="18"/>
                <w:color w:val="auto"/>
              </w:rPr>
              <w:t>Quarter Ended</w:t>
            </w:r>
          </w:p>
        </w:tc>
        <w:tc>
          <w:tcPr>
            <w:tcW w:w="2340" w:type="dxa"/>
            <w:vAlign w:val="bottom"/>
            <w:gridSpan w:val="2"/>
          </w:tcPr>
          <w:p>
            <w:pPr>
              <w:ind w:left="660"/>
              <w:spacing w:after="0"/>
              <w:rPr>
                <w:sz w:val="20"/>
                <w:szCs w:val="20"/>
                <w:color w:val="auto"/>
              </w:rPr>
            </w:pPr>
            <w:r>
              <w:rPr>
                <w:rFonts w:ascii="Arial" w:cs="Arial" w:eastAsia="Arial" w:hAnsi="Arial"/>
                <w:sz w:val="18"/>
                <w:szCs w:val="18"/>
                <w:color w:val="auto"/>
              </w:rPr>
              <w:t>Record Date</w:t>
            </w:r>
          </w:p>
        </w:tc>
        <w:tc>
          <w:tcPr>
            <w:tcW w:w="2380" w:type="dxa"/>
            <w:vAlign w:val="bottom"/>
            <w:gridSpan w:val="2"/>
          </w:tcPr>
          <w:p>
            <w:pPr>
              <w:ind w:left="620"/>
              <w:spacing w:after="0"/>
              <w:rPr>
                <w:sz w:val="20"/>
                <w:szCs w:val="20"/>
                <w:color w:val="auto"/>
              </w:rPr>
            </w:pPr>
            <w:r>
              <w:rPr>
                <w:rFonts w:ascii="Arial" w:cs="Arial" w:eastAsia="Arial" w:hAnsi="Arial"/>
                <w:sz w:val="18"/>
                <w:szCs w:val="18"/>
                <w:color w:val="auto"/>
              </w:rPr>
              <w:t>Payment Date</w:t>
            </w:r>
          </w:p>
        </w:tc>
        <w:tc>
          <w:tcPr>
            <w:tcW w:w="5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color w:val="auto"/>
              </w:rPr>
              <w:t>Rate</w:t>
            </w:r>
          </w:p>
        </w:tc>
      </w:tr>
      <w:tr>
        <w:trPr>
          <w:trHeight w:val="27"/>
        </w:trPr>
        <w:tc>
          <w:tcPr>
            <w:tcW w:w="3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372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December 31, 2016 </w:t>
            </w:r>
            <w:r>
              <w:rPr>
                <w:rFonts w:ascii="Arial" w:cs="Arial" w:eastAsia="Arial" w:hAnsi="Arial"/>
                <w:sz w:val="25"/>
                <w:szCs w:val="25"/>
                <w:color w:val="auto"/>
                <w:vertAlign w:val="superscript"/>
              </w:rPr>
              <w:t>(1)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2017</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21, 2017</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March 31, 2017 </w:t>
            </w:r>
            <w:r>
              <w:rPr>
                <w:rFonts w:ascii="Arial" w:cs="Arial" w:eastAsia="Arial" w:hAnsi="Arial"/>
                <w:sz w:val="25"/>
                <w:szCs w:val="25"/>
                <w:color w:val="auto"/>
                <w:vertAlign w:val="superscript"/>
              </w:rPr>
              <w:t>(1)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May 19, 2017</w:t>
            </w: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June 30, 2017 </w:t>
            </w:r>
            <w:r>
              <w:rPr>
                <w:rFonts w:ascii="Arial" w:cs="Arial" w:eastAsia="Arial" w:hAnsi="Arial"/>
                <w:sz w:val="25"/>
                <w:szCs w:val="25"/>
                <w:color w:val="auto"/>
                <w:vertAlign w:val="superscript"/>
              </w:rPr>
              <w:t>(1)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August 21, 2017</w:t>
            </w: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0.2850</w:t>
            </w:r>
          </w:p>
        </w:tc>
      </w:tr>
      <w:tr>
        <w:trPr>
          <w:trHeight w:val="270"/>
        </w:trPr>
        <w:tc>
          <w:tcPr>
            <w:tcW w:w="372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September 30, 2017 </w:t>
            </w:r>
            <w:r>
              <w:rPr>
                <w:rFonts w:ascii="Arial" w:cs="Arial" w:eastAsia="Arial" w:hAnsi="Arial"/>
                <w:sz w:val="25"/>
                <w:szCs w:val="25"/>
                <w:color w:val="auto"/>
                <w:vertAlign w:val="superscript"/>
              </w:rPr>
              <w:t>(1)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November 20, 2017</w:t>
            </w: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0.2950</w:t>
            </w:r>
          </w:p>
        </w:tc>
      </w:tr>
      <w:tr>
        <w:trPr>
          <w:trHeight w:val="270"/>
        </w:trPr>
        <w:tc>
          <w:tcPr>
            <w:tcW w:w="37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December 31, 2017 </w:t>
            </w:r>
            <w:r>
              <w:rPr>
                <w:rFonts w:ascii="Arial" w:cs="Arial" w:eastAsia="Arial" w:hAnsi="Arial"/>
                <w:sz w:val="25"/>
                <w:szCs w:val="25"/>
                <w:color w:val="auto"/>
                <w:vertAlign w:val="superscript"/>
              </w:rPr>
              <w:t>(1)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2018</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20, 2018</w:t>
            </w: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May 21, 2018</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6, 2018</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20, 2018</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November 8, 2018</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November 19, 2018</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8, 2019</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19, 2019</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March 31, 2019</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7, 2019</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May 20, 2019</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19, 2019</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September 30, 2019</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November 19, 2019</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0.3050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2020</w:t>
            </w:r>
          </w:p>
        </w:tc>
        <w:tc>
          <w:tcPr>
            <w:tcW w:w="2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19, 2020</w:t>
            </w:r>
          </w:p>
        </w:tc>
        <w:tc>
          <w:tcPr>
            <w:tcW w:w="5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0.3050</w:t>
            </w:r>
          </w:p>
        </w:tc>
      </w:tr>
      <w:tr>
        <w:trPr>
          <w:trHeight w:val="27"/>
        </w:trPr>
        <w:tc>
          <w:tcPr>
            <w:tcW w:w="3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left="660" w:hanging="328"/>
        <w:spacing w:after="0" w:line="235" w:lineRule="auto"/>
        <w:tabs>
          <w:tab w:leader="none" w:pos="660" w:val="left"/>
        </w:tabs>
        <w:numPr>
          <w:ilvl w:val="0"/>
          <w:numId w:val="163"/>
        </w:numPr>
        <w:rPr>
          <w:rFonts w:ascii="Arial" w:cs="Arial" w:eastAsia="Arial" w:hAnsi="Arial"/>
          <w:sz w:val="25"/>
          <w:szCs w:val="25"/>
          <w:color w:val="auto"/>
          <w:vertAlign w:val="superscript"/>
        </w:rPr>
      </w:pPr>
      <w:r>
        <w:rPr>
          <w:rFonts w:ascii="Arial" w:cs="Arial" w:eastAsia="Arial" w:hAnsi="Arial"/>
          <w:sz w:val="18"/>
          <w:szCs w:val="18"/>
          <w:color w:val="auto"/>
        </w:rPr>
        <w:t>Certain common unitholders elected to participate in a plan pursuant to which those unitholders elected to forego their cash distributions on all or a portion of their common units for a period of up to nine quarters commencing with the distribution for the quarter ended March 31, 2016 and, in lieu of receiving cash distributions on these common units for each such quarter, each said unitholder received ET Series A Convertible Preferred Units (on a one-for-one basis for each common unit as to which the participating unitholder elected be subject to this plan) that entitled them to receive a cash distribution of up to $0.11 per unit. See additional information below.</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distributions declared and paid with respect to ET Series A Convertible Preferred Unit were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20" w:type="dxa"/>
            <w:vAlign w:val="bottom"/>
            <w:gridSpan w:val="2"/>
          </w:tcPr>
          <w:p>
            <w:pPr>
              <w:ind w:left="1080"/>
              <w:spacing w:after="0"/>
              <w:rPr>
                <w:sz w:val="20"/>
                <w:szCs w:val="20"/>
                <w:color w:val="auto"/>
              </w:rPr>
            </w:pPr>
            <w:r>
              <w:rPr>
                <w:rFonts w:ascii="Arial" w:cs="Arial" w:eastAsia="Arial" w:hAnsi="Arial"/>
                <w:sz w:val="18"/>
                <w:szCs w:val="18"/>
                <w:color w:val="auto"/>
              </w:rPr>
              <w:t>Quarter Ended</w:t>
            </w:r>
          </w:p>
        </w:tc>
        <w:tc>
          <w:tcPr>
            <w:tcW w:w="2340" w:type="dxa"/>
            <w:vAlign w:val="bottom"/>
            <w:gridSpan w:val="2"/>
          </w:tcPr>
          <w:p>
            <w:pPr>
              <w:ind w:left="660"/>
              <w:spacing w:after="0"/>
              <w:rPr>
                <w:sz w:val="20"/>
                <w:szCs w:val="20"/>
                <w:color w:val="auto"/>
              </w:rPr>
            </w:pPr>
            <w:r>
              <w:rPr>
                <w:rFonts w:ascii="Arial" w:cs="Arial" w:eastAsia="Arial" w:hAnsi="Arial"/>
                <w:sz w:val="18"/>
                <w:szCs w:val="18"/>
                <w:color w:val="auto"/>
              </w:rPr>
              <w:t>Record Date</w:t>
            </w:r>
          </w:p>
        </w:tc>
        <w:tc>
          <w:tcPr>
            <w:tcW w:w="2380" w:type="dxa"/>
            <w:vAlign w:val="bottom"/>
            <w:gridSpan w:val="2"/>
          </w:tcPr>
          <w:p>
            <w:pPr>
              <w:ind w:left="620"/>
              <w:spacing w:after="0"/>
              <w:rPr>
                <w:sz w:val="20"/>
                <w:szCs w:val="20"/>
                <w:color w:val="auto"/>
              </w:rPr>
            </w:pPr>
            <w:r>
              <w:rPr>
                <w:rFonts w:ascii="Arial" w:cs="Arial" w:eastAsia="Arial" w:hAnsi="Arial"/>
                <w:sz w:val="18"/>
                <w:szCs w:val="18"/>
                <w:color w:val="auto"/>
              </w:rPr>
              <w:t>Payment Date</w:t>
            </w:r>
          </w:p>
        </w:tc>
        <w:tc>
          <w:tcPr>
            <w:tcW w:w="5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color w:val="auto"/>
              </w:rPr>
              <w:t>Rate</w:t>
            </w:r>
          </w:p>
        </w:tc>
      </w:tr>
      <w:tr>
        <w:trPr>
          <w:trHeight w:val="27"/>
        </w:trPr>
        <w:tc>
          <w:tcPr>
            <w:tcW w:w="3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7, 2017</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21, 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March 31, 2017</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May 19, 2017</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21, 2017</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November 20, 2017</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8, 2018</w:t>
            </w:r>
          </w:p>
        </w:tc>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20, 2018</w:t>
            </w: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0.1100</w:t>
            </w:r>
          </w:p>
        </w:tc>
      </w:tr>
      <w:tr>
        <w:trPr>
          <w:trHeight w:val="243"/>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May 21, 2018</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0.1100</w:t>
            </w:r>
          </w:p>
        </w:tc>
      </w:tr>
      <w:tr>
        <w:trPr>
          <w:trHeight w:val="675"/>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gridSpan w:val="2"/>
          </w:tcPr>
          <w:p>
            <w:pPr>
              <w:ind w:left="1440"/>
              <w:spacing w:after="0"/>
              <w:rPr>
                <w:sz w:val="20"/>
                <w:szCs w:val="20"/>
                <w:color w:val="auto"/>
              </w:rPr>
            </w:pPr>
            <w:r>
              <w:rPr>
                <w:rFonts w:ascii="Arial" w:cs="Arial" w:eastAsia="Arial" w:hAnsi="Arial"/>
                <w:sz w:val="18"/>
                <w:szCs w:val="18"/>
                <w:color w:val="auto"/>
              </w:rPr>
              <w:t>F - 46</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Preferred Unit Distributions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Distributions on the ETO’s Series A, Series B, Series C, Series D and Series E preferred units declared and/or paid by ETO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88"/>
        </w:trPr>
        <w:tc>
          <w:tcPr>
            <w:tcW w:w="17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Period Ended</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Record Date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Payment Date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9"/>
              </w:rPr>
              <w:t xml:space="preserve">Series A </w:t>
            </w:r>
            <w:r>
              <w:rPr>
                <w:rFonts w:ascii="Arial" w:cs="Arial" w:eastAsia="Arial" w:hAnsi="Arial"/>
                <w:sz w:val="8"/>
                <w:szCs w:val="8"/>
                <w:color w:val="auto"/>
                <w:w w:val="99"/>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3"/>
              </w:rPr>
              <w:t xml:space="preserve">Series B </w:t>
            </w:r>
            <w:r>
              <w:rPr>
                <w:rFonts w:ascii="Arial" w:cs="Arial" w:eastAsia="Arial" w:hAnsi="Arial"/>
                <w:sz w:val="8"/>
                <w:szCs w:val="8"/>
                <w:color w:val="auto"/>
                <w:w w:val="93"/>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3"/>
              </w:rPr>
              <w:t>Series C</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3"/>
              </w:rPr>
              <w:t>Series D</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Series E</w:t>
            </w:r>
          </w:p>
        </w:tc>
        <w:tc>
          <w:tcPr>
            <w:tcW w:w="180" w:type="dxa"/>
            <w:vAlign w:val="bottom"/>
            <w:tcBorders>
              <w:bottom w:val="single" w:sz="8" w:color="auto"/>
            </w:tcBorders>
          </w:tcPr>
          <w:p>
            <w:pPr>
              <w:spacing w:after="0"/>
              <w:rPr>
                <w:sz w:val="16"/>
                <w:szCs w:val="16"/>
                <w:color w:val="auto"/>
              </w:rPr>
            </w:pPr>
          </w:p>
        </w:tc>
      </w:tr>
      <w:tr>
        <w:trPr>
          <w:trHeight w:val="270"/>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31, 2017</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1, 2018</w:t>
            </w: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February 15, 2018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15.4510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 xml:space="preserve">*  </w:t>
            </w: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 xml:space="preserve">*  </w:t>
            </w: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r>
      <w:tr>
        <w:trPr>
          <w:trHeight w:val="264"/>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June 30, 2018</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August 1, 2018</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August 15, 2018</w:t>
            </w:r>
          </w:p>
        </w:tc>
        <w:tc>
          <w:tcPr>
            <w:tcW w:w="1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31.2500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33.1250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0.5634</w:t>
            </w:r>
          </w:p>
        </w:tc>
        <w:tc>
          <w:tcPr>
            <w:tcW w:w="140" w:type="dxa"/>
            <w:vAlign w:val="bottom"/>
          </w:tcPr>
          <w:p>
            <w:pPr>
              <w:jc w:val="right"/>
              <w:ind w:right="2"/>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r>
      <w:tr>
        <w:trPr>
          <w:trHeight w:val="276"/>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2018</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 2018</w:t>
            </w: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November 15, 2018</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0.5931</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r>
      <w:tr>
        <w:trPr>
          <w:trHeight w:val="264"/>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December 31, 2018</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1, 2019</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February 15, 2019</w:t>
            </w:r>
          </w:p>
        </w:tc>
        <w:tc>
          <w:tcPr>
            <w:tcW w:w="1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31.2500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33.1250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0.4766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r>
      <w:tr>
        <w:trPr>
          <w:trHeight w:val="276"/>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2019</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May 1, 2019</w:t>
            </w: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May 15, 2019</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0.4766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r>
      <w:tr>
        <w:trPr>
          <w:trHeight w:val="264"/>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June 30, 2019</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August 1, 2019</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August 15, 2019</w:t>
            </w:r>
          </w:p>
        </w:tc>
        <w:tc>
          <w:tcPr>
            <w:tcW w:w="1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31.2500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33.1250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0.4766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0.5806</w:t>
            </w:r>
          </w:p>
        </w:tc>
        <w:tc>
          <w:tcPr>
            <w:tcW w:w="180" w:type="dxa"/>
            <w:vAlign w:val="bottom"/>
          </w:tcPr>
          <w:p>
            <w:pPr>
              <w:jc w:val="right"/>
              <w:ind w:right="15"/>
              <w:spacing w:after="0"/>
              <w:rPr>
                <w:sz w:val="20"/>
                <w:szCs w:val="20"/>
                <w:color w:val="auto"/>
              </w:rPr>
            </w:pPr>
            <w:r>
              <w:rPr>
                <w:rFonts w:ascii="Arial" w:cs="Arial" w:eastAsia="Arial" w:hAnsi="Arial"/>
                <w:sz w:val="9"/>
                <w:szCs w:val="9"/>
                <w:color w:val="auto"/>
              </w:rPr>
              <w:t>*</w:t>
            </w:r>
          </w:p>
        </w:tc>
      </w:tr>
      <w:tr>
        <w:trPr>
          <w:trHeight w:val="276"/>
        </w:trPr>
        <w:tc>
          <w:tcPr>
            <w:tcW w:w="1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2019</w:t>
            </w:r>
          </w:p>
        </w:tc>
        <w:tc>
          <w:tcPr>
            <w:tcW w:w="1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1, 2019</w:t>
            </w:r>
          </w:p>
        </w:tc>
        <w:tc>
          <w:tcPr>
            <w:tcW w:w="1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November 15, 2019</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0.4766</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shd w:val="clear" w:color="auto" w:fill="CCEEFF"/>
          </w:tcPr>
          <w:p>
            <w:pPr>
              <w:spacing w:after="0"/>
              <w:rPr>
                <w:sz w:val="24"/>
                <w:szCs w:val="24"/>
                <w:color w:val="auto"/>
              </w:rPr>
            </w:pPr>
          </w:p>
        </w:tc>
      </w:tr>
      <w:tr>
        <w:trPr>
          <w:trHeight w:val="258"/>
        </w:trPr>
        <w:tc>
          <w:tcPr>
            <w:tcW w:w="1860" w:type="dxa"/>
            <w:vAlign w:val="bottom"/>
            <w:gridSpan w:val="2"/>
          </w:tcPr>
          <w:p>
            <w:pPr>
              <w:ind w:left="20"/>
              <w:spacing w:after="0"/>
              <w:rPr>
                <w:sz w:val="20"/>
                <w:szCs w:val="20"/>
                <w:color w:val="auto"/>
              </w:rPr>
            </w:pPr>
            <w:r>
              <w:rPr>
                <w:rFonts w:ascii="Arial" w:cs="Arial" w:eastAsia="Arial" w:hAnsi="Arial"/>
                <w:sz w:val="14"/>
                <w:szCs w:val="14"/>
                <w:color w:val="auto"/>
              </w:rPr>
              <w:t>December 31, 2019</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3, 2020</w:t>
            </w:r>
          </w:p>
        </w:tc>
        <w:tc>
          <w:tcPr>
            <w:tcW w:w="1800" w:type="dxa"/>
            <w:vAlign w:val="bottom"/>
            <w:gridSpan w:val="2"/>
          </w:tcPr>
          <w:p>
            <w:pPr>
              <w:ind w:left="40"/>
              <w:spacing w:after="0"/>
              <w:rPr>
                <w:sz w:val="20"/>
                <w:szCs w:val="20"/>
                <w:color w:val="auto"/>
              </w:rPr>
            </w:pPr>
            <w:r>
              <w:rPr>
                <w:rFonts w:ascii="Arial" w:cs="Arial" w:eastAsia="Arial" w:hAnsi="Arial"/>
                <w:sz w:val="14"/>
                <w:szCs w:val="14"/>
                <w:color w:val="auto"/>
              </w:rPr>
              <w:t>February 18, 2020</w:t>
            </w:r>
          </w:p>
        </w:tc>
        <w:tc>
          <w:tcPr>
            <w:tcW w:w="16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31.2500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33.1250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0.4766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0.4750</w:t>
            </w:r>
          </w:p>
        </w:tc>
        <w:tc>
          <w:tcPr>
            <w:tcW w:w="180" w:type="dxa"/>
            <w:vAlign w:val="bottom"/>
          </w:tcPr>
          <w:p>
            <w:pPr>
              <w:spacing w:after="0"/>
              <w:rPr>
                <w:sz w:val="22"/>
                <w:szCs w:val="22"/>
                <w:color w:val="auto"/>
              </w:rPr>
            </w:pPr>
          </w:p>
        </w:tc>
      </w:tr>
    </w:tbl>
    <w:p>
      <w:pPr>
        <w:spacing w:after="0" w:line="322" w:lineRule="exact"/>
        <w:rPr>
          <w:sz w:val="20"/>
          <w:szCs w:val="20"/>
          <w:color w:val="auto"/>
        </w:rPr>
      </w:pPr>
    </w:p>
    <w:p>
      <w:pPr>
        <w:ind w:left="660" w:hanging="328"/>
        <w:spacing w:after="0" w:line="216" w:lineRule="auto"/>
        <w:tabs>
          <w:tab w:leader="none" w:pos="660" w:val="left"/>
        </w:tabs>
        <w:numPr>
          <w:ilvl w:val="0"/>
          <w:numId w:val="164"/>
        </w:numPr>
        <w:rPr>
          <w:rFonts w:ascii="Arial" w:cs="Arial" w:eastAsia="Arial" w:hAnsi="Arial"/>
          <w:sz w:val="25"/>
          <w:szCs w:val="25"/>
          <w:color w:val="auto"/>
          <w:vertAlign w:val="superscript"/>
        </w:rPr>
      </w:pPr>
      <w:r>
        <w:rPr>
          <w:rFonts w:ascii="Arial" w:cs="Arial" w:eastAsia="Arial" w:hAnsi="Arial"/>
          <w:sz w:val="18"/>
          <w:szCs w:val="18"/>
          <w:color w:val="auto"/>
        </w:rPr>
        <w:t>Represent prorated initial distributions. Prorated initial distributions on the recently issued ETO Series F Preferred Units and ETO Series G Preferred Units will be payable in May 2020.</w:t>
      </w:r>
    </w:p>
    <w:p>
      <w:pPr>
        <w:spacing w:after="0" w:line="38"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25"/>
          <w:szCs w:val="25"/>
          <w:color w:val="auto"/>
          <w:vertAlign w:val="superscript"/>
        </w:rPr>
      </w:pPr>
      <w:r>
        <w:rPr>
          <w:rFonts w:ascii="Arial" w:cs="Arial" w:eastAsia="Arial" w:hAnsi="Arial"/>
          <w:sz w:val="18"/>
          <w:szCs w:val="18"/>
          <w:color w:val="auto"/>
        </w:rPr>
        <w:t>ETO Series A Preferred Units and ETO Series B Preferred Unit distributions are paid on a semi-annual basis.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Cash Distributions</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28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0"/>
              </w:rPr>
              <w:t>Marginal Percentage Interest in</w:t>
            </w:r>
          </w:p>
        </w:tc>
      </w:tr>
      <w:tr>
        <w:trPr>
          <w:trHeight w:val="230"/>
        </w:trPr>
        <w:tc>
          <w:tcPr>
            <w:tcW w:w="37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4"/>
              </w:rPr>
              <w:t>Distributions</w:t>
            </w:r>
          </w:p>
        </w:tc>
      </w:tr>
      <w:tr>
        <w:trPr>
          <w:trHeight w:val="27"/>
        </w:trPr>
        <w:tc>
          <w:tcPr>
            <w:tcW w:w="3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37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1380" w:type="dxa"/>
            <w:vAlign w:val="bottom"/>
          </w:tcPr>
          <w:p>
            <w:pPr>
              <w:spacing w:after="0"/>
              <w:rPr>
                <w:sz w:val="19"/>
                <w:szCs w:val="19"/>
                <w:color w:val="auto"/>
              </w:rPr>
            </w:pPr>
          </w:p>
        </w:tc>
      </w:tr>
      <w:tr>
        <w:trPr>
          <w:trHeight w:val="230"/>
        </w:trPr>
        <w:tc>
          <w:tcPr>
            <w:tcW w:w="3760" w:type="dxa"/>
            <w:vAlign w:val="bottom"/>
          </w:tcPr>
          <w:p>
            <w:pPr>
              <w:spacing w:after="0"/>
              <w:rPr>
                <w:sz w:val="20"/>
                <w:szCs w:val="20"/>
                <w:color w:val="auto"/>
              </w:rPr>
            </w:pPr>
          </w:p>
        </w:tc>
        <w:tc>
          <w:tcPr>
            <w:tcW w:w="4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Quarterly Distribution Target Amount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Unitholders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Holder of IDRs</w:t>
            </w:r>
          </w:p>
        </w:tc>
      </w:tr>
      <w:tr>
        <w:trPr>
          <w:trHeight w:val="27"/>
        </w:trPr>
        <w:tc>
          <w:tcPr>
            <w:tcW w:w="376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3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$0.4375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First Target Distribution</w:t>
            </w:r>
          </w:p>
        </w:tc>
        <w:tc>
          <w:tcPr>
            <w:tcW w:w="4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$0.4375 to $0.503125</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3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4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$0.503125 to $0.546875</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Third Target Distribution</w:t>
            </w:r>
          </w:p>
        </w:tc>
        <w:tc>
          <w:tcPr>
            <w:tcW w:w="4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$0.546875 to $0.656250</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37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Above $0.656250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r>
      <w:tr>
        <w:trPr>
          <w:trHeight w:val="648"/>
        </w:trPr>
        <w:tc>
          <w:tcPr>
            <w:tcW w:w="3760" w:type="dxa"/>
            <w:vAlign w:val="bottom"/>
          </w:tcPr>
          <w:p>
            <w:pPr>
              <w:spacing w:after="0"/>
              <w:rPr>
                <w:sz w:val="24"/>
                <w:szCs w:val="24"/>
                <w:color w:val="auto"/>
              </w:rPr>
            </w:pPr>
          </w:p>
        </w:tc>
        <w:tc>
          <w:tcPr>
            <w:tcW w:w="4060" w:type="dxa"/>
            <w:vAlign w:val="bottom"/>
            <w:gridSpan w:val="2"/>
          </w:tcPr>
          <w:p>
            <w:pPr>
              <w:ind w:left="1200"/>
              <w:spacing w:after="0"/>
              <w:rPr>
                <w:sz w:val="20"/>
                <w:szCs w:val="20"/>
                <w:color w:val="auto"/>
              </w:rPr>
            </w:pPr>
            <w:r>
              <w:rPr>
                <w:rFonts w:ascii="Arial" w:cs="Arial" w:eastAsia="Arial" w:hAnsi="Arial"/>
                <w:sz w:val="18"/>
                <w:szCs w:val="18"/>
                <w:color w:val="auto"/>
              </w:rPr>
              <w:t>F - 47</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Sunoco LP’s units declared and/or paid by Sunoco LP were as follows: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100" w:type="dxa"/>
            <w:vAlign w:val="bottom"/>
            <w:gridSpan w:val="2"/>
          </w:tcPr>
          <w:p>
            <w:pPr>
              <w:ind w:left="960"/>
              <w:spacing w:after="0"/>
              <w:rPr>
                <w:sz w:val="20"/>
                <w:szCs w:val="20"/>
                <w:color w:val="auto"/>
              </w:rPr>
            </w:pPr>
            <w:r>
              <w:rPr>
                <w:rFonts w:ascii="Arial" w:cs="Arial" w:eastAsia="Arial" w:hAnsi="Arial"/>
                <w:sz w:val="18"/>
                <w:szCs w:val="18"/>
                <w:color w:val="auto"/>
              </w:rPr>
              <w:t>Quarter Ended</w:t>
            </w:r>
          </w:p>
        </w:tc>
        <w:tc>
          <w:tcPr>
            <w:tcW w:w="2560" w:type="dxa"/>
            <w:vAlign w:val="bottom"/>
            <w:gridSpan w:val="2"/>
          </w:tcPr>
          <w:p>
            <w:pPr>
              <w:ind w:left="780"/>
              <w:spacing w:after="0"/>
              <w:rPr>
                <w:sz w:val="20"/>
                <w:szCs w:val="20"/>
                <w:color w:val="auto"/>
              </w:rPr>
            </w:pPr>
            <w:r>
              <w:rPr>
                <w:rFonts w:ascii="Arial" w:cs="Arial" w:eastAsia="Arial" w:hAnsi="Arial"/>
                <w:sz w:val="18"/>
                <w:szCs w:val="18"/>
                <w:color w:val="auto"/>
              </w:rPr>
              <w:t>Record Date</w:t>
            </w:r>
          </w:p>
        </w:tc>
        <w:tc>
          <w:tcPr>
            <w:tcW w:w="2580" w:type="dxa"/>
            <w:vAlign w:val="bottom"/>
            <w:gridSpan w:val="2"/>
          </w:tcPr>
          <w:p>
            <w:pPr>
              <w:ind w:left="720"/>
              <w:spacing w:after="0"/>
              <w:rPr>
                <w:sz w:val="20"/>
                <w:szCs w:val="20"/>
                <w:color w:val="auto"/>
              </w:rPr>
            </w:pPr>
            <w:r>
              <w:rPr>
                <w:rFonts w:ascii="Arial" w:cs="Arial" w:eastAsia="Arial" w:hAnsi="Arial"/>
                <w:sz w:val="18"/>
                <w:szCs w:val="18"/>
                <w:color w:val="auto"/>
              </w:rPr>
              <w:t>Payment Date</w:t>
            </w:r>
          </w:p>
        </w:tc>
        <w:tc>
          <w:tcPr>
            <w:tcW w:w="580" w:type="dxa"/>
            <w:vAlign w:val="bottom"/>
          </w:tcPr>
          <w:p>
            <w:pPr>
              <w:spacing w:after="0"/>
              <w:rPr>
                <w:sz w:val="20"/>
                <w:szCs w:val="20"/>
                <w:color w:val="auto"/>
              </w:rPr>
            </w:pPr>
          </w:p>
        </w:tc>
        <w:tc>
          <w:tcPr>
            <w:tcW w:w="1880" w:type="dxa"/>
            <w:vAlign w:val="bottom"/>
          </w:tcPr>
          <w:p>
            <w:pPr>
              <w:jc w:val="right"/>
              <w:ind w:right="990"/>
              <w:spacing w:after="0"/>
              <w:rPr>
                <w:sz w:val="20"/>
                <w:szCs w:val="20"/>
                <w:color w:val="auto"/>
              </w:rPr>
            </w:pPr>
            <w:r>
              <w:rPr>
                <w:rFonts w:ascii="Arial" w:cs="Arial" w:eastAsia="Arial" w:hAnsi="Arial"/>
                <w:sz w:val="18"/>
                <w:szCs w:val="18"/>
                <w:color w:val="auto"/>
              </w:rPr>
              <w:t>Rate</w:t>
            </w:r>
          </w:p>
        </w:tc>
      </w:tr>
      <w:tr>
        <w:trPr>
          <w:trHeight w:val="27"/>
        </w:trPr>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13, 2017</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21, 2017</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March 31, 2017</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May 9, 2017</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May 16, 2017</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2017</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November 14, 2017</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6, 2018</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7, 2018</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15, 2018</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November 6, 2018</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6, 2019</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2019</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March 31, 2019</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May 7, 2019</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May 15, 2019</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August 14, 2019</w:t>
            </w:r>
          </w:p>
        </w:tc>
        <w:tc>
          <w:tcPr>
            <w:tcW w:w="5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September 30, 2019</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258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58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2020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2020</w:t>
            </w:r>
          </w:p>
        </w:tc>
        <w:tc>
          <w:tcPr>
            <w:tcW w:w="58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0.8255</w:t>
            </w:r>
          </w:p>
        </w:tc>
      </w:tr>
      <w:tr>
        <w:trPr>
          <w:trHeight w:val="27"/>
        </w:trPr>
        <w:tc>
          <w:tcPr>
            <w:tcW w:w="3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USAC Cash Distributions</w:t>
      </w:r>
    </w:p>
    <w:p>
      <w:pPr>
        <w:spacing w:after="0" w:line="17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Subsequent to the Energy Transfer Merger and USAC Transactions described in Note 1 and Note 3, respectively, ETO owned approximately 39.7 million USAC common units and 6.4 million USAC Class B units. Subsequent to the conversion of the USAC Class B Units to USAC common units on July 30, 2019, ETO owns approximately 46.1 million USAC common units. As of December 31, 2019, USAC had approximately 96.6 million common units outstanding. USAC currently has a non-economic general partner interest and no outstanding IDRs.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USAC’s units declared and/or paid by USAC subsequent to the USAC transaction on April 2, 2018 were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100" w:type="dxa"/>
            <w:vAlign w:val="bottom"/>
            <w:gridSpan w:val="2"/>
          </w:tcPr>
          <w:p>
            <w:pPr>
              <w:ind w:left="960"/>
              <w:spacing w:after="0"/>
              <w:rPr>
                <w:sz w:val="20"/>
                <w:szCs w:val="20"/>
                <w:color w:val="auto"/>
              </w:rPr>
            </w:pPr>
            <w:r>
              <w:rPr>
                <w:rFonts w:ascii="Arial" w:cs="Arial" w:eastAsia="Arial" w:hAnsi="Arial"/>
                <w:sz w:val="18"/>
                <w:szCs w:val="18"/>
                <w:color w:val="auto"/>
              </w:rPr>
              <w:t>Quarter Ended</w:t>
            </w:r>
          </w:p>
        </w:tc>
        <w:tc>
          <w:tcPr>
            <w:tcW w:w="2560" w:type="dxa"/>
            <w:vAlign w:val="bottom"/>
            <w:gridSpan w:val="2"/>
          </w:tcPr>
          <w:p>
            <w:pPr>
              <w:ind w:left="780"/>
              <w:spacing w:after="0"/>
              <w:rPr>
                <w:sz w:val="20"/>
                <w:szCs w:val="20"/>
                <w:color w:val="auto"/>
              </w:rPr>
            </w:pPr>
            <w:r>
              <w:rPr>
                <w:rFonts w:ascii="Arial" w:cs="Arial" w:eastAsia="Arial" w:hAnsi="Arial"/>
                <w:sz w:val="18"/>
                <w:szCs w:val="18"/>
                <w:color w:val="auto"/>
              </w:rPr>
              <w:t>Record Date</w:t>
            </w:r>
          </w:p>
        </w:tc>
        <w:tc>
          <w:tcPr>
            <w:tcW w:w="2140" w:type="dxa"/>
            <w:vAlign w:val="bottom"/>
          </w:tcPr>
          <w:p>
            <w:pPr>
              <w:ind w:left="720"/>
              <w:spacing w:after="0"/>
              <w:rPr>
                <w:sz w:val="20"/>
                <w:szCs w:val="20"/>
                <w:color w:val="auto"/>
              </w:rPr>
            </w:pPr>
            <w:r>
              <w:rPr>
                <w:rFonts w:ascii="Arial" w:cs="Arial" w:eastAsia="Arial" w:hAnsi="Arial"/>
                <w:sz w:val="18"/>
                <w:szCs w:val="18"/>
                <w:color w:val="auto"/>
              </w:rPr>
              <w:t>Payment Date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Rate</w:t>
            </w:r>
          </w:p>
        </w:tc>
        <w:tc>
          <w:tcPr>
            <w:tcW w:w="900" w:type="dxa"/>
            <w:vAlign w:val="bottom"/>
          </w:tcPr>
          <w:p>
            <w:pPr>
              <w:spacing w:after="0"/>
              <w:rPr>
                <w:sz w:val="20"/>
                <w:szCs w:val="20"/>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11, 2018</w:t>
            </w:r>
          </w:p>
        </w:tc>
        <w:tc>
          <w:tcPr>
            <w:tcW w:w="9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July 30, 2018</w:t>
            </w:r>
          </w:p>
        </w:tc>
        <w:tc>
          <w:tcPr>
            <w:tcW w:w="2140" w:type="dxa"/>
            <w:vAlign w:val="bottom"/>
          </w:tcPr>
          <w:p>
            <w:pPr>
              <w:ind w:left="40"/>
              <w:spacing w:after="0"/>
              <w:rPr>
                <w:sz w:val="20"/>
                <w:szCs w:val="20"/>
                <w:color w:val="auto"/>
              </w:rPr>
            </w:pPr>
            <w:r>
              <w:rPr>
                <w:rFonts w:ascii="Arial" w:cs="Arial" w:eastAsia="Arial" w:hAnsi="Arial"/>
                <w:sz w:val="18"/>
                <w:szCs w:val="18"/>
                <w:color w:val="auto"/>
              </w:rPr>
              <w:t>August 10, 2018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29, 2018</w:t>
            </w:r>
          </w:p>
        </w:tc>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09, 2018</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January 28, 2019</w:t>
            </w:r>
          </w:p>
        </w:tc>
        <w:tc>
          <w:tcPr>
            <w:tcW w:w="2140" w:type="dxa"/>
            <w:vAlign w:val="bottom"/>
          </w:tcPr>
          <w:p>
            <w:pPr>
              <w:ind w:left="40"/>
              <w:spacing w:after="0"/>
              <w:rPr>
                <w:sz w:val="20"/>
                <w:szCs w:val="20"/>
                <w:color w:val="auto"/>
              </w:rPr>
            </w:pPr>
            <w:r>
              <w:rPr>
                <w:rFonts w:ascii="Arial" w:cs="Arial" w:eastAsia="Arial" w:hAnsi="Arial"/>
                <w:sz w:val="18"/>
                <w:szCs w:val="18"/>
                <w:color w:val="auto"/>
              </w:rPr>
              <w:t>February 8, 2019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29, 2019</w:t>
            </w:r>
          </w:p>
        </w:tc>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10, 2019</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July 29, 2019</w:t>
            </w:r>
          </w:p>
        </w:tc>
        <w:tc>
          <w:tcPr>
            <w:tcW w:w="2140" w:type="dxa"/>
            <w:vAlign w:val="bottom"/>
          </w:tcPr>
          <w:p>
            <w:pPr>
              <w:ind w:left="40"/>
              <w:spacing w:after="0"/>
              <w:rPr>
                <w:sz w:val="20"/>
                <w:szCs w:val="20"/>
                <w:color w:val="auto"/>
              </w:rPr>
            </w:pPr>
            <w:r>
              <w:rPr>
                <w:rFonts w:ascii="Arial" w:cs="Arial" w:eastAsia="Arial" w:hAnsi="Arial"/>
                <w:sz w:val="18"/>
                <w:szCs w:val="18"/>
                <w:color w:val="auto"/>
              </w:rPr>
              <w:t>August 9, 2019</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28, 2019</w:t>
            </w:r>
          </w:p>
        </w:tc>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8, 2019</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January 27, 2020</w:t>
            </w:r>
          </w:p>
        </w:tc>
        <w:tc>
          <w:tcPr>
            <w:tcW w:w="2140" w:type="dxa"/>
            <w:vAlign w:val="bottom"/>
          </w:tcPr>
          <w:p>
            <w:pPr>
              <w:ind w:left="40"/>
              <w:spacing w:after="0"/>
              <w:rPr>
                <w:sz w:val="20"/>
                <w:szCs w:val="20"/>
                <w:color w:val="auto"/>
              </w:rPr>
            </w:pPr>
            <w:r>
              <w:rPr>
                <w:rFonts w:ascii="Arial" w:cs="Arial" w:eastAsia="Arial" w:hAnsi="Arial"/>
                <w:sz w:val="18"/>
                <w:szCs w:val="18"/>
                <w:color w:val="auto"/>
              </w:rPr>
              <w:t>February 7, 2020</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621"/>
        </w:trPr>
        <w:tc>
          <w:tcPr>
            <w:tcW w:w="5660" w:type="dxa"/>
            <w:vAlign w:val="bottom"/>
            <w:gridSpan w:val="4"/>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5660" w:type="dxa"/>
            <w:vAlign w:val="bottom"/>
            <w:gridSpan w:val="4"/>
          </w:tcPr>
          <w:p>
            <w:pPr>
              <w:spacing w:after="0"/>
              <w:rPr>
                <w:sz w:val="20"/>
                <w:szCs w:val="20"/>
                <w:color w:val="auto"/>
              </w:rPr>
            </w:pPr>
            <w:r>
              <w:rPr>
                <w:rFonts w:ascii="Arial" w:cs="Arial" w:eastAsia="Arial" w:hAnsi="Arial"/>
                <w:sz w:val="18"/>
                <w:szCs w:val="18"/>
                <w:color w:val="auto"/>
              </w:rPr>
              <w:t>The following table presents the components of AOCI, net of tax:</w:t>
            </w: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December 31,</w:t>
            </w:r>
          </w:p>
        </w:tc>
        <w:tc>
          <w:tcPr>
            <w:tcW w:w="900" w:type="dxa"/>
            <w:vAlign w:val="bottom"/>
          </w:tcPr>
          <w:p>
            <w:pPr>
              <w:spacing w:after="0"/>
              <w:rPr>
                <w:sz w:val="24"/>
                <w:szCs w:val="24"/>
                <w:color w:val="auto"/>
              </w:rPr>
            </w:pPr>
          </w:p>
        </w:tc>
      </w:tr>
      <w:tr>
        <w:trPr>
          <w:trHeight w:val="27"/>
        </w:trPr>
        <w:tc>
          <w:tcPr>
            <w:tcW w:w="3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2018</w:t>
            </w:r>
          </w:p>
        </w:tc>
      </w:tr>
      <w:tr>
        <w:trPr>
          <w:trHeight w:val="27"/>
        </w:trPr>
        <w:tc>
          <w:tcPr>
            <w:tcW w:w="3100" w:type="dxa"/>
            <w:vAlign w:val="bottom"/>
            <w:tcBorders>
              <w:bottom w:val="single" w:sz="8" w:color="CCEEFF"/>
            </w:tcBorders>
            <w:gridSpan w:val="2"/>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2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100" w:type="dxa"/>
            <w:vAlign w:val="bottom"/>
            <w:gridSpan w:val="2"/>
          </w:tcPr>
          <w:p>
            <w:pPr>
              <w:ind w:left="20"/>
              <w:spacing w:after="0"/>
              <w:rPr>
                <w:sz w:val="20"/>
                <w:szCs w:val="20"/>
                <w:color w:val="auto"/>
              </w:rPr>
            </w:pPr>
            <w:r>
              <w:rPr>
                <w:rFonts w:ascii="Arial" w:cs="Arial" w:eastAsia="Arial" w:hAnsi="Arial"/>
                <w:sz w:val="18"/>
                <w:szCs w:val="18"/>
                <w:color w:val="auto"/>
                <w:w w:val="96"/>
              </w:rPr>
              <w:t>Foreign currency translation adjustment</w:t>
            </w: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660" w:type="dxa"/>
            <w:vAlign w:val="bottom"/>
            <w:gridSpan w:val="4"/>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Actuarial loss related to pensions and other postretirement benefits</w:t>
            </w:r>
          </w:p>
        </w:tc>
        <w:tc>
          <w:tcPr>
            <w:tcW w:w="2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660" w:type="dxa"/>
            <w:vAlign w:val="bottom"/>
            <w:gridSpan w:val="4"/>
          </w:tcPr>
          <w:p>
            <w:pPr>
              <w:ind w:left="20"/>
              <w:spacing w:after="0"/>
              <w:rPr>
                <w:sz w:val="20"/>
                <w:szCs w:val="20"/>
                <w:color w:val="auto"/>
              </w:rPr>
            </w:pPr>
            <w:r>
              <w:rPr>
                <w:rFonts w:ascii="Arial" w:cs="Arial" w:eastAsia="Arial" w:hAnsi="Arial"/>
                <w:sz w:val="18"/>
                <w:szCs w:val="18"/>
                <w:color w:val="auto"/>
              </w:rPr>
              <w:t>Investments in unconsolidated affiliates, net</w:t>
            </w:r>
          </w:p>
        </w:tc>
        <w:tc>
          <w:tcPr>
            <w:tcW w:w="2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100" w:type="dxa"/>
            <w:vAlign w:val="bottom"/>
            <w:tcBorders>
              <w:bottom w:val="single" w:sz="8" w:color="CCEEFF"/>
            </w:tcBorders>
            <w:gridSpan w:val="2"/>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AOCI, net of tax</w:t>
            </w:r>
          </w:p>
        </w:tc>
        <w:tc>
          <w:tcPr>
            <w:tcW w:w="2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- 48</w:t>
      </w:r>
    </w:p>
    <w:p>
      <w:pPr>
        <w:sectPr>
          <w:pgSz w:w="11900" w:h="16838" w:orient="portrait"/>
          <w:cols w:equalWidth="0" w:num="1">
            <w:col w:w="11420"/>
          </w:cols>
          <w:pgMar w:left="240" w:top="118" w:right="239" w:bottom="1440" w:gutter="0" w:footer="0" w:header="0"/>
          <w:type w:val="continuous"/>
        </w:sectPr>
      </w:pPr>
    </w:p>
    <w:bookmarkStart w:id="214" w:name="page215"/>
    <w:bookmarkEnd w:id="2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tax amounts included in the respective components of other comprehensive income:</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2018</w:t>
            </w:r>
          </w:p>
        </w:tc>
      </w:tr>
      <w:tr>
        <w:trPr>
          <w:trHeight w:val="27"/>
        </w:trPr>
        <w:tc>
          <w:tcPr>
            <w:tcW w:w="7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loss relating to pension and other postretirement benefits</w:t>
            </w:r>
          </w:p>
        </w:tc>
        <w:tc>
          <w:tcPr>
            <w:tcW w:w="9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7800" w:type="dxa"/>
            <w:vAlign w:val="bottom"/>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340" w:right="7920" w:hanging="332"/>
        <w:spacing w:after="0" w:line="466" w:lineRule="auto"/>
        <w:tabs>
          <w:tab w:leader="none" w:pos="340"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NON-CASH COMPENSATION PLANS: </w:t>
      </w:r>
      <w:r>
        <w:rPr>
          <w:rFonts w:ascii="Arial" w:cs="Arial" w:eastAsia="Arial" w:hAnsi="Arial"/>
          <w:sz w:val="17"/>
          <w:szCs w:val="17"/>
          <w:b w:val="1"/>
          <w:bCs w:val="1"/>
          <w:i w:val="1"/>
          <w:iCs w:val="1"/>
          <w:color w:val="auto"/>
        </w:rPr>
        <w:t>ET Non-Cash Compensation Plan</w:t>
      </w:r>
    </w:p>
    <w:p>
      <w:pPr>
        <w:spacing w:after="0" w:line="1" w:lineRule="exact"/>
        <w:rPr>
          <w:rFonts w:ascii="Arial" w:cs="Arial" w:eastAsia="Arial" w:hAnsi="Arial"/>
          <w:sz w:val="17"/>
          <w:szCs w:val="17"/>
          <w:b w:val="1"/>
          <w:bCs w:val="1"/>
          <w:color w:val="auto"/>
        </w:rPr>
      </w:pPr>
    </w:p>
    <w:p>
      <w:pPr>
        <w:jc w:val="both"/>
        <w:ind w:left="3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We, Sunoco LP and USAC, have issued equity incentive plans for employees, officers and directors, which provide for various types of awards, including options to purchase Common Units, restricted units, phantom units, distribution equivalent rights (“DERs”), common unit appreciation rights, cash restricted units and other non-cash compensation awards. As of December 31, 2019, an aggregate total of 6.5 million ET Common Units remain available to be awarded under our equity incentive plans.</w:t>
      </w:r>
    </w:p>
    <w:p>
      <w:pPr>
        <w:spacing w:after="0" w:line="128"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ET Long-Term Incentive Plan</w:t>
      </w:r>
    </w:p>
    <w:p>
      <w:pPr>
        <w:spacing w:after="0" w:line="175" w:lineRule="exact"/>
        <w:rPr>
          <w:rFonts w:ascii="Arial" w:cs="Arial" w:eastAsia="Arial" w:hAnsi="Arial"/>
          <w:sz w:val="17"/>
          <w:szCs w:val="17"/>
          <w:b w:val="1"/>
          <w:bCs w:val="1"/>
          <w:color w:val="auto"/>
        </w:rPr>
      </w:pPr>
    </w:p>
    <w:p>
      <w:pPr>
        <w:jc w:val="both"/>
        <w:ind w:left="3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We have granted restricted unit awards to employees that vest over a specified time period, typically a five-year service vesting requirement, with vesting based on continued employment as of each applicable vesting date. Upon vesting, ET Common Units are issued. These unit awards entitle the recipients of the unit awards to receive, with respect to each Common Unit subject to such award that has not either vested or been forfeited, a cash payment equal to each cash distribution per Common Unit made by us on our Common Units promptly following each such distribution by us to our Unitholders. We refer to these rights as “distribution equivalent rights.” Under our equity incentive plans, our non-employee directors each receive grants with a five-year service vesting requirement.</w:t>
      </w:r>
    </w:p>
    <w:p>
      <w:pPr>
        <w:spacing w:after="0" w:line="139"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shows the activity of the awards granted to employees and non-employee directors: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right"/>
              <w:ind w:right="50"/>
              <w:spacing w:after="0"/>
              <w:rPr>
                <w:sz w:val="20"/>
                <w:szCs w:val="20"/>
                <w:color w:val="auto"/>
              </w:rPr>
            </w:pPr>
            <w:r>
              <w:rPr>
                <w:rFonts w:ascii="Arial" w:cs="Arial" w:eastAsia="Arial" w:hAnsi="Arial"/>
                <w:sz w:val="18"/>
                <w:szCs w:val="18"/>
                <w:color w:val="auto"/>
                <w:w w:val="90"/>
              </w:rPr>
              <w:t>Weighted Average Grant-</w:t>
            </w:r>
          </w:p>
        </w:tc>
      </w:tr>
      <w:tr>
        <w:trPr>
          <w:trHeight w:val="230"/>
        </w:trPr>
        <w:tc>
          <w:tcPr>
            <w:tcW w:w="63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Arial" w:cs="Arial" w:eastAsia="Arial" w:hAnsi="Arial"/>
                <w:sz w:val="18"/>
                <w:szCs w:val="18"/>
                <w:color w:val="auto"/>
                <w:w w:val="95"/>
              </w:rPr>
              <w:t>Number of Units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w w:val="93"/>
              </w:rPr>
              <w:t>Date Fair Value Per Unit</w:t>
            </w:r>
          </w:p>
        </w:tc>
      </w:tr>
      <w:tr>
        <w:trPr>
          <w:trHeight w:val="27"/>
        </w:trPr>
        <w:tc>
          <w:tcPr>
            <w:tcW w:w="63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Replacement awards issued in the SemGroup Transaction</w:t>
            </w: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7"/>
        </w:trPr>
        <w:tc>
          <w:tcPr>
            <w:tcW w:w="6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Awards granted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4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Awards vested</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21.09</w:t>
            </w:r>
          </w:p>
        </w:tc>
      </w:tr>
      <w:tr>
        <w:trPr>
          <w:trHeight w:val="27"/>
        </w:trPr>
        <w:tc>
          <w:tcPr>
            <w:tcW w:w="6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forfeited</w:t>
            </w:r>
          </w:p>
        </w:tc>
        <w:tc>
          <w:tcPr>
            <w:tcW w:w="1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57"/>
        </w:trPr>
        <w:tc>
          <w:tcPr>
            <w:tcW w:w="6320" w:type="dxa"/>
            <w:vAlign w:val="bottom"/>
          </w:tcPr>
          <w:p>
            <w:pPr>
              <w:ind w:left="20"/>
              <w:spacing w:after="0"/>
              <w:rPr>
                <w:sz w:val="20"/>
                <w:szCs w:val="20"/>
                <w:color w:val="auto"/>
              </w:rPr>
            </w:pPr>
            <w:r>
              <w:rPr>
                <w:rFonts w:ascii="Arial" w:cs="Arial" w:eastAsia="Arial" w:hAnsi="Arial"/>
                <w:sz w:val="18"/>
                <w:szCs w:val="18"/>
                <w:color w:val="auto"/>
              </w:rPr>
              <w:t>Unvested awards as of December 31, 2019</w:t>
            </w:r>
          </w:p>
        </w:tc>
        <w:tc>
          <w:tcPr>
            <w:tcW w:w="17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0"/>
        </w:trPr>
        <w:tc>
          <w:tcPr>
            <w:tcW w:w="6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During the years ended December 31, 2019, 2018, and 2017, the weighted average grant-date fair value per unit award granted was $12.51, $13.00 and $17.01, respectively. The total fair value of awards vested was $47 million, $49 million, and $40 million, respectively, based on the market price of the respective Common Units as of the vesting date. As of December 31, 2019, a total of 28.0 million unit awards remain unvested, for which ET expects to recognize a total of $258 million in compensation expense over a weighted average period of 2.6 years.</w:t>
      </w:r>
    </w:p>
    <w:p>
      <w:pPr>
        <w:spacing w:after="0" w:line="11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Cash Restricted Units. </w:t>
      </w:r>
      <w:r>
        <w:rPr>
          <w:rFonts w:ascii="Arial" w:cs="Arial" w:eastAsia="Arial" w:hAnsi="Arial"/>
          <w:sz w:val="18"/>
          <w:szCs w:val="18"/>
          <w:color w:val="auto"/>
        </w:rPr>
        <w:t>We previously granted cash restricted units, which entitled the award recipient to receive cash equal to the market value of one ET</w:t>
      </w:r>
      <w:r>
        <w:rPr>
          <w:rFonts w:ascii="Arial" w:cs="Arial" w:eastAsia="Arial" w:hAnsi="Arial"/>
          <w:sz w:val="18"/>
          <w:szCs w:val="18"/>
          <w:i w:val="1"/>
          <w:iCs w:val="1"/>
          <w:color w:val="auto"/>
        </w:rPr>
        <w:t xml:space="preserve"> </w:t>
      </w:r>
      <w:r>
        <w:rPr>
          <w:rFonts w:ascii="Arial" w:cs="Arial" w:eastAsia="Arial" w:hAnsi="Arial"/>
          <w:sz w:val="18"/>
          <w:szCs w:val="18"/>
          <w:color w:val="auto"/>
        </w:rPr>
        <w:t>Common Unit upon vesting. The Partnership does not currently have any cash restricted units outstanding.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Subsidiary Long-Term Incentive Plans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Each of Sunoco LP and USAC has granted restricted or phantom unit awards (collectively, the “Subsidiary Unit Awards”) to employees and directors that entitle the grantees to receive common units of the respective subsidiary. In some cases, at the discretion of the respective subsidiary’s compensation committee, the grantee may instead receive an amount of cash equivalent to the value of common units upon vesting. Substantially all of the Subsidiary Unit Awards are time-vested grants,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ectPr>
          <w:pgSz w:w="11900" w:h="16838" w:orient="portrait"/>
          <w:cols w:equalWidth="0" w:num="1">
            <w:col w:w="11420"/>
          </w:cols>
          <w:pgMar w:left="240" w:top="118" w:right="239"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generally vest over a three or five-year period, that entitles the grantees of the unit awards to receive an amount of cash equal to the per unit cash distributions made by the respective subsidiaries during the period the restricted unit is outstanding.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the Subsidiary Unit Awards: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3000" w:type="dxa"/>
            <w:vAlign w:val="bottom"/>
            <w:gridSpan w:val="4"/>
          </w:tcPr>
          <w:p>
            <w:pPr>
              <w:jc w:val="right"/>
              <w:ind w:right="1070"/>
              <w:spacing w:after="0"/>
              <w:rPr>
                <w:sz w:val="20"/>
                <w:szCs w:val="20"/>
                <w:color w:val="auto"/>
              </w:rPr>
            </w:pPr>
            <w:r>
              <w:rPr>
                <w:rFonts w:ascii="Arial" w:cs="Arial" w:eastAsia="Arial" w:hAnsi="Arial"/>
                <w:sz w:val="18"/>
                <w:szCs w:val="18"/>
                <w:color w:val="auto"/>
              </w:rPr>
              <w:t>Sunoco LP</w:t>
            </w:r>
          </w:p>
        </w:tc>
        <w:tc>
          <w:tcPr>
            <w:tcW w:w="2880" w:type="dxa"/>
            <w:vAlign w:val="bottom"/>
            <w:gridSpan w:val="4"/>
          </w:tcPr>
          <w:p>
            <w:pPr>
              <w:jc w:val="right"/>
              <w:ind w:right="1110"/>
              <w:spacing w:after="0"/>
              <w:rPr>
                <w:sz w:val="20"/>
                <w:szCs w:val="20"/>
                <w:color w:val="auto"/>
              </w:rPr>
            </w:pPr>
            <w:r>
              <w:rPr>
                <w:rFonts w:ascii="Arial" w:cs="Arial" w:eastAsia="Arial" w:hAnsi="Arial"/>
                <w:sz w:val="18"/>
                <w:szCs w:val="18"/>
                <w:color w:val="auto"/>
              </w:rPr>
              <w:t>USAC</w:t>
            </w:r>
          </w:p>
        </w:tc>
      </w:tr>
      <w:tr>
        <w:trPr>
          <w:trHeight w:val="27"/>
        </w:trPr>
        <w:tc>
          <w:tcPr>
            <w:tcW w:w="48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4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color w:val="auto"/>
                <w:w w:val="89"/>
              </w:rPr>
              <w:t>Weighted</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Weighted</w:t>
            </w: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89"/>
              </w:rPr>
              <w:t>Average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86"/>
              </w:rPr>
              <w:t>Average</w:t>
            </w: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color w:val="auto"/>
                <w:w w:val="91"/>
              </w:rPr>
              <w:t>Grant-Date Fair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w w:val="89"/>
              </w:rPr>
              <w:t>Grant-Date Fair</w:t>
            </w:r>
          </w:p>
        </w:tc>
      </w:tr>
      <w:tr>
        <w:trPr>
          <w:trHeight w:val="216"/>
        </w:trPr>
        <w:tc>
          <w:tcPr>
            <w:tcW w:w="482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86"/>
              </w:rPr>
              <w:t>Value</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1"/>
              </w:rPr>
              <w:t>Value</w:t>
            </w:r>
          </w:p>
        </w:tc>
      </w:tr>
      <w:tr>
        <w:trPr>
          <w:trHeight w:val="230"/>
        </w:trPr>
        <w:tc>
          <w:tcPr>
            <w:tcW w:w="48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Units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92"/>
              </w:rPr>
              <w:t>Per Unit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Units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95"/>
              </w:rPr>
              <w:t>Per Unit</w:t>
            </w:r>
          </w:p>
        </w:tc>
      </w:tr>
      <w:tr>
        <w:trPr>
          <w:trHeight w:val="27"/>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2018</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29.15</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Awards granted</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30.70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15.88</w:t>
            </w:r>
          </w:p>
        </w:tc>
      </w:tr>
      <w:tr>
        <w:trPr>
          <w:trHeight w:val="27"/>
        </w:trPr>
        <w:tc>
          <w:tcPr>
            <w:tcW w:w="4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Awards 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30.04</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Awards 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28.16</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16.78</w:t>
            </w:r>
          </w:p>
        </w:tc>
      </w:tr>
      <w:tr>
        <w:trPr>
          <w:trHeight w:val="27"/>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2019</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29.21</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w:t>
            </w: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weighted average grant-date fair value per unit award granted:</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60" w:type="dxa"/>
            <w:vAlign w:val="bottom"/>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6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color w:val="auto"/>
              </w:rPr>
              <w:t>2017</w:t>
            </w: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Sunoco LP</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28.31</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USAC</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N/A</w:t>
            </w:r>
          </w:p>
        </w:tc>
      </w:tr>
    </w:tbl>
    <w:p>
      <w:pPr>
        <w:spacing w:after="0" w:line="39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total fair value of Subsidiary Unit Awards vested for the years ended December 31, 2019, 2018 and 2017 was $17 million, $22 million, and $9 million, respectively, based on the market price of Sunoco LP and USAC common units as of the vesting date for the years ended December 31, 2019 and 2018 and Sunoco LP for the year ended December 31, 2017. As of December 31, 2019, estimated compensation cost related to Subsidiary Unit Awards not yet recognized was $57 million, and the weighted average period over which this cost is expected to be recognized in expense is 3.6 years.</w:t>
      </w:r>
    </w:p>
    <w:p>
      <w:pPr>
        <w:spacing w:after="0" w:line="96" w:lineRule="exact"/>
        <w:rPr>
          <w:sz w:val="20"/>
          <w:szCs w:val="20"/>
          <w:color w:val="auto"/>
        </w:rPr>
      </w:pPr>
    </w:p>
    <w:p>
      <w:pPr>
        <w:ind w:left="340" w:hanging="332"/>
        <w:spacing w:after="0"/>
        <w:tabs>
          <w:tab w:leader="none" w:pos="3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75"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a partnership, we are not subject to United States federal income tax and most state income taxes. However, the Partnership conducts certain activities through corporate subsidiaries which are subject to federal and state income taxes. The components of the federal and state income tax expense (benefit) of our taxable subsidiaries were summarized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0" w:type="dxa"/>
            <w:vAlign w:val="bottom"/>
            <w:gridSpan w:val="6"/>
          </w:tcPr>
          <w:p>
            <w:pPr>
              <w:jc w:val="right"/>
              <w:ind w:right="90"/>
              <w:spacing w:after="0"/>
              <w:rPr>
                <w:sz w:val="20"/>
                <w:szCs w:val="20"/>
                <w:color w:val="auto"/>
              </w:rPr>
            </w:pPr>
            <w:r>
              <w:rPr>
                <w:rFonts w:ascii="Arial" w:cs="Arial" w:eastAsia="Arial" w:hAnsi="Arial"/>
                <w:sz w:val="18"/>
                <w:szCs w:val="18"/>
                <w:color w:val="auto"/>
                <w:w w:val="99"/>
              </w:rPr>
              <w:t>Years Ended December 31,</w:t>
            </w:r>
          </w:p>
        </w:tc>
        <w:tc>
          <w:tcPr>
            <w:tcW w:w="102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6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 (benefit):</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30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expense (benefit):</w:t>
            </w: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7"/>
        </w:trPr>
        <w:tc>
          <w:tcPr>
            <w:tcW w:w="6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7"/>
        </w:trPr>
        <w:tc>
          <w:tcPr>
            <w:tcW w:w="630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w:t>
            </w:r>
          </w:p>
        </w:tc>
      </w:tr>
      <w:tr>
        <w:trPr>
          <w:trHeight w:val="27"/>
        </w:trPr>
        <w:tc>
          <w:tcPr>
            <w:tcW w:w="6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 from continuing operations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Historically, our effective tax rate has differed from the statutory rate primarily due to partnership earnings that are not subject to United States federal and most state income taxes at the partnership level. A reconciliation of income tax expense at the United States statutory rate to the Partnership’s income tax benefit for the years ended December 31, 2019, 2018 and 2017 is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- 50</w:t>
      </w:r>
    </w:p>
    <w:p>
      <w:pPr>
        <w:sectPr>
          <w:pgSz w:w="11900" w:h="16838" w:orient="portrait"/>
          <w:cols w:equalWidth="0" w:num="1">
            <w:col w:w="11420"/>
          </w:cols>
          <w:pgMar w:left="240" w:top="118" w:right="23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92"/>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at United States statutory rate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1,070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405"/>
        </w:trPr>
        <w:tc>
          <w:tcPr>
            <w:tcW w:w="6300" w:type="dxa"/>
            <w:vAlign w:val="bottom"/>
          </w:tcPr>
          <w:p>
            <w:pPr>
              <w:ind w:left="20"/>
              <w:spacing w:after="0"/>
              <w:rPr>
                <w:sz w:val="20"/>
                <w:szCs w:val="20"/>
                <w:color w:val="auto"/>
              </w:rPr>
            </w:pPr>
            <w:r>
              <w:rPr>
                <w:rFonts w:ascii="Arial" w:cs="Arial" w:eastAsia="Arial" w:hAnsi="Arial"/>
                <w:sz w:val="18"/>
                <w:szCs w:val="18"/>
                <w:color w:val="auto"/>
              </w:rPr>
              <w:t>Increase (reduction) in income taxes resulting from:</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 earnings not subject to tax</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8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tax, net of federal tax benefit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Dividend received deduction</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rate change</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Change in tax status of subsidiary</w:t>
            </w:r>
          </w:p>
        </w:tc>
        <w:tc>
          <w:tcPr>
            <w:tcW w:w="8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6300" w:type="dxa"/>
            <w:vAlign w:val="bottom"/>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w:t>
            </w:r>
          </w:p>
        </w:tc>
      </w:tr>
      <w:tr>
        <w:trPr>
          <w:trHeight w:val="20"/>
        </w:trPr>
        <w:tc>
          <w:tcPr>
            <w:tcW w:w="6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Deferred taxes result from the temporary differences between financial reporting carrying amounts and the tax basis of existing assets and liabilities. The table below summarizes the principal components of the deferred tax assets (liabilities) as follows:</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2018</w:t>
            </w:r>
          </w:p>
        </w:tc>
      </w:tr>
      <w:tr>
        <w:trPr>
          <w:trHeight w:val="27"/>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Net operating losses, alternative minimum tax credit and other carryforwards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Total deferred income tax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7800" w:type="dxa"/>
            <w:vAlign w:val="bottom"/>
          </w:tcPr>
          <w:p>
            <w:pPr>
              <w:ind w:left="34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78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Investments in affiliates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(2,872)</w:t>
            </w:r>
          </w:p>
        </w:tc>
      </w:tr>
      <w:tr>
        <w:trPr>
          <w:trHeight w:val="27"/>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78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income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57"/>
        </w:trPr>
        <w:tc>
          <w:tcPr>
            <w:tcW w:w="7800" w:type="dxa"/>
            <w:vAlign w:val="bottom"/>
          </w:tcPr>
          <w:p>
            <w:pPr>
              <w:ind w:left="50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w:t>
            </w:r>
          </w:p>
        </w:tc>
      </w:tr>
      <w:tr>
        <w:trPr>
          <w:trHeight w:val="20"/>
        </w:trPr>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As of December 31, 2019, ETP Holdco had a federal net operating loss carryforward of $2.65 billion, of which $1.10 billion will expire between 2031 and 2037 while the remaining can be carried forward indefinitely. As of December 31, 2019, Semgroup Corporation had a federal net operating loss carryforward of $766 million of which $185 million will expire between 2031 and 2037 while the remaining can be carried forward indefinitely. As of December 31, 2019, Sunoco Property Company LLC, a corporate subsidiary of Sunoco LP, has no federal net operating loss carryforward.</w:t>
      </w:r>
    </w:p>
    <w:p>
      <w:pPr>
        <w:spacing w:after="0" w:line="117"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Our corporate subsidiaries have $15 million of federal alternative minimum tax credits at December 31, 2019, of which $8 million is expected to be reclassified to current income tax receivable in 2020 pursuant to the Tax Cuts and Jobs Act. Our corporate subsidiaries have state net operating loss carryforward benefits of $118 million, net of federal tax, which expire between 2020 and 2038, while others are carried forward indefinitely. Our corporate subsidiaries have Canadian net operating losses of $68 million that will begin to expire in 2033 and foreign tax credits of $45 million that will begin to expire in 2020. Our corporate subsidiaries have cumulative excess business interest expense of $35 million available for carryforward indefinitely. A valuation allowance of $49 million is attributable to state net operating loss carryforward benefits primarily attributable to significant restrictions on their use in the Commonwealth of Pennsylvania. A separate valuation allowance of $46 million is attributable to foreign tax credits.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- 51</w:t>
      </w:r>
    </w:p>
    <w:p>
      <w:pPr>
        <w:sectPr>
          <w:pgSz w:w="11900" w:h="16838" w:orient="portrait"/>
          <w:cols w:equalWidth="0" w:num="1">
            <w:col w:w="11420"/>
          </w:cols>
          <w:pgMar w:left="240" w:top="118" w:right="2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2"/>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5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01"/>
        </w:trPr>
        <w:tc>
          <w:tcPr>
            <w:tcW w:w="34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The following table sets forth the changes in unrecognized tax benefits:</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0"/>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560" w:type="dxa"/>
            <w:vAlign w:val="bottom"/>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43"/>
        </w:trPr>
        <w:tc>
          <w:tcPr>
            <w:tcW w:w="340" w:type="dxa"/>
            <w:vAlign w:val="bottom"/>
          </w:tcPr>
          <w:p>
            <w:pPr>
              <w:spacing w:after="0"/>
              <w:rPr>
                <w:sz w:val="21"/>
                <w:szCs w:val="21"/>
                <w:color w:val="auto"/>
              </w:rPr>
            </w:pPr>
          </w:p>
        </w:tc>
        <w:tc>
          <w:tcPr>
            <w:tcW w:w="5980" w:type="dxa"/>
            <w:vAlign w:val="bottom"/>
            <w:gridSpan w:val="2"/>
          </w:tcPr>
          <w:p>
            <w:pPr>
              <w:ind w:left="260"/>
              <w:spacing w:after="0"/>
              <w:rPr>
                <w:sz w:val="20"/>
                <w:szCs w:val="20"/>
                <w:color w:val="auto"/>
              </w:rPr>
            </w:pPr>
            <w:r>
              <w:rPr>
                <w:rFonts w:ascii="Arial" w:cs="Arial" w:eastAsia="Arial" w:hAnsi="Arial"/>
                <w:sz w:val="18"/>
                <w:szCs w:val="18"/>
                <w:color w:val="auto"/>
              </w:rPr>
              <w:t>Additions attributable to tax positions taken in the current year</w:t>
            </w:r>
          </w:p>
        </w:tc>
        <w:tc>
          <w:tcPr>
            <w:tcW w:w="100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Additions attributable to tax positions taken in prior years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340" w:type="dxa"/>
            <w:vAlign w:val="bottom"/>
          </w:tcPr>
          <w:p>
            <w:pPr>
              <w:spacing w:after="0"/>
              <w:rPr>
                <w:sz w:val="21"/>
                <w:szCs w:val="21"/>
                <w:color w:val="auto"/>
              </w:rPr>
            </w:pPr>
          </w:p>
        </w:tc>
        <w:tc>
          <w:tcPr>
            <w:tcW w:w="5980" w:type="dxa"/>
            <w:vAlign w:val="bottom"/>
            <w:gridSpan w:val="2"/>
          </w:tcPr>
          <w:p>
            <w:pPr>
              <w:ind w:left="260"/>
              <w:spacing w:after="0"/>
              <w:rPr>
                <w:sz w:val="20"/>
                <w:szCs w:val="20"/>
                <w:color w:val="auto"/>
              </w:rPr>
            </w:pPr>
            <w:r>
              <w:rPr>
                <w:rFonts w:ascii="Arial" w:cs="Arial" w:eastAsia="Arial" w:hAnsi="Arial"/>
                <w:sz w:val="18"/>
                <w:szCs w:val="18"/>
                <w:color w:val="auto"/>
              </w:rPr>
              <w:t>Reduction attributable to tax positions taken in prior years</w:t>
            </w: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59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Lapse of statute</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340" w:type="dxa"/>
            <w:vAlign w:val="bottom"/>
          </w:tcPr>
          <w:p>
            <w:pPr>
              <w:spacing w:after="0"/>
              <w:rPr>
                <w:sz w:val="22"/>
                <w:szCs w:val="22"/>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Balance at end of year</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2019, we have $90 million ($72 million after federal income tax benefits) related to tax positions which, if recognized, would impact our effective tax rate.</w:t>
      </w:r>
    </w:p>
    <w:p>
      <w:pPr>
        <w:spacing w:after="0" w:line="11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Our policy is to accrue interest expense and penalties on income tax underpayments (overpayments) as a component of income tax expense. During 2019, we recognized interest and penalties of less than $1 million. At December 31, 2019, we have interest and penalties accrued of $3 million, net of tax.</w:t>
      </w:r>
    </w:p>
    <w:p>
      <w:pPr>
        <w:spacing w:after="0" w:line="70"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We appealed the adverse Court of Federal Claims decision against ETC Sunoco regarding the IRS' denial of ethanol blending credits claims under Section 6426 to the Federal Circuit. The Federal Circuit affirmed the CFC's denial on November 1, 2018. ETC Sunoco filed a petition for certiorari with the Supreme Court on May 24, 2019 to review the Federal Circuit's affirmation of the CFC's ruling, and the Court denied ETC Sunoco's petition on October 7, 2019. The petition for certiorari applied to Sunoco's 2004 through 2009 tax years, and 2010 - 2011 are on extension with the IRS through March 30, 2020, via a Form 907 (Agreement to Extend the Time to Bring Suit). Due to the uncertainty surrounding the litigation, a reserve of $530 million was previously established for the full amount of the pending refund claims, and the receivable and reserve for this issue were netted in the balance sheet. Subsequent to the Supreme Court's denial of the petition in October 2019, the receivable and reserve have been reversed, with no impact to the Partnership's financial position and results of operations.</w:t>
      </w:r>
    </w:p>
    <w:p>
      <w:pPr>
        <w:spacing w:after="0" w:line="125"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In November 2015, the Pennsylvania Commonwealth Court determined in Nextel Communications v. Commonwealth (“Nextel”) that the Pennsylvania limitation on NOL carryforward deductions violated the uniformity clause of the Pennsylvania Constitution and struck the NOL limitation in its entirety. In October 2017, the Pennsylvania Supreme Court affirmed the decision with respect to the uniformity clause violation; however, the Court reversed with respect to the remedy and instead severed the flat-dollar limitation, leaving the percentage-based limitation intact. Nextel subsequently filed a petition for writ of certiorari with the United States Supreme Court, and this was denied on June 11, 2018. Now certain Pennsylvania taxpayers are proceeding with litigation in Pennsylvania state courts on issues not addressed by the Pennsylvania Supreme Court in Nextel, specifically, whether the Due Process and Equal Protection Clauses of the United States Constitution and the Remedies Clause of the Pennsylvania Constitution require a court to grant the taxpayer relief. ETC Sunoco has recognized approximately $67 million ($53 million after federal income tax benefits) in tax benefit based on previously filed tax returns and certain previously filed protective claims as relates to its cases currently held pending the Nextel matter. However, based upon the Pennsylvania Supreme Court’s October 2017 decision, and because of uncertainty in the breadth of the application of the decision, we have reserved $34 million ($27 million after federal income tax benefits) against the receivable.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general, ET and its subsidiaries are no longer subject to examination by the IRS, and most state jurisdictions, for the 2014 and prior tax years.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ET and its subsidiaries also have various state and local income tax returns in the process of examination or administrative appeal in various jurisdictions.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the appropriate accruals or unrecognized tax benefits have been recorded for any potential assessment with respect to these examinations.</w:t>
      </w:r>
    </w:p>
    <w:p>
      <w:pPr>
        <w:spacing w:after="0" w:line="176" w:lineRule="exact"/>
        <w:rPr>
          <w:sz w:val="20"/>
          <w:szCs w:val="20"/>
          <w:color w:val="auto"/>
        </w:rPr>
      </w:pPr>
    </w:p>
    <w:p>
      <w:pPr>
        <w:ind w:left="340" w:right="2420" w:hanging="332"/>
        <w:spacing w:after="0" w:line="440" w:lineRule="auto"/>
        <w:tabs>
          <w:tab w:leader="none" w:pos="3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REGULATORY MATTERS, COMMITMENTS, CONTINGENCIES AND ENVIRONMENTAL LIABILITIES: </w:t>
      </w:r>
      <w:r>
        <w:rPr>
          <w:rFonts w:ascii="Arial" w:cs="Arial" w:eastAsia="Arial" w:hAnsi="Arial"/>
          <w:sz w:val="18"/>
          <w:szCs w:val="18"/>
          <w:b w:val="1"/>
          <w:bCs w:val="1"/>
          <w:color w:val="auto"/>
        </w:rPr>
        <w:t>FERC Proceedings</w:t>
      </w:r>
    </w:p>
    <w:p>
      <w:pPr>
        <w:spacing w:after="0" w:line="1" w:lineRule="exact"/>
        <w:rPr>
          <w:rFonts w:ascii="Arial" w:cs="Arial" w:eastAsia="Arial" w:hAnsi="Arial"/>
          <w:sz w:val="18"/>
          <w:szCs w:val="18"/>
          <w:b w:val="1"/>
          <w:bCs w:val="1"/>
          <w:color w:val="auto"/>
        </w:rPr>
      </w:pP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By Order issued January 16, 2019, the FERC initiated a review of Panhandle’s existing rates pursuant to Section 5 of the Natural Gas Act to determine whether the rates currently charged by Panhandle are just and reasonable and set the matter for hearing. On August 30, 2019, Panhandle filed a general rate proceeding under Section 4 of the Natural Gas Act. The Natural Gas Act Section 5 and Section 4 proceedings were consolidated by the Order dated October 1, 2019. A hearing in the combined proceedings is scheduled for August 2020, with an initial decision expected in early 2021.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- 52</w:t>
      </w:r>
    </w:p>
    <w:p>
      <w:pPr>
        <w:sectPr>
          <w:pgSz w:w="11900" w:h="16838" w:orient="portrait"/>
          <w:cols w:equalWidth="0" w:num="1">
            <w:col w:w="11420"/>
          </w:cols>
          <w:pgMar w:left="240" w:top="114" w:right="239"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By Order issued February 19, 2019, the FERC initiated a review of Southwest Gas’ existing rates pursuant to Section 5 of the Natural Gas Act to determine whether the rates currently charged by Southwest Gas are just and reasonable and set the matter for hearing. Southwest Gas filed a cost and revenue study on May 6, 2019. On July 10, 2019, Southwest Gas filed an Offer of Settlement in this Section 5 proceeding, which settlement was supported or not opposed by Commission Trial Staff and all active parties. By order dated October 29, 2019, the FERC approved the settlement as filed, and there is not a material impact on revenue.</w:t>
      </w:r>
    </w:p>
    <w:p>
      <w:pPr>
        <w:spacing w:after="0" w:line="13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addition, on November 30, 2018, Sea Robin filed a rate case pursuant to Section 4 of the Natural Gas Act. On July 22, 2019, Sea Robin filed an Offer of Settlement in this Section 4 proceeding, which settlement was supported or not opposed by Commission Trial Staff and all active parties. By order dated October 17, 2019, the FERC approved the settlement as filed, and there is not a material impact on revenue.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Commitments</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In the normal course of business, ETO purchases, processes and sells natural gas pursuant to long-term contracts and enters into long-term transportation and storage agreements. Such contracts contain terms that are customary in the industry. ETO believes that the terms of these agreements are commercially reasonable and will not have a material adverse effect on its financial position or results of operations.</w:t>
      </w:r>
    </w:p>
    <w:p>
      <w:pPr>
        <w:spacing w:after="0" w:line="11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Our joint venture agreements require that we funds our proportionate share of capital contributions to its unconsolidated affiliates. Such contributions will depend upon our unconsolidated affiliates’ capital requirements, such as for funding capital projects or repayment of long-term obligations.</w:t>
      </w:r>
    </w:p>
    <w:p>
      <w:pPr>
        <w:spacing w:after="0" w:line="70"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We have certain non-cancelable rights-of-way (“ROW”) commitments, which require fixed payments and either expire upon our chosen abandonment or at various dates in the future. The table below reflects ROW expense included in operating expenses in the accompanying statements of operations:</w:t>
      </w:r>
    </w:p>
    <w:p>
      <w:pPr>
        <w:spacing w:after="0" w:line="178"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60" w:type="dxa"/>
            <w:vAlign w:val="bottom"/>
            <w:gridSpan w:val="6"/>
          </w:tcPr>
          <w:p>
            <w:pPr>
              <w:jc w:val="center"/>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2017</w:t>
            </w:r>
          </w:p>
        </w:tc>
      </w:tr>
      <w:tr>
        <w:trPr>
          <w:trHeight w:val="27"/>
        </w:trPr>
        <w:tc>
          <w:tcPr>
            <w:tcW w:w="6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 expense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PES Refinery Fire and Bankruptcy</w:t>
      </w:r>
    </w:p>
    <w:p>
      <w:pPr>
        <w:spacing w:after="0" w:line="33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own an approximately 7.4% non-operating interest in PES, which owns a refinery in Philadelphia. In addition, the Partnership provides logistics services to PES under commercial contracts and Sunoco LP has historically purchased refined products from PES. In June 2019, an explosion and fire occurred at the refinery complex.</w:t>
      </w:r>
    </w:p>
    <w:p>
      <w:pPr>
        <w:spacing w:after="0" w:line="12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July 21, 2019, PES Holdings, LLC and seven of its subsidiaries (collectively, the "Debtors") filed voluntary petitions in the United States Bankruptcy Court for the District of Delaware seeking relief under the provisions of Chapter 11 of the United States Bankruptcy Code, as a result of the explosion and fire at the Philadelphia refinery complex. The Debtors have also defaulted on a $75 million note payable to a subsidiary of the Partnership. The Partnership has not recorded a valuation allowance related to the note receivable as of December 31, 2019, because management is not yet able to determine the collectability of the note in bankruptcy.</w:t>
      </w:r>
    </w:p>
    <w:p>
      <w:pPr>
        <w:spacing w:after="0" w:line="10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In addition, the Partnership’s subsidiaries retained certain environmental remediation liabilities when the refinery was sold to PES. As of December 31, 2019, the Partnership has funded these environmental remediation liabilities through its wholly-owned captive insurance company, based upon actuarially determined estimates for such costs, and these liabilities are included in the total environmental liabilities discussed below under “Environmental Remediation.” In the event that the PES property is sold in connection with the bankruptcy proceeding, it may be necessary for the Partnership to record additional environmental remediation liabilities in the future depending upon the proposed use of such property by the buyer of the property; however, management is not currently able to estimate such additional liabilities.</w:t>
      </w:r>
    </w:p>
    <w:p>
      <w:pPr>
        <w:spacing w:after="0" w:line="9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PES has rejected certain of the Partnership’s commercial contracts pursuant to Section 365 of the Bankruptcy Code; however, the impact of the bankruptcy on the Partnership’s commercial contracts and related revenue loss (temporary or permanent) is unknown at this time. In addition, Sunoco LP has been successful at acquiring alternative supplies to replace fuel volume lost from PES and does not anticipate any material impact to its business going forward.</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and Contingencies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may, from time to time, be involved in litigation and claims arising out of our operations in the normal course of business. Natural gas and crude oil are flammable and combustible. Serious personal injury and significant property damage can arise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- 53</w:t>
      </w:r>
    </w:p>
    <w:p>
      <w:pPr>
        <w:sectPr>
          <w:pgSz w:w="11900" w:h="16838" w:orient="portrait"/>
          <w:cols w:equalWidth="0" w:num="1">
            <w:col w:w="11420"/>
          </w:cols>
          <w:pgMar w:left="240" w:top="118" w:right="239"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connection with their transportation, storage or use. In the ordinary course of business, we are sometimes threatened with or named as a defendant in various lawsuits seeking actual and punitive damages for product 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Dakota Access Pipeline</w:t>
      </w:r>
    </w:p>
    <w:p>
      <w:pPr>
        <w:spacing w:after="0" w:line="33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July 27, 2016, the Standing Rock Sioux Tribe (“SRST”) filed a lawsuit in the United States District Court for the District of Columbia challenging permits issued by the United States Army Corps of Engineers (“USACE”) permitting Dakota Access, LLC (“Dakota Access”) to cross the Missouri River at Lake Oahe in North Dakota. The case was subsequently amended to challenge an easement issued by the USACE allowing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Plaintiffs and Defendants filed cross motions for summary judgment, and the parties await a ruling.</w:t>
      </w:r>
    </w:p>
    <w:p>
      <w:pPr>
        <w:spacing w:after="0" w:line="13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While we believe that the pending lawsuits are unlikely to halt or suspend operation of the pipeline, we cannot assure this outcome. Energy Transfer cannot determine when or how these lawsuits will be resolved or the impact they may have on the Dakota Access project.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 Belvieu Incident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June 26, 2016, a hydrocarbon storage well located on another operator’s facility adjacent to Lone Star NGL Mont Belvieu’s (“Lone Star”) facilities in Mont Belvieu, Texas, experienced an over-pressurization resulting in a subsurface release. The subsurface release caused a fire at Lone Star’s South Terminal and damage to Lone Star’s storage well operations at its South and North Terminals. Normal operations have resumed at the facilities with the exception of one of Lone Star’s storage wells, however, Lone Star is still quantifying the extent of its incurred and ongoing damages and has obtained, and will continue to seek, reimbursement for these losses.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MTBE Litigation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ETC Sunoco Holdings LLC and Sunoco (R&amp;M), LLC (collectively, “Sunoco”)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33"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As of December 31, 2019, Sunoco is a defendant in five cases, including one case each initiated by the States of Maryland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ETO, ETP Holdco Corporation, and Sunoco Partners Marketing &amp; Terminals L.P. (“SPMT”).</w:t>
      </w:r>
    </w:p>
    <w:p>
      <w:pPr>
        <w:spacing w:after="0" w:line="10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Regency Merger Litigation</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June 10, 2015, Adrian Dieckman (“Dieckman”), a purported Regency unitholder, filed a class action complaint related to the Regency-ETO merger (the “Regency Merger”) in the Court of Chancery of the State of Delaware (the “Regency Merger Litigation”), on behalf of Regency’s common unitholders against Regency GP LP, Regency GP LLC, ET, ETO, ETP GP, and the members of Regency’s board of directors.</w:t>
      </w:r>
    </w:p>
    <w:p>
      <w:pPr>
        <w:spacing w:after="0" w:line="1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Regency Merger Litigation alleges that the Regency Merger breached the Regency partnership agreement. On March 29, 2016, the Delaware Court of Chancery granted the defendants’ motion to dismiss the lawsuit in its entirety. Plaintiff appealed, and the Delaware Supreme Court reversed the judgment of the Court of Chancery. Plaintiff then filed an Amended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ectPr>
          <w:pgSz w:w="11900" w:h="16838" w:orient="portrait"/>
          <w:cols w:equalWidth="0" w:num="1">
            <w:col w:w="11420"/>
          </w:cols>
          <w:pgMar w:left="240" w:top="118" w:right="239"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Verified Class Action Complaint, which defendants moved to dismiss. The Court of Chancery granted in part and denied in part the motions to dismiss, dismissing the claims against all defendants other than Regency GP, LP and Regency GP LLC (the “Regency Defendants”). The Court of Chancery later granted Plaintiff’s unopposed motion for class certification. Trial was held on December 10-16, 2019, and the parties await a ruling from the court.</w:t>
      </w:r>
    </w:p>
    <w:p>
      <w:pPr>
        <w:spacing w:after="0" w:line="9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Regency Defendants cannot predict the outcome of the Regency Merger Litigation or any lawsuits that might be filed subsequent to the date of this filing; nor can the Regency Defendants predict the amount of time and expense that will be required to resolve the Regency Merger Litigation. The Regency Defendants believe the Regency Merger Litigation is without merit and intend to vigorously defend against it.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Products Partners, L.P. and Enterprise Products Operating LLC Litigation</w:t>
      </w:r>
    </w:p>
    <w:p>
      <w:pPr>
        <w:spacing w:after="0" w:line="171"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On January 27, 2014, a trial commenced between ETO against Enterprise Products Partners, L.P. and Enterprise Products Operating LLC (collectively, “Enterprise”) and Enbridge (US) Inc. Trial resulted in a verdict in favor of ETO against Enterprise that consisted of $319 million in compensatory damages and $595 million in disgorgement to ETO. The jury also found that ETO owed Enterprise $1 million under a reimbursement agreement. On July 29, 2014, the trial court entered a final judgment in favor of ETO and awarded ETO $536 million, consisting of compensatory damages, disgorgement, and pre-judgment interest. The trial court also ordered that ETO shall be entitled to recover post-judgment interest and costs of court and that Enterprise is not entitled to any net recovery on its counterclaims. Enterprise filed a notice of appeal with the Court of Appeals. On July 18, 2017, the Court of Appeals issued its opinion and reversed the trial court’s judgment. ETO’s motion for rehearing to the Court of Appeals was denied. On November 27, 2017, ETO filed a Petition for Review with the Texas Supreme Court. On June 8, 2018, the Texas Supreme Court ordered briefing on the merits. On June 28, 2019, the Texas Supreme Court granted ETO’s petition for review and oral argument was heard on October 8, 2019. On January 31, 2020, the Texas Supreme Court affirmed the judgment of the Court of Appeals.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Filed By or Against Williams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In April and May, 2016, the Williams Companies, Inc. (“Williams”) filed two lawsuits (the “Williams Litigation”) against ET, LE GP, and, in one of the lawsuits, Energy Transfer Corp LP, ETE Corp GP, LLC, and Energy Transfer Equity GP, LLC (collectively, “Defendants”), alleging that Defendants breached their obligations under the ET-Williams merger agreement (the “Merger Agreement”). In general, Williams alleges that Defendants breached the Merger Agreement by (a) failing to use commercially reasonable efforts to obtain from Latham &amp; Watkins LLP (“Latham”) the delivery of a tax opinion concerning Section 721 of the Internal Revenue Code (“721 Opinion”), (b) issuing the Partnership’s Series A Convertible Preferred Units (the “Issuance”), and (c) making allegedly untrue representations and warranties in the Merger Agreement.</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After a two-day trial on June 20 and 21, 2016, the Court ruled in favor of Defendants and issued a declaratory judgment that ET could terminate the merger after June 28, 2016 because of Latham’s inability to provide the required 721 Opinion. The Court did not reach a decision regarding Williams’ claims related to the Issuance nor the alleged untrue representations and warranties. On March 23, 2017, the Delaware Supreme Court affirmed the Court’s ruling on the June 2016 trial.</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September 2016, the parties filed amended pleadings. Williams filed an amended complaint seeking a $410 million termination fee based on the alleged breaches of the Merger Agreement listed above. Defendants filed amended counterclaims and affirmative defenses, asserting that Williams materially breached the Merger Agreement by, among other things, (a) failing to use its reasonable best efforts to consummate the merger, (b) failing to provide material information to ET for inclusion in the Form S-4 related to the merger, (c) failing to facilitate the financing of the merger, and (d) breaching the Merger Agreement’s forum-selection clause.</w:t>
      </w:r>
    </w:p>
    <w:p>
      <w:pPr>
        <w:spacing w:after="0" w:line="13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Trial is currently set for June 2020. Defendants cannot predict the outcome of the Williams Litigation or any lawsuits that might be filed subsequent to the date of this filing; nor can Defendants predict the amount of time and expense that will be required to resolve these lawsuits. Defendants believe that Williams’ claims are without merit and intend to defend vigorously against them.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Unitholder Litigation Relating to the Issuance</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ET unitholders filed a putative class action lawsuits against ET, LE GP, Kelcy Warren, John McReynolds, Marshall McCrea, Matthew Ramsey, Ted Collins, K. Rick Turner, William Williams, Ray Davis, and Richard Brannon in the Delaware Court of Chancery (the “Issuance Litigation”). Plaintiffs alleged that the issuance of ET Series A Convertible Preferred Units (“Issuance”) breached various provisions of ET’s partnership agreement. Plaintiffs sought, among other things, preliminary and permanent injunctive relief and class-wide damages allegedly resulting from the Issuance.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ectPr>
          <w:pgSz w:w="11900" w:h="16838" w:orient="portrait"/>
          <w:cols w:equalWidth="0" w:num="1">
            <w:col w:w="11420"/>
          </w:cols>
          <w:pgMar w:left="240" w:top="118" w:right="2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The matter was tried on February 19-21, 2018. In a May 17, 2018 opinion, the court found that one provision of the Issuance breached ET’s partnership agreement, but that this breach caused no damages. The court denied Plaintiffs’ requests for injunctive relief and declined to award damages or any other form of relief. Plaintiffs subsequently filed a motion seeking $8.5 million in attorneys’ fees and expenses, which the defendants opposed. On May 6, 2019, the Court entered an Order and Final Judgment, consistent with its May 2018 post-trial opinion, in which it ordered Energy Transfer to pay $4.5 million in attorneys’ fees and expenses and granted Plaintiffs’ Motion for Class Certification.</w:t>
      </w:r>
    </w:p>
    <w:p>
      <w:pPr>
        <w:spacing w:after="0" w:line="11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June 5, 2019, Plaintiffs filed a notice of appeal to the Supreme Court of Delaware from, among other things, the May 17, 2018 Memorandum Opinion and the May 6, 2019 Order and Final Judgment. The Delaware Supreme Court summarily affirmed the Court’s rulings. The case was closed on December 12, 2019, ending the 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Rover</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November 3, 2017, the State of Ohio and the Ohio Environmental Protection Agency (“Ohio EPA”) filed suit against Rover and other defendants (collectively, the Defendants”) seeking to recover approximately $2.6 million in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which Defendants intend to oppose.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Bayou Bridge</w:t>
      </w:r>
    </w:p>
    <w:p>
      <w:pPr>
        <w:spacing w:after="0" w:line="17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On January 11, 2018, environmental groups and a trade association filed suit against the U.S. Army Corps of Engineers (“USACE”) in the United States District Court for the Middle District of Louisiana alleging violations of the National Environmental Policy Act, the Clean Water Act, and the Rivers and Harbors Act. ETO, through its subsidiary Bayou Bridge Pipeline, LLC (“Bayou Bridge”), intervened.</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February 2018, the District Court initially granted Plaintiffs’ motion for a preliminary injunction, but the Fifth Circuit Court of Appeals subsequently vacated that decision. The Fifth Circuit’s ruling allowed construction to continue and be completed during the pendency of the case. Plaintiffs filed a second motion for preliminary injunction in January 2019, which was denied. Plaintiffs and Defendants filed cross motions for summary judgment, and the parties await a ruling.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Revolution</w:t>
      </w:r>
    </w:p>
    <w:p>
      <w:pPr>
        <w:spacing w:after="0" w:line="171"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On September 10, 2018, a pipeline release and fire (the “Incident”) occurred on the Revolution pipeline, a natural gas gathering line located in Center Township, Beaver County, Pennsylvania. There were no injuries. On February 8, 2019, the Pennsylvania Department of Environmental Protection (“PADEP”) issued a Permit Hold on any requests for approvals/permits or permit amendments for any project in Pennsylvania pursuant to the state’s water laws. The Partnership filed an appeal of the Permit Hold with the Pennsylvania Environmental Hearing Board. On January 3, 2020, the Partnership entered into a Consent Order and Agreement with the Department in which, among other things, the Permit Hold was lifted, the Partnership agreed to pay a $28.6 million civil penalty and fund a $2 million community environmental project, and all related appeals were withdrawn.</w:t>
      </w:r>
    </w:p>
    <w:p>
      <w:pPr>
        <w:spacing w:after="0" w:line="1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Pennsylvania Office of Attorney General has commenced an investigation regarding the Incident, and the United States Attorney for the Western District of Pennsylvania has issued a federal grand jury subpoena for documents relevant to the Incident. The scope of these investigations is not further known at this time.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Chester County, Pennsylvania Investigation</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December 2018, the former Chester County District Attorney (“DA”) sent a letter to the Partnership stating that his office was investigating the Partnership and related entities for “potential crimes” related to the Mariner East pipelines.</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Subsequently, the matter was submitted to an Investigating Grand Jury in Chester County, Pennsylvania, which has issued subpoenas seeking documents and testimony. On September 24, 2019, the former DA sent a Notice of Intent to the Partnership of its intent to pursue an abatement action if certain conditions were not remediated. The Partnership responded to the Notice of Intent within the proscribed time period. To date, the Partnership is not aware of any further action with regard to this Notice.</w:t>
      </w:r>
    </w:p>
    <w:p>
      <w:pPr>
        <w:spacing w:after="0" w:line="133"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In December 2019, the former DA announced charges against a current employee related to the provision of security services. The Partnership has secured independent counsel for the employee. While the Partnership will continue to cooperate with the investigation, it intends to vigorously defend itself.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- 56</w:t>
      </w:r>
    </w:p>
    <w:p>
      <w:pPr>
        <w:sectPr>
          <w:pgSz w:w="11900" w:h="16838" w:orient="portrait"/>
          <w:cols w:equalWidth="0" w:num="1">
            <w:col w:w="11420"/>
          </w:cols>
          <w:pgMar w:left="240" w:top="118" w:right="239"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County, Pennsylvania Investigation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March 11, 2019, the Delaware County District Attorney’s Office (“DA”) announced that the DA and the Pennsylvania Attorney General’s Office, at the request of the DA, are conducting an investigation of alleged criminal misconduct involving the construction and related activities of the Mariner East pipelines in Delaware County. The Partnership has not been appraised of the specific conduct under investigation. While the Partnership will cooperate with the investigation, it intends to vigorously defend itself.</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Filed Litigation Involving Energy Transfer LP</w:t>
      </w:r>
    </w:p>
    <w:p>
      <w:pPr>
        <w:spacing w:after="0" w:line="21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Two purported unitholders of ET filed securities class actions against ET’s Board of Directors and ET as a nominal defendant. See Bettiol v. LP GP, Case No. 3:19-cv-02890-X and Donel Davidson v. Kelcy L. Warren, Cause No. DC-20-02322. The complaints assert claims for breach of fiduciary duties, unjust enrichment, waste of corporate assets, abuse of control, and gross mismanagement and seek damages on behalf of ET related to an alleged decline in ET’s unit value and also seek changes to ET’s corporate governance structure, attorney’s fees, and litigation costs.</w:t>
      </w:r>
    </w:p>
    <w:p>
      <w:pPr>
        <w:spacing w:after="0" w:line="11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Another purported unitholder of ET, Allegheny County Employees’ Retirement System (“ACERS”), individually and on behalf of all other similarly situated, filed a federal securities class action suit against ET and three of ET’s directors: Kelcy L. Warren, John W. McReynolds, and Thomas E. Long. The complaint asserts claims for violations of Sections 10(b) and 20(a) of the Securities Exchange Act of 1934 and Rule 10b-5 promulgated thereunder. ACERS seeks damages allegedly sustained by it and the class in connection with an alleged decline in ET’s unit value, as well as attorney’s fees, litigation costs, and any other relief the court deems proper.</w:t>
      </w:r>
    </w:p>
    <w:p>
      <w:pPr>
        <w:spacing w:after="0" w:line="134"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The lawsuits allege, among other things, the existence of wrongdoing by ET during permitting and construction of its Mariner East pipeline project, including that ET made materially false and misleading statements regarding its business, operations, and compliance policies related to the project.</w:t>
      </w:r>
    </w:p>
    <w:p>
      <w:pPr>
        <w:spacing w:after="0" w:line="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defendants cannot predict the outcome of these lawsuits or any lawsuits that might be filed subsequent to the date of this filing; nor can the defendants predict the amount of time and expense that will be required to resolve these lawsuits. However, the defendants believe that the claims are without merit and intend to vigorously contest them.</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Litigation and Contingencies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We or our subsidiaries are a party to various legal proceedings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of December 31, 2019 and 2018, accruals of approximately $120 million and $56 million, respectively, were reflected on our consolidated balance sheets related to these contingent obligations. As new information becomes available, our estimates may change. The impact of these changes may have a significant effect on our results of operations in a single period.</w:t>
      </w:r>
    </w:p>
    <w:p>
      <w:pPr>
        <w:spacing w:after="0" w:line="13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outcome of these matters cannot be predicted with certainty and there can be no assurance that the outcome of a particular matter will not result in the payment of amounts that have not been accrued for the matter. Furthermore, we may revise accrual amounts prior to resolution of a particular contingency based on changes in facts and circumstances or changes in the expected outcome. Currently, we are not able to estimate possible losses or a range of possible losses in excess of amounts accrued.</w:t>
      </w:r>
    </w:p>
    <w:p>
      <w:pPr>
        <w:spacing w:after="0" w:line="13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addition, other legal proceedings exist that are considered reasonably possible to result in unfavorable outcomes. For those where possible losses can be estimated, the range of possible losses related to these contingent obligations is estimated to be up to $80 million; however, no accruals have been recorded as of December 31, 2019.</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- 57</w:t>
      </w:r>
    </w:p>
    <w:p>
      <w:pPr>
        <w:sectPr>
          <w:pgSz w:w="11900" w:h="16838" w:orient="portrait"/>
          <w:cols w:equalWidth="0" w:num="1">
            <w:col w:w="11420"/>
          </w:cols>
          <w:pgMar w:left="240" w:top="118" w:right="239" w:bottom="1440" w:gutter="0" w:footer="0" w:header="0"/>
        </w:sectPr>
      </w:pPr>
    </w:p>
    <w:bookmarkStart w:id="223" w:name="page224"/>
    <w:bookmarkEnd w:id="2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spacing w:after="0" w:line="13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the results of operations for any single period, we believe that such costs will not have a material adverse effect on our financial position.</w:t>
      </w:r>
    </w:p>
    <w:p>
      <w:pPr>
        <w:spacing w:after="0" w:line="10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Based on information available at this time and reviews undertaken to identify potential exposure, we believe the amount reserved for environmental matters is adequate to cover the potential exposure for cleanup costs.</w:t>
      </w:r>
    </w:p>
    <w:p>
      <w:pPr>
        <w:spacing w:after="0" w:line="116"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In February 2017, we received letters from the DOJ on behalf of EPA and Louisiana Department of Environmental Quality (“LDEQ”) notifying SPLP and Mid-Valley that enforcement actions were being pursued for three separate crude oil releases: (a) an estimated 550 barrels released from the Colmesneil-to-Chester pipeline in Tyler County, Texas (“Colmesneil”) which allegedly occurred in February 2013; (b) an estimated 4,509 barrels released from the Longview-to-Mayersville pipeline in Caddo Parish, Louisiana (a/k/a Milepost 51.5) which allegedly occurred in October 2014; and (c) an estimated 40 barrels released from the Wakita 4-inch gathering line in Oklahoma which allegedly occurred in January 2015. In January 2019, a Consent Decree approved by all parties as well as an accompanying Complaint was filed in the United States District Court for the Western District of Louisiana seeking public comment and final court approval to resolve all penalties with DOJ and LDEQ for the three releases. Subsequently, the court approved the Consent Decree and the penalty payment of $5.4 million was satisfied. The Consent Decree requires certain injunctive relief to be completed on the Longview-to-Mayersville pipeline within three years but the injunctive relief is not expected to have any material impact on operations. In addition to resolution of the civil penalty and injunctive relief, we continue to discuss natural resource damages with the Louisiana trustees related to the Caddo Parish, Louisiana release.</w:t>
      </w:r>
    </w:p>
    <w:p>
      <w:pPr>
        <w:spacing w:after="0" w:line="129"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In October 2018, Pipeline Hazardous Materials Safety Administration (“PHMSA”) issued a notice of proposed safety order (the “Notice”) to SPMT, a wholly owned subsidiary of ETO. The Notice alleged that conditions exist on certain pipeline facilities owned and operated by SPMT in Nederland, Texas that pose a pipeline integrity risk to public safety, property or the environment. The Notice also made preliminary findings of fact and proposed corrective measures. SPMT responded to the Notice by submitting a timely written response on November 2, 2018, attended an informal consultation held on January 30, 2019 and entered into a consent agreement with PHMSA resolving the issues in the Notice as of March 2019. SPMT is currently awaiting response from PHMSA regarding the approval status of the submitted Remedial Work Plan.</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June 4, 2019, the Oklahoma Corporation Commission’s (“OCC”) Transportation Division filed a complaint against SPLP seeking a penalty of up to $1 million related to a May 2018 rupture near Edmond, Oklahoma. The release occurred on the Noble to Douglas 8” pipeline in an area of external corrosion and caused the release of approximately fifteen barrels of crude oil. SPLP responded immediately to the release and remediated the surrounding environment and pipeline in cooperation with the OCC. The OCC filed the complaint alleging that SPLP failed to provide adequate cathodic protection to the pipeline causing the failure. SPLP is negotiating a settlement agreement with the OCC for a lesser penalty. The OCC has accepted our counter offer in conjunction with a proposed consent order. The Consent Order will be presented to the OCC at a final hearing the date of which is to be determined.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subsidiaries are responsible for environmental remediation at certain sites, including the following:</w:t>
      </w:r>
    </w:p>
    <w:p>
      <w:pPr>
        <w:spacing w:after="0" w:line="347" w:lineRule="exact"/>
        <w:rPr>
          <w:sz w:val="20"/>
          <w:szCs w:val="20"/>
          <w:color w:val="auto"/>
        </w:rPr>
      </w:pPr>
    </w:p>
    <w:p>
      <w:pPr>
        <w:ind w:left="980" w:hanging="648"/>
        <w:spacing w:after="0" w:line="342" w:lineRule="auto"/>
        <w:tabs>
          <w:tab w:leader="none" w:pos="65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certain of our interstate pipelines conduct soil and groundwater remediation related to contamination from past uses of PCBs. PCB assessments are ongoing and, in some cases, our subsidiaries could be contractually responsible for contamination caused by other parties.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certain gathering and processing systems are responsible for soil and groundwater remediation related to releases of hydrocarbons.</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legacy sites related to Sunoco that are subject to environmental assessments, including formerly owned terminals and other logistics assets, retail sites that Sunoco no longer operates, closed and/or sold refineries and other formerly owned sites.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- 58</w:t>
      </w:r>
    </w:p>
    <w:p>
      <w:pPr>
        <w:sectPr>
          <w:pgSz w:w="11900" w:h="16838" w:orient="portrait"/>
          <w:cols w:equalWidth="0" w:num="1">
            <w:col w:w="11420"/>
          </w:cols>
          <w:pgMar w:left="240" w:top="118" w:right="239" w:bottom="1440" w:gutter="0" w:footer="0" w:header="0"/>
        </w:sectPr>
      </w:pPr>
    </w:p>
    <w:bookmarkStart w:id="224" w:name="page225"/>
    <w:bookmarkEnd w:id="2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660" w:hanging="328"/>
        <w:spacing w:after="0" w:line="276" w:lineRule="auto"/>
        <w:tabs>
          <w:tab w:leader="none" w:pos="6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Sunoco is potentially subject to joint and several liability for the costs of remediation at sites at which it has been identified as a potentially responsible party (“PRP”). As of December 31, 2019, Sunoco had been named as a PRP at approximately 40 identified or potentially identifiable “Superfund” sites under federal and/or comparable state law. Sunoco is usually one of a number of companies identified as a PRP at a site. Sunoco has reviewed the nature and extent of its involvement at each site and other relevant circumstances and, based upon Sunoco’s purported nexus to the sites, believes that its potential liability associated with such sites will not be significant.</w:t>
      </w:r>
    </w:p>
    <w:p>
      <w:pPr>
        <w:spacing w:after="0" w:line="294"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spacing w:after="0" w:line="10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table below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 have any material environmental matters assessed as reasonably possible that would require disclosure in our consolidated financial statements.</w:t>
      </w:r>
    </w:p>
    <w:p>
      <w:pPr>
        <w:spacing w:after="0" w:line="2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1"/>
              </w:rPr>
              <w:t>December 31,</w:t>
            </w:r>
          </w:p>
        </w:tc>
        <w:tc>
          <w:tcPr>
            <w:tcW w:w="98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2018</w:t>
            </w:r>
          </w:p>
        </w:tc>
      </w:tr>
      <w:tr>
        <w:trPr>
          <w:trHeight w:val="27"/>
        </w:trPr>
        <w:tc>
          <w:tcPr>
            <w:tcW w:w="7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75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environmental liabilities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1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During the years ended December 31, 2019 and 2018, the Partnership recorded $39 million and $48 million, respectively, of expenditures related to environmental cleanup programs.</w:t>
      </w:r>
    </w:p>
    <w:p>
      <w:pPr>
        <w:spacing w:after="0" w:line="116"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Our pipeline operations are subject to regulation by the United States Department of Transportation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 require prompt action to address integrity issues raised by the assessment and analysis. Integrity testing and assessment of all of these assets will continue, and the potential exists that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spacing w:after="0" w:line="11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operations are also subject to the requirements of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but there is no assurance that such costs will not be material in the future.</w:t>
      </w:r>
    </w:p>
    <w:p>
      <w:pPr>
        <w:spacing w:after="0" w:line="135" w:lineRule="exact"/>
        <w:rPr>
          <w:sz w:val="20"/>
          <w:szCs w:val="20"/>
          <w:color w:val="auto"/>
        </w:rPr>
      </w:pPr>
    </w:p>
    <w:p>
      <w:pPr>
        <w:ind w:left="340" w:hanging="332"/>
        <w:spacing w:after="0"/>
        <w:tabs>
          <w:tab w:leader="none" w:pos="3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following disclosures discuss the Partnership’s revised revenue recognition policies upon the adoption of ASU 2014-09 on January 1, 2018. These policies were applied to the amounts reflected in the Partnership’s consolidated financial statements for the years ended December 31, 2019 and 2018, while the amounts reflected in the Partnership’s consolidated financial statements for the year ended December 31, 2017 were recorded under the Partnership’s previous accounting policies.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- 59</w:t>
      </w:r>
    </w:p>
    <w:p>
      <w:pPr>
        <w:sectPr>
          <w:pgSz w:w="11900" w:h="16838" w:orient="portrait"/>
          <w:cols w:equalWidth="0" w:num="1">
            <w:col w:w="11420"/>
          </w:cols>
          <w:pgMar w:left="240" w:top="118" w:right="239" w:bottom="1440" w:gutter="0" w:footer="0" w:header="0"/>
        </w:sectPr>
      </w:pPr>
    </w:p>
    <w:bookmarkStart w:id="225" w:name="page226"/>
    <w:bookmarkEnd w:id="2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 types of revenue within our reportable segments, are as follows:</w:t>
      </w:r>
    </w:p>
    <w:p>
      <w:pPr>
        <w:spacing w:after="0" w:line="117" w:lineRule="exact"/>
        <w:rPr>
          <w:sz w:val="20"/>
          <w:szCs w:val="20"/>
          <w:color w:val="auto"/>
        </w:rPr>
      </w:pPr>
    </w:p>
    <w:p>
      <w:pPr>
        <w:ind w:left="720" w:hanging="388"/>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fuel distribution and marketing;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investment in USAC;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contract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retail parts and services; and</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Note 17 depicts the disaggregation of revenue by segment, with revenue amounts reflected in accordance with ASC Topic 606 for 2019 and 2018 and ASC Topic 605 for 2017.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Intrastate transportation and storage revenue</w:t>
      </w:r>
    </w:p>
    <w:p>
      <w:pPr>
        <w:spacing w:after="0" w:line="17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Our intrastate transportation and storage segment’s revenues are determined primarily by the volume of capacity our customers reserve as well as the actual volume of natural gas that flows through the transportation pipelines or that is injected or withdrawn into or out of our storage facilities. Firm transportation and storage contracts require customers to pay certain minimum fixed fees regardless of the volume of commodity they transport or store. These contracts typically include a variable incremental charge based on the actual volume of transportation commodity throughput or stored commodity injected/withdrawn. Under interruptible transportation and storage contracts, customers are not required to pay any fixed minimum amounts, but are instead billed based on actual volume of commodity they transport across our pipelines or inject/withdraw into or out of our storage facilities. Payment for services under these contracts are typically due the month after the services have been performed.</w:t>
      </w:r>
    </w:p>
    <w:p>
      <w:pPr>
        <w:spacing w:after="0" w:line="124"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 but such promise is made on a case-by-case basis at the time the customer requests the service and we accept the customer’s request. Revenue is recognized for interruptible contracts at the time the services are performed.</w:t>
      </w:r>
    </w:p>
    <w:p>
      <w:pPr>
        <w:spacing w:after="0" w:line="12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Our intrastate transportation and storage segment also generates revenues and margin from the sale of natural gas to electric utilities, independent power plants, local distribution companies, industrial end-users and other marketing companies on the HPL System. Generally, we purchase natural gas from the market, including purchases from our marketing operations, and from producers at the wellhead.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Interstate transportation and storage revenue</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interstate transportation and storage segment’s revenues are determined primarily by the amount of capacity our customers reserve as well as the actual volume of natural gas that flows through the transportation pipelines or that is injected into or withdrawn out of our storage facilities. Our interstate transportation and storage segment’s contracts can be firm or interruptible. Firm transportation and storage contracts require customers to pay certain minimum fixed fees regardless of the volume of commodity transported or stored. In exchange for such fees, we must stand ready to perform a contractually agreed-upon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- 60</w:t>
      </w:r>
    </w:p>
    <w:p>
      <w:pPr>
        <w:sectPr>
          <w:pgSz w:w="11900" w:h="16838" w:orient="portrait"/>
          <w:cols w:equalWidth="0" w:num="1">
            <w:col w:w="11420"/>
          </w:cols>
          <w:pgMar w:left="240" w:top="118" w:right="239" w:bottom="1440" w:gutter="0" w:footer="0" w:header="0"/>
        </w:sectPr>
      </w:pPr>
    </w:p>
    <w:bookmarkStart w:id="226" w:name="page227"/>
    <w:bookmarkEnd w:id="2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minimum volume of services whenever the customer requests such services. These contracts typically include a variable incremental charge based on the actual volume of transportation commodity throughput or stored commodity injected or withdrawn. Under interruptible transportation and storage contracts, customers are not required to pay any fixed minimum amounts, but are instead billed based on actual volume of commodity they transport across our pipelines or inject into or withdraw out of our storage facilities. Consequently, we are not required to stand ready to provide any contractually agreed-upon volume of service, but instead provides the services based on existing capacity at the time the customer requests the services. Payment for services under these contracts are typically due the month after the services have been performed.</w:t>
      </w:r>
    </w:p>
    <w:p>
      <w:pPr>
        <w:spacing w:after="0" w:line="124"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2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Lake Charles LNG’s revenues are primarily derived from terminalling services for shippers by receiving LNG at the facility for storage and delivering such LNG to shippers, either in liquid state or gaseous state after regasification. Lake Charles LNG derives all of its revenue from a series of long term contracts with a wholly-owned subsidiary of Royal Dutch Shell plc (“Shell”). Terminalling revenue is generated from fees paid by Shell for storage and other associated services at the terminal. Payment for services under these contracts are typically due the month after the services have been performed.</w:t>
      </w:r>
    </w:p>
    <w:p>
      <w:pPr>
        <w:spacing w:after="0" w:line="10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terminalling agreements are considered to be firm agreements, because they include fixed fee components that are charged regardless of the volumes transported by Shell or services provided at the terminal.</w:t>
      </w:r>
    </w:p>
    <w:p>
      <w:pPr>
        <w:spacing w:after="0" w:line="11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performance obligation with respect to firm contracts is a promise to provide a single type of service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Midstream 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midstream segment’s revenues are derived primarily from margins we earn for natural gas volumes that are gathered, processed, and/or transported.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various types of revenue contracts our midstream segment enters into include:</w:t>
      </w:r>
    </w:p>
    <w:p>
      <w:pPr>
        <w:spacing w:after="0" w:line="15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Fixed fee gathering and processing: </w:t>
      </w:r>
      <w:r>
        <w:rPr>
          <w:rFonts w:ascii="Arial" w:cs="Arial" w:eastAsia="Arial" w:hAnsi="Arial"/>
          <w:sz w:val="18"/>
          <w:szCs w:val="18"/>
          <w:color w:val="auto"/>
        </w:rPr>
        <w:t>Contracts under which we provide gathering and processing services in exchange for a fixed cash fee per unit of</w:t>
      </w:r>
      <w:r>
        <w:rPr>
          <w:rFonts w:ascii="Arial" w:cs="Arial" w:eastAsia="Arial" w:hAnsi="Arial"/>
          <w:sz w:val="18"/>
          <w:szCs w:val="18"/>
          <w:i w:val="1"/>
          <w:iCs w:val="1"/>
          <w:color w:val="auto"/>
        </w:rPr>
        <w:t xml:space="preserve"> </w:t>
      </w:r>
      <w:r>
        <w:rPr>
          <w:rFonts w:ascii="Arial" w:cs="Arial" w:eastAsia="Arial" w:hAnsi="Arial"/>
          <w:sz w:val="18"/>
          <w:szCs w:val="18"/>
          <w:color w:val="auto"/>
        </w:rPr>
        <w:t>volume. Revenue for cash fees is recognized when the service is performed.</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Keepwhole: </w:t>
      </w:r>
      <w:r>
        <w:rPr>
          <w:rFonts w:ascii="Arial" w:cs="Arial" w:eastAsia="Arial" w:hAnsi="Arial"/>
          <w:sz w:val="18"/>
          <w:szCs w:val="18"/>
          <w:color w:val="auto"/>
        </w:rPr>
        <w:t>Contracts under which we gather raw natural gas from a third party producer, process the gas to convert it to pipeline quality natural gas,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redeliver to the producer a thermal-equivalent volume of pipeline quality natural gas. In exchange for these services, we retain the NGLs extracted from the raw natural gas received from the producer as well as cash fees paid by the producer. The value of NGLs retained as well as cash fees is recognized as revenue when the services are performed.</w:t>
      </w:r>
    </w:p>
    <w:p>
      <w:pPr>
        <w:spacing w:after="0" w:line="133"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Percent of Proceeds (“POP”): </w:t>
      </w:r>
      <w:r>
        <w:rPr>
          <w:rFonts w:ascii="Arial" w:cs="Arial" w:eastAsia="Arial" w:hAnsi="Arial"/>
          <w:sz w:val="16"/>
          <w:szCs w:val="16"/>
          <w:color w:val="auto"/>
        </w:rPr>
        <w:t>Contracts under which we provide gathering and processing services in exchange for a specified percentage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producer’s commodity (“POP percentage”) and also in some cases additional cash fees. The two types of POP revenue contracts are described below:</w:t>
      </w:r>
    </w:p>
    <w:p>
      <w:pPr>
        <w:spacing w:after="0" w:line="16" w:lineRule="exact"/>
        <w:rPr>
          <w:sz w:val="20"/>
          <w:szCs w:val="20"/>
          <w:color w:val="auto"/>
        </w:rPr>
      </w:pPr>
    </w:p>
    <w:p>
      <w:pPr>
        <w:ind w:left="660" w:hanging="328"/>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i w:val="1"/>
          <w:iCs w:val="1"/>
          <w:u w:val="single" w:color="auto"/>
          <w:color w:val="auto"/>
        </w:rPr>
        <w:t>In-Kind POP:</w:t>
      </w:r>
      <w:r>
        <w:rPr>
          <w:rFonts w:ascii="Arial" w:cs="Arial" w:eastAsia="Arial" w:hAnsi="Arial"/>
          <w:sz w:val="18"/>
          <w:szCs w:val="18"/>
          <w:i w:val="1"/>
          <w:iCs w:val="1"/>
          <w:color w:val="auto"/>
        </w:rPr>
        <w:t xml:space="preserve"> </w:t>
      </w:r>
      <w:r>
        <w:rPr>
          <w:rFonts w:ascii="Arial" w:cs="Arial" w:eastAsia="Arial" w:hAnsi="Arial"/>
          <w:sz w:val="18"/>
          <w:szCs w:val="18"/>
          <w:color w:val="auto"/>
        </w:rPr>
        <w:t>We retain our POP percentage (non-cash consideration) and also any additional cash fees in exchange for providing the services.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revenue for the non-cash consideration and cash fees at the time the services are performed.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i w:val="1"/>
          <w:iCs w:val="1"/>
          <w:u w:val="single" w:color="auto"/>
          <w:color w:val="auto"/>
        </w:rPr>
        <w:t>Mixed POP:</w:t>
      </w:r>
      <w:r>
        <w:rPr>
          <w:rFonts w:ascii="Arial" w:cs="Arial" w:eastAsia="Arial" w:hAnsi="Arial"/>
          <w:sz w:val="18"/>
          <w:szCs w:val="18"/>
          <w:i w:val="1"/>
          <w:iCs w:val="1"/>
          <w:color w:val="auto"/>
        </w:rPr>
        <w:t xml:space="preserve"> </w:t>
      </w:r>
      <w:r>
        <w:rPr>
          <w:rFonts w:ascii="Arial" w:cs="Arial" w:eastAsia="Arial" w:hAnsi="Arial"/>
          <w:sz w:val="18"/>
          <w:szCs w:val="18"/>
          <w:color w:val="auto"/>
        </w:rPr>
        <w:t>We purchase NGLs from the producer and retain a portion of the residue gas as non-cash consideration for services provided. We may</w:t>
      </w:r>
      <w:r>
        <w:rPr>
          <w:rFonts w:ascii="Arial" w:cs="Arial" w:eastAsia="Arial" w:hAnsi="Arial"/>
          <w:sz w:val="18"/>
          <w:szCs w:val="18"/>
          <w:i w:val="1"/>
          <w:iCs w:val="1"/>
          <w:color w:val="auto"/>
        </w:rPr>
        <w:t xml:space="preserve"> </w:t>
      </w:r>
      <w:r>
        <w:rPr>
          <w:rFonts w:ascii="Arial" w:cs="Arial" w:eastAsia="Arial" w:hAnsi="Arial"/>
          <w:sz w:val="18"/>
          <w:szCs w:val="18"/>
          <w:color w:val="auto"/>
        </w:rPr>
        <w:t>also receive cash fees for such services. Under Topic 606, these agreements were determined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- 61</w:t>
      </w:r>
    </w:p>
    <w:p>
      <w:pPr>
        <w:sectPr>
          <w:pgSz w:w="11900" w:h="16838" w:orient="portrait"/>
          <w:cols w:equalWidth="0" w:num="1">
            <w:col w:w="11420"/>
          </w:cols>
          <w:pgMar w:left="240" w:top="118" w:right="239" w:bottom="1440" w:gutter="0" w:footer="0" w:header="0"/>
        </w:sectPr>
      </w:pPr>
    </w:p>
    <w:bookmarkStart w:id="227" w:name="page228"/>
    <w:bookmarkEnd w:id="2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to be hybrid agreements which were partially supply agreements (for the NGLs we purchased) and customer agreements (for the services provided related to the product that was returned to the customer). Given that these are hybrid agreements, we split the cash and non-cash consideration between revenue and a reduction of costs based on the value of the service provided vs. the value of the supply received.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for services under these contracts are typically due the month after the services have been performed.</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performance obligations with respect to our midstream segment’s contracts are to provide gathering, transportation and processing services, each of which would be completed on or about the same time, and each of which would be recognized on the same line item on the income statement, therefore identification of separate performance obligations would not impact the timing or geography of revenue recognition.</w:t>
      </w:r>
    </w:p>
    <w:p>
      <w:pPr>
        <w:spacing w:after="0" w:line="111"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Certain contracts of our midstream segment include throughput commitments under which customers commit to purchasing a certain minimum volume of service over a specified time period. If such volume of service is not purchased by the customer, deficiency fees are billed to the customer. In some cases, the customer is allowed to apply any deficiency fees paid to future purchases of services. In such cases, we defer revenue recognition until the customer uses the deficiency fees for services provided or becomes unable to use the fees as payment for future services due to expiration of the contractual period the fees can be applied or physical inability of the customer to utilize the fees due to capacity constraints.</w:t>
      </w:r>
    </w:p>
    <w:p>
      <w:pPr>
        <w:spacing w:after="0" w:line="10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midstream segment also generates revenues from the sale of residue gas and NGLs at the tailgate of our processing facilities primarily to affiliates and some third-party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NGL and refined products transportation and services revenue</w:t>
      </w:r>
    </w:p>
    <w:p>
      <w:pPr>
        <w:spacing w:after="0" w:line="17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Our NGL and refined products segment’s revenues are primarily derived from transportation, fractionation, blending, and storage of NGL and refined products as well as acquisition and marketing activities. Revenues are generated utilizing a complementary network of pipelines, storage and blending facilities, and strategic off-take locations that provide access to multiple NGL markets. Transportation, fractionation, and storage revenue is generated from fees charged to customers under a combination of firm and interruptible contracts. Firm contracts are in the form of take-or-pay arrangements where certain fees will be charged to customers regardless of the volume of service they request for any given period. Under interruptible contracts, customers are not required to pay any fixed minimum amounts, but are instead billed based on actual volume of service provided for any given period. Payment for services under these contracts are typically due the month after the services have been performed.</w:t>
      </w:r>
    </w:p>
    <w:p>
      <w:pPr>
        <w:spacing w:after="0" w:line="124"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fractionation, blending,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2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Acquisition and marketing contracts are in most cases short-term agreements involving purchase and/or sale of NGLs and other related hydrocarbons at market rates. These contracts were not affected by ASC 606.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Crude oil transportation and services revenue</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Our crude oil transportation and services segment revenues are primarily derived from providing transportation, terminalling and acquisition and marketing services to crude oil markets throughout the southwest, midwest and northeastern United States. Crude oil transportation revenue is generated from tariffs paid by shippers utilizing our transportation services and is generally recognized as the related transportation services are provided. Crude oil terminalling revenue is generated from fees paid by customers for storage and other associated services at the terminal. Crude oil acquisition and marketing revenue is generated from sale of crude oil acquired from a variety of suppliers to third parties. Payment for services under these contracts are typically due the month after the services have been performed.</w:t>
      </w:r>
    </w:p>
    <w:p>
      <w:pPr>
        <w:spacing w:after="0" w:line="12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Certain transportation and terminalling agreements are considered to be firm agreements, because they include fixed fee components that are charged regardless of the volume of crude oil transported by the customer or services provided at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- 62</w:t>
      </w:r>
    </w:p>
    <w:p>
      <w:pPr>
        <w:sectPr>
          <w:pgSz w:w="11900" w:h="16838" w:orient="portrait"/>
          <w:cols w:equalWidth="0" w:num="1">
            <w:col w:w="11420"/>
          </w:cols>
          <w:pgMar w:left="240" w:top="118" w:right="239" w:bottom="1440" w:gutter="0" w:footer="0" w:header="0"/>
        </w:sectPr>
      </w:pPr>
    </w:p>
    <w:bookmarkStart w:id="228" w:name="page229"/>
    <w:bookmarkEnd w:id="2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terminal. For these agreements, any fixed fees billed in excess of services provided are not recognized as revenue until the earlier of (i) the time at which the customer applies the fees against cost of service provided in a later period, or (ii) the customer becomes unable to apply the fees against cost of future service due to capacity constraints or contractual terms.</w:t>
      </w:r>
    </w:p>
    <w:p>
      <w:pPr>
        <w:spacing w:after="0" w:line="12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or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 but such promise is made on a case-by-case basis at the time the customer requests the service and/or product and we accept the customer’s request. Revenue is recognized for interruptible contracts at the time the services are performed.</w:t>
      </w:r>
    </w:p>
    <w:p>
      <w:pPr>
        <w:spacing w:after="0" w:line="12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Acquisition and marketing contracts are in most cases short-term agreements involving purchase and/or sale of crude oil at market rates. These contracts were not affected by ASC 606.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fuel distribution and marketing revenue</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Sunoco LP’s fuel distribution and marketing operations earn revenue from the following channels: sales to Dealers, sales to Distributors, Unbranded Wholesale Revenue, Commission Agent Revenue, Rental Income and Other Income. Motor fuel revenue consists primarily of the sale of motor fuel under supply agreements with third party customers and affiliates. Fuel supply contracts with Sunoco LP’s customers generally provide that Sunoco LP distribute motor fuel at a formula price based on published rates, volume-based profit margin, and other terms specific to the agreement. The customer is invoiced the agreed-upon price with most payment terms ranging less than 30 days. If the consideration promised in a contract includes a variable amount, Sunoco LP estimates the variable consideration amount and factors in such an estimate to determine the transaction price under the expected value method.</w:t>
      </w:r>
    </w:p>
    <w:p>
      <w:pPr>
        <w:spacing w:after="0" w:line="13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Revenue is recognized under the motor fuel contracts at the point in time the customer takes control of the fuel. At the time control is transferred to the customer the sale is considered final, because the agreements do not grant customers the right to return motor fuel. Under the new standard, to determine when control transfers to the customer, the shipping terms of the contract are assessed as shipping terms are considered a primary indicator of the transfer of control. For FOB shipping point terms, revenue is recognized at the time of shipment. The performance obligation with respect to the sale of goods is satisfied at the time of shipment since the customer gains control at this time under the terms. Shipping and/or handling costs that occur before the customer obtains control of the goods are deemed to be fulfillment activities and are accounted for as fulfillment costs. Once the goods are shipped, Sunoco LP is precluded from redirecting the shipment to another customer and revenue is recognized.</w:t>
      </w:r>
    </w:p>
    <w:p>
      <w:pPr>
        <w:spacing w:after="0" w:line="11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Commission agent revenue consists of sales from commission agent agreements between Sunoco LP and select operators. Sunoco LP supplies motor fuel to sites operated by commission agents and sells the fuel directly to the end customer. In commission agent arrangements, control of the product is transferred at the point in time when the goods are sold to the end customer. To reflect the transfer of control, Sunoco LP recognizes commission agent revenue at the point in time fuel is sold to the end customer.</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Sunoco LP receives rental income from leased or subleased properties. Revenue from leasing arrangements for which Sunoco LP is the lessor are recognized ratably over the term of the underlying lease.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all other revenue</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Sunoco LP’s all other operations earn revenue from the following channels: Motor Fuel Sales, Rental Income and Other Income. Motor Fuel Sales consist of fuel sales to consumers at company-operated retail stores. Other income includes merchandise revenue that comprises the in-store merchandise and food service sales at company-operated retail stores, and other revenue that represents a variety of other services within Sunoco LP’s all other operations including credit card processing, car washes, lottery, automated teller machines, money orders, prepaid phone cards and wireless services. Revenue from all other operations is recognized when (or as) the performance obligations are satisfied (i.e. when the customer obtains control of the good or the service is provided).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- 63</w:t>
      </w:r>
    </w:p>
    <w:p>
      <w:pPr>
        <w:sectPr>
          <w:pgSz w:w="11900" w:h="16838" w:orient="portrait"/>
          <w:cols w:equalWidth="0" w:num="1">
            <w:col w:w="11420"/>
          </w:cols>
          <w:pgMar w:left="240" w:top="118" w:right="239" w:bottom="1440" w:gutter="0" w:footer="0" w:header="0"/>
        </w:sectPr>
      </w:pPr>
    </w:p>
    <w:bookmarkStart w:id="229" w:name="page230"/>
    <w:bookmarkEnd w:id="2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contract operations revenue</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USAC’s revenue from contracted compression, station, gas treating and maintenance services is recognized ratably under its fixed-fee contracts over the term of the contract as services are provided to its customers. Initial contract terms typically range from six months to five years, however USAC usually continues to provide compression services at a specific location beyond the initial contract term, either through contract renewal or on a month-to-month or longer basis. USAC primarily enters into fixed-fee contracts whereby its customers are required to pay the monthly fee even during periods of limited or disrupted throughput. Services are generally billed monthly, one month in advance of the commencement of the service month, except for certain customers who are billed at the beginning of the service month, and payment is generally due 30 days after receipt of the invoice. Amounts invoiced in advance are recorded as deferred revenue until earned, at which time they are recognized as revenue. The amount of consideration USAC receives and revenue it recognizes is based upon the fixed fee rate stated in each service contract.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Variable consideration exists in select contracts when billing rates vary based on actual equipment availability or volume of total installed horsepower.</w:t>
      </w:r>
    </w:p>
    <w:p>
      <w:pPr>
        <w:spacing w:after="0" w:line="19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USAC’s contracts with customers may include multiple performance obligations. For such arrangements, USAC allocates revenues to each performance obligation based on its relative standalone service fee. USAC generally determine standalone service fees based on the service fees charged to customers or using expected cost plus margin.</w:t>
      </w:r>
    </w:p>
    <w:p>
      <w:pPr>
        <w:spacing w:after="0" w:line="1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majority of USAC’s service performance obligations are satisfied over time as services are rendered at selected customer locations on a monthly basis and based upon specific performance criteria identified in the applicable contract. The monthly service for each location is substantially the same service month to month and is promised consecutively over the service contract term. USAC measures progress and performance of the service consistently using a straight-line, time-based method as each month passes, because its performance obligations are satisfied evenly over the contract term as the customer simultaneously receives and consumes the benefits provided by its service. If variable consideration exists, it is allocated to the distinct monthly service within the series to which such variable consideration relates. USAC has elected to apply the invoicing practical expedient to recognize revenue for such variable consideration, as the invoice corresponds directly to the value transferred to the customer based on its performance completed to date.</w:t>
      </w:r>
    </w:p>
    <w:p>
      <w:pPr>
        <w:spacing w:after="0" w:line="138" w:lineRule="exact"/>
        <w:rPr>
          <w:sz w:val="20"/>
          <w:szCs w:val="20"/>
          <w:color w:val="auto"/>
        </w:rPr>
      </w:pPr>
    </w:p>
    <w:p>
      <w:pPr>
        <w:ind w:left="340" w:right="380"/>
        <w:spacing w:after="0" w:line="438" w:lineRule="auto"/>
        <w:rPr>
          <w:sz w:val="20"/>
          <w:szCs w:val="20"/>
          <w:color w:val="auto"/>
        </w:rPr>
      </w:pPr>
      <w:r>
        <w:rPr>
          <w:rFonts w:ascii="Arial" w:cs="Arial" w:eastAsia="Arial" w:hAnsi="Arial"/>
          <w:sz w:val="18"/>
          <w:szCs w:val="18"/>
          <w:color w:val="auto"/>
        </w:rPr>
        <w:t xml:space="preserve">There are typically no material obligations for returns or refunds. USAC’s standard contracts do not usually include material non-cash consideration. </w:t>
      </w:r>
      <w:r>
        <w:rPr>
          <w:rFonts w:ascii="Arial" w:cs="Arial" w:eastAsia="Arial" w:hAnsi="Arial"/>
          <w:sz w:val="18"/>
          <w:szCs w:val="18"/>
          <w:b w:val="1"/>
          <w:bCs w:val="1"/>
          <w:i w:val="1"/>
          <w:iCs w:val="1"/>
          <w:color w:val="auto"/>
        </w:rPr>
        <w:t>USAC’s retail parts and services revenue</w:t>
      </w:r>
    </w:p>
    <w:p>
      <w:pPr>
        <w:spacing w:after="0" w:line="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USAC’s retail parts and service revenue is earned primarily on freight and crane charges that are directly reimbursable by USAC’s customers and maintenance work on units at its customers’ locations that are outside the scope of its core maintenance activities. Revenue from retail parts and services is recognized at the point in time the part is transferred or service is provided and control is transferred to the customer. At such time, the customer has the ability to direct the use of the benefits of such part or service after USAC has performed its services. USAC bills upon completion of the service or transfer of the parts, and payment is generally due 30 days after receipt of the invoice. The amount of consideration USAC receives and revenue it recognizes is based upon the invoice amount. There are typically no material obligations for returns, refunds, or warranties. USAC’s standard contracts do not usually include material variable or non-cash consideration.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 other revenue</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all other segment primarily includes our compression equipment business which provides full-service compression design and manufacturing services for the oil and gas industry. It also includes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 There were no material changes to the manner in which revenues within this segment are recorded under the new standard.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 with Customers</w:t>
      </w:r>
    </w:p>
    <w:p>
      <w:pPr>
        <w:spacing w:after="0" w:line="17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2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Partnership recognizes a contract asset when making upfront consideration payments to certain customers or when providing services to customers prior to the time at which the Partnership is contractually allowed to bill for such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- 64</w:t>
      </w:r>
    </w:p>
    <w:p>
      <w:pPr>
        <w:sectPr>
          <w:pgSz w:w="11900" w:h="16838" w:orient="portrait"/>
          <w:cols w:equalWidth="0" w:num="1">
            <w:col w:w="11420"/>
          </w:cols>
          <w:pgMar w:left="240" w:top="118" w:right="239" w:bottom="1440" w:gutter="0" w:footer="0" w:header="0"/>
        </w:sectPr>
      </w:pPr>
    </w:p>
    <w:bookmarkStart w:id="230" w:name="page231"/>
    <w:bookmarkEnd w:id="2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The Partnership recognizes a contract liability if the customer's payment of consideration precedes the Partnership’s fulfillment of the performance obligations. Certain contracts contain provisions requiring customers to pay a fixed fee for a right to use our assets, but allows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 term license agreements. Sunoco LP recognizes a contract liability when the upfront payment is received and recognizes revenue over the term of the license.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consolidated activity of our contract liabilities:</w:t>
      </w:r>
    </w:p>
    <w:p>
      <w:pPr>
        <w:spacing w:after="0" w:line="33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9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Contract</w:t>
            </w:r>
          </w:p>
        </w:tc>
      </w:tr>
      <w:tr>
        <w:trPr>
          <w:trHeight w:val="230"/>
        </w:trPr>
        <w:tc>
          <w:tcPr>
            <w:tcW w:w="9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Liabilities</w:t>
            </w:r>
          </w:p>
        </w:tc>
      </w:tr>
      <w:tr>
        <w:trPr>
          <w:trHeight w:val="27"/>
        </w:trPr>
        <w:tc>
          <w:tcPr>
            <w:tcW w:w="9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r>
      <w:tr>
        <w:trPr>
          <w:trHeight w:val="243"/>
        </w:trPr>
        <w:tc>
          <w:tcPr>
            <w:tcW w:w="93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765</w:t>
            </w:r>
          </w:p>
        </w:tc>
      </w:tr>
      <w:tr>
        <w:trPr>
          <w:trHeight w:val="27"/>
        </w:trPr>
        <w:tc>
          <w:tcPr>
            <w:tcW w:w="9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recognized</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37"/>
        </w:trPr>
        <w:tc>
          <w:tcPr>
            <w:tcW w:w="930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394</w:t>
            </w:r>
          </w:p>
        </w:tc>
      </w:tr>
      <w:tr>
        <w:trPr>
          <w:trHeight w:val="27"/>
        </w:trPr>
        <w:tc>
          <w:tcPr>
            <w:tcW w:w="9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r>
      <w:tr>
        <w:trPr>
          <w:trHeight w:val="243"/>
        </w:trPr>
        <w:tc>
          <w:tcPr>
            <w:tcW w:w="9300" w:type="dxa"/>
            <w:vAlign w:val="bottom"/>
          </w:tcPr>
          <w:p>
            <w:pPr>
              <w:ind w:left="180"/>
              <w:spacing w:after="0"/>
              <w:rPr>
                <w:sz w:val="20"/>
                <w:szCs w:val="20"/>
                <w:color w:val="auto"/>
              </w:rPr>
            </w:pPr>
            <w:r>
              <w:rPr>
                <w:rFonts w:ascii="Arial" w:cs="Arial" w:eastAsia="Arial" w:hAnsi="Arial"/>
                <w:sz w:val="18"/>
                <w:szCs w:val="18"/>
                <w:color w:val="auto"/>
              </w:rPr>
              <w:t>Revenue recognized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7"/>
        </w:trPr>
        <w:tc>
          <w:tcPr>
            <w:tcW w:w="9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r>
      <w:tr>
        <w:trPr>
          <w:trHeight w:val="20"/>
        </w:trPr>
        <w:tc>
          <w:tcPr>
            <w:tcW w:w="9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The balances of receivables from contracts with customers listed in the table below include both current trade receivables and long-term receivables, net of allowance for doubtful accounts. The allowance for receivables represents Sunoco LP’s best estimate of the probable losses associated with potential customer defaults. Sunoco LP determines the allowance based on historical experience and on a specific identification basis.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balances of Sunoco LP’s contract assets and contract liabilities as of December 31, 2019 and 2018 were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 Balances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Accounts receivable from contracts with customers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liability</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to Obtain or Fulfill a Contract</w:t>
      </w:r>
    </w:p>
    <w:p>
      <w:pPr>
        <w:spacing w:after="0" w:line="17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Sunoco LP recognizes an asset from the costs incurred to obtain a contract (e.g. sales commissions) only if it expects to recover those costs. On the other hand, the costs to fulfill a contract are capitalized if the costs are specifically identifiable to a contract, would result in enhancing resources that will be used in satisfying performance obligations in future and are expected to be recovered. These capitalized costs are recorded as a part of other current assets and other non-current assets and are amortized on a systematic basis consistent with the pattern of transfer of the goods or services to which such costs relate. The amount of amortization expense that Sunoco LP recognized for the years ended December 31, 2019 and 2018 was $17 million and $14 million, respectively. Sunoco LP has also made a policy election of expensing the costs to obtain a contract, as and when they are incurred, in cases where the expected amortization period is one year or less.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Obligations</w:t>
      </w:r>
    </w:p>
    <w:p>
      <w:pPr>
        <w:spacing w:after="0" w:line="17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contracts, only the fixed component of the contracts are included in the table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- 65</w:t>
      </w:r>
    </w:p>
    <w:p>
      <w:pPr>
        <w:sectPr>
          <w:pgSz w:w="11900" w:h="16838" w:orient="portrait"/>
          <w:cols w:equalWidth="0" w:num="1">
            <w:col w:w="11420"/>
          </w:cols>
          <w:pgMar w:left="240" w:top="118" w:right="239" w:bottom="1440" w:gutter="0" w:footer="0" w:header="0"/>
        </w:sectPr>
      </w:pPr>
    </w:p>
    <w:bookmarkStart w:id="231" w:name="page232"/>
    <w:bookmarkEnd w:id="2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Sunoco LP distributes fuel under long-term contracts to branded distributors, branded and unbranded third party dealers, and branded and unbranded retail fuel outlets. Sunoco LP branded supply contracts with distributors generally have both time and volume commitments that establish contract duration. These contracts have an initial term of approximately nine years, with an estimated, volume-weighted term remaining of approximately four years.</w:t>
      </w:r>
    </w:p>
    <w:p>
      <w:pPr>
        <w:spacing w:after="0" w:line="13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As part of the asset purchase agreement with 7-Eleven, Sunoco LP and 7-Eleven and SEI Fuel (collectively, the “Distributor”) have entered into a 15-year take-or-pay fuel supply agreement in which the Distributor is required to purchase a volume of fuel that provides Sunoco LP a minimum amount of gross profit annually. Sunoco LP expects to recognize this revenue in accordance with the contract as Sunoco LP transfers control of the product to the customer. However, in case of annual shortfall Sunoco LP will recognize the amount payable by the Distributor at the sooner of the time at which the Distributor makes up the shortfall or becomes contractually or operationally unable to do so. The transaction price of the contract is variable in nature, fluctuating based on market conditions. The Partnership has elected to take the practical expedient not to estimate the amount of variable consideration allocated to wholly unsatisfied performance obligations.</w:t>
      </w:r>
    </w:p>
    <w:p>
      <w:pPr>
        <w:spacing w:after="0" w:line="135"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some contractual arrangements, Sunoco LP grants dealers a franchise license to operate Sunoco LP’s retail stores over the life of a franchise agreement. In return for the grant of the retail store license, the dealer makes a one-time nonrefundable franchise fee payment to Sunoco LP plus sales based royalties payable to Sunoco LP at a contractual rate during the period of the franchise agreement. Under the requirements of ASC Topic 606, the franchise license is deemed to be a symbolic license for which recognition of revenue over time is the most appropriate measure of progress toward complete satisfaction of the performance obligation. Revenue from this symbolic license is recognized evenly over the life of the franchise agreement.</w:t>
      </w:r>
    </w:p>
    <w:p>
      <w:pPr>
        <w:spacing w:after="0" w:line="10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2019, the aggregate amount of transaction price allocated to unsatisfied (or partially satisfied) performance obligations is $43.59 billion and the Partnership expects to recognize this amount as revenue within the time bands illustrated below:</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6"/>
          </w:tcPr>
          <w:p>
            <w:pPr>
              <w:jc w:val="center"/>
              <w:ind w:left="90"/>
              <w:spacing w:after="0"/>
              <w:rPr>
                <w:sz w:val="20"/>
                <w:szCs w:val="20"/>
                <w:color w:val="auto"/>
              </w:rPr>
            </w:pPr>
            <w:r>
              <w:rPr>
                <w:rFonts w:ascii="Arial" w:cs="Arial" w:eastAsia="Arial" w:hAnsi="Arial"/>
                <w:sz w:val="18"/>
                <w:szCs w:val="18"/>
                <w:color w:val="auto"/>
                <w:w w:val="89"/>
              </w:rPr>
              <w:t>Years Ending December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expected to be recognized 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with customers existing as of</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6,232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43,589</w:t>
            </w:r>
          </w:p>
        </w:tc>
      </w:tr>
      <w:tr>
        <w:trPr>
          <w:trHeight w:val="27"/>
        </w:trPr>
        <w:tc>
          <w:tcPr>
            <w:tcW w:w="3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Practical Expedients Utilized by the Partnership</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elected the following practical expedients in accordance with Topic 606:</w:t>
      </w:r>
    </w:p>
    <w:p>
      <w:pPr>
        <w:spacing w:after="0" w:line="117" w:lineRule="exact"/>
        <w:rPr>
          <w:sz w:val="20"/>
          <w:szCs w:val="20"/>
          <w:color w:val="auto"/>
        </w:rPr>
      </w:pPr>
    </w:p>
    <w:p>
      <w:pPr>
        <w:jc w:val="both"/>
        <w:ind w:left="660" w:hanging="328"/>
        <w:spacing w:after="0" w:line="259" w:lineRule="auto"/>
        <w:tabs>
          <w:tab w:leader="none" w:pos="660" w:val="left"/>
        </w:tabs>
        <w:numPr>
          <w:ilvl w:val="0"/>
          <w:numId w:val="17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Right to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utilize an output method to recognize revenue that is based on the amount to which the Partnership has a</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invoice a customer for services performed to date, if that amount corresponds directly with the value provided to the customer for the related performance or its obligation completed to date. As such, the Partnership recognized revenue in the amount to which it had the right to invoice customers.</w:t>
      </w:r>
    </w:p>
    <w:p>
      <w:pPr>
        <w:spacing w:after="0" w:line="78" w:lineRule="exact"/>
        <w:rPr>
          <w:rFonts w:ascii="Arial" w:cs="Arial" w:eastAsia="Arial" w:hAnsi="Arial"/>
          <w:sz w:val="18"/>
          <w:szCs w:val="18"/>
          <w:i w:val="1"/>
          <w:iCs w:val="1"/>
          <w:color w:val="auto"/>
        </w:rPr>
      </w:pPr>
    </w:p>
    <w:p>
      <w:pPr>
        <w:jc w:val="both"/>
        <w:ind w:left="660" w:hanging="328"/>
        <w:spacing w:after="0" w:line="264"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i w:val="1"/>
          <w:iCs w:val="1"/>
          <w:u w:val="single" w:color="auto"/>
          <w:color w:val="auto"/>
        </w:rPr>
        <w:t>Significant financing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not to adjust the promised amount of consideration for the effects of significant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if the Partnership expects, at contract inception, that the period between the transfer of a promised good or service to a customer and when the customer pays for that good or service will be one year or less.</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i w:val="1"/>
          <w:iCs w:val="1"/>
          <w:u w:val="single" w:color="auto"/>
          <w:color w:val="auto"/>
        </w:rPr>
        <w:t>Unearned variable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only disclose the unearned fixed consideration associated with unsatisfied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related to our various customer contracts which contain both fixed and variable components.</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74"/>
        </w:numPr>
        <w:rPr>
          <w:rFonts w:ascii="Arial" w:cs="Arial" w:eastAsia="Arial" w:hAnsi="Arial"/>
          <w:sz w:val="17"/>
          <w:szCs w:val="17"/>
          <w:color w:val="auto"/>
        </w:rPr>
      </w:pPr>
      <w:r>
        <w:rPr>
          <w:rFonts w:ascii="Arial" w:cs="Arial" w:eastAsia="Arial" w:hAnsi="Arial"/>
          <w:sz w:val="17"/>
          <w:szCs w:val="17"/>
          <w:i w:val="1"/>
          <w:iCs w:val="1"/>
          <w:u w:val="single" w:color="auto"/>
          <w:color w:val="auto"/>
        </w:rPr>
        <w:t>Incremental costs of obtaining a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generally expenses sales commissions when incurred because the amortization period</w:t>
      </w:r>
      <w:r>
        <w:rPr>
          <w:rFonts w:ascii="Arial" w:cs="Arial" w:eastAsia="Arial" w:hAnsi="Arial"/>
          <w:sz w:val="17"/>
          <w:szCs w:val="17"/>
          <w:i w:val="1"/>
          <w:iCs w:val="1"/>
          <w:color w:val="auto"/>
        </w:rPr>
        <w:t xml:space="preserve"> </w:t>
      </w:r>
      <w:r>
        <w:rPr>
          <w:rFonts w:ascii="Arial" w:cs="Arial" w:eastAsia="Arial" w:hAnsi="Arial"/>
          <w:sz w:val="17"/>
          <w:szCs w:val="17"/>
          <w:color w:val="auto"/>
        </w:rPr>
        <w:t>would have been less than one year. We record these costs within general and administrative expenses. The Partnership elected to expense the incremental costs of obtaining a contract when the amortization period for such contracts would have been one year or less.</w:t>
      </w:r>
    </w:p>
    <w:p>
      <w:pPr>
        <w:spacing w:after="0" w:line="5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account for shipping and handling activities that occur after the customer has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a good as fulfillment activities (i.e., an expense) rather than as a promised service.</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i w:val="1"/>
          <w:iCs w:val="1"/>
          <w:u w:val="single" w:color="auto"/>
          <w:color w:val="auto"/>
        </w:rPr>
        <w:t>Measurement of transaction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has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Partnership from a customer (i.e., sales tax, value added tax, etc.).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- 66</w:t>
      </w:r>
    </w:p>
    <w:p>
      <w:pPr>
        <w:sectPr>
          <w:pgSz w:w="11900" w:h="16838" w:orient="portrait"/>
          <w:cols w:equalWidth="0" w:num="1">
            <w:col w:w="11420"/>
          </w:cols>
          <w:pgMar w:left="240" w:top="118" w:right="239" w:bottom="1440" w:gutter="0" w:footer="0" w:header="0"/>
        </w:sectPr>
      </w:pPr>
    </w:p>
    <w:bookmarkStart w:id="232" w:name="page233"/>
    <w:bookmarkEnd w:id="2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660" w:hanging="328"/>
        <w:spacing w:after="0" w:line="277" w:lineRule="auto"/>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i w:val="1"/>
          <w:iCs w:val="1"/>
          <w:u w:val="single" w:color="auto"/>
          <w:color w:val="auto"/>
        </w:rPr>
        <w:t>Variable consideration of wholly unsatisfied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has elected to exclude the estimate of variable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allocation of wholly unsatisfied performance obligations.</w:t>
      </w:r>
    </w:p>
    <w:p>
      <w:pPr>
        <w:spacing w:after="0" w:line="112" w:lineRule="exact"/>
        <w:rPr>
          <w:rFonts w:ascii="Arial" w:cs="Arial" w:eastAsia="Arial" w:hAnsi="Arial"/>
          <w:sz w:val="18"/>
          <w:szCs w:val="18"/>
          <w:color w:val="auto"/>
        </w:rPr>
      </w:pPr>
    </w:p>
    <w:p>
      <w:pPr>
        <w:ind w:left="340" w:right="9140" w:hanging="332"/>
        <w:spacing w:after="0" w:line="440" w:lineRule="auto"/>
        <w:tabs>
          <w:tab w:leader="none" w:pos="34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LEASE ACCOUNTING: </w:t>
      </w:r>
      <w:r>
        <w:rPr>
          <w:rFonts w:ascii="Arial" w:cs="Arial" w:eastAsia="Arial" w:hAnsi="Arial"/>
          <w:sz w:val="18"/>
          <w:szCs w:val="18"/>
          <w:b w:val="1"/>
          <w:bCs w:val="1"/>
          <w:color w:val="auto"/>
        </w:rPr>
        <w:t>Lessee Accounting</w:t>
      </w:r>
    </w:p>
    <w:p>
      <w:pPr>
        <w:spacing w:after="0" w:line="1"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Partnership leases terminal facilities, tank cars, office space, land and equipment under non-cancelable operating leases whose initial terms are typically five to 15 years, with some real estate leases having terms of 40 years or more, along with options that permit renewals for additional periods. At the inception of each, we determine if the arrangement is a lease or contains an embedded lease and review the facts and circumstances of the arrangement to classify lease assets as operating or finance leases under Topic 842. The Partnership has elected not to record any leases with terms of 12 months or less on the balance sheet.</w:t>
      </w:r>
    </w:p>
    <w:p>
      <w:pPr>
        <w:spacing w:after="0" w:line="134"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At present, the majority of the Partnership’s active leases are classified as operating in accordance with Topic 842. Balances related to operating leases are included in operating lease ROU assets, accrued and other current liabilities, operating lease current liabilities and non-current operating lease liabilities in our consolidated balance sheets. Finance leases represent a small portion of the active lease agreements and are included in finance lease ROU assets, current maturities of long-term debt and long-term debt, less current maturities in our consolidated balance sheets. The ROU assets represent the Partnership’s right to use an underlying asset for the lease term and lease liabilities represent the obligation of the Partnership to make minimum lease payments arising from the lease for the duration of the lease term.</w:t>
      </w:r>
    </w:p>
    <w:p>
      <w:pPr>
        <w:spacing w:after="0" w:line="124"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Most leases include one or more options to renew, with renewal terms that can extend the lease term from one to 20 years or greater. The exercise of lease renewal options is typically at the sole discretion of the Partnership and lease extensions are evaluated on a lease-by-lease basis. Leases containing early termination clauses typically require the agreement of both parties to the lease. At the inception of a lease, all renewal options reasonably certain to be exercised are considered when determining the lease term. Presently, the Partnership does not have leases that include options to purchase or automatic transfer of ownership of the leased property to the Partnership. The depreciable life of lease assets and leasehold improvements are limited by the expected lease term.</w:t>
      </w:r>
    </w:p>
    <w:p>
      <w:pPr>
        <w:spacing w:after="0" w:line="13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determine the present value of future minimum lease payments, we use the implicit rate when readily determinable. Presently, because many of our leases do not provide an implicit rate, the Partnership applies its incremental borrowing rate based on the information available at the lease commencement date to determine the present value of minimum lease payments. The operating and finance lease ROU assets include any lease payments made and exclude lease incentives.</w:t>
      </w:r>
    </w:p>
    <w:p>
      <w:pPr>
        <w:spacing w:after="0" w:line="132"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Minimum rent payments are expensed on a straight-line basis over the term of the lease. In addition, some leases require additional contingent or variable lease payments, which are based on the factors specific to the individual agreement. Variable lease payments the Partnership is typically responsible for include payment of real estate taxes, maintenance expenses and insurance.</w:t>
      </w:r>
    </w:p>
    <w:p>
      <w:pPr>
        <w:spacing w:after="0" w:line="127"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short-term leases (leases that have term of twelve months or less upon commencement), lease payments are recognized on a straight-line basis and no ROU assets are recorded.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- 67</w:t>
      </w:r>
    </w:p>
    <w:p>
      <w:pPr>
        <w:sectPr>
          <w:pgSz w:w="11900" w:h="16838" w:orient="portrait"/>
          <w:cols w:equalWidth="0" w:num="1">
            <w:col w:w="11420"/>
          </w:cols>
          <w:pgMar w:left="240" w:top="118" w:right="239" w:bottom="1440" w:gutter="0" w:footer="0" w:header="0"/>
        </w:sectPr>
      </w:pPr>
    </w:p>
    <w:bookmarkStart w:id="233" w:name="page234"/>
    <w:bookmarkEnd w:id="2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components of operating and finance lease amounts recognized in the accompanying consolidated balance sheet as of December 31, 2019 were as follows: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9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9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leases: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3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right-of-use assets,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9300" w:type="dxa"/>
            <w:vAlign w:val="bottom"/>
          </w:tcPr>
          <w:p>
            <w:pPr>
              <w:ind w:left="180"/>
              <w:spacing w:after="0"/>
              <w:rPr>
                <w:sz w:val="20"/>
                <w:szCs w:val="20"/>
                <w:color w:val="auto"/>
              </w:rPr>
            </w:pPr>
            <w:r>
              <w:rPr>
                <w:rFonts w:ascii="Arial" w:cs="Arial" w:eastAsia="Arial" w:hAnsi="Arial"/>
                <w:sz w:val="18"/>
                <w:szCs w:val="18"/>
                <w:color w:val="auto"/>
              </w:rPr>
              <w:t>Operating lease current liabilities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9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930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0"/>
        </w:trPr>
        <w:tc>
          <w:tcPr>
            <w:tcW w:w="930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79196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5">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679196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6">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31750</wp:posOffset>
            </wp:positionV>
            <wp:extent cx="679196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7">
                      <a:extLst>
                        <a:ext uri="{28A0092B-C50C-407E-A947-70E740481C1C}"/>
                      </a:extLst>
                    </a:blip>
                    <a:srcRect/>
                    <a:stretch>
                      <a:fillRect/>
                    </a:stretch>
                  </pic:blipFill>
                  <pic:spPr bwMode="auto">
                    <a:xfrm>
                      <a:off x="0" y="0"/>
                      <a:ext cx="679196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less current maturities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liabilities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for the year ended December 31, 2019 were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4580" w:type="dxa"/>
            <w:vAlign w:val="bottom"/>
          </w:tcPr>
          <w:p>
            <w:pPr>
              <w:ind w:left="1300"/>
              <w:spacing w:after="0"/>
              <w:rPr>
                <w:sz w:val="20"/>
                <w:szCs w:val="20"/>
                <w:color w:val="auto"/>
              </w:rPr>
            </w:pPr>
            <w:r>
              <w:rPr>
                <w:rFonts w:ascii="Arial" w:cs="Arial" w:eastAsia="Arial" w:hAnsi="Arial"/>
                <w:sz w:val="18"/>
                <w:szCs w:val="18"/>
                <w:color w:val="auto"/>
              </w:rPr>
              <w:t>Income Statement Location</w:t>
            </w:r>
          </w:p>
        </w:tc>
        <w:tc>
          <w:tcPr>
            <w:tcW w:w="0" w:type="dxa"/>
            <w:vAlign w:val="bottom"/>
          </w:tcPr>
          <w:p>
            <w:pPr>
              <w:spacing w:after="0"/>
              <w:rPr>
                <w:sz w:val="1"/>
                <w:szCs w:val="1"/>
                <w:color w:val="auto"/>
              </w:rPr>
            </w:pPr>
          </w:p>
        </w:tc>
      </w:tr>
      <w:tr>
        <w:trPr>
          <w:trHeight w:val="27"/>
        </w:trPr>
        <w:tc>
          <w:tcPr>
            <w:tcW w:w="4580" w:type="dxa"/>
            <w:vAlign w:val="bottom"/>
            <w:vMerge w:val="restart"/>
          </w:tcPr>
          <w:p>
            <w:pPr>
              <w:spacing w:after="0"/>
              <w:rPr>
                <w:sz w:val="20"/>
                <w:szCs w:val="20"/>
                <w:color w:val="auto"/>
              </w:rPr>
            </w:pPr>
            <w:r>
              <w:rPr>
                <w:rFonts w:ascii="Arial" w:cs="Arial" w:eastAsia="Arial" w:hAnsi="Arial"/>
                <w:sz w:val="18"/>
                <w:szCs w:val="18"/>
                <w:color w:val="auto"/>
              </w:rPr>
              <w:t>Operating lease costs:</w:t>
            </w:r>
          </w:p>
        </w:tc>
        <w:tc>
          <w:tcPr>
            <w:tcW w:w="4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580" w:type="dxa"/>
            <w:vAlign w:val="bottom"/>
          </w:tcPr>
          <w:p>
            <w:pPr>
              <w:ind w:left="160"/>
              <w:spacing w:after="0"/>
              <w:rPr>
                <w:sz w:val="20"/>
                <w:szCs w:val="20"/>
                <w:color w:val="auto"/>
              </w:rPr>
            </w:pPr>
            <w:r>
              <w:rPr>
                <w:rFonts w:ascii="Arial" w:cs="Arial" w:eastAsia="Arial" w:hAnsi="Arial"/>
                <w:sz w:val="18"/>
                <w:szCs w:val="18"/>
                <w:color w:val="auto"/>
              </w:rPr>
              <w:t>Operating lease cost</w:t>
            </w:r>
          </w:p>
        </w:tc>
        <w:tc>
          <w:tcPr>
            <w:tcW w:w="45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Operating lease cost</w:t>
            </w:r>
          </w:p>
        </w:tc>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0" w:type="dxa"/>
            <w:vAlign w:val="bottom"/>
          </w:tcPr>
          <w:p>
            <w:pPr>
              <w:spacing w:after="0"/>
              <w:rPr>
                <w:sz w:val="1"/>
                <w:szCs w:val="1"/>
                <w:color w:val="auto"/>
              </w:rPr>
            </w:pP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Operating lease cost</w:t>
            </w:r>
          </w:p>
        </w:tc>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70"/>
        </w:trPr>
        <w:tc>
          <w:tcPr>
            <w:tcW w:w="4580" w:type="dxa"/>
            <w:vAlign w:val="bottom"/>
          </w:tcPr>
          <w:p>
            <w:pPr>
              <w:ind w:left="320"/>
              <w:spacing w:after="0"/>
              <w:rPr>
                <w:sz w:val="20"/>
                <w:szCs w:val="20"/>
                <w:color w:val="auto"/>
              </w:rPr>
            </w:pPr>
            <w:r>
              <w:rPr>
                <w:rFonts w:ascii="Arial" w:cs="Arial" w:eastAsia="Arial" w:hAnsi="Arial"/>
                <w:sz w:val="18"/>
                <w:szCs w:val="18"/>
                <w:color w:val="auto"/>
              </w:rPr>
              <w:t>Total operating lease costs</w:t>
            </w:r>
          </w:p>
        </w:tc>
        <w:tc>
          <w:tcPr>
            <w:tcW w:w="4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Finance lease costs:</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Amortization of lease assets</w:t>
            </w:r>
          </w:p>
        </w:tc>
        <w:tc>
          <w:tcPr>
            <w:tcW w:w="45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0" w:type="dxa"/>
            <w:vAlign w:val="bottom"/>
          </w:tcPr>
          <w:p>
            <w:pPr>
              <w:spacing w:after="0"/>
              <w:rPr>
                <w:sz w:val="1"/>
                <w:szCs w:val="1"/>
                <w:color w:val="auto"/>
              </w:rPr>
            </w:pPr>
          </w:p>
        </w:tc>
      </w:tr>
      <w:tr>
        <w:trPr>
          <w:trHeight w:val="270"/>
        </w:trPr>
        <w:tc>
          <w:tcPr>
            <w:tcW w:w="4580" w:type="dxa"/>
            <w:vAlign w:val="bottom"/>
          </w:tcPr>
          <w:p>
            <w:pPr>
              <w:ind w:left="160"/>
              <w:spacing w:after="0"/>
              <w:rPr>
                <w:sz w:val="20"/>
                <w:szCs w:val="20"/>
                <w:color w:val="auto"/>
              </w:rPr>
            </w:pPr>
            <w:r>
              <w:rPr>
                <w:rFonts w:ascii="Arial" w:cs="Arial" w:eastAsia="Arial" w:hAnsi="Arial"/>
                <w:sz w:val="18"/>
                <w:szCs w:val="18"/>
                <w:color w:val="auto"/>
              </w:rPr>
              <w:t>Interest on lease liabilities</w:t>
            </w:r>
          </w:p>
        </w:tc>
        <w:tc>
          <w:tcPr>
            <w:tcW w:w="458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w:t>
            </w:r>
          </w:p>
        </w:tc>
        <w:tc>
          <w:tcPr>
            <w:tcW w:w="0" w:type="dxa"/>
            <w:vAlign w:val="bottom"/>
          </w:tcPr>
          <w:p>
            <w:pPr>
              <w:spacing w:after="0"/>
              <w:rPr>
                <w:sz w:val="1"/>
                <w:szCs w:val="1"/>
                <w:color w:val="auto"/>
              </w:rPr>
            </w:pPr>
          </w:p>
        </w:tc>
      </w:tr>
      <w:tr>
        <w:trPr>
          <w:trHeight w:val="270"/>
        </w:trPr>
        <w:tc>
          <w:tcPr>
            <w:tcW w:w="4580" w:type="dxa"/>
            <w:vAlign w:val="bottom"/>
          </w:tcPr>
          <w:p>
            <w:pPr>
              <w:ind w:left="320"/>
              <w:spacing w:after="0"/>
              <w:rPr>
                <w:sz w:val="20"/>
                <w:szCs w:val="20"/>
                <w:color w:val="auto"/>
              </w:rPr>
            </w:pPr>
            <w:r>
              <w:rPr>
                <w:rFonts w:ascii="Arial" w:cs="Arial" w:eastAsia="Arial" w:hAnsi="Arial"/>
                <w:sz w:val="18"/>
                <w:szCs w:val="18"/>
                <w:color w:val="auto"/>
              </w:rPr>
              <w:t>Total finance lease costs</w:t>
            </w:r>
          </w:p>
        </w:tc>
        <w:tc>
          <w:tcPr>
            <w:tcW w:w="4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Short-term lease cost</w:t>
            </w:r>
          </w:p>
        </w:tc>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0" w:type="dxa"/>
            <w:vAlign w:val="bottom"/>
          </w:tcPr>
          <w:p>
            <w:pPr>
              <w:spacing w:after="0"/>
              <w:rPr>
                <w:sz w:val="1"/>
                <w:szCs w:val="1"/>
                <w:color w:val="auto"/>
              </w:rPr>
            </w:pPr>
          </w:p>
        </w:tc>
      </w:tr>
      <w:tr>
        <w:trPr>
          <w:trHeight w:val="284"/>
        </w:trPr>
        <w:tc>
          <w:tcPr>
            <w:tcW w:w="4580" w:type="dxa"/>
            <w:vAlign w:val="bottom"/>
          </w:tcPr>
          <w:p>
            <w:pPr>
              <w:spacing w:after="0"/>
              <w:rPr>
                <w:sz w:val="20"/>
                <w:szCs w:val="20"/>
                <w:color w:val="auto"/>
              </w:rPr>
            </w:pPr>
            <w:r>
              <w:rPr>
                <w:rFonts w:ascii="Arial" w:cs="Arial" w:eastAsia="Arial" w:hAnsi="Arial"/>
                <w:sz w:val="18"/>
                <w:szCs w:val="18"/>
                <w:color w:val="auto"/>
              </w:rPr>
              <w:t>Variable lease cost</w:t>
            </w:r>
          </w:p>
        </w:tc>
        <w:tc>
          <w:tcPr>
            <w:tcW w:w="4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-1723390</wp:posOffset>
            </wp:positionV>
            <wp:extent cx="679196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8">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-1379855</wp:posOffset>
            </wp:positionV>
            <wp:extent cx="679196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9">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-1028700</wp:posOffset>
            </wp:positionV>
            <wp:extent cx="679196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0">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-685165</wp:posOffset>
            </wp:positionV>
            <wp:extent cx="679196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1">
                      <a:extLst>
                        <a:ext uri="{28A0092B-C50C-407E-A947-70E740481C1C}"/>
                      </a:extLst>
                    </a:blip>
                    <a:srcRect/>
                    <a:stretch>
                      <a:fillRect/>
                    </a:stretch>
                  </pic:blipFill>
                  <pic:spPr bwMode="auto">
                    <a:xfrm>
                      <a:off x="0" y="0"/>
                      <a:ext cx="6791960" cy="17145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-334010</wp:posOffset>
            </wp:positionV>
            <wp:extent cx="679196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2">
                      <a:extLst>
                        <a:ext uri="{28A0092B-C50C-407E-A947-70E740481C1C}"/>
                      </a:extLst>
                    </a:blip>
                    <a:srcRect/>
                    <a:stretch>
                      <a:fillRect/>
                    </a:stretch>
                  </pic:blipFill>
                  <pic:spPr bwMode="auto">
                    <a:xfrm>
                      <a:off x="0" y="0"/>
                      <a:ext cx="679196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180" w:hanging="1176"/>
        <w:spacing w:after="0"/>
        <w:tabs>
          <w:tab w:leader="none" w:pos="11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1</w:t>
      </w:r>
    </w:p>
    <w:p>
      <w:pPr>
        <w:spacing w:after="0" w:line="74"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6"/>
          <w:szCs w:val="16"/>
          <w:color w:val="auto"/>
        </w:rPr>
        <w:t>29</w:t>
      </w:r>
    </w:p>
    <w:p>
      <w:pPr>
        <w:spacing w:after="0" w:line="86"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1</w:t>
      </w:r>
    </w:p>
    <w:p>
      <w:pPr>
        <w:spacing w:after="0" w:line="74"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6</w:t>
      </w:r>
    </w:p>
    <w:p>
      <w:pPr>
        <w:spacing w:after="0" w:line="74"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6"/>
          <w:szCs w:val="16"/>
          <w:color w:val="auto"/>
        </w:rPr>
        <w:t>26</w:t>
      </w:r>
    </w:p>
    <w:p>
      <w:pPr>
        <w:spacing w:after="0" w:line="86"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59" w:right="100"/>
        <w:spacing w:after="0" w:line="264" w:lineRule="auto"/>
        <w:rPr>
          <w:sz w:val="20"/>
          <w:szCs w:val="20"/>
          <w:color w:val="auto"/>
        </w:rPr>
      </w:pPr>
      <w:r>
        <w:rPr>
          <w:rFonts w:ascii="Arial" w:cs="Arial" w:eastAsia="Arial" w:hAnsi="Arial"/>
          <w:sz w:val="18"/>
          <w:szCs w:val="18"/>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883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3">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83" w:lineRule="exact"/>
        <w:rPr>
          <w:sz w:val="20"/>
          <w:szCs w:val="20"/>
          <w:color w:val="auto"/>
        </w:rPr>
      </w:pPr>
    </w:p>
    <w:p>
      <w:pPr>
        <w:ind w:left="1100" w:hanging="1096"/>
        <w:spacing w:after="0"/>
        <w:tabs>
          <w:tab w:leader="none" w:pos="11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28</w:t>
      </w:r>
    </w:p>
    <w:p>
      <w:pPr>
        <w:spacing w:after="0" w:line="8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73</w:t>
      </w:r>
    </w:p>
    <w:p>
      <w:pPr>
        <w:spacing w:after="0" w:line="8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46355</wp:posOffset>
            </wp:positionV>
            <wp:extent cx="883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80"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117</w:t>
      </w:r>
    </w:p>
    <w:p>
      <w:pPr>
        <w:spacing w:after="0" w:line="33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6</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883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5">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5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42</w:t>
      </w:r>
    </w:p>
    <w:p>
      <w:pPr>
        <w:spacing w:after="0" w:line="6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17</w:t>
      </w:r>
    </w:p>
    <w:p>
      <w:pPr>
        <w:spacing w:after="0" w:line="30" w:lineRule="exact"/>
        <w:rPr>
          <w:sz w:val="20"/>
          <w:szCs w:val="20"/>
          <w:color w:val="auto"/>
        </w:rPr>
      </w:pPr>
    </w:p>
    <w:p>
      <w:pPr>
        <w:sectPr>
          <w:pgSz w:w="11900" w:h="16838" w:orient="portrait"/>
          <w:cols w:equalWidth="0" w:num="2">
            <w:col w:w="9520" w:space="140"/>
            <w:col w:w="1760"/>
          </w:cols>
          <w:pgMar w:left="240" w:top="118" w:right="239" w:bottom="1440" w:gutter="0" w:footer="0" w:header="0"/>
          <w:type w:val="continuous"/>
        </w:sectPr>
      </w:pPr>
    </w:p>
    <w:tbl>
      <w:tblPr>
        <w:tblLayout w:type="fixed"/>
        <w:tblInd w:w="340" w:type="dxa"/>
        <w:tblCellMar>
          <w:top w:w="0" w:type="dxa"/>
          <w:left w:w="0" w:type="dxa"/>
          <w:bottom w:w="0" w:type="dxa"/>
          <w:right w:w="0" w:type="dxa"/>
        </w:tblCellMar>
      </w:tblPr>
      <w:tr>
        <w:trPr>
          <w:trHeight w:val="284"/>
        </w:trPr>
        <w:tc>
          <w:tcPr>
            <w:tcW w:w="40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costs, gross</w:t>
            </w:r>
          </w:p>
        </w:tc>
        <w:tc>
          <w:tcPr>
            <w:tcW w:w="518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4040" w:type="dxa"/>
            <w:vAlign w:val="bottom"/>
          </w:tcPr>
          <w:p>
            <w:pPr>
              <w:ind w:left="340"/>
              <w:spacing w:after="0"/>
              <w:rPr>
                <w:sz w:val="20"/>
                <w:szCs w:val="20"/>
                <w:color w:val="auto"/>
              </w:rPr>
            </w:pPr>
            <w:r>
              <w:rPr>
                <w:rFonts w:ascii="Arial" w:cs="Arial" w:eastAsia="Arial" w:hAnsi="Arial"/>
                <w:sz w:val="18"/>
                <w:szCs w:val="18"/>
                <w:color w:val="auto"/>
              </w:rPr>
              <w:t>Less: Sublease income</w:t>
            </w:r>
          </w:p>
        </w:tc>
        <w:tc>
          <w:tcPr>
            <w:tcW w:w="5180" w:type="dxa"/>
            <w:vAlign w:val="bottom"/>
          </w:tcPr>
          <w:p>
            <w:pPr>
              <w:ind w:left="580"/>
              <w:spacing w:after="0"/>
              <w:rPr>
                <w:sz w:val="20"/>
                <w:szCs w:val="20"/>
                <w:color w:val="auto"/>
              </w:rPr>
            </w:pPr>
            <w:r>
              <w:rPr>
                <w:rFonts w:ascii="Arial" w:cs="Arial" w:eastAsia="Arial" w:hAnsi="Arial"/>
                <w:sz w:val="18"/>
                <w:szCs w:val="18"/>
                <w:color w:val="auto"/>
              </w:rPr>
              <w:t>Other revenue</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costs, net</w:t>
            </w:r>
          </w:p>
        </w:tc>
        <w:tc>
          <w:tcPr>
            <w:tcW w:w="5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2"/>
              </w:rPr>
              <w:t>The weighted average remaining lease terms and weighted average discount rates as of December 31, 2019 were as follows:</w:t>
            </w: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2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5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5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40" w:type="dxa"/>
            <w:vAlign w:val="bottom"/>
          </w:tcPr>
          <w:p>
            <w:pPr>
              <w:spacing w:after="0"/>
              <w:rPr>
                <w:sz w:val="3"/>
                <w:szCs w:val="3"/>
                <w:color w:val="auto"/>
              </w:rPr>
            </w:pPr>
          </w:p>
        </w:tc>
        <w:tc>
          <w:tcPr>
            <w:tcW w:w="5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5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5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Weighted-average discount rate (%):</w:t>
            </w:r>
          </w:p>
        </w:tc>
        <w:tc>
          <w:tcPr>
            <w:tcW w:w="5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5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5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- 68</w:t>
      </w:r>
    </w:p>
    <w:p>
      <w:pPr>
        <w:sectPr>
          <w:pgSz w:w="11900" w:h="16838" w:orient="portrait"/>
          <w:cols w:equalWidth="0" w:num="1">
            <w:col w:w="11420"/>
          </w:cols>
          <w:pgMar w:left="240" w:top="118" w:right="239" w:bottom="1440" w:gutter="0" w:footer="0" w:header="0"/>
          <w:type w:val="continuous"/>
        </w:sectPr>
      </w:pPr>
    </w:p>
    <w:bookmarkStart w:id="234" w:name="page235"/>
    <w:bookmarkEnd w:id="2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and non-cash activity related to leases for the year ended December 31, 2019 were as follows:</w:t>
      </w:r>
    </w:p>
    <w:p>
      <w:pPr>
        <w:spacing w:after="0" w:line="333"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color w:val="auto"/>
        </w:rPr>
        <w:t>2019</w:t>
      </w:r>
    </w:p>
    <w:p>
      <w:pPr>
        <w:spacing w:after="0" w:line="16" w:lineRule="exact"/>
        <w:rPr>
          <w:sz w:val="20"/>
          <w:szCs w:val="20"/>
          <w:color w:val="auto"/>
        </w:rPr>
      </w:pPr>
    </w:p>
    <w:tbl>
      <w:tblPr>
        <w:tblLayout w:type="fixed"/>
        <w:tblInd w:w="340" w:type="dxa"/>
        <w:tblCellMar>
          <w:top w:w="0" w:type="dxa"/>
          <w:left w:w="0" w:type="dxa"/>
          <w:bottom w:w="0" w:type="dxa"/>
          <w:right w:w="0" w:type="dxa"/>
        </w:tblCellMar>
      </w:tblPr>
      <w:tr>
        <w:trPr>
          <w:trHeight w:val="264"/>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5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Lease assets obtained in exchange for new finance lease liabilities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594"/>
        </w:trPr>
        <w:tc>
          <w:tcPr>
            <w:tcW w:w="6300" w:type="dxa"/>
            <w:vAlign w:val="bottom"/>
          </w:tcPr>
          <w:p>
            <w:pPr>
              <w:spacing w:after="0"/>
              <w:rPr>
                <w:sz w:val="20"/>
                <w:szCs w:val="20"/>
                <w:color w:val="auto"/>
              </w:rPr>
            </w:pPr>
            <w:r>
              <w:rPr>
                <w:rFonts w:ascii="Arial" w:cs="Arial" w:eastAsia="Arial" w:hAnsi="Arial"/>
                <w:sz w:val="18"/>
                <w:szCs w:val="18"/>
                <w:color w:val="auto"/>
              </w:rPr>
              <w:t>Maturities of lease liabilities as of December 31, 2019 are as follows: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40"/>
        </w:trPr>
        <w:tc>
          <w:tcPr>
            <w:tcW w:w="630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6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6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6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7"/>
        </w:trPr>
        <w:tc>
          <w:tcPr>
            <w:tcW w:w="6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43"/>
        </w:trPr>
        <w:tc>
          <w:tcPr>
            <w:tcW w:w="6300" w:type="dxa"/>
            <w:vAlign w:val="bottom"/>
          </w:tcPr>
          <w:p>
            <w:pPr>
              <w:ind w:left="340"/>
              <w:spacing w:after="0"/>
              <w:rPr>
                <w:sz w:val="20"/>
                <w:szCs w:val="20"/>
                <w:color w:val="auto"/>
              </w:rPr>
            </w:pPr>
            <w:r>
              <w:rPr>
                <w:rFonts w:ascii="Arial" w:cs="Arial" w:eastAsia="Arial" w:hAnsi="Arial"/>
                <w:sz w:val="18"/>
                <w:szCs w:val="18"/>
                <w:color w:val="auto"/>
              </w:rPr>
              <w:t>Less: present value discount</w:t>
            </w:r>
          </w:p>
        </w:tc>
        <w:tc>
          <w:tcPr>
            <w:tcW w:w="5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w:t>
            </w:r>
          </w:p>
        </w:tc>
      </w:tr>
      <w:tr>
        <w:trPr>
          <w:trHeight w:val="27"/>
        </w:trPr>
        <w:tc>
          <w:tcPr>
            <w:tcW w:w="63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0"/>
        </w:trPr>
        <w:tc>
          <w:tcPr>
            <w:tcW w:w="6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Lessor Accounting</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Partnership leases or subleases a portion of its real estate portfolio to third-party companies as a stable source of long-term revenue. Our lessor and sublease portfolio consists mainly of operating leases with convenience store operators. At this time, most lessor agreements contain five-year terms with renewal options to extend and early termination options based on established terms specific to the individual agreement.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Rental income included in other revenue in our consolidated statement of operations for the year ended December 31, 2019 was $149 million.</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operating lease payments receivable as of December 31, 2019 are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300" w:type="dxa"/>
            <w:vAlign w:val="bottom"/>
          </w:tcPr>
          <w:p>
            <w:pPr>
              <w:spacing w:after="0"/>
              <w:rPr>
                <w:sz w:val="20"/>
                <w:szCs w:val="20"/>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Lease Payments</w:t>
            </w:r>
          </w:p>
        </w:tc>
      </w:tr>
      <w:tr>
        <w:trPr>
          <w:trHeight w:val="27"/>
        </w:trPr>
        <w:tc>
          <w:tcPr>
            <w:tcW w:w="93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9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3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9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undiscounted cash flows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0"/>
        </w:trPr>
        <w:tc>
          <w:tcPr>
            <w:tcW w:w="9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340" w:right="7600" w:hanging="332"/>
        <w:spacing w:after="0" w:line="440" w:lineRule="auto"/>
        <w:tabs>
          <w:tab w:leader="none" w:pos="3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ASSETS AND LIABILITIES: </w:t>
      </w:r>
      <w:r>
        <w:rPr>
          <w:rFonts w:ascii="Arial" w:cs="Arial" w:eastAsia="Arial" w:hAnsi="Arial"/>
          <w:sz w:val="18"/>
          <w:szCs w:val="18"/>
          <w:b w:val="1"/>
          <w:bCs w:val="1"/>
          <w:color w:val="auto"/>
        </w:rPr>
        <w:t>Commodity Price Risk</w:t>
      </w:r>
    </w:p>
    <w:p>
      <w:pPr>
        <w:spacing w:after="0" w:line="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- 69</w:t>
      </w:r>
    </w:p>
    <w:p>
      <w:pPr>
        <w:sectPr>
          <w:pgSz w:w="11900" w:h="16838" w:orient="portrait"/>
          <w:cols w:equalWidth="0" w:num="1">
            <w:col w:w="11420"/>
          </w:cols>
          <w:pgMar w:left="240" w:top="118" w:right="239" w:bottom="1440" w:gutter="0" w:footer="0" w:header="0"/>
        </w:sectPr>
      </w:pPr>
    </w:p>
    <w:bookmarkStart w:id="235" w:name="page236"/>
    <w:bookmarkEnd w:id="2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34"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3"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We use financial commodity derivatives to take advantage of market opportunities in our trading activities which complement our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- 70</w:t>
      </w:r>
    </w:p>
    <w:p>
      <w:pPr>
        <w:sectPr>
          <w:pgSz w:w="11900" w:h="16838" w:orient="portrait"/>
          <w:cols w:equalWidth="0" w:num="1">
            <w:col w:w="11420"/>
          </w:cols>
          <w:pgMar w:left="240" w:top="118" w:right="239" w:bottom="1440" w:gutter="0" w:footer="0" w:header="0"/>
        </w:sectPr>
      </w:pPr>
    </w:p>
    <w:bookmarkStart w:id="236" w:name="page237"/>
    <w:bookmarkEnd w:id="2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outstanding commodity-related derivatives: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3020" w:type="dxa"/>
            <w:vAlign w:val="bottom"/>
            <w:gridSpan w:val="4"/>
          </w:tcPr>
          <w:p>
            <w:pPr>
              <w:ind w:left="760"/>
              <w:spacing w:after="0"/>
              <w:rPr>
                <w:sz w:val="20"/>
                <w:szCs w:val="20"/>
                <w:color w:val="auto"/>
              </w:rPr>
            </w:pPr>
            <w:r>
              <w:rPr>
                <w:rFonts w:ascii="Arial" w:cs="Arial" w:eastAsia="Arial" w:hAnsi="Arial"/>
                <w:sz w:val="18"/>
                <w:szCs w:val="18"/>
                <w:color w:val="auto"/>
              </w:rPr>
              <w:t>December 31, 2019</w:t>
            </w:r>
          </w:p>
        </w:tc>
        <w:tc>
          <w:tcPr>
            <w:tcW w:w="2860" w:type="dxa"/>
            <w:vAlign w:val="bottom"/>
            <w:gridSpan w:val="3"/>
          </w:tcPr>
          <w:p>
            <w:pPr>
              <w:ind w:left="740"/>
              <w:spacing w:after="0"/>
              <w:rPr>
                <w:sz w:val="20"/>
                <w:szCs w:val="20"/>
                <w:color w:val="auto"/>
              </w:rPr>
            </w:pPr>
            <w:r>
              <w:rPr>
                <w:rFonts w:ascii="Arial" w:cs="Arial" w:eastAsia="Arial" w:hAnsi="Arial"/>
                <w:sz w:val="18"/>
                <w:szCs w:val="18"/>
                <w:color w:val="auto"/>
              </w:rPr>
              <w:t>December 31, 2018</w:t>
            </w:r>
          </w:p>
        </w:tc>
      </w:tr>
      <w:tr>
        <w:trPr>
          <w:trHeight w:val="27"/>
        </w:trPr>
        <w:tc>
          <w:tcPr>
            <w:tcW w:w="48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480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Notional</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Notional</w:t>
            </w:r>
          </w:p>
        </w:tc>
        <w:tc>
          <w:tcPr>
            <w:tcW w:w="1380" w:type="dxa"/>
            <w:vAlign w:val="bottom"/>
          </w:tcPr>
          <w:p>
            <w:pPr>
              <w:spacing w:after="0"/>
              <w:rPr>
                <w:sz w:val="19"/>
                <w:szCs w:val="19"/>
                <w:color w:val="auto"/>
              </w:rPr>
            </w:pPr>
          </w:p>
        </w:tc>
      </w:tr>
      <w:tr>
        <w:trPr>
          <w:trHeight w:val="230"/>
        </w:trPr>
        <w:tc>
          <w:tcPr>
            <w:tcW w:w="480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Volume</w:t>
            </w:r>
          </w:p>
        </w:tc>
        <w:tc>
          <w:tcPr>
            <w:tcW w:w="1500" w:type="dxa"/>
            <w:vAlign w:val="bottom"/>
            <w:gridSpan w:val="2"/>
          </w:tcPr>
          <w:p>
            <w:pPr>
              <w:ind w:left="380"/>
              <w:spacing w:after="0"/>
              <w:rPr>
                <w:sz w:val="20"/>
                <w:szCs w:val="20"/>
                <w:color w:val="auto"/>
              </w:rPr>
            </w:pPr>
            <w:r>
              <w:rPr>
                <w:rFonts w:ascii="Arial" w:cs="Arial" w:eastAsia="Arial" w:hAnsi="Arial"/>
                <w:sz w:val="18"/>
                <w:szCs w:val="18"/>
                <w:color w:val="auto"/>
              </w:rPr>
              <w:t>Maturity</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Volume</w:t>
            </w:r>
          </w:p>
        </w:tc>
        <w:tc>
          <w:tcPr>
            <w:tcW w:w="1380" w:type="dxa"/>
            <w:vAlign w:val="bottom"/>
          </w:tcPr>
          <w:p>
            <w:pPr>
              <w:ind w:left="380"/>
              <w:spacing w:after="0"/>
              <w:rPr>
                <w:sz w:val="20"/>
                <w:szCs w:val="20"/>
                <w:color w:val="auto"/>
              </w:rPr>
            </w:pPr>
            <w:r>
              <w:rPr>
                <w:rFonts w:ascii="Arial" w:cs="Arial" w:eastAsia="Arial" w:hAnsi="Arial"/>
                <w:sz w:val="18"/>
                <w:szCs w:val="18"/>
                <w:color w:val="auto"/>
              </w:rPr>
              <w:t>Maturity</w:t>
            </w:r>
          </w:p>
        </w:tc>
      </w:tr>
      <w:tr>
        <w:trPr>
          <w:trHeight w:val="27"/>
        </w:trPr>
        <w:tc>
          <w:tcPr>
            <w:tcW w:w="48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1,483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80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Basis Swaps IFERC/NYMEX</w:t>
            </w:r>
            <w:r>
              <w:rPr>
                <w:rFonts w:ascii="Arial" w:cs="Arial" w:eastAsia="Arial" w:hAnsi="Arial"/>
                <w:sz w:val="25"/>
                <w:szCs w:val="25"/>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2020-2024</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2019-2020</w:t>
            </w: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3,213,450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2020-2029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3,141,520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(353,527)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2019-2021</w:t>
            </w: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51,615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(2,704,330)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2020-2021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400" w:type="dxa"/>
            <w:vAlign w:val="bottom"/>
          </w:tcPr>
          <w:p>
            <w:pPr>
              <w:jc w:val="right"/>
              <w:spacing w:after="0"/>
              <w:rPr>
                <w:sz w:val="20"/>
                <w:szCs w:val="20"/>
                <w:color w:val="auto"/>
              </w:rPr>
            </w:pPr>
            <w:r>
              <w:rPr>
                <w:rFonts w:ascii="Arial" w:cs="Arial" w:eastAsia="Arial" w:hAnsi="Arial"/>
                <w:sz w:val="18"/>
                <w:szCs w:val="18"/>
                <w:color w:val="auto"/>
              </w:rPr>
              <w:t>(18,923)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2020-2022</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(30,228)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2019-2021</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54,158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2019-2020</w:t>
            </w: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2020-2021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2019-2021</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2020-2021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(123,254)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2019-2020</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NGL (MBbls) – Forwards/Swaps</w:t>
            </w:r>
          </w:p>
        </w:tc>
        <w:tc>
          <w:tcPr>
            <w:tcW w:w="140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2020-2021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(MBbls) – Forwards/Swaps</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Refined Products (MBbls) – 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2020-2021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Corn (thousand bushels)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43"/>
        </w:trPr>
        <w:tc>
          <w:tcPr>
            <w:tcW w:w="480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(31,780)</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Hedged Item – Inventory</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31,780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48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328"/>
        <w:spacing w:after="0" w:line="216" w:lineRule="auto"/>
        <w:tabs>
          <w:tab w:leader="none" w:pos="660" w:val="left"/>
        </w:tabs>
        <w:numPr>
          <w:ilvl w:val="0"/>
          <w:numId w:val="179"/>
        </w:numPr>
        <w:rPr>
          <w:rFonts w:ascii="Arial" w:cs="Arial" w:eastAsia="Arial" w:hAnsi="Arial"/>
          <w:sz w:val="25"/>
          <w:szCs w:val="25"/>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forward starting interest rate swaps to lock in the rate on a portion of our anticipated debt issuances.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- 71</w:t>
      </w:r>
    </w:p>
    <w:p>
      <w:pPr>
        <w:sectPr>
          <w:pgSz w:w="11900" w:h="16838" w:orient="portrait"/>
          <w:cols w:equalWidth="0" w:num="1">
            <w:col w:w="11420"/>
          </w:cols>
          <w:pgMar w:left="240" w:top="118" w:right="239" w:bottom="1440" w:gutter="0" w:footer="0" w:header="0"/>
        </w:sectPr>
      </w:pPr>
    </w:p>
    <w:bookmarkStart w:id="237" w:name="page238"/>
    <w:bookmarkEnd w:id="2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interest rate swaps outstanding, none of which were designated as hedges for accounting purposes: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4"/>
          </w:tcPr>
          <w:p>
            <w:pPr>
              <w:jc w:val="right"/>
              <w:ind w:right="250"/>
              <w:spacing w:after="0"/>
              <w:rPr>
                <w:sz w:val="20"/>
                <w:szCs w:val="20"/>
                <w:color w:val="auto"/>
              </w:rPr>
            </w:pPr>
            <w:r>
              <w:rPr>
                <w:rFonts w:ascii="Arial" w:cs="Arial" w:eastAsia="Arial" w:hAnsi="Arial"/>
                <w:sz w:val="18"/>
                <w:szCs w:val="18"/>
                <w:color w:val="auto"/>
              </w:rPr>
              <w:t>Notional Amount Outstanding</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80" w:type="dxa"/>
            <w:vAlign w:val="bottom"/>
            <w:vMerge w:val="restart"/>
          </w:tcPr>
          <w:p>
            <w:pPr>
              <w:ind w:left="20"/>
              <w:spacing w:after="0"/>
              <w:rPr>
                <w:sz w:val="20"/>
                <w:szCs w:val="20"/>
                <w:color w:val="auto"/>
              </w:rPr>
            </w:pPr>
            <w:r>
              <w:rPr>
                <w:rFonts w:ascii="Arial" w:cs="Arial" w:eastAsia="Arial" w:hAnsi="Arial"/>
                <w:sz w:val="18"/>
                <w:szCs w:val="18"/>
                <w:color w:val="auto"/>
              </w:rPr>
              <w:t xml:space="preserve">Type </w:t>
            </w:r>
            <w:r>
              <w:rPr>
                <w:rFonts w:ascii="Arial" w:cs="Arial" w:eastAsia="Arial" w:hAnsi="Arial"/>
                <w:sz w:val="25"/>
                <w:szCs w:val="25"/>
                <w:color w:val="auto"/>
                <w:vertAlign w:val="superscript"/>
              </w:rPr>
              <w:t>(1)</w:t>
            </w:r>
          </w:p>
        </w:tc>
        <w:tc>
          <w:tcPr>
            <w:tcW w:w="10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57"/>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Term</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44"/>
        </w:trPr>
        <w:tc>
          <w:tcPr>
            <w:tcW w:w="18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March 2019</w:t>
            </w: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 a floating rate and receive a fixed rate of 1.42%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0"/>
        </w:trPr>
        <w:tc>
          <w:tcPr>
            <w:tcW w:w="180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 xml:space="preserve">July 2019 </w:t>
            </w:r>
            <w:r>
              <w:rPr>
                <w:rFonts w:ascii="Arial" w:cs="Arial" w:eastAsia="Arial" w:hAnsi="Arial"/>
                <w:sz w:val="25"/>
                <w:szCs w:val="25"/>
                <w:color w:val="auto"/>
                <w:vertAlign w:val="superscript"/>
              </w:rPr>
              <w:t>(2)</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3.56% and receive a floating rate</w:t>
            </w:r>
          </w:p>
        </w:tc>
        <w:tc>
          <w:tcPr>
            <w:tcW w:w="160" w:type="dxa"/>
            <w:vAlign w:val="bottom"/>
          </w:tcPr>
          <w:p>
            <w:pPr>
              <w:spacing w:after="0"/>
              <w:rPr>
                <w:sz w:val="23"/>
                <w:szCs w:val="23"/>
                <w:color w:val="auto"/>
              </w:rPr>
            </w:pP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50"/>
        </w:trPr>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July 2020</w:t>
            </w:r>
          </w:p>
        </w:tc>
        <w:tc>
          <w:tcPr>
            <w:tcW w:w="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3.52% and receive a floating rate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740" w:type="dxa"/>
            <w:vAlign w:val="bottom"/>
          </w:tcPr>
          <w:p>
            <w:pPr>
              <w:ind w:left="20"/>
              <w:spacing w:after="0"/>
              <w:rPr>
                <w:sz w:val="20"/>
                <w:szCs w:val="20"/>
                <w:color w:val="auto"/>
              </w:rPr>
            </w:pPr>
            <w:r>
              <w:rPr>
                <w:rFonts w:ascii="Arial" w:cs="Arial" w:eastAsia="Arial" w:hAnsi="Arial"/>
                <w:sz w:val="18"/>
                <w:szCs w:val="18"/>
                <w:color w:val="auto"/>
                <w:w w:val="90"/>
              </w:rPr>
              <w:t>July 2021</w:t>
            </w:r>
          </w:p>
        </w:tc>
        <w:tc>
          <w:tcPr>
            <w:tcW w:w="960" w:type="dxa"/>
            <w:vAlign w:val="bottom"/>
          </w:tcPr>
          <w:p>
            <w:pPr>
              <w:ind w:left="2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1"/>
                <w:szCs w:val="21"/>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July 2022</w:t>
            </w:r>
          </w:p>
        </w:tc>
        <w:tc>
          <w:tcPr>
            <w:tcW w:w="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1"/>
                <w:szCs w:val="21"/>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3.80% and receive a floating rate</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25"/>
          <w:szCs w:val="25"/>
          <w:color w:val="auto"/>
          <w:vertAlign w:val="superscript"/>
        </w:rPr>
      </w:pPr>
      <w:r>
        <w:rPr>
          <w:rFonts w:ascii="Arial" w:cs="Arial" w:eastAsia="Arial" w:hAnsi="Arial"/>
          <w:sz w:val="18"/>
          <w:szCs w:val="18"/>
          <w:color w:val="auto"/>
        </w:rPr>
        <w:t>Floating rates are based on 3-month LIBOR.</w:t>
      </w:r>
    </w:p>
    <w:p>
      <w:pPr>
        <w:spacing w:after="0" w:line="98" w:lineRule="exact"/>
        <w:rPr>
          <w:rFonts w:ascii="Arial" w:cs="Arial" w:eastAsia="Arial" w:hAnsi="Arial"/>
          <w:sz w:val="25"/>
          <w:szCs w:val="25"/>
          <w:color w:val="auto"/>
          <w:vertAlign w:val="superscript"/>
        </w:rPr>
      </w:pPr>
    </w:p>
    <w:p>
      <w:pPr>
        <w:ind w:left="660" w:hanging="328"/>
        <w:spacing w:after="0" w:line="214" w:lineRule="auto"/>
        <w:tabs>
          <w:tab w:leader="none" w:pos="660" w:val="left"/>
        </w:tabs>
        <w:numPr>
          <w:ilvl w:val="0"/>
          <w:numId w:val="180"/>
        </w:numPr>
        <w:rPr>
          <w:rFonts w:ascii="Arial" w:cs="Arial" w:eastAsia="Arial" w:hAnsi="Arial"/>
          <w:sz w:val="22"/>
          <w:szCs w:val="22"/>
          <w:color w:val="auto"/>
          <w:vertAlign w:val="superscript"/>
        </w:rPr>
      </w:pPr>
      <w:r>
        <w:rPr>
          <w:rFonts w:ascii="Arial" w:cs="Arial" w:eastAsia="Arial" w:hAnsi="Arial"/>
          <w:sz w:val="16"/>
          <w:szCs w:val="16"/>
          <w:color w:val="auto"/>
        </w:rPr>
        <w:t>Represents the effective date. These forward-starting swaps have terms of 30 years with a mandatory termination date the same as the effective date.</w:t>
      </w:r>
    </w:p>
    <w:p>
      <w:pPr>
        <w:spacing w:after="0" w:line="252" w:lineRule="exact"/>
        <w:rPr>
          <w:rFonts w:ascii="Arial" w:cs="Arial" w:eastAsia="Arial" w:hAnsi="Arial"/>
          <w:sz w:val="22"/>
          <w:szCs w:val="22"/>
          <w:color w:val="auto"/>
          <w:vertAlign w:val="superscript"/>
        </w:rPr>
      </w:pPr>
    </w:p>
    <w:p>
      <w:pPr>
        <w:ind w:left="660" w:hanging="328"/>
        <w:spacing w:after="0"/>
        <w:tabs>
          <w:tab w:leader="none" w:pos="660" w:val="left"/>
        </w:tabs>
        <w:numPr>
          <w:ilvl w:val="0"/>
          <w:numId w:val="180"/>
        </w:numPr>
        <w:rPr>
          <w:rFonts w:ascii="Arial" w:cs="Arial" w:eastAsia="Arial" w:hAnsi="Arial"/>
          <w:sz w:val="25"/>
          <w:szCs w:val="25"/>
          <w:color w:val="auto"/>
          <w:vertAlign w:val="superscript"/>
        </w:rPr>
      </w:pPr>
      <w:r>
        <w:rPr>
          <w:rFonts w:ascii="Arial" w:cs="Arial" w:eastAsia="Arial" w:hAnsi="Arial"/>
          <w:sz w:val="18"/>
          <w:szCs w:val="18"/>
          <w:color w:val="auto"/>
        </w:rPr>
        <w:t>The July 2020 interest rate swaps were terminated in January 2020.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are deemed current and netted in deposits paid to vendors within other current assets in the consolidated balance sheets.</w:t>
      </w:r>
    </w:p>
    <w:p>
      <w:pPr>
        <w:spacing w:after="0" w:line="10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- 72</w:t>
      </w:r>
    </w:p>
    <w:p>
      <w:pPr>
        <w:sectPr>
          <w:pgSz w:w="11900" w:h="16838" w:orient="portrait"/>
          <w:cols w:equalWidth="0" w:num="1">
            <w:col w:w="11420"/>
          </w:cols>
          <w:pgMar w:left="240" w:top="118" w:right="239" w:bottom="1440" w:gutter="0" w:footer="0" w:header="0"/>
        </w:sectPr>
      </w:pPr>
    </w:p>
    <w:bookmarkStart w:id="238" w:name="page239"/>
    <w:bookmarkEnd w:id="2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our derivative assets and liabilities: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spacing w:after="0"/>
              <w:rPr>
                <w:sz w:val="20"/>
                <w:szCs w:val="20"/>
                <w:color w:val="auto"/>
              </w:rPr>
            </w:pPr>
            <w:r>
              <w:rPr>
                <w:rFonts w:ascii="Arial" w:cs="Arial" w:eastAsia="Arial" w:hAnsi="Arial"/>
                <w:sz w:val="18"/>
                <w:szCs w:val="18"/>
                <w:color w:val="auto"/>
                <w:w w:val="99"/>
              </w:rPr>
              <w:t>Fair Value of Derivative Instruments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60" w:type="dxa"/>
            <w:vAlign w:val="bottom"/>
          </w:tcPr>
          <w:p>
            <w:pPr>
              <w:spacing w:after="0"/>
              <w:rPr>
                <w:sz w:val="20"/>
                <w:szCs w:val="20"/>
                <w:color w:val="auto"/>
              </w:rPr>
            </w:pPr>
          </w:p>
        </w:tc>
        <w:tc>
          <w:tcPr>
            <w:tcW w:w="2740" w:type="dxa"/>
            <w:vAlign w:val="bottom"/>
            <w:gridSpan w:val="4"/>
          </w:tcPr>
          <w:p>
            <w:pPr>
              <w:jc w:val="right"/>
              <w:ind w:right="590"/>
              <w:spacing w:after="0"/>
              <w:rPr>
                <w:sz w:val="20"/>
                <w:szCs w:val="20"/>
                <w:color w:val="auto"/>
              </w:rPr>
            </w:pPr>
            <w:r>
              <w:rPr>
                <w:rFonts w:ascii="Arial" w:cs="Arial" w:eastAsia="Arial" w:hAnsi="Arial"/>
                <w:sz w:val="18"/>
                <w:szCs w:val="18"/>
                <w:color w:val="auto"/>
              </w:rPr>
              <w:t>Liability Derivatives</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 (margin deposits)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Commodity derivatives (margin deposits)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57"/>
        </w:trPr>
        <w:tc>
          <w:tcPr>
            <w:tcW w:w="478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presents the fair value of our recognized derivative assets and liabilities on a gross basis and amounts offset on the consolidated balance sheets that are subject to enforceable master netting arrangements or similar arrangements:</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60" w:type="dxa"/>
            <w:vAlign w:val="bottom"/>
          </w:tcPr>
          <w:p>
            <w:pPr>
              <w:spacing w:after="0"/>
              <w:rPr>
                <w:sz w:val="20"/>
                <w:szCs w:val="20"/>
                <w:color w:val="auto"/>
              </w:rPr>
            </w:pPr>
          </w:p>
        </w:tc>
        <w:tc>
          <w:tcPr>
            <w:tcW w:w="2740" w:type="dxa"/>
            <w:vAlign w:val="bottom"/>
            <w:gridSpan w:val="4"/>
          </w:tcPr>
          <w:p>
            <w:pPr>
              <w:jc w:val="right"/>
              <w:ind w:right="590"/>
              <w:spacing w:after="0"/>
              <w:rPr>
                <w:sz w:val="20"/>
                <w:szCs w:val="20"/>
                <w:color w:val="auto"/>
              </w:rPr>
            </w:pPr>
            <w:r>
              <w:rPr>
                <w:rFonts w:ascii="Arial" w:cs="Arial" w:eastAsia="Arial" w:hAnsi="Arial"/>
                <w:sz w:val="18"/>
                <w:szCs w:val="18"/>
                <w:color w:val="auto"/>
              </w:rPr>
              <w:t>Liability Derivatives</w:t>
            </w:r>
          </w:p>
        </w:tc>
      </w:tr>
      <w:tr>
        <w:trPr>
          <w:trHeight w:val="27"/>
        </w:trPr>
        <w:tc>
          <w:tcPr>
            <w:tcW w:w="2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2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r>
      <w:tr>
        <w:trPr>
          <w:trHeight w:val="230"/>
        </w:trPr>
        <w:tc>
          <w:tcPr>
            <w:tcW w:w="2440" w:type="dxa"/>
            <w:vAlign w:val="bottom"/>
          </w:tcPr>
          <w:p>
            <w:pPr>
              <w:spacing w:after="0"/>
              <w:rPr>
                <w:sz w:val="20"/>
                <w:szCs w:val="20"/>
                <w:color w:val="auto"/>
              </w:rPr>
            </w:pPr>
          </w:p>
        </w:tc>
        <w:tc>
          <w:tcPr>
            <w:tcW w:w="2340" w:type="dxa"/>
            <w:vAlign w:val="bottom"/>
            <w:gridSpan w:val="2"/>
          </w:tcPr>
          <w:p>
            <w:pPr>
              <w:ind w:left="260"/>
              <w:spacing w:after="0"/>
              <w:rPr>
                <w:sz w:val="20"/>
                <w:szCs w:val="20"/>
                <w:color w:val="auto"/>
              </w:rPr>
            </w:pPr>
            <w:r>
              <w:rPr>
                <w:rFonts w:ascii="Arial" w:cs="Arial" w:eastAsia="Arial" w:hAnsi="Arial"/>
                <w:sz w:val="18"/>
                <w:szCs w:val="18"/>
                <w:color w:val="auto"/>
              </w:rPr>
              <w:t>Balance Sheet Location</w:t>
            </w: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2018</w:t>
            </w:r>
          </w:p>
        </w:tc>
      </w:tr>
      <w:tr>
        <w:trPr>
          <w:trHeight w:val="27"/>
        </w:trPr>
        <w:tc>
          <w:tcPr>
            <w:tcW w:w="24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without offsetting</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4780" w:type="dxa"/>
            <w:vAlign w:val="bottom"/>
            <w:gridSpan w:val="3"/>
          </w:tcPr>
          <w:p>
            <w:pPr>
              <w:ind w:left="20"/>
              <w:spacing w:after="0"/>
              <w:rPr>
                <w:sz w:val="20"/>
                <w:szCs w:val="20"/>
                <w:color w:val="auto"/>
              </w:rPr>
            </w:pPr>
            <w:r>
              <w:rPr>
                <w:rFonts w:ascii="Arial" w:cs="Arial" w:eastAsia="Arial" w:hAnsi="Arial"/>
                <w:sz w:val="18"/>
                <w:szCs w:val="18"/>
                <w:color w:val="auto"/>
              </w:rPr>
              <w:t>Derivatives in offsetting agreements: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OTC contracts</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2440" w:type="dxa"/>
            <w:vAlign w:val="bottom"/>
          </w:tcPr>
          <w:p>
            <w:pPr>
              <w:ind w:left="180"/>
              <w:spacing w:after="0"/>
              <w:rPr>
                <w:sz w:val="20"/>
                <w:szCs w:val="20"/>
                <w:color w:val="auto"/>
              </w:rPr>
            </w:pPr>
            <w:r>
              <w:rPr>
                <w:rFonts w:ascii="Arial" w:cs="Arial" w:eastAsia="Arial" w:hAnsi="Arial"/>
                <w:sz w:val="18"/>
                <w:szCs w:val="18"/>
                <w:color w:val="auto"/>
              </w:rPr>
              <w:t>Broker cleared derivative</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440" w:type="dxa"/>
            <w:vAlign w:val="bottom"/>
          </w:tcPr>
          <w:p>
            <w:pPr>
              <w:ind w:left="340"/>
              <w:spacing w:after="0"/>
              <w:rPr>
                <w:sz w:val="20"/>
                <w:szCs w:val="20"/>
                <w:color w:val="auto"/>
              </w:rPr>
            </w:pPr>
            <w:r>
              <w:rPr>
                <w:rFonts w:ascii="Arial" w:cs="Arial" w:eastAsia="Arial" w:hAnsi="Arial"/>
                <w:sz w:val="18"/>
                <w:szCs w:val="18"/>
                <w:color w:val="auto"/>
              </w:rPr>
              <w:t>contracts</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24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4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Offsetting agreements:</w:t>
            </w: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Counterparty netting</w:t>
            </w: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 assets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29"/>
        </w:trPr>
        <w:tc>
          <w:tcPr>
            <w:tcW w:w="2440" w:type="dxa"/>
            <w:vAlign w:val="bottom"/>
          </w:tcPr>
          <w:p>
            <w:pPr>
              <w:ind w:left="180"/>
              <w:spacing w:after="0"/>
              <w:rPr>
                <w:sz w:val="20"/>
                <w:szCs w:val="20"/>
                <w:color w:val="auto"/>
              </w:rPr>
            </w:pPr>
            <w:r>
              <w:rPr>
                <w:rFonts w:ascii="Arial" w:cs="Arial" w:eastAsia="Arial" w:hAnsi="Arial"/>
                <w:sz w:val="18"/>
                <w:szCs w:val="18"/>
                <w:color w:val="auto"/>
              </w:rPr>
              <w:t>Counterparty netting</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440" w:type="dxa"/>
            <w:vAlign w:val="bottom"/>
          </w:tcPr>
          <w:p>
            <w:pPr>
              <w:spacing w:after="0"/>
              <w:rPr>
                <w:sz w:val="20"/>
                <w:szCs w:val="20"/>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397</w:t>
            </w:r>
          </w:p>
        </w:tc>
      </w:tr>
      <w:tr>
        <w:trPr>
          <w:trHeight w:val="27"/>
        </w:trPr>
        <w:tc>
          <w:tcPr>
            <w:tcW w:w="24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derivatives</w:t>
            </w:r>
          </w:p>
        </w:tc>
        <w:tc>
          <w:tcPr>
            <w:tcW w:w="2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0"/>
        </w:trPr>
        <w:tc>
          <w:tcPr>
            <w:tcW w:w="2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disclose the non-exchange traded financial derivative instruments as derivative assets and liabilities on our consolidated balance sheets at fair value with amounts classified as either current or long-term depending on the anticipated settlement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- 73</w:t>
      </w:r>
    </w:p>
    <w:p>
      <w:pPr>
        <w:sectPr>
          <w:pgSz w:w="11900" w:h="16838" w:orient="portrait"/>
          <w:cols w:equalWidth="0" w:num="1">
            <w:col w:w="11420"/>
          </w:cols>
          <w:pgMar w:left="240" w:top="118" w:right="239" w:bottom="1440" w:gutter="0" w:footer="0" w:header="0"/>
        </w:sectPr>
      </w:pPr>
    </w:p>
    <w:bookmarkStart w:id="239" w:name="page240"/>
    <w:bookmarkEnd w:id="2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amounts recognized with respect to our derivative financial instruments: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Location of Gain (Loss)</w:t>
            </w:r>
          </w:p>
        </w:tc>
        <w:tc>
          <w:tcPr>
            <w:tcW w:w="280" w:type="dxa"/>
            <w:vAlign w:val="bottom"/>
          </w:tcPr>
          <w:p>
            <w:pPr>
              <w:spacing w:after="0"/>
              <w:rPr>
                <w:sz w:val="18"/>
                <w:szCs w:val="18"/>
                <w:color w:val="auto"/>
              </w:rPr>
            </w:pPr>
          </w:p>
        </w:tc>
        <w:tc>
          <w:tcPr>
            <w:tcW w:w="4120" w:type="dxa"/>
            <w:vAlign w:val="bottom"/>
            <w:gridSpan w:val="7"/>
          </w:tcPr>
          <w:p>
            <w:pPr>
              <w:jc w:val="center"/>
              <w:ind w:right="170"/>
              <w:spacing w:after="0"/>
              <w:rPr>
                <w:sz w:val="20"/>
                <w:szCs w:val="20"/>
                <w:color w:val="auto"/>
              </w:rPr>
            </w:pPr>
            <w:r>
              <w:rPr>
                <w:rFonts w:ascii="Arial" w:cs="Arial" w:eastAsia="Arial" w:hAnsi="Arial"/>
                <w:sz w:val="18"/>
                <w:szCs w:val="18"/>
                <w:color w:val="auto"/>
                <w:w w:val="91"/>
              </w:rPr>
              <w:t>Amount of Gain (Loss) Recognized in Income</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Recognized in Income on</w:t>
            </w:r>
          </w:p>
        </w:tc>
        <w:tc>
          <w:tcPr>
            <w:tcW w:w="280" w:type="dxa"/>
            <w:vAlign w:val="bottom"/>
          </w:tcPr>
          <w:p>
            <w:pPr>
              <w:spacing w:after="0"/>
              <w:rPr>
                <w:sz w:val="18"/>
                <w:szCs w:val="18"/>
                <w:color w:val="auto"/>
              </w:rPr>
            </w:pPr>
          </w:p>
        </w:tc>
        <w:tc>
          <w:tcPr>
            <w:tcW w:w="4120" w:type="dxa"/>
            <w:vAlign w:val="bottom"/>
            <w:gridSpan w:val="7"/>
          </w:tcPr>
          <w:p>
            <w:pPr>
              <w:jc w:val="center"/>
              <w:ind w:right="150"/>
              <w:spacing w:after="0"/>
              <w:rPr>
                <w:sz w:val="20"/>
                <w:szCs w:val="20"/>
                <w:color w:val="auto"/>
              </w:rPr>
            </w:pPr>
            <w:r>
              <w:rPr>
                <w:rFonts w:ascii="Arial" w:cs="Arial" w:eastAsia="Arial" w:hAnsi="Arial"/>
                <w:sz w:val="18"/>
                <w:szCs w:val="18"/>
                <w:color w:val="auto"/>
                <w:w w:val="89"/>
              </w:rPr>
              <w:t>Representing Hedge Ineffectiveness and Amount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Derivatives</w:t>
            </w:r>
          </w:p>
        </w:tc>
        <w:tc>
          <w:tcPr>
            <w:tcW w:w="280" w:type="dxa"/>
            <w:vAlign w:val="bottom"/>
          </w:tcPr>
          <w:p>
            <w:pPr>
              <w:spacing w:after="0"/>
              <w:rPr>
                <w:sz w:val="20"/>
                <w:szCs w:val="20"/>
                <w:color w:val="auto"/>
              </w:rPr>
            </w:pPr>
          </w:p>
        </w:tc>
        <w:tc>
          <w:tcPr>
            <w:tcW w:w="4120" w:type="dxa"/>
            <w:vAlign w:val="bottom"/>
            <w:gridSpan w:val="7"/>
          </w:tcPr>
          <w:p>
            <w:pPr>
              <w:jc w:val="center"/>
              <w:ind w:right="170"/>
              <w:spacing w:after="0"/>
              <w:rPr>
                <w:sz w:val="20"/>
                <w:szCs w:val="20"/>
                <w:color w:val="auto"/>
              </w:rPr>
            </w:pPr>
            <w:r>
              <w:rPr>
                <w:rFonts w:ascii="Arial" w:cs="Arial" w:eastAsia="Arial" w:hAnsi="Arial"/>
                <w:sz w:val="18"/>
                <w:szCs w:val="18"/>
                <w:color w:val="auto"/>
                <w:w w:val="89"/>
              </w:rPr>
              <w:t>Excluded from the Assessment of Effectiveness</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center"/>
              <w:ind w:left="71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w w:val="96"/>
              </w:rPr>
              <w:t>Derivatives in fair value hedging relationships</w:t>
            </w: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(including hedged item):</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742"/>
        </w:trPr>
        <w:tc>
          <w:tcPr>
            <w:tcW w:w="3520" w:type="dxa"/>
            <w:vAlign w:val="bottom"/>
          </w:tcPr>
          <w:p>
            <w:pPr>
              <w:spacing w:after="0"/>
              <w:rPr>
                <w:sz w:val="24"/>
                <w:szCs w:val="24"/>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Location of Gain (Loss)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Recognized in Income on</w:t>
            </w:r>
          </w:p>
        </w:tc>
        <w:tc>
          <w:tcPr>
            <w:tcW w:w="280" w:type="dxa"/>
            <w:vAlign w:val="bottom"/>
          </w:tcPr>
          <w:p>
            <w:pPr>
              <w:spacing w:after="0"/>
              <w:rPr>
                <w:sz w:val="18"/>
                <w:szCs w:val="18"/>
                <w:color w:val="auto"/>
              </w:rPr>
            </w:pPr>
          </w:p>
        </w:tc>
        <w:tc>
          <w:tcPr>
            <w:tcW w:w="4120" w:type="dxa"/>
            <w:vAlign w:val="bottom"/>
            <w:gridSpan w:val="7"/>
          </w:tcPr>
          <w:p>
            <w:pPr>
              <w:jc w:val="center"/>
              <w:ind w:right="170"/>
              <w:spacing w:after="0"/>
              <w:rPr>
                <w:sz w:val="20"/>
                <w:szCs w:val="20"/>
                <w:color w:val="auto"/>
              </w:rPr>
            </w:pPr>
            <w:r>
              <w:rPr>
                <w:rFonts w:ascii="Arial" w:cs="Arial" w:eastAsia="Arial" w:hAnsi="Arial"/>
                <w:sz w:val="18"/>
                <w:szCs w:val="18"/>
                <w:color w:val="auto"/>
                <w:w w:val="92"/>
              </w:rPr>
              <w:t>Amount of Gain (Loss) Recognized in Income on</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Derivatives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Derivatives</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6"/>
          </w:tcPr>
          <w:p>
            <w:pPr>
              <w:jc w:val="center"/>
              <w:ind w:left="71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Derivatives not designated as hedging</w:t>
            </w: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2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 – Trading</w:t>
            </w: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Commodity derivatives – Trading</w:t>
            </w: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derivatives – Non-trading</w:t>
            </w: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520" w:type="dxa"/>
            <w:vAlign w:val="bottom"/>
          </w:tcPr>
          <w:p>
            <w:pPr>
              <w:ind w:left="180"/>
              <w:spacing w:after="0"/>
              <w:rPr>
                <w:sz w:val="20"/>
                <w:szCs w:val="20"/>
                <w:color w:val="auto"/>
              </w:rPr>
            </w:pPr>
            <w:r>
              <w:rPr>
                <w:rFonts w:ascii="Arial" w:cs="Arial" w:eastAsia="Arial" w:hAnsi="Arial"/>
                <w:sz w:val="18"/>
                <w:szCs w:val="18"/>
                <w:color w:val="auto"/>
              </w:rPr>
              <w:t>Interest rate derivatives</w:t>
            </w:r>
          </w:p>
        </w:tc>
        <w:tc>
          <w:tcPr>
            <w:tcW w:w="2760" w:type="dxa"/>
            <w:vAlign w:val="bottom"/>
            <w:gridSpan w:val="2"/>
          </w:tcPr>
          <w:p>
            <w:pPr>
              <w:ind w:left="20"/>
              <w:spacing w:after="0"/>
              <w:rPr>
                <w:sz w:val="20"/>
                <w:szCs w:val="20"/>
                <w:color w:val="auto"/>
              </w:rPr>
            </w:pPr>
            <w:r>
              <w:rPr>
                <w:rFonts w:ascii="Arial" w:cs="Arial" w:eastAsia="Arial" w:hAnsi="Arial"/>
                <w:sz w:val="18"/>
                <w:szCs w:val="18"/>
                <w:color w:val="auto"/>
              </w:rPr>
              <w:t>Gains (losses) on interest rate</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760" w:type="dxa"/>
            <w:vAlign w:val="bottom"/>
            <w:gridSpan w:val="2"/>
          </w:tcPr>
          <w:p>
            <w:pPr>
              <w:ind w:left="180"/>
              <w:spacing w:after="0"/>
              <w:rPr>
                <w:sz w:val="20"/>
                <w:szCs w:val="20"/>
                <w:color w:val="auto"/>
              </w:rPr>
            </w:pPr>
            <w:r>
              <w:rPr>
                <w:rFonts w:ascii="Arial" w:cs="Arial" w:eastAsia="Arial" w:hAnsi="Arial"/>
                <w:sz w:val="18"/>
                <w:szCs w:val="18"/>
                <w:color w:val="auto"/>
              </w:rPr>
              <w:t>derivatives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Embedded derivatives</w:t>
            </w:r>
          </w:p>
        </w:tc>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520" w:type="dxa"/>
            <w:vAlign w:val="bottom"/>
          </w:tcPr>
          <w:p>
            <w:pPr>
              <w:ind w:left="34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760" w:type="dxa"/>
            <w:vAlign w:val="bottom"/>
            <w:gridSpan w:val="2"/>
            <w:vMerge w:val="restart"/>
          </w:tcPr>
          <w:p>
            <w:pPr>
              <w:ind w:left="1640"/>
              <w:spacing w:after="0"/>
              <w:rPr>
                <w:sz w:val="20"/>
                <w:szCs w:val="20"/>
                <w:color w:val="auto"/>
              </w:rPr>
            </w:pPr>
            <w:r>
              <w:rPr>
                <w:rFonts w:ascii="Arial" w:cs="Arial" w:eastAsia="Arial" w:hAnsi="Arial"/>
                <w:sz w:val="18"/>
                <w:szCs w:val="18"/>
                <w:color w:val="auto"/>
              </w:rPr>
              <w:t>F - 74</w:t>
            </w: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520" w:type="dxa"/>
            <w:vAlign w:val="bottom"/>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8" w:right="639" w:bottom="1440" w:gutter="0" w:footer="0" w:header="0"/>
        </w:sectPr>
      </w:pPr>
    </w:p>
    <w:bookmarkStart w:id="240" w:name="page241"/>
    <w:bookmarkEnd w:id="2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right="8560" w:hanging="332"/>
        <w:spacing w:after="0" w:line="559" w:lineRule="auto"/>
        <w:tabs>
          <w:tab w:leader="none" w:pos="34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RETIREMENT BENEFITS: </w:t>
      </w:r>
      <w:r>
        <w:rPr>
          <w:rFonts w:ascii="Arial" w:cs="Arial" w:eastAsia="Arial" w:hAnsi="Arial"/>
          <w:sz w:val="16"/>
          <w:szCs w:val="16"/>
          <w:b w:val="1"/>
          <w:bCs w:val="1"/>
          <w:color w:val="auto"/>
        </w:rPr>
        <w:t>Savings and Profit Sharing Plans</w:t>
      </w:r>
    </w:p>
    <w:p>
      <w:pPr>
        <w:spacing w:after="0" w:line="65" w:lineRule="exact"/>
        <w:rPr>
          <w:rFonts w:ascii="Arial" w:cs="Arial" w:eastAsia="Arial" w:hAnsi="Arial"/>
          <w:sz w:val="16"/>
          <w:szCs w:val="16"/>
          <w:b w:val="1"/>
          <w:bCs w:val="1"/>
          <w:color w:val="auto"/>
        </w:rPr>
      </w:pPr>
    </w:p>
    <w:p>
      <w:pPr>
        <w:jc w:val="both"/>
        <w:ind w:lef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We and our subsidiaries sponsor defined contribution savings and profit sharing plans, which collectively cover virtually all eligible employees, including those of ETO, Lake Charles LNG, Sunoco LP and USAC. Employer matching contributions are calculated using a formula based on employee contributions. We and our subsidiaries made matching contributions of $66 million, $62 million and $59 million to these 401(k) savings plans for the years ended December 31, 2019, 2018 and 2017, respectively.</w:t>
      </w:r>
    </w:p>
    <w:p>
      <w:pPr>
        <w:spacing w:after="0" w:line="128" w:lineRule="exact"/>
        <w:rPr>
          <w:rFonts w:ascii="Arial" w:cs="Arial" w:eastAsia="Arial" w:hAnsi="Arial"/>
          <w:sz w:val="16"/>
          <w:szCs w:val="16"/>
          <w:b w:val="1"/>
          <w:bCs w:val="1"/>
          <w:color w:val="auto"/>
        </w:rPr>
      </w:pPr>
    </w:p>
    <w:p>
      <w:pPr>
        <w:ind w:left="340" w:right="7400"/>
        <w:spacing w:after="0" w:line="628"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b w:val="1"/>
          <w:bCs w:val="1"/>
          <w:i w:val="1"/>
          <w:iCs w:val="1"/>
          <w:color w:val="auto"/>
        </w:rPr>
        <w:t>Panhandle</w:t>
      </w:r>
    </w:p>
    <w:p>
      <w:pPr>
        <w:spacing w:after="0" w:line="1" w:lineRule="exact"/>
        <w:rPr>
          <w:rFonts w:ascii="Arial" w:cs="Arial" w:eastAsia="Arial" w:hAnsi="Arial"/>
          <w:sz w:val="16"/>
          <w:szCs w:val="16"/>
          <w:b w:val="1"/>
          <w:bCs w:val="1"/>
          <w:color w:val="auto"/>
        </w:rPr>
      </w:pPr>
    </w:p>
    <w:p>
      <w:pPr>
        <w:jc w:val="both"/>
        <w:ind w:left="34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Postretirement benefits expense for the years ended December 31, 2019, 2018, and 2017 reflect the impact of changes Panhandle or its affiliates adopted as of September 30, 2013, to modify its retiree medical benefits program, effective January 1, 2014. The modification placed all eligible retirees on a common medical benefit platform, subject to limits on Panhandle’s annual contribution toward eligible retirees’ medical premiums. Prior to January 1, 2013, affiliates of Panhandle offered postretirement health care and life insurance benefit plans (other postretirement plans) that covered substantially all employees. Effective January 1, 2013, participation in the plan was frozen and medical benefits were no longer offered to non-union employees. Effective January 1, 2014, retiree medical benefits were no longer offered to union employees.</w:t>
      </w:r>
    </w:p>
    <w:p>
      <w:pPr>
        <w:spacing w:after="0" w:line="232"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Effective January 1, 2018, the plan was amended to extend coverage to a closed group of former employees based on certain criteria.</w:t>
      </w:r>
    </w:p>
    <w:p>
      <w:pPr>
        <w:spacing w:after="0" w:line="279"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ETC Sunoco</w:t>
      </w:r>
    </w:p>
    <w:p>
      <w:pPr>
        <w:spacing w:after="0" w:line="171" w:lineRule="exact"/>
        <w:rPr>
          <w:rFonts w:ascii="Arial" w:cs="Arial" w:eastAsia="Arial" w:hAnsi="Arial"/>
          <w:sz w:val="16"/>
          <w:szCs w:val="16"/>
          <w:b w:val="1"/>
          <w:bCs w:val="1"/>
          <w:color w:val="auto"/>
        </w:rPr>
      </w:pPr>
    </w:p>
    <w:p>
      <w:pPr>
        <w:jc w:val="both"/>
        <w:ind w:left="34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ETC Sunoco has a plan which provides health care benefits for substantially all of its current retirees. The cost to provide the postretirement benefit plan is shared by ETC Sunoco and its retirees. Access to postretirement medical benefits was phased out or eliminated for all employees retiring after July 1, 2010. In March, 2012, ETC Sunoco established a trust for its postretirement benefit liabilities. ETC Sunoco made a tax-deductible contribution of approximately $200 million to the trust. The funding of the trust eliminated substantially all of ETC Sunoco future exposure to variances between actual results and assumptions used to estimate retiree medical plan obligations.</w:t>
      </w:r>
    </w:p>
    <w:p>
      <w:pPr>
        <w:spacing w:after="0" w:line="118"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i w:val="1"/>
          <w:iCs w:val="1"/>
          <w:color w:val="auto"/>
        </w:rPr>
        <w:t>SemGroup</w:t>
      </w:r>
    </w:p>
    <w:p>
      <w:pPr>
        <w:spacing w:after="0" w:line="171" w:lineRule="exact"/>
        <w:rPr>
          <w:rFonts w:ascii="Arial" w:cs="Arial" w:eastAsia="Arial" w:hAnsi="Arial"/>
          <w:sz w:val="16"/>
          <w:szCs w:val="16"/>
          <w:b w:val="1"/>
          <w:bCs w:val="1"/>
          <w:color w:val="auto"/>
        </w:rPr>
      </w:pPr>
    </w:p>
    <w:p>
      <w:pPr>
        <w:ind w:lef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SemGroup sponsors two defined benefit pension plans and a supplemental defined benefit pension plan (collectively, the “Semgroup Plans”) for certain employees. The Semgroup Plans are closed to new participants and do not accrue any additional benefits.</w:t>
      </w:r>
    </w:p>
    <w:p>
      <w:pPr>
        <w:spacing w:after="0" w:line="112"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Obligations and Funded Status</w:t>
      </w:r>
    </w:p>
    <w:p>
      <w:pPr>
        <w:spacing w:after="0" w:line="337"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Pension and other postretirement benefit liabilities are accrued on an actuarial basis during the years an employee provides services.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- 75</w:t>
      </w:r>
    </w:p>
    <w:p>
      <w:pPr>
        <w:sectPr>
          <w:pgSz w:w="11900" w:h="16838" w:orient="portrait"/>
          <w:cols w:equalWidth="0" w:num="1">
            <w:col w:w="11420"/>
          </w:cols>
          <w:pgMar w:left="240" w:top="118" w:right="239" w:bottom="1440" w:gutter="0" w:footer="0" w:header="0"/>
        </w:sectPr>
      </w:pPr>
    </w:p>
    <w:bookmarkStart w:id="241" w:name="page242"/>
    <w:bookmarkEnd w:id="2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contains information at the dates indicated about the obligations and funded status of pension and other postretirement plans on a combined basis:</w:t>
      </w:r>
    </w:p>
    <w:p>
      <w:pPr>
        <w:spacing w:after="0" w:line="297"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w w:val="92"/>
              </w:rPr>
              <w:t>December 31, 2019</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color w:val="auto"/>
                <w:w w:val="93"/>
              </w:rPr>
              <w:t>December 31, 2018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color w:val="auto"/>
              </w:rPr>
              <w:t>Pension Benefits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5"/>
          </w:tcPr>
          <w:p>
            <w:pPr>
              <w:ind w:left="240"/>
              <w:spacing w:after="0"/>
              <w:rPr>
                <w:sz w:val="20"/>
                <w:szCs w:val="20"/>
                <w:color w:val="auto"/>
              </w:rPr>
            </w:pPr>
            <w:r>
              <w:rPr>
                <w:rFonts w:ascii="Arial" w:cs="Arial" w:eastAsia="Arial" w:hAnsi="Arial"/>
                <w:sz w:val="16"/>
                <w:szCs w:val="16"/>
                <w:color w:val="auto"/>
              </w:rPr>
              <w:t>Pension Benefits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color w:val="auto"/>
                <w:w w:val="94"/>
              </w:rPr>
              <w:t>Other</w:t>
            </w: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vMerge w:val="restart"/>
          </w:tcPr>
          <w:p>
            <w:pPr>
              <w:jc w:val="center"/>
              <w:ind w:right="99"/>
              <w:spacing w:after="0"/>
              <w:rPr>
                <w:sz w:val="20"/>
                <w:szCs w:val="20"/>
                <w:color w:val="auto"/>
              </w:rPr>
            </w:pPr>
            <w:r>
              <w:rPr>
                <w:rFonts w:ascii="Arial" w:cs="Arial" w:eastAsia="Arial" w:hAnsi="Arial"/>
                <w:sz w:val="16"/>
                <w:szCs w:val="16"/>
                <w:color w:val="auto"/>
                <w:w w:val="89"/>
              </w:rPr>
              <w:t>Other</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Unfunded</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Postretirement</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Unfunded</w:t>
            </w:r>
          </w:p>
        </w:tc>
        <w:tc>
          <w:tcPr>
            <w:tcW w:w="18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color w:val="auto"/>
                <w:w w:val="92"/>
              </w:rPr>
              <w:t>Postretirement</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6"/>
                <w:szCs w:val="16"/>
                <w:color w:val="auto"/>
              </w:rPr>
              <w:t>Funded Plans</w:t>
            </w: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84"/>
              </w:rPr>
              <w:t>Plans</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Benefits</w:t>
            </w:r>
          </w:p>
        </w:tc>
        <w:tc>
          <w:tcPr>
            <w:tcW w:w="1160" w:type="dxa"/>
            <w:vAlign w:val="bottom"/>
            <w:gridSpan w:val="3"/>
          </w:tcPr>
          <w:p>
            <w:pPr>
              <w:ind w:left="100"/>
              <w:spacing w:after="0"/>
              <w:rPr>
                <w:sz w:val="20"/>
                <w:szCs w:val="20"/>
                <w:color w:val="auto"/>
              </w:rPr>
            </w:pPr>
            <w:r>
              <w:rPr>
                <w:rFonts w:ascii="Arial" w:cs="Arial" w:eastAsia="Arial" w:hAnsi="Arial"/>
                <w:sz w:val="16"/>
                <w:szCs w:val="16"/>
                <w:color w:val="auto"/>
              </w:rPr>
              <w:t>Funded Plans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Plans</w:t>
            </w:r>
          </w:p>
        </w:tc>
        <w:tc>
          <w:tcPr>
            <w:tcW w:w="180" w:type="dxa"/>
            <w:vAlign w:val="bottom"/>
          </w:tcPr>
          <w:p>
            <w:pPr>
              <w:spacing w:after="0"/>
              <w:rPr>
                <w:sz w:val="17"/>
                <w:szCs w:val="17"/>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color w:val="auto"/>
                <w:w w:val="93"/>
              </w:rPr>
              <w:t>Benefits</w:t>
            </w:r>
          </w:p>
        </w:tc>
        <w:tc>
          <w:tcPr>
            <w:tcW w:w="0" w:type="dxa"/>
            <w:vAlign w:val="bottom"/>
          </w:tcPr>
          <w:p>
            <w:pPr>
              <w:spacing w:after="0"/>
              <w:rPr>
                <w:sz w:val="1"/>
                <w:szCs w:val="1"/>
                <w:color w:val="auto"/>
              </w:rPr>
            </w:pPr>
          </w:p>
        </w:tc>
      </w:tr>
      <w:tr>
        <w:trPr>
          <w:trHeight w:val="33"/>
        </w:trPr>
        <w:tc>
          <w:tcPr>
            <w:tcW w:w="3100" w:type="dxa"/>
            <w:vAlign w:val="bottom"/>
            <w:vMerge w:val="restart"/>
          </w:tcPr>
          <w:p>
            <w:pPr>
              <w:ind w:left="20"/>
              <w:spacing w:after="0"/>
              <w:rPr>
                <w:sz w:val="20"/>
                <w:szCs w:val="20"/>
                <w:color w:val="auto"/>
              </w:rPr>
            </w:pPr>
            <w:r>
              <w:rPr>
                <w:rFonts w:ascii="Arial" w:cs="Arial" w:eastAsia="Arial" w:hAnsi="Arial"/>
                <w:sz w:val="16"/>
                <w:szCs w:val="16"/>
                <w:color w:val="auto"/>
              </w:rPr>
              <w:t>Change in benefit obligation:</w:t>
            </w: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Amendments</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Benefits paid, net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Actuarial (gain) loss and other</w:t>
            </w:r>
          </w:p>
        </w:tc>
        <w:tc>
          <w:tcPr>
            <w:tcW w:w="1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Settlements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SemGroup Acquisition</w:t>
            </w:r>
          </w:p>
        </w:tc>
        <w:tc>
          <w:tcPr>
            <w:tcW w:w="1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Benefit obligation at end of period</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plan assets: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Arial" w:cs="Arial" w:eastAsia="Arial" w:hAnsi="Arial"/>
                <w:sz w:val="16"/>
                <w:szCs w:val="16"/>
                <w:color w:val="auto"/>
                <w:w w:val="92"/>
              </w:rPr>
              <w:t>Fair value of plan assets at beginning of period</w:t>
            </w:r>
          </w:p>
        </w:tc>
        <w:tc>
          <w:tcPr>
            <w:tcW w:w="1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Return on plan assets and other</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Employer contributions</w:t>
            </w:r>
          </w:p>
        </w:tc>
        <w:tc>
          <w:tcPr>
            <w:tcW w:w="1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Benefits paid, net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SemGroup Acquisition</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00" w:type="dxa"/>
            <w:vAlign w:val="bottom"/>
          </w:tcPr>
          <w:p>
            <w:pPr>
              <w:ind w:left="340"/>
              <w:spacing w:after="0"/>
              <w:rPr>
                <w:sz w:val="20"/>
                <w:szCs w:val="20"/>
                <w:color w:val="auto"/>
              </w:rPr>
            </w:pPr>
            <w:r>
              <w:rPr>
                <w:rFonts w:ascii="Arial" w:cs="Arial" w:eastAsia="Arial" w:hAnsi="Arial"/>
                <w:sz w:val="16"/>
                <w:szCs w:val="16"/>
                <w:color w:val="auto"/>
                <w:w w:val="94"/>
              </w:rPr>
              <w:t>Fair value of plan assets at end of period</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100" w:type="dxa"/>
            <w:vAlign w:val="bottom"/>
          </w:tcPr>
          <w:p>
            <w:pPr>
              <w:ind w:left="20"/>
              <w:spacing w:after="0"/>
              <w:rPr>
                <w:sz w:val="20"/>
                <w:szCs w:val="20"/>
                <w:color w:val="auto"/>
              </w:rPr>
            </w:pPr>
            <w:r>
              <w:rPr>
                <w:rFonts w:ascii="Arial" w:cs="Arial" w:eastAsia="Arial" w:hAnsi="Arial"/>
                <w:sz w:val="16"/>
                <w:szCs w:val="16"/>
                <w:color w:val="auto"/>
                <w:w w:val="98"/>
              </w:rPr>
              <w:t>Amount underfunded (overfunded) at end of</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59"/>
        </w:trPr>
        <w:tc>
          <w:tcPr>
            <w:tcW w:w="3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period</w:t>
            </w:r>
          </w:p>
        </w:tc>
        <w:tc>
          <w:tcPr>
            <w:tcW w:w="10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6"/>
                <w:szCs w:val="16"/>
                <w:color w:val="auto"/>
              </w:rPr>
              <w:t>Amounts recognized in the consolidated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balance sheets consist of:</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assets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6"/>
                <w:szCs w:val="16"/>
                <w:color w:val="auto"/>
              </w:rPr>
              <w:t>Amounts recognized in accumulated other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rPr>
                <w:sz w:val="20"/>
                <w:szCs w:val="20"/>
                <w:color w:val="auto"/>
              </w:rPr>
            </w:pPr>
            <w:r>
              <w:rPr>
                <w:rFonts w:ascii="Arial" w:cs="Arial" w:eastAsia="Arial" w:hAnsi="Arial"/>
                <w:sz w:val="16"/>
                <w:szCs w:val="16"/>
                <w:color w:val="auto"/>
                <w:w w:val="92"/>
              </w:rPr>
              <w:t>comprehensive income (loss) (pre-tax basis)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80"/>
              <w:spacing w:after="0"/>
              <w:rPr>
                <w:sz w:val="20"/>
                <w:szCs w:val="20"/>
                <w:color w:val="auto"/>
              </w:rPr>
            </w:pPr>
            <w:r>
              <w:rPr>
                <w:rFonts w:ascii="Arial" w:cs="Arial" w:eastAsia="Arial" w:hAnsi="Arial"/>
                <w:sz w:val="16"/>
                <w:szCs w:val="16"/>
                <w:color w:val="auto"/>
              </w:rPr>
              <w:t>consist of:</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gain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3100" w:type="dxa"/>
            <w:vAlign w:val="bottom"/>
          </w:tcPr>
          <w:p>
            <w:pPr>
              <w:ind w:left="180"/>
              <w:spacing w:after="0"/>
              <w:rPr>
                <w:sz w:val="20"/>
                <w:szCs w:val="20"/>
                <w:color w:val="auto"/>
              </w:rPr>
            </w:pPr>
            <w:r>
              <w:rPr>
                <w:rFonts w:ascii="Arial" w:cs="Arial" w:eastAsia="Arial" w:hAnsi="Arial"/>
                <w:sz w:val="16"/>
                <w:szCs w:val="16"/>
                <w:color w:val="auto"/>
              </w:rPr>
              <w:t>Prior service cost</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- 76</w:t>
      </w:r>
    </w:p>
    <w:p>
      <w:pPr>
        <w:sectPr>
          <w:pgSz w:w="11900" w:h="16838" w:orient="portrait"/>
          <w:cols w:equalWidth="0" w:num="1">
            <w:col w:w="11420"/>
          </w:cols>
          <w:pgMar w:left="240" w:top="118" w:right="239" w:bottom="1440" w:gutter="0" w:footer="0" w:header="0"/>
        </w:sectPr>
      </w:pPr>
    </w:p>
    <w:bookmarkStart w:id="242" w:name="page243"/>
    <w:bookmarkEnd w:id="2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information at the dates indicated for plans with an accumulated benefit obligation in excess of plan assets:</w:t>
      </w:r>
    </w:p>
    <w:p>
      <w:pPr>
        <w:sectPr>
          <w:pgSz w:w="11900" w:h="16838" w:orient="portrait"/>
          <w:cols w:equalWidth="0" w:num="1">
            <w:col w:w="11020"/>
          </w:cols>
          <w:pgMar w:left="240" w:top="118" w:right="639" w:bottom="1440" w:gutter="0" w:footer="0" w:header="0"/>
        </w:sectPr>
      </w:pPr>
    </w:p>
    <w:p>
      <w:pPr>
        <w:spacing w:after="0" w:line="356" w:lineRule="exact"/>
        <w:rPr>
          <w:sz w:val="20"/>
          <w:szCs w:val="20"/>
          <w:color w:val="auto"/>
        </w:rPr>
      </w:pPr>
    </w:p>
    <w:p>
      <w:pPr>
        <w:ind w:left="3660"/>
        <w:spacing w:after="0"/>
        <w:rPr>
          <w:sz w:val="20"/>
          <w:szCs w:val="20"/>
          <w:color w:val="auto"/>
        </w:rPr>
      </w:pPr>
      <w:r>
        <w:rPr>
          <w:rFonts w:ascii="Arial" w:cs="Arial" w:eastAsia="Arial" w:hAnsi="Arial"/>
          <w:sz w:val="16"/>
          <w:szCs w:val="16"/>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46355</wp:posOffset>
            </wp:positionV>
            <wp:extent cx="2787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6">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0"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31750</wp:posOffset>
            </wp:positionV>
            <wp:extent cx="27870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46355</wp:posOffset>
            </wp:positionV>
            <wp:extent cx="2778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8">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31750</wp:posOffset>
            </wp:positionV>
            <wp:extent cx="27787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6780" w:space="720"/>
            <w:col w:w="3520"/>
          </w:cols>
          <w:pgMar w:left="240" w:top="118" w:right="63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Postretirement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Postretirement</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3"/>
          </w:tcPr>
          <w:p>
            <w:pPr>
              <w:ind w:left="200"/>
              <w:spacing w:after="0"/>
              <w:rPr>
                <w:sz w:val="20"/>
                <w:szCs w:val="20"/>
                <w:color w:val="auto"/>
              </w:rPr>
            </w:pPr>
            <w:r>
              <w:rPr>
                <w:rFonts w:ascii="Arial" w:cs="Arial" w:eastAsia="Arial" w:hAnsi="Arial"/>
                <w:sz w:val="18"/>
                <w:szCs w:val="18"/>
                <w:color w:val="auto"/>
              </w:rPr>
              <w:t>Funded Plans</w:t>
            </w:r>
          </w:p>
        </w:tc>
        <w:tc>
          <w:tcPr>
            <w:tcW w:w="1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88"/>
              </w:rPr>
              <w:t>Unfunded Plans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Benefits</w:t>
            </w:r>
          </w:p>
        </w:tc>
        <w:tc>
          <w:tcPr>
            <w:tcW w:w="120" w:type="dxa"/>
            <w:vAlign w:val="bottom"/>
          </w:tcPr>
          <w:p>
            <w:pPr>
              <w:spacing w:after="0"/>
              <w:rPr>
                <w:sz w:val="20"/>
                <w:szCs w:val="20"/>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Funded Plans</w:t>
            </w:r>
          </w:p>
        </w:tc>
        <w:tc>
          <w:tcPr>
            <w:tcW w:w="100" w:type="dxa"/>
            <w:vAlign w:val="bottom"/>
          </w:tcPr>
          <w:p>
            <w:pPr>
              <w:spacing w:after="0"/>
              <w:rPr>
                <w:sz w:val="20"/>
                <w:szCs w:val="20"/>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Unfunded Plans</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7"/>
        </w:trPr>
        <w:tc>
          <w:tcPr>
            <w:tcW w:w="1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Accumulated benefit</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obligation</w:t>
            </w:r>
          </w:p>
        </w:tc>
        <w:tc>
          <w:tcPr>
            <w:tcW w:w="82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Fair value of plan assets</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594"/>
        </w:trPr>
        <w:tc>
          <w:tcPr>
            <w:tcW w:w="332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3"/>
              </w:rPr>
              <w:t>Components of Net Periodic Benefit Cost</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8"/>
          </w:tcPr>
          <w:p>
            <w:pPr>
              <w:ind w:left="600"/>
              <w:spacing w:after="0"/>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24"/>
                <w:szCs w:val="24"/>
                <w:color w:val="auto"/>
              </w:rPr>
            </w:pPr>
          </w:p>
        </w:tc>
        <w:tc>
          <w:tcPr>
            <w:tcW w:w="2760" w:type="dxa"/>
            <w:vAlign w:val="bottom"/>
            <w:gridSpan w:val="6"/>
          </w:tcPr>
          <w:p>
            <w:pPr>
              <w:jc w:val="right"/>
              <w:ind w:right="63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0"/>
              </w:rPr>
              <w:t>Postretirement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8"/>
                <w:szCs w:val="18"/>
                <w:color w:val="auto"/>
                <w:w w:val="90"/>
              </w:rPr>
              <w:t>Pension Benefits</w:t>
            </w:r>
          </w:p>
        </w:tc>
        <w:tc>
          <w:tcPr>
            <w:tcW w:w="120" w:type="dxa"/>
            <w:vAlign w:val="bottom"/>
          </w:tcPr>
          <w:p>
            <w:pPr>
              <w:spacing w:after="0"/>
              <w:rPr>
                <w:sz w:val="20"/>
                <w:szCs w:val="20"/>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8"/>
                <w:szCs w:val="18"/>
                <w:color w:val="auto"/>
                <w:w w:val="92"/>
              </w:rPr>
              <w:t>Benefits</w:t>
            </w:r>
          </w:p>
        </w:tc>
        <w:tc>
          <w:tcPr>
            <w:tcW w:w="150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Pension Benefits</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7"/>
        </w:trPr>
        <w:tc>
          <w:tcPr>
            <w:tcW w:w="18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Net periodic benefit cost:</w:t>
            </w: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840" w:type="dxa"/>
            <w:vAlign w:val="bottom"/>
            <w:gridSpan w:val="2"/>
          </w:tcPr>
          <w:p>
            <w:pPr>
              <w:ind w:left="18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660" w:type="dxa"/>
            <w:vAlign w:val="bottom"/>
            <w:gridSpan w:val="3"/>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9"/>
              </w:rPr>
              <w:t>Expected return on plan assets</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2660" w:type="dxa"/>
            <w:vAlign w:val="bottom"/>
            <w:gridSpan w:val="3"/>
          </w:tcPr>
          <w:p>
            <w:pPr>
              <w:ind w:left="180"/>
              <w:spacing w:after="0"/>
              <w:rPr>
                <w:sz w:val="20"/>
                <w:szCs w:val="20"/>
                <w:color w:val="auto"/>
              </w:rPr>
            </w:pPr>
            <w:r>
              <w:rPr>
                <w:rFonts w:ascii="Arial" w:cs="Arial" w:eastAsia="Arial" w:hAnsi="Arial"/>
                <w:sz w:val="18"/>
                <w:szCs w:val="18"/>
                <w:color w:val="auto"/>
              </w:rPr>
              <w:t>Prior service cost amortization</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gridSpan w:val="3"/>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periodic benefit cost</w:t>
            </w: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determining benefit obligations at the dates indicated are shown in the table below:</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100" w:type="dxa"/>
            <w:vAlign w:val="bottom"/>
            <w:gridSpan w:val="4"/>
          </w:tcPr>
          <w:p>
            <w:pPr>
              <w:ind w:left="800"/>
              <w:spacing w:after="0"/>
              <w:rPr>
                <w:sz w:val="20"/>
                <w:szCs w:val="20"/>
                <w:color w:val="auto"/>
              </w:rPr>
            </w:pPr>
            <w:r>
              <w:rPr>
                <w:rFonts w:ascii="Arial" w:cs="Arial" w:eastAsia="Arial" w:hAnsi="Arial"/>
                <w:sz w:val="18"/>
                <w:szCs w:val="18"/>
                <w:color w:val="auto"/>
              </w:rPr>
              <w:t>December 31, 2019</w:t>
            </w:r>
          </w:p>
        </w:tc>
        <w:tc>
          <w:tcPr>
            <w:tcW w:w="3000" w:type="dxa"/>
            <w:vAlign w:val="bottom"/>
            <w:gridSpan w:val="3"/>
          </w:tcPr>
          <w:p>
            <w:pPr>
              <w:ind w:left="800"/>
              <w:spacing w:after="0"/>
              <w:rPr>
                <w:sz w:val="20"/>
                <w:szCs w:val="20"/>
                <w:color w:val="auto"/>
              </w:rPr>
            </w:pPr>
            <w:r>
              <w:rPr>
                <w:rFonts w:ascii="Arial" w:cs="Arial" w:eastAsia="Arial" w:hAnsi="Arial"/>
                <w:sz w:val="18"/>
                <w:szCs w:val="18"/>
                <w:color w:val="auto"/>
              </w:rPr>
              <w:t>December 31, 2018</w:t>
            </w:r>
          </w:p>
        </w:tc>
      </w:tr>
      <w:tr>
        <w:trPr>
          <w:trHeight w:val="27"/>
        </w:trPr>
        <w:tc>
          <w:tcPr>
            <w:tcW w:w="45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Other</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Other</w:t>
            </w:r>
          </w:p>
        </w:tc>
      </w:tr>
      <w:tr>
        <w:trPr>
          <w:trHeight w:val="216"/>
        </w:trPr>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Postretirement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Postretirement</w:t>
            </w:r>
          </w:p>
        </w:tc>
      </w:tr>
      <w:tr>
        <w:trPr>
          <w:trHeight w:val="230"/>
        </w:trPr>
        <w:tc>
          <w:tcPr>
            <w:tcW w:w="45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Pension Benefits</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Benefits</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Pension Benefits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Benefits</w:t>
            </w:r>
          </w:p>
        </w:tc>
      </w:tr>
      <w:tr>
        <w:trPr>
          <w:trHeight w:val="27"/>
        </w:trPr>
        <w:tc>
          <w:tcPr>
            <w:tcW w:w="45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3"/>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3"/>
              </w:rPr>
              <w:t>3.40%</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460" w:type="dxa"/>
            <w:vAlign w:val="bottom"/>
          </w:tcPr>
          <w:p>
            <w:pPr>
              <w:ind w:left="960"/>
              <w:spacing w:after="0"/>
              <w:rPr>
                <w:sz w:val="20"/>
                <w:szCs w:val="20"/>
                <w:color w:val="auto"/>
              </w:rPr>
            </w:pPr>
            <w:r>
              <w:rPr>
                <w:rFonts w:ascii="Arial" w:cs="Arial" w:eastAsia="Arial" w:hAnsi="Arial"/>
                <w:sz w:val="18"/>
                <w:szCs w:val="18"/>
                <w:color w:val="auto"/>
              </w:rPr>
              <w:t>N/A</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weighted-average assumptions used in determining net periodic benefit cost for the periods presented are shown in the table below:</w:t>
      </w:r>
    </w:p>
    <w:p>
      <w:pPr>
        <w:spacing w:after="0" w:line="34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120" w:type="dxa"/>
            <w:vAlign w:val="bottom"/>
            <w:gridSpan w:val="4"/>
          </w:tcPr>
          <w:p>
            <w:pPr>
              <w:ind w:left="800"/>
              <w:spacing w:after="0"/>
              <w:rPr>
                <w:sz w:val="20"/>
                <w:szCs w:val="20"/>
                <w:color w:val="auto"/>
              </w:rPr>
            </w:pPr>
            <w:r>
              <w:rPr>
                <w:rFonts w:ascii="Arial" w:cs="Arial" w:eastAsia="Arial" w:hAnsi="Arial"/>
                <w:sz w:val="18"/>
                <w:szCs w:val="18"/>
                <w:color w:val="auto"/>
              </w:rPr>
              <w:t>December 31, 2019</w:t>
            </w:r>
          </w:p>
        </w:tc>
        <w:tc>
          <w:tcPr>
            <w:tcW w:w="2980" w:type="dxa"/>
            <w:vAlign w:val="bottom"/>
            <w:gridSpan w:val="3"/>
          </w:tcPr>
          <w:p>
            <w:pPr>
              <w:ind w:left="800"/>
              <w:spacing w:after="0"/>
              <w:rPr>
                <w:sz w:val="20"/>
                <w:szCs w:val="20"/>
                <w:color w:val="auto"/>
              </w:rPr>
            </w:pPr>
            <w:r>
              <w:rPr>
                <w:rFonts w:ascii="Arial" w:cs="Arial" w:eastAsia="Arial" w:hAnsi="Arial"/>
                <w:sz w:val="18"/>
                <w:szCs w:val="18"/>
                <w:color w:val="auto"/>
              </w:rPr>
              <w:t>December 31, 2018</w:t>
            </w:r>
          </w:p>
        </w:tc>
      </w:tr>
      <w:tr>
        <w:trPr>
          <w:trHeight w:val="27"/>
        </w:trPr>
        <w:tc>
          <w:tcPr>
            <w:tcW w:w="45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Other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Other</w:t>
            </w:r>
          </w:p>
        </w:tc>
      </w:tr>
      <w:tr>
        <w:trPr>
          <w:trHeight w:val="216"/>
        </w:trPr>
        <w:tc>
          <w:tcPr>
            <w:tcW w:w="4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Postretirement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Postretirement</w:t>
            </w:r>
          </w:p>
        </w:tc>
      </w:tr>
      <w:tr>
        <w:trPr>
          <w:trHeight w:val="230"/>
        </w:trPr>
        <w:tc>
          <w:tcPr>
            <w:tcW w:w="458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Pension Benefits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Benefits</w:t>
            </w: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Pension Benefits</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Benefits</w:t>
            </w:r>
          </w:p>
        </w:tc>
      </w:tr>
      <w:tr>
        <w:trPr>
          <w:trHeight w:val="27"/>
        </w:trPr>
        <w:tc>
          <w:tcPr>
            <w:tcW w:w="45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3"/>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3"/>
              </w:rPr>
              <w:t>3.51%</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exempt accounts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3"/>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3"/>
              </w:rPr>
              <w:t>6.63%</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Taxable accounts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52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1460" w:type="dxa"/>
            <w:vAlign w:val="bottom"/>
          </w:tcPr>
          <w:p>
            <w:pPr>
              <w:ind w:left="960"/>
              <w:spacing w:after="0"/>
              <w:rPr>
                <w:sz w:val="20"/>
                <w:szCs w:val="20"/>
                <w:color w:val="auto"/>
              </w:rPr>
            </w:pPr>
            <w:r>
              <w:rPr>
                <w:rFonts w:ascii="Arial" w:cs="Arial" w:eastAsia="Arial" w:hAnsi="Arial"/>
                <w:sz w:val="18"/>
                <w:szCs w:val="18"/>
                <w:color w:val="auto"/>
                <w:w w:val="93"/>
              </w:rPr>
              <w:t>4.50%</w:t>
            </w:r>
          </w:p>
        </w:tc>
      </w:tr>
      <w:tr>
        <w:trPr>
          <w:trHeight w:val="27"/>
        </w:trPr>
        <w:tc>
          <w:tcPr>
            <w:tcW w:w="4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compensation increase</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14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N/A</w:t>
            </w:r>
          </w:p>
        </w:tc>
      </w:tr>
      <w:tr>
        <w:trPr>
          <w:trHeight w:val="27"/>
        </w:trPr>
        <w:tc>
          <w:tcPr>
            <w:tcW w:w="45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020"/>
          </w:cols>
          <w:pgMar w:left="240" w:top="118" w:right="639" w:bottom="1440" w:gutter="0" w:footer="0" w:header="0"/>
          <w:type w:val="continuous"/>
        </w:sect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F - 77</w:t>
      </w:r>
    </w:p>
    <w:p>
      <w:pPr>
        <w:sectPr>
          <w:pgSz w:w="11900" w:h="16838" w:orient="portrait"/>
          <w:cols w:equalWidth="0" w:num="1">
            <w:col w:w="11020"/>
          </w:cols>
          <w:pgMar w:left="240" w:top="118" w:right="639" w:bottom="1440" w:gutter="0" w:footer="0" w:header="0"/>
          <w:type w:val="continuous"/>
        </w:sectPr>
      </w:pPr>
    </w:p>
    <w:bookmarkStart w:id="243" w:name="page244"/>
    <w:bookmarkEnd w:id="2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long-term expected rate of return on plan assets was estimated based on a variety of factors including the historical investment return achieved over a long-term period, the targeted allocation of plan assets and expectations concerning future returns in the marketplace for both equity and fixed income securities. Current market factors such as inflation and interest rates are evaluated before long-term market assumptions are determined. Peer data and historical returns are reviewed to ensure reasonableness and appropriateness.</w:t>
      </w:r>
    </w:p>
    <w:p>
      <w:pPr>
        <w:spacing w:after="0" w:line="13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assumed health care cost trend weighted-average rates used to measure the expected cost of benefits covered by the plans are shown in the table below:</w:t>
      </w:r>
    </w:p>
    <w:p>
      <w:pPr>
        <w:spacing w:after="0" w:line="279"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31750</wp:posOffset>
            </wp:positionV>
            <wp:extent cx="19208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5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2018</w:t>
            </w:r>
          </w:p>
        </w:tc>
      </w:tr>
      <w:tr>
        <w:trPr>
          <w:trHeight w:val="27"/>
        </w:trPr>
        <w:tc>
          <w:tcPr>
            <w:tcW w:w="7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Health care cost trend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43"/>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Rate to which the cost trend is assumed to decline (the ultimate trend rate)</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4.83%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4"/>
              </w:rPr>
              <w:t>2026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2024</w:t>
            </w:r>
          </w:p>
        </w:tc>
      </w:tr>
      <w:tr>
        <w:trPr>
          <w:trHeight w:val="27"/>
        </w:trPr>
        <w:tc>
          <w:tcPr>
            <w:tcW w:w="7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340" w:right="1960"/>
        <w:spacing w:after="0" w:line="438" w:lineRule="auto"/>
        <w:rPr>
          <w:sz w:val="20"/>
          <w:szCs w:val="20"/>
          <w:color w:val="auto"/>
        </w:rPr>
      </w:pPr>
      <w:r>
        <w:rPr>
          <w:rFonts w:ascii="Arial" w:cs="Arial" w:eastAsia="Arial" w:hAnsi="Arial"/>
          <w:sz w:val="18"/>
          <w:szCs w:val="18"/>
          <w:color w:val="auto"/>
        </w:rPr>
        <w:t xml:space="preserve">Changes in the health care cost trend rate assumptions are not expected to have a significant impact on postretirement benefits. </w:t>
      </w:r>
      <w:r>
        <w:rPr>
          <w:rFonts w:ascii="Arial" w:cs="Arial" w:eastAsia="Arial" w:hAnsi="Arial"/>
          <w:sz w:val="18"/>
          <w:szCs w:val="18"/>
          <w:b w:val="1"/>
          <w:bCs w:val="1"/>
          <w:color w:val="auto"/>
        </w:rPr>
        <w:t>Plan Assets</w:t>
      </w:r>
    </w:p>
    <w:p>
      <w:pPr>
        <w:spacing w:after="0" w:line="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For the Panhandle plans, the overall investment strategy is to maintain an appropriate balance of actively managed investments with the objective of optimizing longer-term returns while maintaining a high standard of portfolio quality and achieving proper diversification. To achieve diversity within its other postretirement plan asset portfolio, Panhandle has targeted the following asset allocations: equity of 25% to 35%, fixed income of 65% to 75%.</w:t>
      </w:r>
    </w:p>
    <w:p>
      <w:pPr>
        <w:spacing w:after="0" w:line="93"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investment strategy of ETC Sunoco funded defined benefit plans is to achieve consistent positive returns, after adjusting for inflation, and to maximize long-term total return within prudent levels of risk through a combination of income and capital appreciation. The objective of this strategy is to reduce the volatility of investment returns and maintain a sufficient funded status of the plans. In anticipation of the pension plan termination, ETC Sunoco targeted the asset allocations to a more stable position by investing in growth assets and liability hedging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pension plan assets by asset category at the dates indicated is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8"/>
          </w:tcPr>
          <w:p>
            <w:pPr>
              <w:ind w:left="480"/>
              <w:spacing w:after="0"/>
              <w:rPr>
                <w:sz w:val="20"/>
                <w:szCs w:val="20"/>
                <w:color w:val="auto"/>
              </w:rPr>
            </w:pPr>
            <w:r>
              <w:rPr>
                <w:rFonts w:ascii="Arial" w:cs="Arial" w:eastAsia="Arial" w:hAnsi="Arial"/>
                <w:sz w:val="18"/>
                <w:szCs w:val="18"/>
                <w:color w:val="auto"/>
                <w:w w:val="99"/>
              </w:rPr>
              <w:t>Fair Value Measurements at December 31, 2019</w:t>
            </w:r>
          </w:p>
        </w:tc>
      </w:tr>
      <w:tr>
        <w:trPr>
          <w:trHeight w:val="27"/>
        </w:trPr>
        <w:tc>
          <w:tcPr>
            <w:tcW w:w="4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Fair Value Total</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43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Category:</w:t>
            </w: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438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152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23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82"/>
        </w:numPr>
        <w:rPr>
          <w:rFonts w:ascii="Arial" w:cs="Arial" w:eastAsia="Arial" w:hAnsi="Arial"/>
          <w:sz w:val="25"/>
          <w:szCs w:val="25"/>
          <w:color w:val="auto"/>
          <w:vertAlign w:val="superscript"/>
        </w:rPr>
      </w:pPr>
      <w:r>
        <w:rPr>
          <w:rFonts w:ascii="Arial" w:cs="Arial" w:eastAsia="Arial" w:hAnsi="Arial"/>
          <w:sz w:val="18"/>
          <w:szCs w:val="18"/>
          <w:color w:val="auto"/>
        </w:rPr>
        <w:t>Comprised of approximately 100% equities as of December 31, 2019.</w:t>
      </w: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8"/>
          </w:tcPr>
          <w:p>
            <w:pPr>
              <w:jc w:val="center"/>
              <w:spacing w:after="0"/>
              <w:rPr>
                <w:sz w:val="20"/>
                <w:szCs w:val="20"/>
                <w:color w:val="auto"/>
              </w:rPr>
            </w:pPr>
            <w:r>
              <w:rPr>
                <w:rFonts w:ascii="Arial" w:cs="Arial" w:eastAsia="Arial" w:hAnsi="Arial"/>
                <w:sz w:val="18"/>
                <w:szCs w:val="18"/>
                <w:color w:val="auto"/>
                <w:w w:val="88"/>
              </w:rPr>
              <w:t>Fair Value Measurements at December 31, 2018</w:t>
            </w:r>
          </w:p>
        </w:tc>
      </w:tr>
      <w:tr>
        <w:trPr>
          <w:trHeight w:val="27"/>
        </w:trPr>
        <w:tc>
          <w:tcPr>
            <w:tcW w:w="4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Level 2</w:t>
            </w:r>
          </w:p>
        </w:tc>
        <w:tc>
          <w:tcPr>
            <w:tcW w:w="112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43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3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5"/>
                <w:szCs w:val="25"/>
                <w:color w:val="auto"/>
                <w:vertAlign w:val="superscript"/>
              </w:rPr>
              <w:t>(1)</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bl>
    <w:p>
      <w:pPr>
        <w:spacing w:after="0" w:line="37"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25"/>
          <w:szCs w:val="25"/>
          <w:color w:val="auto"/>
          <w:vertAlign w:val="superscript"/>
        </w:rPr>
      </w:pPr>
      <w:r>
        <w:rPr>
          <w:rFonts w:ascii="Arial" w:cs="Arial" w:eastAsia="Arial" w:hAnsi="Arial"/>
          <w:sz w:val="18"/>
          <w:szCs w:val="18"/>
          <w:color w:val="auto"/>
        </w:rPr>
        <w:t>Comprised of approximately 100% equities as of December 31, 2018.</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- 78</w:t>
      </w:r>
    </w:p>
    <w:p>
      <w:pPr>
        <w:sectPr>
          <w:pgSz w:w="11900" w:h="16838" w:orient="portrait"/>
          <w:cols w:equalWidth="0" w:num="1">
            <w:col w:w="11420"/>
          </w:cols>
          <w:pgMar w:left="240" w:top="118" w:right="239" w:bottom="1440" w:gutter="0" w:footer="0" w:header="0"/>
        </w:sectPr>
      </w:pPr>
    </w:p>
    <w:bookmarkStart w:id="244" w:name="page245"/>
    <w:bookmarkEnd w:id="2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other postretirement plan assets by asset category at the dates indicated is as follows: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7"/>
          </w:tcPr>
          <w:p>
            <w:pPr>
              <w:ind w:left="220"/>
              <w:spacing w:after="0"/>
              <w:rPr>
                <w:sz w:val="20"/>
                <w:szCs w:val="20"/>
                <w:color w:val="auto"/>
              </w:rPr>
            </w:pPr>
            <w:r>
              <w:rPr>
                <w:rFonts w:ascii="Arial" w:cs="Arial" w:eastAsia="Arial" w:hAnsi="Arial"/>
                <w:sz w:val="18"/>
                <w:szCs w:val="18"/>
                <w:color w:val="auto"/>
                <w:w w:val="99"/>
              </w:rPr>
              <w:t>Fair Value Measurements at December 31, 2019</w:t>
            </w:r>
          </w:p>
        </w:tc>
      </w:tr>
      <w:tr>
        <w:trPr>
          <w:trHeight w:val="27"/>
        </w:trPr>
        <w:tc>
          <w:tcPr>
            <w:tcW w:w="4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0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Fair Value Total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40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category:</w:t>
            </w:r>
          </w:p>
        </w:tc>
        <w:tc>
          <w:tcPr>
            <w:tcW w:w="1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17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Fixed income securities</w:t>
            </w:r>
          </w:p>
        </w:tc>
        <w:tc>
          <w:tcPr>
            <w:tcW w:w="1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0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
        </w:trPr>
        <w:tc>
          <w:tcPr>
            <w:tcW w:w="4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25"/>
          <w:szCs w:val="25"/>
          <w:color w:val="auto"/>
          <w:vertAlign w:val="superscript"/>
        </w:rPr>
      </w:pPr>
      <w:r>
        <w:rPr>
          <w:rFonts w:ascii="Arial" w:cs="Arial" w:eastAsia="Arial" w:hAnsi="Arial"/>
          <w:sz w:val="18"/>
          <w:szCs w:val="18"/>
          <w:color w:val="auto"/>
        </w:rPr>
        <w:t>Primarily comprised of approximately 59% equities, 40% fixed income securities and 1% cash as of December 31, 2019.</w:t>
      </w: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120" w:type="dxa"/>
            <w:vAlign w:val="bottom"/>
            <w:gridSpan w:val="7"/>
          </w:tcPr>
          <w:p>
            <w:pPr>
              <w:ind w:left="220"/>
              <w:spacing w:after="0"/>
              <w:rPr>
                <w:sz w:val="20"/>
                <w:szCs w:val="20"/>
                <w:color w:val="auto"/>
              </w:rPr>
            </w:pPr>
            <w:r>
              <w:rPr>
                <w:rFonts w:ascii="Arial" w:cs="Arial" w:eastAsia="Arial" w:hAnsi="Arial"/>
                <w:sz w:val="18"/>
                <w:szCs w:val="18"/>
                <w:color w:val="auto"/>
                <w:w w:val="99"/>
              </w:rPr>
              <w:t>Fair Value Measurements at December 31, 2018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Fair Value Total</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70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60" w:type="dxa"/>
            <w:vAlign w:val="bottom"/>
          </w:tcPr>
          <w:p>
            <w:pPr>
              <w:ind w:left="180"/>
              <w:spacing w:after="0" w:line="270"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170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60" w:type="dxa"/>
            <w:vAlign w:val="bottom"/>
          </w:tcPr>
          <w:p>
            <w:pPr>
              <w:ind w:left="3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25"/>
          <w:szCs w:val="25"/>
          <w:color w:val="auto"/>
          <w:vertAlign w:val="superscript"/>
        </w:rPr>
      </w:pPr>
      <w:r>
        <w:rPr>
          <w:rFonts w:ascii="Arial" w:cs="Arial" w:eastAsia="Arial" w:hAnsi="Arial"/>
          <w:sz w:val="18"/>
          <w:szCs w:val="18"/>
          <w:color w:val="auto"/>
        </w:rPr>
        <w:t>Primarily comprised of approximately 53% equities, 46% fixed income securities and 1% cash as of December 31, 2018.</w:t>
      </w:r>
    </w:p>
    <w:p>
      <w:pPr>
        <w:spacing w:after="0" w:line="14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Level 1 plan assets are valued based on active market quotes. The Level 2 plan assets are valued based on the net asset value per share (or its equivalent) of the investments, which was not determinable through publicly published sources but was calculated consistent with authoritative accounting guidelines.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expect to contribute $7 million to pension plans and $8 million to other postretirement plans in 2020. The cost of the plans are funded in accordance with federal regulations, not to exceed the amounts deductible for income tax purposes.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Benefit Payments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Panhandle and ETC Sunoco’s estimate of expected benefit payments, which reflect expected future service, as appropriate, in each of the next five years and in the aggregate for the five years thereafter are shown in the table below:</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tcPr>
          <w:p>
            <w:pPr>
              <w:jc w:val="right"/>
              <w:ind w:right="90"/>
              <w:spacing w:after="0"/>
              <w:rPr>
                <w:sz w:val="20"/>
                <w:szCs w:val="20"/>
                <w:color w:val="auto"/>
              </w:rPr>
            </w:pPr>
            <w:r>
              <w:rPr>
                <w:rFonts w:ascii="Arial" w:cs="Arial" w:eastAsia="Arial" w:hAnsi="Arial"/>
                <w:sz w:val="18"/>
                <w:szCs w:val="18"/>
                <w:color w:val="auto"/>
                <w:w w:val="91"/>
              </w:rPr>
              <w:t>Other Postretirement Benefits (Gross, Before</w:t>
            </w:r>
          </w:p>
        </w:tc>
      </w:tr>
      <w:tr>
        <w:trPr>
          <w:trHeight w:val="257"/>
        </w:trPr>
        <w:tc>
          <w:tcPr>
            <w:tcW w:w="3540" w:type="dxa"/>
            <w:vAlign w:val="bottom"/>
            <w:gridSpan w:val="2"/>
          </w:tcPr>
          <w:p>
            <w:pPr>
              <w:ind w:left="1500"/>
              <w:spacing w:after="0"/>
              <w:rPr>
                <w:sz w:val="20"/>
                <w:szCs w:val="20"/>
                <w:color w:val="auto"/>
              </w:rPr>
            </w:pPr>
            <w:r>
              <w:rPr>
                <w:rFonts w:ascii="Arial" w:cs="Arial" w:eastAsia="Arial" w:hAnsi="Arial"/>
                <w:sz w:val="18"/>
                <w:szCs w:val="18"/>
                <w:color w:val="auto"/>
              </w:rPr>
              <w:t>Years</w:t>
            </w:r>
          </w:p>
        </w:tc>
        <w:tc>
          <w:tcPr>
            <w:tcW w:w="220" w:type="dxa"/>
            <w:vAlign w:val="bottom"/>
          </w:tcPr>
          <w:p>
            <w:pPr>
              <w:spacing w:after="0"/>
              <w:rPr>
                <w:sz w:val="22"/>
                <w:szCs w:val="22"/>
                <w:color w:val="auto"/>
              </w:rPr>
            </w:pPr>
          </w:p>
        </w:tc>
        <w:tc>
          <w:tcPr>
            <w:tcW w:w="3300" w:type="dxa"/>
            <w:vAlign w:val="bottom"/>
            <w:gridSpan w:val="2"/>
          </w:tcPr>
          <w:p>
            <w:pPr>
              <w:ind w:left="120"/>
              <w:spacing w:after="0" w:line="257" w:lineRule="exact"/>
              <w:rPr>
                <w:sz w:val="20"/>
                <w:szCs w:val="20"/>
                <w:color w:val="auto"/>
              </w:rPr>
            </w:pPr>
            <w:r>
              <w:rPr>
                <w:rFonts w:ascii="Arial" w:cs="Arial" w:eastAsia="Arial" w:hAnsi="Arial"/>
                <w:sz w:val="18"/>
                <w:szCs w:val="18"/>
                <w:color w:val="auto"/>
              </w:rPr>
              <w:t xml:space="preserve">Pension Benefits - Unfunded Plans </w:t>
            </w:r>
            <w:r>
              <w:rPr>
                <w:rFonts w:ascii="Arial" w:cs="Arial" w:eastAsia="Arial" w:hAnsi="Arial"/>
                <w:sz w:val="25"/>
                <w:szCs w:val="25"/>
                <w:color w:val="auto"/>
                <w:vertAlign w:val="superscript"/>
              </w:rPr>
              <w:t>(1)</w:t>
            </w:r>
          </w:p>
        </w:tc>
        <w:tc>
          <w:tcPr>
            <w:tcW w:w="140" w:type="dxa"/>
            <w:vAlign w:val="bottom"/>
          </w:tcPr>
          <w:p>
            <w:pPr>
              <w:spacing w:after="0"/>
              <w:rPr>
                <w:sz w:val="22"/>
                <w:szCs w:val="22"/>
                <w:color w:val="auto"/>
              </w:rPr>
            </w:pPr>
          </w:p>
        </w:tc>
        <w:tc>
          <w:tcPr>
            <w:tcW w:w="3480" w:type="dxa"/>
            <w:vAlign w:val="bottom"/>
          </w:tcPr>
          <w:p>
            <w:pPr>
              <w:jc w:val="right"/>
              <w:ind w:right="1090"/>
              <w:spacing w:after="0"/>
              <w:rPr>
                <w:sz w:val="20"/>
                <w:szCs w:val="20"/>
                <w:color w:val="auto"/>
              </w:rPr>
            </w:pPr>
            <w:r>
              <w:rPr>
                <w:rFonts w:ascii="Arial" w:cs="Arial" w:eastAsia="Arial" w:hAnsi="Arial"/>
                <w:sz w:val="18"/>
                <w:szCs w:val="18"/>
                <w:color w:val="auto"/>
              </w:rPr>
              <w:t>Medicare Part D)</w:t>
            </w:r>
          </w:p>
        </w:tc>
      </w:tr>
      <w:tr>
        <w:trPr>
          <w:trHeight w:val="244"/>
        </w:trPr>
        <w:tc>
          <w:tcPr>
            <w:tcW w:w="3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4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4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2025 – 2029</w:t>
            </w:r>
          </w:p>
        </w:tc>
        <w:tc>
          <w:tcPr>
            <w:tcW w:w="220" w:type="dxa"/>
            <w:vAlign w:val="bottom"/>
          </w:tcPr>
          <w:p>
            <w:pPr>
              <w:spacing w:after="0"/>
              <w:rPr>
                <w:sz w:val="21"/>
                <w:szCs w:val="21"/>
                <w:color w:val="auto"/>
              </w:rPr>
            </w:pP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80" w:lineRule="exact"/>
        <w:rPr>
          <w:sz w:val="20"/>
          <w:szCs w:val="20"/>
          <w:color w:val="auto"/>
        </w:rPr>
      </w:pPr>
    </w:p>
    <w:p>
      <w:pPr>
        <w:ind w:left="700" w:hanging="368"/>
        <w:spacing w:after="0"/>
        <w:tabs>
          <w:tab w:leader="none" w:pos="700" w:val="left"/>
        </w:tabs>
        <w:numPr>
          <w:ilvl w:val="0"/>
          <w:numId w:val="186"/>
        </w:numPr>
        <w:rPr>
          <w:rFonts w:ascii="Arial" w:cs="Arial" w:eastAsia="Arial" w:hAnsi="Arial"/>
          <w:sz w:val="25"/>
          <w:szCs w:val="25"/>
          <w:color w:val="auto"/>
          <w:vertAlign w:val="superscript"/>
        </w:rPr>
      </w:pPr>
      <w:r>
        <w:rPr>
          <w:rFonts w:ascii="Arial" w:cs="Arial" w:eastAsia="Arial" w:hAnsi="Arial"/>
          <w:sz w:val="18"/>
          <w:szCs w:val="18"/>
          <w:color w:val="auto"/>
        </w:rPr>
        <w:t>Expected benefit payments of funded pension plans are less than $1 million for the next ten years.</w:t>
      </w:r>
    </w:p>
    <w:p>
      <w:pPr>
        <w:spacing w:after="0" w:line="14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Medicare Prescription Drug Act provides for a prescription drug benefit under Medicare (“Medicare Part D”) as well as a federal subsidy to sponsors of retiree health care benefit plans that provide a prescription drug benefit that is at least actuarially equivalent to Medicare Part D.</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Panhandle does not expect to receive any Medicare Part D subsidies in any future periods.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- 79</w:t>
      </w:r>
    </w:p>
    <w:p>
      <w:pPr>
        <w:sectPr>
          <w:pgSz w:w="11900" w:h="16838" w:orient="portrait"/>
          <w:cols w:equalWidth="0" w:num="1">
            <w:col w:w="11420"/>
          </w:cols>
          <w:pgMar w:left="240" w:top="118" w:right="239" w:bottom="1440" w:gutter="0" w:footer="0" w:header="0"/>
        </w:sectPr>
      </w:pPr>
    </w:p>
    <w:bookmarkStart w:id="245" w:name="page246"/>
    <w:bookmarkEnd w:id="2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ind w:left="340" w:hanging="332"/>
        <w:spacing w:after="0"/>
        <w:tabs>
          <w:tab w:leader="none" w:pos="3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June 2017, the Partnership acquired all of the publicly held PennTex common units through a tender offer and exercise of a limited call right, as further discussed in Note 8.</w:t>
      </w:r>
    </w:p>
    <w:p>
      <w:pPr>
        <w:spacing w:after="0" w:line="116" w:lineRule="exact"/>
        <w:rPr>
          <w:rFonts w:ascii="Arial" w:cs="Arial" w:eastAsia="Arial" w:hAnsi="Arial"/>
          <w:sz w:val="18"/>
          <w:szCs w:val="18"/>
          <w:b w:val="1"/>
          <w:bCs w:val="1"/>
          <w:color w:val="auto"/>
        </w:rPr>
      </w:pPr>
    </w:p>
    <w:p>
      <w:pPr>
        <w:ind w:left="34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ET previously paid ETO to provide services on its behalf and on behalf of other subsidiaries of ET, which included the reimbursement of various operating and general and administrative expenses incurred by ETO on behalf of ET and its subsidiaries. These agreements expired in 2016.</w:t>
      </w:r>
    </w:p>
    <w:p>
      <w:pPr>
        <w:spacing w:after="0" w:line="92"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Partnership also has related party transactions with several of its equity method investees. In addition to commercial transactions, these transactions include the provision of certain management services and leases of certain assets.</w:t>
      </w:r>
    </w:p>
    <w:p>
      <w:pPr>
        <w:spacing w:after="0" w:line="11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revenues from related companies on our consolidated statements of operations:</w:t>
      </w:r>
    </w:p>
    <w:p>
      <w:pPr>
        <w:spacing w:after="0" w:line="3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0" w:type="dxa"/>
            <w:vAlign w:val="bottom"/>
            <w:gridSpan w:val="6"/>
          </w:tcPr>
          <w:p>
            <w:pPr>
              <w:jc w:val="center"/>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63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Affiliated revenues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7"/>
        </w:trPr>
        <w:tc>
          <w:tcPr>
            <w:tcW w:w="6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related company accounts receivable and accounts payable balances on our consolidated balance sheets:</w:t>
      </w:r>
    </w:p>
    <w:p>
      <w:pPr>
        <w:spacing w:after="0" w:line="34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color w:val="auto"/>
                <w:w w:val="94"/>
              </w:rPr>
              <w:t>2018</w:t>
            </w:r>
          </w:p>
        </w:tc>
        <w:tc>
          <w:tcPr>
            <w:tcW w:w="0" w:type="dxa"/>
            <w:vAlign w:val="bottom"/>
          </w:tcPr>
          <w:p>
            <w:pPr>
              <w:spacing w:after="0"/>
              <w:rPr>
                <w:sz w:val="1"/>
                <w:szCs w:val="1"/>
                <w:color w:val="auto"/>
              </w:rPr>
            </w:pPr>
          </w:p>
        </w:tc>
      </w:tr>
      <w:tr>
        <w:trPr>
          <w:trHeight w:val="27"/>
        </w:trPr>
        <w:tc>
          <w:tcPr>
            <w:tcW w:w="7800" w:type="dxa"/>
            <w:vAlign w:val="bottom"/>
            <w:vMerge w:val="restart"/>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FGT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Phillips 66</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Traverse Rover LLC</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0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accounts receivable from related companies</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As of December 31, 2019 and 2018, accounts payable with related companies in the Partnership’s consolidated balance sheets totaled $31 million and $59 million, respectively.</w:t>
      </w:r>
    </w:p>
    <w:p>
      <w:pPr>
        <w:spacing w:after="0" w:line="112" w:lineRule="exact"/>
        <w:rPr>
          <w:sz w:val="20"/>
          <w:szCs w:val="20"/>
          <w:color w:val="auto"/>
        </w:rPr>
      </w:pPr>
    </w:p>
    <w:p>
      <w:pPr>
        <w:ind w:left="340" w:hanging="332"/>
        <w:spacing w:after="0"/>
        <w:tabs>
          <w:tab w:leader="none" w:pos="3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REPORTABLE SEGMENTS: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reportable segments currently reflect the following segments, which conduct their business primarily in the United States:</w:t>
      </w:r>
    </w:p>
    <w:p>
      <w:pPr>
        <w:spacing w:after="0" w:line="117" w:lineRule="exact"/>
        <w:rPr>
          <w:rFonts w:ascii="Arial" w:cs="Arial" w:eastAsia="Arial" w:hAnsi="Arial"/>
          <w:sz w:val="18"/>
          <w:szCs w:val="18"/>
          <w:b w:val="1"/>
          <w:bCs w:val="1"/>
          <w:color w:val="auto"/>
        </w:rPr>
      </w:pPr>
    </w:p>
    <w:p>
      <w:pPr>
        <w:ind w:left="720" w:hanging="388"/>
        <w:spacing w:after="0"/>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17" w:lineRule="exact"/>
        <w:rPr>
          <w:rFonts w:ascii="Arial" w:cs="Arial" w:eastAsia="Arial" w:hAnsi="Arial"/>
          <w:sz w:val="18"/>
          <w:szCs w:val="18"/>
          <w:color w:val="auto"/>
        </w:rPr>
      </w:pPr>
    </w:p>
    <w:p>
      <w:pPr>
        <w:ind w:left="720" w:hanging="388"/>
        <w:spacing w:after="0"/>
        <w:tabs>
          <w:tab w:leader="none" w:pos="7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revenues and expenses reflect the elimination of all material intercompany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investment in USAC segment reflects the results of USAC beginning April 2018, the date that the Partnership obtained control of USAC.</w:t>
      </w:r>
    </w:p>
    <w:p>
      <w:pPr>
        <w:spacing w:after="0" w:line="183"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- 80</w:t>
      </w:r>
    </w:p>
    <w:p>
      <w:pPr>
        <w:sectPr>
          <w:pgSz w:w="11900" w:h="16838" w:orient="portrait"/>
          <w:cols w:equalWidth="0" w:num="1">
            <w:col w:w="11420"/>
          </w:cols>
          <w:pgMar w:left="240" w:top="118" w:right="239" w:bottom="1440" w:gutter="0" w:footer="0" w:header="0"/>
        </w:sectPr>
      </w:pPr>
    </w:p>
    <w:bookmarkStart w:id="246" w:name="page247"/>
    <w:bookmarkEnd w:id="2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NGL sales and gathering, transportation and other fees. Revenues from our NGL and refined products transportation and services segment are primarily reflected in NGL sales and gathering, transportation and other fees. Revenues from our crude oil transportation and services segment are primarily reflected in crude sales. Revenues from our investment in Sunoco LP segment are primarily reflected in refined product sales. Revenues from our investment in USAC segment are primarily reflected in gathering, transportation and other fees. Revenues from our all other segment are primarily reflected in natural gas sales.</w:t>
      </w:r>
    </w:p>
    <w:p>
      <w:pPr>
        <w:spacing w:after="0" w:line="134"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We report Segment Adjusted EBITDA as a measure of segment performance. We define Segment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Segment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- 81</w:t>
      </w:r>
    </w:p>
    <w:p>
      <w:pPr>
        <w:sectPr>
          <w:pgSz w:w="11900" w:h="16838" w:orient="portrait"/>
          <w:cols w:equalWidth="0" w:num="1">
            <w:col w:w="11420"/>
          </w:cols>
          <w:pgMar w:left="240" w:top="118" w:right="2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2"/>
          </w:tcPr>
          <w:p>
            <w:pPr>
              <w:spacing w:after="0"/>
              <w:rPr>
                <w:rFonts w:ascii="Arial" w:cs="Arial" w:eastAsia="Arial" w:hAnsi="Arial"/>
                <w:sz w:val="14"/>
                <w:szCs w:val="14"/>
                <w:b w:val="1"/>
                <w:bCs w:val="1"/>
                <w:color w:val="0000EE"/>
                <w:w w:val="91"/>
              </w:rPr>
            </w:pPr>
            <w:hyperlink w:anchor="page2">
              <w:r>
                <w:rPr>
                  <w:rFonts w:ascii="Arial" w:cs="Arial" w:eastAsia="Arial" w:hAnsi="Arial"/>
                  <w:sz w:val="14"/>
                  <w:szCs w:val="14"/>
                  <w:b w:val="1"/>
                  <w:bCs w:val="1"/>
                  <w:color w:val="0000EE"/>
                  <w:w w:val="91"/>
                </w:rPr>
                <w:t>Table of Contents</w:t>
              </w:r>
            </w:hyperlink>
          </w:p>
        </w:tc>
        <w:tc>
          <w:tcPr>
            <w:tcW w:w="4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1"/>
        </w:trPr>
        <w:tc>
          <w:tcPr>
            <w:tcW w:w="34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w w:val="97"/>
              </w:rPr>
              <w:t>The following tables present financial information by segment:</w:t>
            </w: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84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Revenues:</w:t>
            </w:r>
          </w:p>
        </w:tc>
        <w:tc>
          <w:tcPr>
            <w:tcW w:w="1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840" w:type="dxa"/>
            <w:vAlign w:val="bottom"/>
            <w:gridSpan w:val="2"/>
            <w:vMerge w:val="continue"/>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Intrastate transportation and storage:</w:t>
            </w:r>
          </w:p>
        </w:tc>
        <w:tc>
          <w:tcPr>
            <w:tcW w:w="1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Midstream:</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Investment in Sunoco LP:</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Investment in USAC:</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340"/>
              <w:spacing w:after="0"/>
              <w:rPr>
                <w:sz w:val="20"/>
                <w:szCs w:val="20"/>
                <w:color w:val="auto"/>
              </w:rPr>
            </w:pPr>
            <w:r>
              <w:rPr>
                <w:rFonts w:ascii="Arial" w:cs="Arial" w:eastAsia="Arial" w:hAnsi="Arial"/>
                <w:sz w:val="18"/>
                <w:szCs w:val="18"/>
                <w:color w:val="auto"/>
              </w:rPr>
              <w:t>Intersegment revenues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gridSpan w:val="2"/>
          </w:tcPr>
          <w:p>
            <w:pPr>
              <w:ind w:left="180"/>
              <w:spacing w:after="0"/>
              <w:rPr>
                <w:sz w:val="20"/>
                <w:szCs w:val="20"/>
                <w:color w:val="auto"/>
              </w:rPr>
            </w:pPr>
            <w:r>
              <w:rPr>
                <w:rFonts w:ascii="Arial" w:cs="Arial" w:eastAsia="Arial" w:hAnsi="Arial"/>
                <w:sz w:val="18"/>
                <w:szCs w:val="18"/>
                <w:color w:val="auto"/>
              </w:rPr>
              <w:t>Eliminations</w:t>
            </w: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80" w:type="dxa"/>
            <w:vAlign w:val="bottom"/>
            <w:gridSpan w:val="2"/>
          </w:tcPr>
          <w:p>
            <w:pPr>
              <w:jc w:val="right"/>
              <w:ind w:right="1040"/>
              <w:spacing w:after="0"/>
              <w:rPr>
                <w:sz w:val="20"/>
                <w:szCs w:val="20"/>
                <w:color w:val="auto"/>
              </w:rPr>
            </w:pPr>
            <w:r>
              <w:rPr>
                <w:rFonts w:ascii="Arial" w:cs="Arial" w:eastAsia="Arial" w:hAnsi="Arial"/>
                <w:sz w:val="18"/>
                <w:szCs w:val="18"/>
                <w:color w:val="auto"/>
              </w:rPr>
              <w:t>F - 82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4" w:right="639" w:bottom="1440" w:gutter="0" w:footer="0" w:header="0"/>
        </w:sectPr>
      </w:pPr>
    </w:p>
    <w:bookmarkStart w:id="248" w:name="page249"/>
    <w:bookmarkEnd w:id="2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Cost of products sold:</w:t>
            </w:r>
          </w:p>
        </w:tc>
        <w:tc>
          <w:tcPr>
            <w:tcW w:w="1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2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Midstream</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Sunoco LP</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Investment in USAC</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Eliminations</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products sold</w:t>
            </w:r>
          </w:p>
        </w:tc>
        <w:tc>
          <w:tcPr>
            <w:tcW w:w="1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2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depreciation, depletion and amortization</w:t>
            </w:r>
          </w:p>
        </w:tc>
        <w:tc>
          <w:tcPr>
            <w:tcW w:w="1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Equity in earnings (losses) of unconsolidated affiliates:</w:t>
            </w:r>
          </w:p>
        </w:tc>
        <w:tc>
          <w:tcPr>
            <w:tcW w:w="1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20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 in earnings of unconsolidated affiliates</w:t>
            </w:r>
          </w:p>
        </w:tc>
        <w:tc>
          <w:tcPr>
            <w:tcW w:w="1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600" w:type="dxa"/>
            <w:vAlign w:val="bottom"/>
          </w:tcPr>
          <w:p>
            <w:pPr>
              <w:spacing w:after="0"/>
              <w:rPr>
                <w:sz w:val="24"/>
                <w:szCs w:val="24"/>
                <w:color w:val="auto"/>
              </w:rPr>
            </w:pPr>
          </w:p>
        </w:tc>
        <w:tc>
          <w:tcPr>
            <w:tcW w:w="2020" w:type="dxa"/>
            <w:vAlign w:val="bottom"/>
            <w:gridSpan w:val="2"/>
          </w:tcPr>
          <w:p>
            <w:pPr>
              <w:jc w:val="right"/>
              <w:ind w:right="950"/>
              <w:spacing w:after="0"/>
              <w:rPr>
                <w:sz w:val="20"/>
                <w:szCs w:val="20"/>
                <w:color w:val="auto"/>
              </w:rPr>
            </w:pPr>
            <w:r>
              <w:rPr>
                <w:rFonts w:ascii="Arial" w:cs="Arial" w:eastAsia="Arial" w:hAnsi="Arial"/>
                <w:sz w:val="18"/>
                <w:szCs w:val="18"/>
                <w:color w:val="auto"/>
              </w:rPr>
              <w:t>F - 83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8" w:right="639" w:bottom="1440" w:gutter="0" w:footer="0" w:header="0"/>
        </w:sectPr>
      </w:pPr>
    </w:p>
    <w:bookmarkStart w:id="249" w:name="page250"/>
    <w:bookmarkEnd w:id="2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Adjusted EBITDA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capitalized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 (losses) on interest rate derivatives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on extinguishments of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related to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Income tax (expense) benefit from continuing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December 31,</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Arial" w:cs="Arial" w:eastAsia="Arial" w:hAnsi="Arial"/>
                <w:sz w:val="18"/>
                <w:szCs w:val="18"/>
                <w:color w:val="auto"/>
              </w:rPr>
              <w:t>Segment assets: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Intrastate transportation and storage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Interstate transportation and storage</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15,316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Midstream</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20,004</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NGL and refined products transportation and services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transportation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Investment in Sunoco LP</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8,344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USAC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All other and eliminations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86,246</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5160"/>
              <w:spacing w:after="0"/>
              <w:rPr>
                <w:sz w:val="20"/>
                <w:szCs w:val="20"/>
                <w:color w:val="auto"/>
              </w:rPr>
            </w:pPr>
            <w:r>
              <w:rPr>
                <w:rFonts w:ascii="Arial" w:cs="Arial" w:eastAsia="Arial" w:hAnsi="Arial"/>
                <w:sz w:val="18"/>
                <w:szCs w:val="18"/>
                <w:color w:val="auto"/>
              </w:rPr>
              <w:t>F - 84</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18" w:right="639" w:bottom="1440" w:gutter="0" w:footer="0" w:header="0"/>
        </w:sectPr>
      </w:pPr>
    </w:p>
    <w:bookmarkStart w:id="250" w:name="page251"/>
    <w:bookmarkEnd w:id="2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Arial" w:cs="Arial" w:eastAsia="Arial" w:hAnsi="Arial"/>
                <w:sz w:val="18"/>
                <w:szCs w:val="18"/>
                <w:color w:val="auto"/>
              </w:rPr>
              <w:t xml:space="preserve">Additions to property, plant and equipment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vMerge w:val="continue"/>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2,976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00" w:type="dxa"/>
            <w:vAlign w:val="bottom"/>
            <w:tcBorders>
              <w:bottom w:val="single" w:sz="8" w:color="CCEEFF"/>
            </w:tcBorders>
            <w:shd w:val="clear" w:color="auto" w:fill="CCEEFF"/>
          </w:tcPr>
          <w:p>
            <w:pPr>
              <w:ind w:left="340"/>
              <w:spacing w:after="0" w:line="264" w:lineRule="exact"/>
              <w:rPr>
                <w:sz w:val="20"/>
                <w:szCs w:val="20"/>
                <w:color w:val="auto"/>
              </w:rPr>
            </w:pPr>
            <w:r>
              <w:rPr>
                <w:rFonts w:ascii="Arial" w:cs="Arial" w:eastAsia="Arial" w:hAnsi="Arial"/>
                <w:sz w:val="18"/>
                <w:szCs w:val="18"/>
                <w:color w:val="auto"/>
              </w:rPr>
              <w:t xml:space="preserve">Total additions to property, plant and equipment </w:t>
            </w:r>
            <w:r>
              <w:rPr>
                <w:rFonts w:ascii="Arial" w:cs="Arial" w:eastAsia="Arial" w:hAnsi="Arial"/>
                <w:sz w:val="25"/>
                <w:szCs w:val="25"/>
                <w:color w:val="auto"/>
                <w:vertAlign w:val="superscript"/>
              </w:rPr>
              <w:t>(1)</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5,268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hanging="328"/>
        <w:spacing w:after="0" w:line="216" w:lineRule="auto"/>
        <w:tabs>
          <w:tab w:leader="none" w:pos="660" w:val="left"/>
        </w:tabs>
        <w:numPr>
          <w:ilvl w:val="0"/>
          <w:numId w:val="189"/>
        </w:numPr>
        <w:rPr>
          <w:rFonts w:ascii="Arial" w:cs="Arial" w:eastAsia="Arial" w:hAnsi="Arial"/>
          <w:sz w:val="25"/>
          <w:szCs w:val="25"/>
          <w:color w:val="auto"/>
          <w:vertAlign w:val="superscript"/>
        </w:rPr>
      </w:pPr>
      <w:r>
        <w:rPr>
          <w:rFonts w:ascii="Arial" w:cs="Arial" w:eastAsia="Arial" w:hAnsi="Arial"/>
          <w:sz w:val="18"/>
          <w:szCs w:val="18"/>
          <w:color w:val="auto"/>
        </w:rPr>
        <w:t>Excluding acquisitions, net of contributions in aid of construction costs (capital expenditures related to the Partnership’s proportionate ownership on an accrual basis).</w:t>
      </w: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20"/>
              <w:spacing w:after="0"/>
              <w:rPr>
                <w:sz w:val="20"/>
                <w:szCs w:val="20"/>
                <w:color w:val="auto"/>
              </w:rPr>
            </w:pPr>
            <w:r>
              <w:rPr>
                <w:rFonts w:ascii="Arial" w:cs="Arial" w:eastAsia="Arial" w:hAnsi="Arial"/>
                <w:sz w:val="18"/>
                <w:szCs w:val="18"/>
                <w:color w:val="auto"/>
              </w:rPr>
              <w:t>Advances to and investments in affiliates:</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Intrastate transportation and storage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Interstate transportation and storage</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Midstream</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NGL and refined products transportation and services</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transportation and services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300" w:type="dxa"/>
            <w:vAlign w:val="bottom"/>
          </w:tcPr>
          <w:p>
            <w:pPr>
              <w:ind w:left="160"/>
              <w:spacing w:after="0"/>
              <w:rPr>
                <w:sz w:val="20"/>
                <w:szCs w:val="20"/>
                <w:color w:val="auto"/>
              </w:rPr>
            </w:pPr>
            <w:r>
              <w:rPr>
                <w:rFonts w:ascii="Arial" w:cs="Arial" w:eastAsia="Arial" w:hAnsi="Arial"/>
                <w:sz w:val="18"/>
                <w:szCs w:val="18"/>
                <w:color w:val="auto"/>
              </w:rPr>
              <w:t>All other</w:t>
            </w:r>
          </w:p>
        </w:tc>
        <w:tc>
          <w:tcPr>
            <w:tcW w:w="8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advances to and investments in affiliates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hanging="332"/>
        <w:spacing w:after="0"/>
        <w:tabs>
          <w:tab w:leader="none" w:pos="3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DATA (UNAUDITED):</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Summarized unaudited quarterly financial data is presented below. Earnings per unit are computed on a stand-alone basis for each quarter and total year.</w:t>
      </w:r>
    </w:p>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color w:val="auto"/>
              </w:rPr>
              <w:t>Quarters Ended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w w:val="98"/>
              </w:rPr>
              <w:t>Total Year</w:t>
            </w:r>
          </w:p>
        </w:tc>
      </w:tr>
      <w:tr>
        <w:trPr>
          <w:trHeight w:val="27"/>
        </w:trPr>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13,720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54,213</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4,899</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Limited Partners’ interest in 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Income from continuing operations per</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limited partner unit: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limited partner unit: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432"/>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F - 85</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51" w:name="page252"/>
    <w:bookmarkEnd w:id="2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color w:val="auto"/>
              </w:rPr>
              <w:t>Quarters Ended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March 31</w:t>
            </w:r>
          </w:p>
        </w:tc>
        <w:tc>
          <w:tcPr>
            <w:tcW w:w="24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December 31</w:t>
            </w:r>
          </w:p>
        </w:tc>
        <w:tc>
          <w:tcPr>
            <w:tcW w:w="22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w w:val="98"/>
              </w:rPr>
              <w:t>Total Year</w:t>
            </w:r>
          </w:p>
        </w:tc>
      </w:tr>
      <w:tr>
        <w:trPr>
          <w:trHeight w:val="27"/>
        </w:trPr>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14,514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13,573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54,087</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3,630</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Limited Partners’ interest in net income</w:t>
            </w: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1,658</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per</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limited partner unit: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Net income per limited partner unit: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3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675"/>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F - 86</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020"/>
          </w:cols>
          <w:pgMar w:left="240" w:top="118" w:right="6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UNITS</w:t>
      </w:r>
    </w:p>
    <w:p>
      <w:pPr>
        <w:spacing w:after="0" w:line="2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following description of our common units is a summary and does not purport to be complete. It is subject to and qualified in its entirety by reference to our Third Amended and Restated Agreement of Limited Partnership of Energy Transfer LP, as amended (our “Partnership Agreement”), which is incorporated by reference as an exhibit to this Annual Report on Form 10-K, of which this Exhibit [4.1] is a part. We encourage you to read our Partnership Agreement and the applicable provisions of the Delaware Revised Uniform Limited Partnership act for additional information. Capitalized terms used but not defined herein have the meanings ascribed to them in the Partnership Agreement.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Common Units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Our common units represent limited partner interests that entitle the holders to participate in our cash distributions and to exercise the rights and privileges available to limited partners under our Partnership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Number of Common Units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of December 31, 2019, we had 2,689,580,631 common units outstanding; 2,313,613,398 common units are held by the public; and 375,967,233 common units are held by affiliates of our general partner.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Listing</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Our common units are listed on the NYSE under the symbol “ET.” Any additional common units we issue also will be listed on the NYSE.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Timing of Distributions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pay distributions no later than 50 days after March 31, June 30, September 30 and December 31 to holders of record on the applicable record date. For additional information, please read “Cash Distributions.”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Issuance of Additional Partnership Securities; Preemptive Rights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partnership agreement authorizes us to issue an unlimited number of additional partnership securities and options, rights, warrants and appreciation rights relating to the partnership securities for any partnership purpose at any time and from time to time to such persons, for such consideration and on such terms and conditions as our general partner determines, all without the approval of any limited partners.</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It is possible that we will fund acquisitions through the issuance of additional common units or other equity securities. Holders of any additional common units we issue will be entitled to share equally with the then-existing holders of common units in our distributions of available cash. In addition, the issuance of additional partnership interests may dilute (i) the percentage interests of the then-existing holders of common units in our net assets and (ii) the voting rights of the then-existing holders of common units under our partnership agreement.</w:t>
      </w:r>
    </w:p>
    <w:p>
      <w:pPr>
        <w:sectPr>
          <w:pgSz w:w="11900" w:h="16838" w:orient="portrait"/>
          <w:cols w:equalWidth="0" w:num="1">
            <w:col w:w="11420"/>
          </w:cols>
          <w:pgMar w:left="240" w:top="558" w:right="239" w:bottom="1440" w:gutter="0" w:footer="0" w:header="0"/>
        </w:sectPr>
      </w:pPr>
    </w:p>
    <w:bookmarkStart w:id="253" w:name="page254"/>
    <w:bookmarkEnd w:id="253"/>
    <w:p>
      <w:pPr>
        <w:jc w:val="both"/>
        <w:ind w:firstLine="648"/>
        <w:spacing w:after="0" w:line="263" w:lineRule="auto"/>
        <w:rPr>
          <w:sz w:val="20"/>
          <w:szCs w:val="20"/>
          <w:color w:val="auto"/>
        </w:rPr>
      </w:pPr>
      <w:r>
        <w:rPr>
          <w:rFonts w:ascii="Arial" w:cs="Arial" w:eastAsia="Arial" w:hAnsi="Arial"/>
          <w:sz w:val="22"/>
          <w:szCs w:val="22"/>
          <w:color w:val="auto"/>
        </w:rPr>
        <w:t>In accordance with Delaware law and the provisions of our partnership agreement, we may also issue additional partnership securities that have special voting rights to which the common units are not entitled.</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Upon issuance of additional partnership securities, our general partner will have the right to make additional capital contributions to the extent necessary to maintain its then-current general partner interest in us; provided, however, that the capital contributions of our general partner will be offset to the extent contributions received by us in exchange for the issuance of additional partnership securities are used by us concurrently with such contributions to redeem or repurchase from any person outstanding partnership securities of the same class as the partnership securities that were issued. Moreover, our general partner will have the right, which it may from time to time assign in whole or in part to any of its affiliates, to purchase common units or other partnership securities whenever, and on the same terms that, we issue those securities to persons other than our general partner and its affiliates, to the extent necessary to maintain its percentage interest, including its interest represented by common units, that existed immediately prior to each issuance.</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holders of our common units do not have preemptive rights to acquire additional common units or other partnership securities.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As of [12/31/2019] NTD: to confirm these figures when we receive a draft of the 10-K., we had [ ] Class A units representing limited partner interests (the “Class A units”) outstanding. The Class A units vote together with our common units, as a single class, on any matter for which the holders of common units are entitled to vote, except as required by law. Additionally, for so long as Kelcy Warren is an officer or a director of our general partner, upon the issuance by us of additional common units or any securities that have voting rights that are pari passu with our common units, we will issue to the holder of Class A Units a number of additional Class A Units such that the holder maintains a voting interest in us that is identical to its voting interest in us prior to such issuance. The Class A Units are not entitled to distributions and otherwise have no economic attributes, except that the Class A Units in the aggregate will be entitled to an aggregate $100 distribution prior and in preference to any distribution of assets to the holders of any other classes or series of our securities upon our liquidation, dissolution or winding up. The Class A Units are not convertible into, or exchangeable for, common units. In addition to the other voting rights of the Class A Units, without the approval of 66 2/3% of the Class A Units, we may not take any action that disproportionately or materially adversely affects the rights, preferences or privileges of the Class A Units or amend the terms of the Class A Units. Without the prior approval of a conflicts committee of the board of directors of our general partner, the Class A Units may not be transferred to any person or entity, other than to Kelcy Warren, Ray Davis or to any trust, family partnership or family limited liability company the sole beneficiaries, partners or members of which are Kelcy Warren, Ray Davis or their respective relatives.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Unlike the holders of common stock in a corporation, our limited partners have only limited voting rights on matters affecting our business. Our limited partners have no right to elect our general partner or the directors of our general partner on an annual or other continuing basis. Our general partner may not be removed except by the vote of the holders of at least 66 2/3% of the outstanding units, including units owned by our general partner and its affiliates. Each holder of units is entitled to one vote for each unit on all matters submitted to a vote of the unitholders.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Call Right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at any time our general partner and its affiliates hold more than 90% of the total limited partner interests of any class then outstanding, our general partner will then have the right, which right it may assign and transfer in whole or in part to us or any affiliate of our general partner, exercisable at its option, to</w:t>
      </w:r>
    </w:p>
    <w:p>
      <w:pPr>
        <w:sectPr>
          <w:pgSz w:w="11900" w:h="16838" w:orient="portrait"/>
          <w:cols w:equalWidth="0" w:num="1">
            <w:col w:w="11420"/>
          </w:cols>
          <w:pgMar w:left="240" w:top="564" w:right="239" w:bottom="1440" w:gutter="0" w:footer="0" w:header="0"/>
        </w:sectPr>
      </w:pPr>
    </w:p>
    <w:bookmarkStart w:id="254" w:name="page255"/>
    <w:bookmarkEnd w:id="254"/>
    <w:p>
      <w:pPr>
        <w:jc w:val="both"/>
        <w:spacing w:after="0" w:line="253" w:lineRule="auto"/>
        <w:rPr>
          <w:sz w:val="20"/>
          <w:szCs w:val="20"/>
          <w:color w:val="auto"/>
        </w:rPr>
      </w:pPr>
      <w:r>
        <w:rPr>
          <w:rFonts w:ascii="Arial" w:cs="Arial" w:eastAsia="Arial" w:hAnsi="Arial"/>
          <w:sz w:val="22"/>
          <w:szCs w:val="22"/>
          <w:color w:val="auto"/>
        </w:rPr>
        <w:t>purchase all, but not less than all, of such limited partner interests of such class then outstanding held by persons other than our general partner and its affiliates. As a consequence, a unitholder may be required to sell his common units at an undesirable time or price.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American Stock Transfer &amp; Trust Company, LLC serves as registrar and transfer agent for our common units.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Common Units</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Any transfers of a common unit will not be recorded by the transfer agent or recognized by us unless the transferee executes and delivers a transfer application. By executing and delivering a transfer application, the transferee of common units:</w:t>
      </w:r>
    </w:p>
    <w:p>
      <w:pPr>
        <w:spacing w:after="0" w:line="78" w:lineRule="exact"/>
        <w:rPr>
          <w:sz w:val="20"/>
          <w:szCs w:val="20"/>
          <w:color w:val="auto"/>
        </w:rPr>
      </w:pPr>
    </w:p>
    <w:p>
      <w:pPr>
        <w:ind w:left="2020" w:hanging="715"/>
        <w:spacing w:after="0"/>
        <w:tabs>
          <w:tab w:leader="none" w:pos="2020" w:val="left"/>
        </w:tabs>
        <w:numPr>
          <w:ilvl w:val="0"/>
          <w:numId w:val="191"/>
        </w:numPr>
        <w:rPr>
          <w:rFonts w:ascii="Arial" w:cs="Arial" w:eastAsia="Arial" w:hAnsi="Arial"/>
          <w:sz w:val="16"/>
          <w:szCs w:val="16"/>
          <w:color w:val="auto"/>
        </w:rPr>
      </w:pPr>
      <w:r>
        <w:rPr>
          <w:rFonts w:ascii="Arial" w:cs="Arial" w:eastAsia="Arial" w:hAnsi="Arial"/>
          <w:sz w:val="19"/>
          <w:szCs w:val="19"/>
          <w:color w:val="auto"/>
        </w:rPr>
        <w:t>becomes the record holder of the common units and is an assignee until admitted as a substituted limited</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partner;</w:t>
      </w:r>
    </w:p>
    <w:p>
      <w:pPr>
        <w:spacing w:after="0" w:line="161" w:lineRule="exact"/>
        <w:rPr>
          <w:rFonts w:ascii="Arial" w:cs="Arial" w:eastAsia="Arial" w:hAnsi="Arial"/>
          <w:sz w:val="16"/>
          <w:szCs w:val="16"/>
          <w:color w:val="auto"/>
        </w:rPr>
      </w:pPr>
    </w:p>
    <w:p>
      <w:pPr>
        <w:ind w:left="2020" w:hanging="715"/>
        <w:spacing w:after="0"/>
        <w:tabs>
          <w:tab w:leader="none" w:pos="2020" w:val="left"/>
        </w:tabs>
        <w:numPr>
          <w:ilvl w:val="0"/>
          <w:numId w:val="191"/>
        </w:numPr>
        <w:rPr>
          <w:rFonts w:ascii="Arial" w:cs="Arial" w:eastAsia="Arial" w:hAnsi="Arial"/>
          <w:sz w:val="18"/>
          <w:szCs w:val="18"/>
          <w:color w:val="auto"/>
        </w:rPr>
      </w:pPr>
      <w:r>
        <w:rPr>
          <w:rFonts w:ascii="Arial" w:cs="Arial" w:eastAsia="Arial" w:hAnsi="Arial"/>
          <w:sz w:val="22"/>
          <w:szCs w:val="22"/>
          <w:color w:val="auto"/>
        </w:rPr>
        <w:t>automatically requests admission as a substituted limited partner;</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191"/>
        </w:numPr>
        <w:rPr>
          <w:rFonts w:ascii="Arial" w:cs="Arial" w:eastAsia="Arial" w:hAnsi="Arial"/>
          <w:sz w:val="18"/>
          <w:szCs w:val="18"/>
          <w:color w:val="auto"/>
        </w:rPr>
      </w:pPr>
      <w:r>
        <w:rPr>
          <w:rFonts w:ascii="Arial" w:cs="Arial" w:eastAsia="Arial" w:hAnsi="Arial"/>
          <w:sz w:val="22"/>
          <w:szCs w:val="22"/>
          <w:color w:val="auto"/>
        </w:rPr>
        <w:t>agrees to comply with and be bound by and to have executed our partnership agreement;</w:t>
      </w:r>
    </w:p>
    <w:p>
      <w:pPr>
        <w:spacing w:after="0" w:line="192"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191"/>
        </w:numPr>
        <w:rPr>
          <w:rFonts w:ascii="Arial" w:cs="Arial" w:eastAsia="Arial" w:hAnsi="Arial"/>
          <w:sz w:val="18"/>
          <w:szCs w:val="18"/>
          <w:color w:val="auto"/>
        </w:rPr>
      </w:pPr>
      <w:r>
        <w:rPr>
          <w:rFonts w:ascii="Arial" w:cs="Arial" w:eastAsia="Arial" w:hAnsi="Arial"/>
          <w:sz w:val="22"/>
          <w:szCs w:val="22"/>
          <w:color w:val="auto"/>
        </w:rPr>
        <w:t>represents and warrants that such transferee has the right, power and authority and, if an individual, the capacity to enter into our partnership agreement;</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191"/>
        </w:numPr>
        <w:rPr>
          <w:rFonts w:ascii="Arial" w:cs="Arial" w:eastAsia="Arial" w:hAnsi="Arial"/>
          <w:sz w:val="18"/>
          <w:szCs w:val="18"/>
          <w:color w:val="auto"/>
        </w:rPr>
      </w:pPr>
      <w:r>
        <w:rPr>
          <w:rFonts w:ascii="Arial" w:cs="Arial" w:eastAsia="Arial" w:hAnsi="Arial"/>
          <w:sz w:val="22"/>
          <w:szCs w:val="22"/>
          <w:color w:val="auto"/>
        </w:rPr>
        <w:t>grants the powers of attorney set forth in our partnership agreement; and</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191"/>
        </w:numPr>
        <w:rPr>
          <w:rFonts w:ascii="Arial" w:cs="Arial" w:eastAsia="Arial" w:hAnsi="Arial"/>
          <w:sz w:val="17"/>
          <w:szCs w:val="17"/>
          <w:color w:val="auto"/>
        </w:rPr>
      </w:pPr>
      <w:r>
        <w:rPr>
          <w:rFonts w:ascii="Arial" w:cs="Arial" w:eastAsia="Arial" w:hAnsi="Arial"/>
          <w:sz w:val="21"/>
          <w:szCs w:val="21"/>
          <w:color w:val="auto"/>
        </w:rPr>
        <w:t>gives the consents and approvals and makes the waivers contained in our partnership agreement.</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 assignee will become a substituted limited partner for the transferred common units upon the consent of our general partner and the recording of the name of the assignee on our books and records. Our general partner may withhold its consent in its sole discretion.</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 transferee’s broker, agent or nominee may complete, execute and deliver a transfer application. We are entitled to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Common units are securities and are transferable according to the laws governing transfer of securities. In addition to other rights acquired upon admission as a substituted limited partner for the transferred common units, a purchaser or transferee of common units who does not execute and deliver a transfer application obtains only:</w:t>
      </w:r>
    </w:p>
    <w:p>
      <w:pPr>
        <w:spacing w:after="0" w:line="159" w:lineRule="exact"/>
        <w:rPr>
          <w:sz w:val="20"/>
          <w:szCs w:val="20"/>
          <w:color w:val="auto"/>
        </w:rPr>
      </w:pPr>
    </w:p>
    <w:p>
      <w:pPr>
        <w:ind w:left="2020" w:hanging="715"/>
        <w:spacing w:after="0"/>
        <w:tabs>
          <w:tab w:leader="none" w:pos="2020" w:val="left"/>
        </w:tabs>
        <w:numPr>
          <w:ilvl w:val="0"/>
          <w:numId w:val="192"/>
        </w:numPr>
        <w:rPr>
          <w:rFonts w:ascii="Arial" w:cs="Arial" w:eastAsia="Arial" w:hAnsi="Arial"/>
          <w:sz w:val="18"/>
          <w:szCs w:val="18"/>
          <w:color w:val="auto"/>
        </w:rPr>
      </w:pPr>
      <w:r>
        <w:rPr>
          <w:rFonts w:ascii="Arial" w:cs="Arial" w:eastAsia="Arial" w:hAnsi="Arial"/>
          <w:sz w:val="22"/>
          <w:szCs w:val="22"/>
          <w:color w:val="auto"/>
        </w:rPr>
        <w:t>the right to assign the common units to a purchaser or other transferee; and</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192"/>
        </w:numPr>
        <w:rPr>
          <w:rFonts w:ascii="Arial" w:cs="Arial" w:eastAsia="Arial" w:hAnsi="Arial"/>
          <w:sz w:val="16"/>
          <w:szCs w:val="16"/>
          <w:color w:val="auto"/>
        </w:rPr>
      </w:pPr>
      <w:r>
        <w:rPr>
          <w:rFonts w:ascii="Arial" w:cs="Arial" w:eastAsia="Arial" w:hAnsi="Arial"/>
          <w:sz w:val="19"/>
          <w:szCs w:val="19"/>
          <w:color w:val="auto"/>
        </w:rPr>
        <w:t>the right to transfer the right to seek admission as a substituted limited partner for the transferred common</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units.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Thus, a purchaser or transferee of common units who does not execute and deliver a transfer application:</w:t>
      </w:r>
    </w:p>
    <w:p>
      <w:pPr>
        <w:sectPr>
          <w:pgSz w:w="11900" w:h="16838" w:orient="portrait"/>
          <w:cols w:equalWidth="0" w:num="1">
            <w:col w:w="11420"/>
          </w:cols>
          <w:pgMar w:left="240" w:top="564" w:right="239" w:bottom="1440" w:gutter="0" w:footer="0" w:header="0"/>
        </w:sectPr>
      </w:pPr>
    </w:p>
    <w:bookmarkStart w:id="255" w:name="page256"/>
    <w:bookmarkEnd w:id="255"/>
    <w:p>
      <w:pPr>
        <w:ind w:left="660" w:firstLine="645"/>
        <w:spacing w:after="0" w:line="313" w:lineRule="auto"/>
        <w:tabs>
          <w:tab w:leader="none" w:pos="2019" w:val="left"/>
        </w:tabs>
        <w:numPr>
          <w:ilvl w:val="0"/>
          <w:numId w:val="193"/>
        </w:numPr>
        <w:rPr>
          <w:rFonts w:ascii="Arial" w:cs="Arial" w:eastAsia="Arial" w:hAnsi="Arial"/>
          <w:sz w:val="16"/>
          <w:szCs w:val="16"/>
          <w:color w:val="auto"/>
        </w:rPr>
      </w:pPr>
      <w:r>
        <w:rPr>
          <w:rFonts w:ascii="Arial" w:cs="Arial" w:eastAsia="Arial" w:hAnsi="Arial"/>
          <w:sz w:val="19"/>
          <w:szCs w:val="19"/>
          <w:color w:val="auto"/>
        </w:rPr>
        <w:t>will not receive cash distributions or federal income tax allocations, unless the common units are held in a nominee or “street name” account and the nominee or broker has executed and delivered a transfer application; and</w:t>
      </w:r>
    </w:p>
    <w:p>
      <w:pPr>
        <w:spacing w:after="0" w:line="91" w:lineRule="exact"/>
        <w:rPr>
          <w:rFonts w:ascii="Arial" w:cs="Arial" w:eastAsia="Arial" w:hAnsi="Arial"/>
          <w:sz w:val="16"/>
          <w:szCs w:val="16"/>
          <w:color w:val="auto"/>
        </w:rPr>
      </w:pPr>
    </w:p>
    <w:p>
      <w:pPr>
        <w:ind w:left="2020" w:hanging="715"/>
        <w:spacing w:after="0"/>
        <w:tabs>
          <w:tab w:leader="none" w:pos="2020" w:val="left"/>
        </w:tabs>
        <w:numPr>
          <w:ilvl w:val="0"/>
          <w:numId w:val="193"/>
        </w:numPr>
        <w:rPr>
          <w:rFonts w:ascii="Arial" w:cs="Arial" w:eastAsia="Arial" w:hAnsi="Arial"/>
          <w:sz w:val="16"/>
          <w:szCs w:val="16"/>
          <w:color w:val="auto"/>
        </w:rPr>
      </w:pPr>
      <w:r>
        <w:rPr>
          <w:rFonts w:ascii="Arial" w:cs="Arial" w:eastAsia="Arial" w:hAnsi="Arial"/>
          <w:sz w:val="19"/>
          <w:szCs w:val="19"/>
          <w:color w:val="auto"/>
        </w:rPr>
        <w:t>may not receive some federal income tax information or reports furnished to record holders of common</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units.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transferor of common units has a duty to provide the transferee with all information that may be necessary to transfer the common units. The transferor does not have a duty to insure the execution of the transfer application by the transferee and has no liability or responsibility if the transferee neglects or chooses not to execute and forward the transfer application to the transfer agent.</w:t>
      </w:r>
    </w:p>
    <w:p>
      <w:pPr>
        <w:spacing w:after="0" w:line="188"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Until a common unit has been transferred on our books, we and the transfer agent may treat the record holder of the common unit as the absolute owner for all purposes, except as otherwise required by law or stock exchange regulations.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of the Partnership Agreement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General</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Amendments to our partnership agreement may be proposed only by our general partner. Our general partner has no duty or obligation to propose any amendment to our partnership agreement and may decline to do so free of any fiduciary duty or obligation whatsoever to us, any limited partner or assignee and, in declining to propose an amendment, is not required to act in good faith or pursuant to any other standard imposed by our partnership agreement, any other agreement contemplated under our partnership agreement or under the Delaware Act or any other law, rule or regulation. A proposed amendment will be effective upon its approval by the holders of a majority of the outstanding common units (a “unit majority”), unless a greater or different percentage is required under our partnership agreement or by Delaware law. Each proposed amendment that requires the approval of the holders of a specified percentage of outstanding units will be set forth in a writing that contains the text of the proposed amendment. If such an amendment is proposed, our general partner will seek the written approval of the requisite percentage of outstanding units or call a meeting of the unitholders to consider and vote on such proposed amendment. Our general partner will notify all record holders upon final adoption of any such proposed amendments.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Restrictions on Certain Amendments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partnership agreement provides that:</w:t>
      </w:r>
    </w:p>
    <w:p>
      <w:pPr>
        <w:spacing w:after="0" w:line="220" w:lineRule="exact"/>
        <w:rPr>
          <w:sz w:val="20"/>
          <w:szCs w:val="20"/>
          <w:color w:val="auto"/>
        </w:rPr>
      </w:pPr>
    </w:p>
    <w:p>
      <w:pPr>
        <w:jc w:val="both"/>
        <w:ind w:firstLine="656"/>
        <w:spacing w:after="0" w:line="248" w:lineRule="auto"/>
        <w:tabs>
          <w:tab w:leader="none" w:pos="979" w:val="left"/>
        </w:tabs>
        <w:numPr>
          <w:ilvl w:val="0"/>
          <w:numId w:val="194"/>
        </w:numPr>
        <w:rPr>
          <w:rFonts w:ascii="Arial" w:cs="Arial" w:eastAsia="Arial" w:hAnsi="Arial"/>
          <w:sz w:val="22"/>
          <w:szCs w:val="22"/>
          <w:color w:val="auto"/>
        </w:rPr>
      </w:pPr>
      <w:r>
        <w:rPr>
          <w:rFonts w:ascii="Arial" w:cs="Arial" w:eastAsia="Arial" w:hAnsi="Arial"/>
          <w:sz w:val="22"/>
          <w:szCs w:val="22"/>
          <w:color w:val="auto"/>
        </w:rPr>
        <w:t>no provision of our partnership agreement that establishes a percentage of outstanding units (including units deemed owned by our general partner) required to take any action shall be amended, altered, changed, repealed or 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92" w:lineRule="exact"/>
        <w:rPr>
          <w:rFonts w:ascii="Arial" w:cs="Arial" w:eastAsia="Arial" w:hAnsi="Arial"/>
          <w:sz w:val="22"/>
          <w:szCs w:val="22"/>
          <w:color w:val="auto"/>
        </w:rPr>
      </w:pPr>
    </w:p>
    <w:p>
      <w:pPr>
        <w:jc w:val="both"/>
        <w:ind w:firstLine="656"/>
        <w:spacing w:after="0" w:line="294" w:lineRule="auto"/>
        <w:tabs>
          <w:tab w:leader="none" w:pos="96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no amendment to our partnership agreement may (a) enlarge the obligations of any limited partner without its consent, unless such shall be deemed to have occurred as a result of an amendment approved pursuant to clause (3) below, (b) enlarge the obligations of, restrict in any way any action by or rights of, or reduce in any way the amounts distributable, reimbursable or otherwise payable to, our general partner or any of its affiliates without its consent, which consent may be given or withheld at its option, (c) change the provision of our partnership agreement providing for our dissolution upon an election to dissolve our partnership by our general partner that is approved by a unit majority (the “election to dissolve provision”),</w:t>
      </w:r>
    </w:p>
    <w:p>
      <w:pPr>
        <w:sectPr>
          <w:pgSz w:w="11900" w:h="16838" w:orient="portrait"/>
          <w:cols w:equalWidth="0" w:num="1">
            <w:col w:w="11420"/>
          </w:cols>
          <w:pgMar w:left="240" w:top="537" w:right="239" w:bottom="1440" w:gutter="0" w:footer="0" w:header="0"/>
        </w:sectPr>
      </w:pPr>
    </w:p>
    <w:bookmarkStart w:id="256" w:name="page257"/>
    <w:bookmarkEnd w:id="256"/>
    <w:p>
      <w:pPr>
        <w:spacing w:after="0" w:line="263" w:lineRule="auto"/>
        <w:rPr>
          <w:sz w:val="20"/>
          <w:szCs w:val="20"/>
          <w:color w:val="auto"/>
        </w:rPr>
      </w:pPr>
      <w:r>
        <w:rPr>
          <w:rFonts w:ascii="Arial" w:cs="Arial" w:eastAsia="Arial" w:hAnsi="Arial"/>
          <w:sz w:val="22"/>
          <w:szCs w:val="22"/>
          <w:color w:val="auto"/>
        </w:rPr>
        <w:t>or (d) change the term of our partnership or, except as set forth in the election to dissolve provision, give any person the right to dissolve our partnership;</w:t>
      </w:r>
    </w:p>
    <w:p>
      <w:pPr>
        <w:spacing w:after="0" w:line="175" w:lineRule="exact"/>
        <w:rPr>
          <w:sz w:val="20"/>
          <w:szCs w:val="20"/>
          <w:color w:val="auto"/>
        </w:rPr>
      </w:pPr>
    </w:p>
    <w:p>
      <w:pPr>
        <w:jc w:val="both"/>
        <w:ind w:firstLine="656"/>
        <w:spacing w:after="0" w:line="248" w:lineRule="auto"/>
        <w:tabs>
          <w:tab w:leader="none" w:pos="98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except for mergers or consolidations approved pursuant to the partnership agreement, and without limitation of our general partner’s authority to adopt amendments to our partnership agreement described below under “-No Unitholder Approval,”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192" w:lineRule="exact"/>
        <w:rPr>
          <w:rFonts w:ascii="Arial" w:cs="Arial" w:eastAsia="Arial" w:hAnsi="Arial"/>
          <w:sz w:val="22"/>
          <w:szCs w:val="22"/>
          <w:color w:val="auto"/>
        </w:rPr>
      </w:pPr>
    </w:p>
    <w:p>
      <w:pPr>
        <w:jc w:val="both"/>
        <w:ind w:firstLine="656"/>
        <w:spacing w:after="0" w:line="250" w:lineRule="auto"/>
        <w:tabs>
          <w:tab w:leader="none" w:pos="98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except for amendments described below under “-No Unitholder Approval” and except in connection with unitholder approval of a merger or consolidation, no amendments shall become effective without the approval of the holders of at least 90% of the outstanding units voting as a single class unless we obtain an opinion of counsel to the effect that such amendment will not affect the limited liability of any limited partner under applicable law; and</w:t>
      </w:r>
    </w:p>
    <w:p>
      <w:pPr>
        <w:spacing w:after="0" w:line="188" w:lineRule="exact"/>
        <w:rPr>
          <w:rFonts w:ascii="Arial" w:cs="Arial" w:eastAsia="Arial" w:hAnsi="Arial"/>
          <w:sz w:val="22"/>
          <w:szCs w:val="22"/>
          <w:color w:val="auto"/>
        </w:rPr>
      </w:pPr>
    </w:p>
    <w:p>
      <w:pPr>
        <w:ind w:firstLine="656"/>
        <w:spacing w:after="0" w:line="287" w:lineRule="auto"/>
        <w:tabs>
          <w:tab w:leader="none" w:pos="997" w:val="left"/>
        </w:tabs>
        <w:numPr>
          <w:ilvl w:val="0"/>
          <w:numId w:val="195"/>
        </w:numPr>
        <w:rPr>
          <w:rFonts w:ascii="Arial" w:cs="Arial" w:eastAsia="Arial" w:hAnsi="Arial"/>
          <w:sz w:val="21"/>
          <w:szCs w:val="21"/>
          <w:color w:val="auto"/>
        </w:rPr>
      </w:pPr>
      <w:r>
        <w:rPr>
          <w:rFonts w:ascii="Arial" w:cs="Arial" w:eastAsia="Arial" w:hAnsi="Arial"/>
          <w:sz w:val="21"/>
          <w:szCs w:val="21"/>
          <w:color w:val="auto"/>
        </w:rPr>
        <w:t>except for amendments described below under “-No Unitholder Approval,” the provisions set forth in clauses (1) through (4) above may only be amended with the approval of the holders of at least 90% of the outstanding units.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 Unitholder Approval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general partner, without the approval of any limited partner, may amend any provision of our partnership agreement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reflect:</w:t>
      </w:r>
    </w:p>
    <w:p>
      <w:pPr>
        <w:spacing w:after="0" w:line="202" w:lineRule="exact"/>
        <w:rPr>
          <w:sz w:val="20"/>
          <w:szCs w:val="20"/>
          <w:color w:val="auto"/>
        </w:rPr>
      </w:pPr>
    </w:p>
    <w:p>
      <w:pPr>
        <w:ind w:left="960" w:hanging="304"/>
        <w:spacing w:after="0"/>
        <w:tabs>
          <w:tab w:leader="none" w:pos="96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 change in our name, the location of our principal place of business, our registered agent or our registered office;</w:t>
      </w:r>
    </w:p>
    <w:p>
      <w:pPr>
        <w:spacing w:after="0" w:line="254" w:lineRule="exact"/>
        <w:rPr>
          <w:rFonts w:ascii="Arial" w:cs="Arial" w:eastAsia="Arial" w:hAnsi="Arial"/>
          <w:sz w:val="19"/>
          <w:szCs w:val="19"/>
          <w:color w:val="auto"/>
        </w:rPr>
      </w:pPr>
    </w:p>
    <w:p>
      <w:pPr>
        <w:ind w:left="960" w:hanging="304"/>
        <w:spacing w:after="0"/>
        <w:tabs>
          <w:tab w:leader="none" w:pos="96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admission, substitution, withdrawal or removal of partners in accordance with our partnership agreement;</w:t>
      </w:r>
    </w:p>
    <w:p>
      <w:pPr>
        <w:spacing w:after="0" w:line="219" w:lineRule="exact"/>
        <w:rPr>
          <w:rFonts w:ascii="Arial" w:cs="Arial" w:eastAsia="Arial" w:hAnsi="Arial"/>
          <w:sz w:val="22"/>
          <w:szCs w:val="22"/>
          <w:color w:val="auto"/>
        </w:rPr>
      </w:pPr>
    </w:p>
    <w:p>
      <w:pPr>
        <w:jc w:val="both"/>
        <w:ind w:firstLine="656"/>
        <w:spacing w:after="0" w:line="250" w:lineRule="auto"/>
        <w:tabs>
          <w:tab w:leader="none" w:pos="954"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 or to ensure that the members of the partnership group will not be treated as associations taxable as corporations or otherwise taxed as entities for federal income tax purposes;</w:t>
      </w:r>
    </w:p>
    <w:p>
      <w:pPr>
        <w:spacing w:after="0" w:line="188" w:lineRule="exact"/>
        <w:rPr>
          <w:rFonts w:ascii="Arial" w:cs="Arial" w:eastAsia="Arial" w:hAnsi="Arial"/>
          <w:sz w:val="22"/>
          <w:szCs w:val="22"/>
          <w:color w:val="auto"/>
        </w:rPr>
      </w:pPr>
    </w:p>
    <w:p>
      <w:pPr>
        <w:jc w:val="both"/>
        <w:ind w:firstLine="656"/>
        <w:spacing w:after="0" w:line="288" w:lineRule="auto"/>
        <w:tabs>
          <w:tab w:leader="none" w:pos="965"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 change that our general partner determines (a) does not adversely affect the limited partners (including any particular class of partnership interests as compared to other classes of partnership interests) in any material respect, (b) to be necessary or appropriate to (i) satisfy any requirements, conditions or guidelines contained in any opinion, directive, order, ruling or regulation of any federal or state agency or judicial authority or contained in any federal or state statute (including the Delaware Act) or (ii) facilitate the trading of our units (including the division of any class or classes of outstanding units into different classes to facilitate uniformity of tax consequences within such classes of units) or comply with any rule, regulation, guideline or requirement of any national securities exchange on which the units are or will be listed for trading, (c) to be necessary or appropriate in connection with action taken by our general partner pursuant to the provisions of our partnership agreement governing distributions, subdivisions and combinations of partnership securities or (d) is required to effect the intent of the provisions of our partnership agreement or is otherwise contemplated by our partnership agreement;</w:t>
      </w:r>
    </w:p>
    <w:p>
      <w:pPr>
        <w:sectPr>
          <w:pgSz w:w="11900" w:h="16838" w:orient="portrait"/>
          <w:cols w:equalWidth="0" w:num="1">
            <w:col w:w="11420"/>
          </w:cols>
          <w:pgMar w:left="240" w:top="564" w:right="239" w:bottom="1440" w:gutter="0" w:footer="0" w:header="0"/>
        </w:sectPr>
      </w:pPr>
    </w:p>
    <w:bookmarkStart w:id="257" w:name="page258"/>
    <w:bookmarkEnd w:id="257"/>
    <w:p>
      <w:pPr>
        <w:jc w:val="both"/>
        <w:ind w:firstLine="656"/>
        <w:spacing w:after="0" w:line="312" w:lineRule="auto"/>
        <w:tabs>
          <w:tab w:leader="none" w:pos="962"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 change in our fiscal year or taxable year and any other changes that our general partner determines to be necessary or appropriate as a result of a change in our fiscal year or taxable year, including, if our general partner shall so determine, a change in the definition of “Quarter” under our partnership agreement and the dates on which distributions are to be made by us;</w:t>
      </w:r>
    </w:p>
    <w:p>
      <w:pPr>
        <w:spacing w:after="0" w:line="133" w:lineRule="exact"/>
        <w:rPr>
          <w:rFonts w:ascii="Arial" w:cs="Arial" w:eastAsia="Arial" w:hAnsi="Arial"/>
          <w:sz w:val="19"/>
          <w:szCs w:val="19"/>
          <w:color w:val="auto"/>
        </w:rPr>
      </w:pPr>
    </w:p>
    <w:p>
      <w:pPr>
        <w:jc w:val="both"/>
        <w:ind w:firstLine="656"/>
        <w:spacing w:after="0" w:line="263" w:lineRule="auto"/>
        <w:tabs>
          <w:tab w:leader="none" w:pos="961" w:val="left"/>
        </w:tabs>
        <w:numPr>
          <w:ilvl w:val="0"/>
          <w:numId w:val="197"/>
        </w:numPr>
        <w:rPr>
          <w:rFonts w:ascii="Arial" w:cs="Arial" w:eastAsia="Arial" w:hAnsi="Arial"/>
          <w:sz w:val="21"/>
          <w:szCs w:val="21"/>
          <w:color w:val="auto"/>
        </w:rPr>
      </w:pPr>
      <w:r>
        <w:rPr>
          <w:rFonts w:ascii="Arial" w:cs="Arial" w:eastAsia="Arial" w:hAnsi="Arial"/>
          <w:sz w:val="21"/>
          <w:szCs w:val="21"/>
          <w:color w:val="auto"/>
        </w:rPr>
        <w:t>an amendment that is necessary, in the opinion of counsel, to prevent us, or our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75" w:lineRule="exact"/>
        <w:rPr>
          <w:rFonts w:ascii="Arial" w:cs="Arial" w:eastAsia="Arial" w:hAnsi="Arial"/>
          <w:sz w:val="21"/>
          <w:szCs w:val="21"/>
          <w:color w:val="auto"/>
        </w:rPr>
      </w:pPr>
    </w:p>
    <w:p>
      <w:pPr>
        <w:ind w:firstLine="656"/>
        <w:spacing w:after="0" w:line="343" w:lineRule="auto"/>
        <w:tabs>
          <w:tab w:leader="none" w:pos="994" w:val="left"/>
        </w:tabs>
        <w:numPr>
          <w:ilvl w:val="0"/>
          <w:numId w:val="197"/>
        </w:numPr>
        <w:rPr>
          <w:rFonts w:ascii="Arial" w:cs="Arial" w:eastAsia="Arial" w:hAnsi="Arial"/>
          <w:sz w:val="19"/>
          <w:szCs w:val="19"/>
          <w:color w:val="auto"/>
        </w:rPr>
      </w:pPr>
      <w:r>
        <w:rPr>
          <w:rFonts w:ascii="Arial" w:cs="Arial" w:eastAsia="Arial" w:hAnsi="Arial"/>
          <w:sz w:val="19"/>
          <w:szCs w:val="19"/>
          <w:color w:val="auto"/>
        </w:rPr>
        <w:t>subject to certain limitations, an amendment that our general partner determines to be necessary or appropriate in connection with the authorization of issuance of any class or series of partnership securities pursuant to our partnership agreement;</w:t>
      </w:r>
    </w:p>
    <w:p>
      <w:pPr>
        <w:spacing w:after="0" w:line="104" w:lineRule="exact"/>
        <w:rPr>
          <w:rFonts w:ascii="Arial" w:cs="Arial" w:eastAsia="Arial" w:hAnsi="Arial"/>
          <w:sz w:val="19"/>
          <w:szCs w:val="19"/>
          <w:color w:val="auto"/>
        </w:rPr>
      </w:pPr>
    </w:p>
    <w:p>
      <w:pPr>
        <w:ind w:left="960" w:hanging="304"/>
        <w:spacing w:after="0"/>
        <w:tabs>
          <w:tab w:leader="none" w:pos="9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any amendment expressly permitted in our partnership agreement to be made by our general partner acting alone;</w:t>
      </w:r>
    </w:p>
    <w:p>
      <w:pPr>
        <w:spacing w:after="0" w:line="254" w:lineRule="exact"/>
        <w:rPr>
          <w:rFonts w:ascii="Arial" w:cs="Arial" w:eastAsia="Arial" w:hAnsi="Arial"/>
          <w:sz w:val="19"/>
          <w:szCs w:val="19"/>
          <w:color w:val="auto"/>
        </w:rPr>
      </w:pPr>
    </w:p>
    <w:p>
      <w:pPr>
        <w:ind w:right="20" w:firstLine="656"/>
        <w:spacing w:after="0" w:line="263" w:lineRule="auto"/>
        <w:tabs>
          <w:tab w:leader="none" w:pos="1016"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 amendment effected, necessitated or contemplated by a merger agreement approved in accordance with the provisions of our partnership agreement;</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07"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 amendment that our general partner determines to be necessary or appropriate to reflect and account for the formation by us of, or investment by us in, any corporation, partnership, joint venture, limited liability company or other entity, in connection with the conduct by us of activities permitted by the terms of our partnership agreement;</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104" w:val="left"/>
        </w:tabs>
        <w:numPr>
          <w:ilvl w:val="0"/>
          <w:numId w:val="197"/>
        </w:numPr>
        <w:rPr>
          <w:rFonts w:ascii="Arial" w:cs="Arial" w:eastAsia="Arial" w:hAnsi="Arial"/>
          <w:sz w:val="21"/>
          <w:szCs w:val="21"/>
          <w:color w:val="auto"/>
        </w:rPr>
      </w:pPr>
      <w:r>
        <w:rPr>
          <w:rFonts w:ascii="Arial" w:cs="Arial" w:eastAsia="Arial" w:hAnsi="Arial"/>
          <w:sz w:val="21"/>
          <w:szCs w:val="21"/>
          <w:color w:val="auto"/>
        </w:rPr>
        <w:t>a merger or conveyance pursuant to which (a) our general partner has received an opinion of counsel that the conversion, merger or conveyance, as the case may be, would not result in the loss of the limited liability of any limited partner or any member of the partnership group or cause us or any member of the partnership group to be treated as an association taxable as a corporation or otherwise to be taxed as an entity for federal income tax purposes (to the extent not previously treated as such), (b) the sole purpose of such conversion, merger or conveyance is to effect a mere change in the legal form of us into another limited liability entity and (c) the governing instruments of the new entity provide the limited partners and our general partner with the same rights and obligations as are contained in our partnership agreement; or</w:t>
      </w:r>
    </w:p>
    <w:p>
      <w:pPr>
        <w:spacing w:after="0" w:line="181" w:lineRule="exact"/>
        <w:rPr>
          <w:rFonts w:ascii="Arial" w:cs="Arial" w:eastAsia="Arial" w:hAnsi="Arial"/>
          <w:sz w:val="21"/>
          <w:szCs w:val="21"/>
          <w:color w:val="auto"/>
        </w:rPr>
      </w:pPr>
    </w:p>
    <w:p>
      <w:pPr>
        <w:ind w:left="1080" w:hanging="424"/>
        <w:spacing w:after="0"/>
        <w:tabs>
          <w:tab w:leader="none" w:pos="108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any other amendments substantially similar to the foregoing.</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Withdrawal or Removal of Our General Partner</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general partner may withdraw as general partner without first obtaining approval of any unitholder by giving 90 days’ notice to our unitholders, and that withdrawal will not constitute a breach of our partnership agreement. In addition, our partnership agreement permits our general partner in some instances to sell or otherwise transfer all of its general partner interest in us without the approval of the unitholders.</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our general partner gives a notice of withdrawal, the holders of a unit majority, may, prior to the effective date of such withdrawal, elect a successor general partner. The person so elected as successor general partner will automatically become the successor general partner or managing member, to the extent applicable, of the other members of the partnership group of which our general partner is a general partner or a managing member. If, prior to the effective date of our general partner’s withdrawal, a successor is not selected by our</w:t>
      </w:r>
    </w:p>
    <w:p>
      <w:pPr>
        <w:sectPr>
          <w:pgSz w:w="11900" w:h="16838" w:orient="portrait"/>
          <w:cols w:equalWidth="0" w:num="1">
            <w:col w:w="11420"/>
          </w:cols>
          <w:pgMar w:left="240" w:top="564" w:right="239" w:bottom="1440" w:gutter="0" w:footer="0" w:header="0"/>
        </w:sectPr>
      </w:pPr>
    </w:p>
    <w:bookmarkStart w:id="258" w:name="page259"/>
    <w:bookmarkEnd w:id="258"/>
    <w:p>
      <w:pPr>
        <w:jc w:val="both"/>
        <w:ind w:right="20"/>
        <w:spacing w:after="0" w:line="263" w:lineRule="auto"/>
        <w:rPr>
          <w:sz w:val="20"/>
          <w:szCs w:val="20"/>
          <w:color w:val="auto"/>
        </w:rPr>
      </w:pPr>
      <w:r>
        <w:rPr>
          <w:rFonts w:ascii="Arial" w:cs="Arial" w:eastAsia="Arial" w:hAnsi="Arial"/>
          <w:sz w:val="22"/>
          <w:szCs w:val="22"/>
          <w:color w:val="auto"/>
        </w:rPr>
        <w:t>unitholders or we do not receive a withdrawal opinion of counsel regarding limited liability and tax matters, our partnership will be dissolved in accordance with our partnership agreement.</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general partner may be removed if such removal is approved by our unitholders holding at least 66 2/3% of the outstanding units (including units held by our general partner and its affiliates). The right of the holders of outstanding units to remove our general partner may not be exercised unless we have received a withdrawal opinion of counsel regarding limited liability and tax matters. The ownership of more than 33 1/3% of our outstanding units by our general partner and its affiliates would give it the practical ability to prevent its removal.</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will be required to reimburse the departing general partner for all amounts due the departing general partner, including, without limitation, all employee-related liabilities, including severance liabilities, incurred in connection with the termination of any employees employed by the departing general partner or its affiliates for the benefit of us or the other members of the partnership group.</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General Partner Interest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general partner may transfer all or any of its general partner interest without unitholder approval. At any time, the members of our general partner may sell or transfer all or part of their membership interests in our general partner to an affiliate or a third party without the approval of our unitholders.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Liquidation and Distribution of Proceeds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We will continue as a limited partnership until dissolved under our partnership agreement. We will dissolve upon:</w:t>
      </w:r>
    </w:p>
    <w:p>
      <w:pPr>
        <w:spacing w:after="0" w:line="231" w:lineRule="exact"/>
        <w:rPr>
          <w:sz w:val="20"/>
          <w:szCs w:val="20"/>
          <w:color w:val="auto"/>
        </w:rPr>
      </w:pPr>
    </w:p>
    <w:p>
      <w:pPr>
        <w:jc w:val="both"/>
        <w:ind w:firstLine="656"/>
        <w:spacing w:after="0" w:line="253" w:lineRule="auto"/>
        <w:tabs>
          <w:tab w:leader="none" w:pos="96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withdrawal, removal, bankruptcy or dissolution of our general partner, unless a successor general partner is elected prior to or on the effective date of such withdrawal, removal, bankruptcy or dissolution and a withdrawal opinion of counsel is received by us;</w:t>
      </w:r>
    </w:p>
    <w:p>
      <w:pPr>
        <w:spacing w:after="0" w:line="185" w:lineRule="exact"/>
        <w:rPr>
          <w:rFonts w:ascii="Arial" w:cs="Arial" w:eastAsia="Arial" w:hAnsi="Arial"/>
          <w:sz w:val="22"/>
          <w:szCs w:val="22"/>
          <w:color w:val="auto"/>
        </w:rPr>
      </w:pPr>
    </w:p>
    <w:p>
      <w:pPr>
        <w:ind w:left="960" w:hanging="304"/>
        <w:spacing w:after="0"/>
        <w:tabs>
          <w:tab w:leader="none" w:pos="9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 election to dissolve us by our general partner that is approved by the holders of a unit majority;</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entry of a decree of judicial dissolution of us pursuant to the provisions of the Delaware Act; or</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sale, exchange or other disposition of all or substantially all of the assets and properties of the partnership group.</w:t>
      </w:r>
    </w:p>
    <w:p>
      <w:pPr>
        <w:spacing w:after="0" w:line="25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Upon (a) our dissolution following the withdrawal or removal of our general partner and the failure of the partners to select a successor general partner, then within 90 days thereafter, or (b) our dissolution upon the bankruptcy or dissolution of our general partner, then, to the maximum extent permitted by law, within 180 days thereafter, the holders of a unit majority may elect to reconstitute us and continue our business on the same terms and conditions set forth in our partnership agreement by forming a new limited partnership on terms identical to those set forth in our partnership agreement and having as the successor general partner a person approved by the holders of a unit majority. Unless such an election is made within the applicable time period as set forth above, we shall conduct only activities necessary to wind up our affairs.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Indemnification</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Section 17-108 of the Delaware Act empowers a Delaware limited partnership to indemnify and hold harmless any partner or other person from and against all claims and demands whatsoever. Under our</w:t>
      </w:r>
    </w:p>
    <w:p>
      <w:pPr>
        <w:sectPr>
          <w:pgSz w:w="11900" w:h="16838" w:orient="portrait"/>
          <w:cols w:equalWidth="0" w:num="1">
            <w:col w:w="11420"/>
          </w:cols>
          <w:pgMar w:left="240" w:top="564" w:right="239" w:bottom="1440" w:gutter="0" w:footer="0" w:header="0"/>
        </w:sectPr>
      </w:pPr>
    </w:p>
    <w:bookmarkStart w:id="259" w:name="page260"/>
    <w:bookmarkEnd w:id="259"/>
    <w:p>
      <w:pPr>
        <w:jc w:val="both"/>
        <w:spacing w:after="0" w:line="297" w:lineRule="auto"/>
        <w:rPr>
          <w:sz w:val="20"/>
          <w:szCs w:val="20"/>
          <w:color w:val="auto"/>
        </w:rPr>
      </w:pPr>
      <w:r>
        <w:rPr>
          <w:rFonts w:ascii="Arial" w:cs="Arial" w:eastAsia="Arial" w:hAnsi="Arial"/>
          <w:sz w:val="19"/>
          <w:szCs w:val="19"/>
          <w:color w:val="auto"/>
        </w:rPr>
        <w:t>partnership agreement, in most circumstances, we will indemnify the following persons (each an “indemnitee”) to the fullest extent permitted by law,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w:t>
      </w:r>
    </w:p>
    <w:p>
      <w:pPr>
        <w:spacing w:after="0" w:line="120" w:lineRule="exact"/>
        <w:rPr>
          <w:sz w:val="20"/>
          <w:szCs w:val="20"/>
          <w:color w:val="auto"/>
        </w:rPr>
      </w:pPr>
    </w:p>
    <w:p>
      <w:pPr>
        <w:ind w:left="2020" w:hanging="715"/>
        <w:spacing w:after="0"/>
        <w:tabs>
          <w:tab w:leader="none" w:pos="2020" w:val="left"/>
        </w:tabs>
        <w:numPr>
          <w:ilvl w:val="0"/>
          <w:numId w:val="199"/>
        </w:numPr>
        <w:rPr>
          <w:rFonts w:ascii="Arial" w:cs="Arial" w:eastAsia="Arial" w:hAnsi="Arial"/>
          <w:sz w:val="18"/>
          <w:szCs w:val="18"/>
          <w:color w:val="auto"/>
        </w:rPr>
      </w:pPr>
      <w:r>
        <w:rPr>
          <w:rFonts w:ascii="Arial" w:cs="Arial" w:eastAsia="Arial" w:hAnsi="Arial"/>
          <w:sz w:val="22"/>
          <w:szCs w:val="22"/>
          <w:color w:val="auto"/>
        </w:rPr>
        <w:t>our general partner;</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199"/>
        </w:numPr>
        <w:rPr>
          <w:rFonts w:ascii="Arial" w:cs="Arial" w:eastAsia="Arial" w:hAnsi="Arial"/>
          <w:sz w:val="18"/>
          <w:szCs w:val="18"/>
          <w:color w:val="auto"/>
        </w:rPr>
      </w:pPr>
      <w:r>
        <w:rPr>
          <w:rFonts w:ascii="Arial" w:cs="Arial" w:eastAsia="Arial" w:hAnsi="Arial"/>
          <w:sz w:val="22"/>
          <w:szCs w:val="22"/>
          <w:color w:val="auto"/>
        </w:rPr>
        <w:t>any departing general partner;</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199"/>
        </w:numPr>
        <w:rPr>
          <w:rFonts w:ascii="Arial" w:cs="Arial" w:eastAsia="Arial" w:hAnsi="Arial"/>
          <w:sz w:val="18"/>
          <w:szCs w:val="18"/>
          <w:color w:val="auto"/>
        </w:rPr>
      </w:pPr>
      <w:r>
        <w:rPr>
          <w:rFonts w:ascii="Arial" w:cs="Arial" w:eastAsia="Arial" w:hAnsi="Arial"/>
          <w:sz w:val="22"/>
          <w:szCs w:val="22"/>
          <w:color w:val="auto"/>
        </w:rPr>
        <w:t>any person who is or was an affiliate of our general partner or any departing general partner;</w:t>
      </w:r>
    </w:p>
    <w:p>
      <w:pPr>
        <w:spacing w:after="0" w:line="192" w:lineRule="exact"/>
        <w:rPr>
          <w:rFonts w:ascii="Arial" w:cs="Arial" w:eastAsia="Arial" w:hAnsi="Arial"/>
          <w:sz w:val="18"/>
          <w:szCs w:val="18"/>
          <w:color w:val="auto"/>
        </w:rPr>
      </w:pPr>
    </w:p>
    <w:p>
      <w:pPr>
        <w:jc w:val="both"/>
        <w:ind w:left="660" w:firstLine="645"/>
        <w:spacing w:after="0" w:line="227" w:lineRule="auto"/>
        <w:tabs>
          <w:tab w:leader="none" w:pos="2019" w:val="left"/>
        </w:tabs>
        <w:numPr>
          <w:ilvl w:val="0"/>
          <w:numId w:val="199"/>
        </w:numPr>
        <w:rPr>
          <w:rFonts w:ascii="Arial" w:cs="Arial" w:eastAsia="Arial" w:hAnsi="Arial"/>
          <w:sz w:val="18"/>
          <w:szCs w:val="18"/>
          <w:color w:val="auto"/>
        </w:rPr>
      </w:pPr>
      <w:r>
        <w:rPr>
          <w:rFonts w:ascii="Arial" w:cs="Arial" w:eastAsia="Arial" w:hAnsi="Arial"/>
          <w:sz w:val="22"/>
          <w:szCs w:val="22"/>
          <w:color w:val="auto"/>
        </w:rPr>
        <w:t>any person who is or was a member, partner, officer, director, fiduciary or trustee of any member of the partnership group, our general partner or any departing partner or any affiliate of any member of the partnership group, our general partner or any departing partner;</w:t>
      </w:r>
    </w:p>
    <w:p>
      <w:pPr>
        <w:spacing w:after="0" w:line="160" w:lineRule="exact"/>
        <w:rPr>
          <w:rFonts w:ascii="Arial" w:cs="Arial" w:eastAsia="Arial" w:hAnsi="Arial"/>
          <w:sz w:val="18"/>
          <w:szCs w:val="18"/>
          <w:color w:val="auto"/>
        </w:rPr>
      </w:pPr>
    </w:p>
    <w:p>
      <w:pPr>
        <w:jc w:val="both"/>
        <w:ind w:left="660" w:firstLine="645"/>
        <w:spacing w:after="0" w:line="222" w:lineRule="auto"/>
        <w:tabs>
          <w:tab w:leader="none" w:pos="2019" w:val="left"/>
        </w:tabs>
        <w:numPr>
          <w:ilvl w:val="0"/>
          <w:numId w:val="199"/>
        </w:numPr>
        <w:rPr>
          <w:rFonts w:ascii="Arial" w:cs="Arial" w:eastAsia="Arial" w:hAnsi="Arial"/>
          <w:sz w:val="18"/>
          <w:szCs w:val="18"/>
          <w:color w:val="auto"/>
        </w:rPr>
      </w:pPr>
      <w:r>
        <w:rPr>
          <w:rFonts w:ascii="Arial" w:cs="Arial" w:eastAsia="Arial" w:hAnsi="Arial"/>
          <w:sz w:val="22"/>
          <w:szCs w:val="22"/>
          <w:color w:val="auto"/>
        </w:rPr>
        <w:t>any person who is or was serving at the request of our general partner or any departing partner or any affiliate of our general partner or any departing partner as an officer, director, member, partner, fiduciary or trustee of another person (provided, that a person will not be an indemnitee by reason of providing, on a fee-for-services basis, trustee, fiduciary or custodial services); or</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199"/>
        </w:numPr>
        <w:rPr>
          <w:rFonts w:ascii="Arial" w:cs="Arial" w:eastAsia="Arial" w:hAnsi="Arial"/>
          <w:sz w:val="17"/>
          <w:szCs w:val="17"/>
          <w:color w:val="auto"/>
        </w:rPr>
      </w:pPr>
      <w:r>
        <w:rPr>
          <w:rFonts w:ascii="Arial" w:cs="Arial" w:eastAsia="Arial" w:hAnsi="Arial"/>
          <w:sz w:val="21"/>
          <w:szCs w:val="21"/>
          <w:color w:val="auto"/>
        </w:rPr>
        <w:t>any person that our general partner designates as an “indemnitee” for purposes of our partnership</w:t>
      </w:r>
    </w:p>
    <w:p>
      <w:pPr>
        <w:spacing w:after="0" w:line="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2"/>
          <w:szCs w:val="22"/>
          <w:color w:val="auto"/>
        </w:rPr>
        <w:t>agreement.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Any indemnification under these provisions will only be out of our assets. Unless it otherwise agrees in its sole discretion, our general partner will not be personally liable for, or have any obligation to contribute or loan funds or assets to us to enable us to effectuate, such indemnification. We may purchase insurance against liabilities asserted against and expenses incurred by persons for our activities, regardless of whether we would have the power to indemnify the person against liabilities under the partnership agreement.</w:t>
      </w:r>
    </w:p>
    <w:p>
      <w:pPr>
        <w:spacing w:after="0" w:line="19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Under our partnership agreement, an indemnitee will not be indemnified and held harmless if there has been a final and non-appealable judgment entered by a court of competent jurisdiction determining that, in respect of the matter for which the indemnitee is seeking indemnification pursuant to our partnership agreement, the indemnitee acted in bad faith or engaged in fraud, willful misconduct or gross negligence or, in the case of a criminal matter, acted with knowledge that the indemnitee’s conduct was unlawful.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the opinion of the SEC, indemnification provisions that purport to include indemnification for liabilities arising under the Securities Act are contrary to public policy and are, therefore, unenforceable.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Status as Limited Partner or Assignee</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An assignee of a common unit, after executing and delivering a transfer application, but pending its admission as a substituted limited partner, is entitled to an interest equivalent to that of a limited partner for the right to share in allocations and distributions from us, including liquidating distributions. Our general partner will vote and exercise other powers attributable to any of our common units owned by an assignee that has not become a substituted limited partner at the written direction of the assignee.</w:t>
      </w:r>
    </w:p>
    <w:p>
      <w:pPr>
        <w:sectPr>
          <w:pgSz w:w="11900" w:h="16838" w:orient="portrait"/>
          <w:cols w:equalWidth="0" w:num="1">
            <w:col w:w="11420"/>
          </w:cols>
          <w:pgMar w:left="240" w:top="564" w:right="239" w:bottom="1440" w:gutter="0" w:footer="0" w:header="0"/>
        </w:sectPr>
      </w:pPr>
    </w:p>
    <w:bookmarkStart w:id="260" w:name="page261"/>
    <w:bookmarkEnd w:id="260"/>
    <w:p>
      <w:pPr>
        <w:jc w:val="both"/>
        <w:ind w:firstLine="648"/>
        <w:spacing w:after="0" w:line="253" w:lineRule="auto"/>
        <w:rPr>
          <w:sz w:val="20"/>
          <w:szCs w:val="20"/>
          <w:color w:val="auto"/>
        </w:rPr>
      </w:pPr>
      <w:r>
        <w:rPr>
          <w:rFonts w:ascii="Arial" w:cs="Arial" w:eastAsia="Arial" w:hAnsi="Arial"/>
          <w:sz w:val="22"/>
          <w:szCs w:val="22"/>
          <w:color w:val="auto"/>
        </w:rPr>
        <w:t>Transferees that do not execute and deliver a transfer application will not be treated as assignees or as record holders of our common units and will not receive cash distributions, federal income tax allocations or reports furnished to holders of our common units.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Contributions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as described below under “Limited Liability,” the common units will be fully paid, and common unitholders will not be required to make additional capital contributions to us.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Limited Liability</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Assuming that a limited partner does not participate in the control of our business within the meaning of the Delaware Revised Uniform Limited Partnership Act, or the Delaware Act, and that it otherwise acts in conformity with the provisions of our partnership agreement, the limited partner’s liability under the Delaware Act will be limited, subject to possible exceptions, to the amount of capital such limited partner is obligated to contribute to us for its common units plus such limited partner’s share of any undistributed profits and assets and any funds wrongfully distributed to it as described below. If it were determined, however, that the right, or exercise of the right, by our limited partners as a group to remove or replace our general partner, to approve certain amendments to our partnership agreement or to take any other action under our partnership agreement constituted “participation in the control” of our business for the purposes of the Delaware Act, then the limited partners could be held personally liable for our obligations under the laws of Delaware, to the same extent as our general partner. This liability would extend to persons who transact business with us who reasonably believe that a limited partner is a general partner based on such limited partner’s conduct. Neither our partnership agreement nor the Delaware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Delaware case law.</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limited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provided, however, that such limited partner will have no liability for the amount of the distribution after the expiration of three years from the date of the distribution. Under the Delaware Act, an assignee who becomes a substituted limited partner of a limited partnership is liable for the obligations of its assignor to make contributions to the limited partnership, excluding any obligations of the assignor with respect to wrongful distributions, as described above, except the assignee is not obligated for liabilities unknown to it at the time it became a limited partner and that could not be ascertained from the partnership agreement.</w:t>
      </w:r>
    </w:p>
    <w:p>
      <w:pPr>
        <w:spacing w:after="0" w:line="16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Our subsidiaries conduct business in multiple states. Maintenance of our limited liability as a limited partner or member of our subsidiaries formed as limited partnerships or limited liability companies, respectively, may require compliance with legal requirements in the jurisdictions in which such subsidiaries conduct business, including qualifying our subsidiaries to do business there. Limitations on the liability of a limited partner or member for the obligations of a limited partnership or limited liability company,</w:t>
      </w:r>
    </w:p>
    <w:p>
      <w:pPr>
        <w:sectPr>
          <w:pgSz w:w="11900" w:h="16838" w:orient="portrait"/>
          <w:cols w:equalWidth="0" w:num="1">
            <w:col w:w="11420"/>
          </w:cols>
          <w:pgMar w:left="240" w:top="564" w:right="239" w:bottom="1440" w:gutter="0" w:footer="0" w:header="0"/>
        </w:sectPr>
      </w:pPr>
    </w:p>
    <w:bookmarkStart w:id="261" w:name="page262"/>
    <w:bookmarkEnd w:id="261"/>
    <w:p>
      <w:pPr>
        <w:jc w:val="both"/>
        <w:spacing w:after="0" w:line="290" w:lineRule="auto"/>
        <w:rPr>
          <w:sz w:val="20"/>
          <w:szCs w:val="20"/>
          <w:color w:val="auto"/>
        </w:rPr>
      </w:pPr>
      <w:r>
        <w:rPr>
          <w:rFonts w:ascii="Arial" w:cs="Arial" w:eastAsia="Arial" w:hAnsi="Arial"/>
          <w:sz w:val="19"/>
          <w:szCs w:val="19"/>
          <w:color w:val="auto"/>
        </w:rPr>
        <w:t>respectively, have not been clearly established in many jurisdictions. If it were determined that we were, by virtue of our limited partner interest or limited liability company interest in our subsidiaries or otherwise, conducting business in any state without compliance with the applicable limited partnership or limited liability company statute, or that the right or exercise of the right by our limited partners as a group to remove or replace our general partner, to approve certain amendments to our partnership agreement or to take other action under our partnership agreement constituted “participation in the control” of our business for purposes of the statutes of any relevant jurisdiction, then our limited partners could be held personally liable for our obligations under the law of that jurisdiction to the same extent as our general partner under the circumstances. We will operate in a manner that our general partner considers reasonable and necessary or appropriate to preserve the limited liability of the limited partners.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of Management Provisions</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Our partnership agreement contains specific provisions that are intended to discourage a person or group from attempting to remove our general partner or otherwise change management. If at any time any person or group (other than our general partner or its affiliates) beneficially owns 20% or more of any outstanding partnership securities of any class then outstanding, all partnership securities owned by such person or group shall not be voted on any matter and shall not be considered to be outstanding when sending notices of a meeting of limited partners to vote on any matter (unless otherwise required by law), calculating required votes, determining the presence of a quorum or for other similar purposes under our partnership agreement. The foregoing limitation does not apply (i) to any person or group who acquired 20% or more of any outstanding partnership securities of any class then outstanding directly from our general partner or its affiliates, (ii) to any person or group who acquired 20% or more of any outstanding partnership securities of any class then outstanding directly or indirectly from a person or group described in clause</w:t>
      </w:r>
    </w:p>
    <w:p>
      <w:pPr>
        <w:jc w:val="both"/>
        <w:ind w:firstLine="8"/>
        <w:spacing w:after="0" w:line="245" w:lineRule="auto"/>
        <w:tabs>
          <w:tab w:leader="none" w:pos="269" w:val="left"/>
        </w:tabs>
        <w:numPr>
          <w:ilvl w:val="0"/>
          <w:numId w:val="200"/>
        </w:numPr>
        <w:rPr>
          <w:rFonts w:ascii="Arial" w:cs="Arial" w:eastAsia="Arial" w:hAnsi="Arial"/>
          <w:sz w:val="22"/>
          <w:szCs w:val="22"/>
          <w:color w:val="auto"/>
        </w:rPr>
      </w:pPr>
      <w:r>
        <w:rPr>
          <w:rFonts w:ascii="Arial" w:cs="Arial" w:eastAsia="Arial" w:hAnsi="Arial"/>
          <w:sz w:val="22"/>
          <w:szCs w:val="22"/>
          <w:color w:val="auto"/>
        </w:rPr>
        <w:t>provided that our general partner has notified such person or group in writing that such limitation will not apply, or (iii) to any person or group who acquired 20% or more of any partnership securities issued by us with the prior approval of the board of directors of our general partner.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 Voting</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Except as described above under “Change of Management Provisions,” unitholders or assignees who are record holders of units on the record date will be entitled to notice of, and to vote at, meetings of our limited partners and to act upon matters for which approvals may be solicited. Units that are owned by an assignee who is a record holder, but who has not yet been admitted as a limited partner, will be voted by the general partner at the written direction of the record holder.</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Absent direction of this kind, the units will not be voted, except that, in the case of units held by our general partner on behalf of non-citizen assignees, our general partner will distribute the votes on those common units in the same ratios as the votes of limited partners on other units are cast.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action that is required or permitted to be taken by the unitholders may be taken either at a meeting of the unitholders or without a meeting if consents in writing describing the action so taken are signed by holders of the number of units necessary to authorize or take that action at a meeting.</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Special meetings of the unitholders may be called by the general partner or by unitholders owning at least 20% of the outstanding units of the class for which a meeting is proposed. 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w:t>
      </w:r>
    </w:p>
    <w:p>
      <w:pPr>
        <w:sectPr>
          <w:pgSz w:w="11900" w:h="16838" w:orient="portrait"/>
          <w:cols w:equalWidth="0" w:num="1">
            <w:col w:w="11420"/>
          </w:cols>
          <w:pgMar w:left="240" w:top="564" w:right="239" w:bottom="1440" w:gutter="0" w:footer="0" w:header="0"/>
        </w:sectPr>
      </w:pPr>
    </w:p>
    <w:bookmarkStart w:id="262" w:name="page263"/>
    <w:bookmarkEnd w:id="262"/>
    <w:p>
      <w:pPr>
        <w:jc w:val="both"/>
        <w:ind w:firstLine="648"/>
        <w:spacing w:after="0" w:line="290" w:lineRule="auto"/>
        <w:rPr>
          <w:sz w:val="20"/>
          <w:szCs w:val="20"/>
          <w:color w:val="auto"/>
        </w:rPr>
      </w:pPr>
      <w:r>
        <w:rPr>
          <w:rFonts w:ascii="Arial" w:cs="Arial" w:eastAsia="Arial" w:hAnsi="Arial"/>
          <w:sz w:val="19"/>
          <w:szCs w:val="19"/>
          <w:color w:val="auto"/>
        </w:rPr>
        <w:t>Each record holder of a unit has a vote according to its percentage interest in us, although additional limited partner interests having special voting rights could be issued. However, if at any time any person or group, other than the general partner and its affiliates, or a direct or subsequently approved transferee of the general partner or its affiliates, acquires, in the aggregate, beneficial ownership of 20% or more of any class of units then outstanding, that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Units held in nominee or street name account will be voted by the broker or other nominee in accordance with the instructions of the beneficial owner unless the arrangement between the beneficial owner and its nominee provides otherwise.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notice, demand, request, report or proxy material required or permitted to be given or made to record holders of units under our partnership agreement will be delivered to the record holder by us or by the transfer agent.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common units have very limited voting rights and may vote on the following matters:</w:t>
      </w:r>
    </w:p>
    <w:p>
      <w:pPr>
        <w:spacing w:after="0" w:line="193" w:lineRule="exact"/>
        <w:rPr>
          <w:sz w:val="20"/>
          <w:szCs w:val="20"/>
          <w:color w:val="auto"/>
        </w:rPr>
      </w:pPr>
    </w:p>
    <w:p>
      <w:pPr>
        <w:ind w:left="2020" w:hanging="715"/>
        <w:spacing w:after="0"/>
        <w:tabs>
          <w:tab w:leader="none" w:pos="2020" w:val="left"/>
        </w:tabs>
        <w:numPr>
          <w:ilvl w:val="0"/>
          <w:numId w:val="201"/>
        </w:numPr>
        <w:rPr>
          <w:rFonts w:ascii="Arial" w:cs="Arial" w:eastAsia="Arial" w:hAnsi="Arial"/>
          <w:sz w:val="18"/>
          <w:szCs w:val="18"/>
          <w:color w:val="auto"/>
        </w:rPr>
      </w:pPr>
      <w:r>
        <w:rPr>
          <w:rFonts w:ascii="Arial" w:cs="Arial" w:eastAsia="Arial" w:hAnsi="Arial"/>
          <w:sz w:val="22"/>
          <w:szCs w:val="22"/>
          <w:color w:val="auto"/>
        </w:rPr>
        <w:t>a sale or exchange of all or substantially all of our assets;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1"/>
        </w:numPr>
        <w:rPr>
          <w:rFonts w:ascii="Arial" w:cs="Arial" w:eastAsia="Arial" w:hAnsi="Arial"/>
          <w:sz w:val="16"/>
          <w:szCs w:val="16"/>
          <w:color w:val="auto"/>
        </w:rPr>
      </w:pPr>
      <w:r>
        <w:rPr>
          <w:rFonts w:ascii="Arial" w:cs="Arial" w:eastAsia="Arial" w:hAnsi="Arial"/>
          <w:sz w:val="19"/>
          <w:szCs w:val="19"/>
          <w:color w:val="auto"/>
        </w:rPr>
        <w:t>the election of a successor general partner in connection with the withdrawal or removal of our general</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partner;</w:t>
      </w:r>
    </w:p>
    <w:p>
      <w:pPr>
        <w:spacing w:after="0" w:line="161" w:lineRule="exact"/>
        <w:rPr>
          <w:rFonts w:ascii="Arial" w:cs="Arial" w:eastAsia="Arial" w:hAnsi="Arial"/>
          <w:sz w:val="16"/>
          <w:szCs w:val="16"/>
          <w:color w:val="auto"/>
        </w:rPr>
      </w:pPr>
    </w:p>
    <w:p>
      <w:pPr>
        <w:ind w:left="2020" w:hanging="715"/>
        <w:spacing w:after="0"/>
        <w:tabs>
          <w:tab w:leader="none" w:pos="2020" w:val="left"/>
        </w:tabs>
        <w:numPr>
          <w:ilvl w:val="0"/>
          <w:numId w:val="201"/>
        </w:numPr>
        <w:rPr>
          <w:rFonts w:ascii="Arial" w:cs="Arial" w:eastAsia="Arial" w:hAnsi="Arial"/>
          <w:sz w:val="18"/>
          <w:szCs w:val="18"/>
          <w:color w:val="auto"/>
        </w:rPr>
      </w:pPr>
      <w:r>
        <w:rPr>
          <w:rFonts w:ascii="Arial" w:cs="Arial" w:eastAsia="Arial" w:hAnsi="Arial"/>
          <w:sz w:val="22"/>
          <w:szCs w:val="22"/>
          <w:color w:val="auto"/>
        </w:rPr>
        <w:t>dissolution or reconstitution of our partnership;</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1"/>
        </w:numPr>
        <w:rPr>
          <w:rFonts w:ascii="Arial" w:cs="Arial" w:eastAsia="Arial" w:hAnsi="Arial"/>
          <w:sz w:val="18"/>
          <w:szCs w:val="18"/>
          <w:color w:val="auto"/>
        </w:rPr>
      </w:pPr>
      <w:r>
        <w:rPr>
          <w:rFonts w:ascii="Arial" w:cs="Arial" w:eastAsia="Arial" w:hAnsi="Arial"/>
          <w:sz w:val="22"/>
          <w:szCs w:val="22"/>
          <w:color w:val="auto"/>
        </w:rPr>
        <w:t>a merger of our partnership;</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1"/>
        </w:numPr>
        <w:rPr>
          <w:rFonts w:ascii="Arial" w:cs="Arial" w:eastAsia="Arial" w:hAnsi="Arial"/>
          <w:sz w:val="18"/>
          <w:szCs w:val="18"/>
          <w:color w:val="auto"/>
        </w:rPr>
      </w:pPr>
      <w:r>
        <w:rPr>
          <w:rFonts w:ascii="Arial" w:cs="Arial" w:eastAsia="Arial" w:hAnsi="Arial"/>
          <w:sz w:val="22"/>
          <w:szCs w:val="22"/>
          <w:color w:val="auto"/>
        </w:rPr>
        <w:t>issuance of limited partner interests in some circumstances; and</w:t>
      </w:r>
    </w:p>
    <w:p>
      <w:pPr>
        <w:spacing w:after="0" w:line="192"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01"/>
        </w:numPr>
        <w:rPr>
          <w:rFonts w:ascii="Arial" w:cs="Arial" w:eastAsia="Arial" w:hAnsi="Arial"/>
          <w:sz w:val="18"/>
          <w:szCs w:val="18"/>
          <w:color w:val="auto"/>
        </w:rPr>
      </w:pPr>
      <w:r>
        <w:rPr>
          <w:rFonts w:ascii="Arial" w:cs="Arial" w:eastAsia="Arial" w:hAnsi="Arial"/>
          <w:sz w:val="22"/>
          <w:szCs w:val="22"/>
          <w:color w:val="auto"/>
        </w:rPr>
        <w:t>some amendments to the partnership agreement, including any amendment that would cause us to be treated as an association taxable as a corporation.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Removal of our general partner requires:</w:t>
      </w:r>
    </w:p>
    <w:p>
      <w:pPr>
        <w:spacing w:after="0" w:line="193" w:lineRule="exact"/>
        <w:rPr>
          <w:sz w:val="20"/>
          <w:szCs w:val="20"/>
          <w:color w:val="auto"/>
        </w:rPr>
      </w:pPr>
    </w:p>
    <w:p>
      <w:pPr>
        <w:ind w:left="2020" w:hanging="715"/>
        <w:spacing w:after="0"/>
        <w:tabs>
          <w:tab w:leader="none" w:pos="2020" w:val="left"/>
        </w:tabs>
        <w:numPr>
          <w:ilvl w:val="0"/>
          <w:numId w:val="202"/>
        </w:numPr>
        <w:rPr>
          <w:rFonts w:ascii="Arial" w:cs="Arial" w:eastAsia="Arial" w:hAnsi="Arial"/>
          <w:sz w:val="18"/>
          <w:szCs w:val="18"/>
          <w:color w:val="auto"/>
        </w:rPr>
      </w:pPr>
      <w:r>
        <w:rPr>
          <w:rFonts w:ascii="Arial" w:cs="Arial" w:eastAsia="Arial" w:hAnsi="Arial"/>
          <w:sz w:val="22"/>
          <w:szCs w:val="22"/>
          <w:color w:val="auto"/>
        </w:rPr>
        <w:t>a 66 2/3% vote of all outstanding units; and</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2"/>
        </w:numPr>
        <w:rPr>
          <w:rFonts w:ascii="Arial" w:cs="Arial" w:eastAsia="Arial" w:hAnsi="Arial"/>
          <w:sz w:val="18"/>
          <w:szCs w:val="18"/>
          <w:color w:val="auto"/>
        </w:rPr>
      </w:pPr>
      <w:r>
        <w:rPr>
          <w:rFonts w:ascii="Arial" w:cs="Arial" w:eastAsia="Arial" w:hAnsi="Arial"/>
          <w:sz w:val="22"/>
          <w:szCs w:val="22"/>
          <w:color w:val="auto"/>
        </w:rPr>
        <w:t>the election of a successor general partner by the holders of a unit majority.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Books and Reports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Our general partner is required to keep appropriate books and records with respect to our business at our principal offices. Our books are maintained, for both federal income tax and financial reporting purposes, on an accrual basis. For both federal income tax and financial reporting purposes, our fiscal year end is December 31.</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We will furnish or make available to record holders of common units, no later than 120 days after the close of each fiscal year, an annual report containing audited financial statements and a report on those financial statements by our independent registered public accounting firm. Except for the fourth quarter of each fiscal year, we will also furnish or make available unaudited financial statements no later than 90 days after the close of each quarter.</w:t>
      </w:r>
    </w:p>
    <w:p>
      <w:pPr>
        <w:sectPr>
          <w:pgSz w:w="11900" w:h="16838" w:orient="portrait"/>
          <w:cols w:equalWidth="0" w:num="1">
            <w:col w:w="11420"/>
          </w:cols>
          <w:pgMar w:left="240" w:top="564" w:right="239" w:bottom="1440" w:gutter="0" w:footer="0" w:header="0"/>
        </w:sectPr>
      </w:pPr>
    </w:p>
    <w:bookmarkStart w:id="263" w:name="page264"/>
    <w:bookmarkEnd w:id="263"/>
    <w:p>
      <w:pPr>
        <w:jc w:val="both"/>
        <w:ind w:firstLine="648"/>
        <w:spacing w:after="0" w:line="263" w:lineRule="auto"/>
        <w:rPr>
          <w:sz w:val="20"/>
          <w:szCs w:val="20"/>
          <w:color w:val="auto"/>
        </w:rPr>
      </w:pPr>
      <w:r>
        <w:rPr>
          <w:rFonts w:ascii="Arial" w:cs="Arial" w:eastAsia="Arial" w:hAnsi="Arial"/>
          <w:sz w:val="22"/>
          <w:szCs w:val="22"/>
          <w:color w:val="auto"/>
        </w:rPr>
        <w:t>We will furnish each record holder with information reasonably required for tax reporting purposes within 90 days after the close of each calendar year.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to Inspect Our Books and Records</w:t>
      </w:r>
    </w:p>
    <w:p>
      <w:pPr>
        <w:spacing w:after="0" w:line="226"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Except as described below, each limited partner has the right, for a purpose reasonably related to such limited partner’s interest as a limited partner in our partnership, upon reasonable written demand and at such limited partner’s own expense: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obtain true and full information regarding the status of our business and financial condition;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promptly after becoming available, to obtain a copy of our federal, state and local income tax returns for each year;</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have furnished to it a current list of the name and last known business, residence or mailing address of each partner;</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to have furnished to it a copy of our partnership agreement and our certificate of limited partnership and all amendments thereto, together with copies of all powers of attorney pursuant to which our partnership agreement, our certificate of limited partnership and all amendments thereto have been executed;</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to obtain true and full information regarding the amount of cash and a description and statement of the net agreed value of any other capital contribution by each partner and that each partner has agreed to contribute in the future, and the date on which each became a partner;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obtain such other information regarding our affairs as is just and reasonable.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general partner may, and intends to, keep confidential from the limited partners trade secrets or other information the disclosure of which the general partner believes in good faith is not in our best interests, could damage the partnership group or that we are required by law or by agreements with third parties to keep confidential.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CASH DISTRIBUTION POLICY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will distribute to our unitholders, within 50 days after the end of each quarter, all of our available cash in the manner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Available Cash</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Available cash generally means, for any calendar quarter, all cash on hand at the end of such quarter:</w:t>
      </w:r>
    </w:p>
    <w:p>
      <w:pPr>
        <w:spacing w:after="0" w:line="193" w:lineRule="exact"/>
        <w:rPr>
          <w:sz w:val="20"/>
          <w:szCs w:val="20"/>
          <w:color w:val="auto"/>
        </w:rPr>
      </w:pPr>
    </w:p>
    <w:p>
      <w:pPr>
        <w:ind w:left="2020" w:hanging="715"/>
        <w:spacing w:after="0"/>
        <w:tabs>
          <w:tab w:leader="none" w:pos="2020" w:val="left"/>
        </w:tabs>
        <w:numPr>
          <w:ilvl w:val="0"/>
          <w:numId w:val="203"/>
        </w:numPr>
        <w:rPr>
          <w:rFonts w:ascii="Arial" w:cs="Arial" w:eastAsia="Arial" w:hAnsi="Arial"/>
          <w:sz w:val="16"/>
          <w:szCs w:val="16"/>
          <w:color w:val="auto"/>
        </w:rPr>
      </w:pPr>
      <w:r>
        <w:rPr>
          <w:rFonts w:ascii="Arial" w:cs="Arial" w:eastAsia="Arial" w:hAnsi="Arial"/>
          <w:sz w:val="19"/>
          <w:szCs w:val="19"/>
          <w:i w:val="1"/>
          <w:iCs w:val="1"/>
          <w:color w:val="auto"/>
        </w:rPr>
        <w:t xml:space="preserve">less </w:t>
      </w:r>
      <w:r>
        <w:rPr>
          <w:rFonts w:ascii="Arial" w:cs="Arial" w:eastAsia="Arial" w:hAnsi="Arial"/>
          <w:sz w:val="19"/>
          <w:szCs w:val="19"/>
          <w:color w:val="auto"/>
        </w:rPr>
        <w:t>the amount of cash that the general partner determines in good faith is necessary or appropriate to:</w:t>
      </w:r>
    </w:p>
    <w:p>
      <w:pPr>
        <w:spacing w:after="0" w:line="227" w:lineRule="exact"/>
        <w:rPr>
          <w:rFonts w:ascii="Arial" w:cs="Arial" w:eastAsia="Arial" w:hAnsi="Arial"/>
          <w:sz w:val="16"/>
          <w:szCs w:val="16"/>
          <w:color w:val="auto"/>
        </w:rPr>
      </w:pPr>
    </w:p>
    <w:p>
      <w:pPr>
        <w:ind w:left="2660" w:hanging="707"/>
        <w:spacing w:after="0"/>
        <w:tabs>
          <w:tab w:leader="none" w:pos="2660" w:val="left"/>
        </w:tabs>
        <w:numPr>
          <w:ilvl w:val="1"/>
          <w:numId w:val="203"/>
        </w:numPr>
        <w:rPr>
          <w:rFonts w:ascii="Arial" w:cs="Arial" w:eastAsia="Arial" w:hAnsi="Arial"/>
          <w:sz w:val="18"/>
          <w:szCs w:val="18"/>
          <w:color w:val="auto"/>
        </w:rPr>
      </w:pPr>
      <w:r>
        <w:rPr>
          <w:rFonts w:ascii="Arial" w:cs="Arial" w:eastAsia="Arial" w:hAnsi="Arial"/>
          <w:sz w:val="22"/>
          <w:szCs w:val="22"/>
          <w:color w:val="auto"/>
        </w:rPr>
        <w:t>satisfy general, administrative and other expenses and debt service requirements;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comply with applicable law, any of our debt instruments or other agreements;</w:t>
      </w:r>
    </w:p>
    <w:p>
      <w:pPr>
        <w:sectPr>
          <w:pgSz w:w="11900" w:h="16838" w:orient="portrait"/>
          <w:cols w:equalWidth="0" w:num="1">
            <w:col w:w="11420"/>
          </w:cols>
          <w:pgMar w:left="240" w:top="564" w:right="239" w:bottom="1440" w:gutter="0" w:footer="0" w:header="0"/>
        </w:sectPr>
      </w:pPr>
    </w:p>
    <w:bookmarkStart w:id="264" w:name="page265"/>
    <w:bookmarkEnd w:id="264"/>
    <w:p>
      <w:pPr>
        <w:ind w:left="1300" w:right="20" w:firstLine="653"/>
        <w:spacing w:after="0" w:line="239" w:lineRule="auto"/>
        <w:tabs>
          <w:tab w:leader="none" w:pos="2659" w:val="left"/>
        </w:tabs>
        <w:numPr>
          <w:ilvl w:val="1"/>
          <w:numId w:val="204"/>
        </w:numPr>
        <w:rPr>
          <w:rFonts w:ascii="Arial" w:cs="Arial" w:eastAsia="Arial" w:hAnsi="Arial"/>
          <w:sz w:val="18"/>
          <w:szCs w:val="18"/>
          <w:color w:val="auto"/>
        </w:rPr>
      </w:pPr>
      <w:r>
        <w:rPr>
          <w:rFonts w:ascii="Arial" w:cs="Arial" w:eastAsia="Arial" w:hAnsi="Arial"/>
          <w:sz w:val="22"/>
          <w:szCs w:val="22"/>
          <w:color w:val="auto"/>
        </w:rPr>
        <w:t>provide funds for distributions to our unitholders and to our general partner for any one or more of the next four quarters; or</w:t>
      </w:r>
    </w:p>
    <w:p>
      <w:pPr>
        <w:spacing w:after="0" w:line="157" w:lineRule="exact"/>
        <w:rPr>
          <w:rFonts w:ascii="Arial" w:cs="Arial" w:eastAsia="Arial" w:hAnsi="Arial"/>
          <w:sz w:val="18"/>
          <w:szCs w:val="18"/>
          <w:color w:val="auto"/>
        </w:rPr>
      </w:pPr>
    </w:p>
    <w:p>
      <w:pPr>
        <w:ind w:left="2660" w:hanging="707"/>
        <w:spacing w:after="0"/>
        <w:tabs>
          <w:tab w:leader="none" w:pos="2660" w:val="left"/>
        </w:tabs>
        <w:numPr>
          <w:ilvl w:val="1"/>
          <w:numId w:val="204"/>
        </w:numPr>
        <w:rPr>
          <w:rFonts w:ascii="Arial" w:cs="Arial" w:eastAsia="Arial" w:hAnsi="Arial"/>
          <w:sz w:val="18"/>
          <w:szCs w:val="18"/>
          <w:color w:val="auto"/>
        </w:rPr>
      </w:pPr>
      <w:r>
        <w:rPr>
          <w:rFonts w:ascii="Arial" w:cs="Arial" w:eastAsia="Arial" w:hAnsi="Arial"/>
          <w:sz w:val="22"/>
          <w:szCs w:val="22"/>
          <w:color w:val="auto"/>
        </w:rPr>
        <w:t>otherwise provide for the proper conduct of business.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4"/>
        </w:numPr>
        <w:rPr>
          <w:rFonts w:ascii="Arial" w:cs="Arial" w:eastAsia="Arial" w:hAnsi="Arial"/>
          <w:sz w:val="18"/>
          <w:szCs w:val="18"/>
          <w:color w:val="auto"/>
        </w:rPr>
      </w:pPr>
      <w:r>
        <w:rPr>
          <w:rFonts w:ascii="Arial" w:cs="Arial" w:eastAsia="Arial" w:hAnsi="Arial"/>
          <w:sz w:val="22"/>
          <w:szCs w:val="22"/>
          <w:i w:val="1"/>
          <w:iCs w:val="1"/>
          <w:color w:val="auto"/>
        </w:rPr>
        <w:t xml:space="preserve">plus </w:t>
      </w:r>
      <w:r>
        <w:rPr>
          <w:rFonts w:ascii="Arial" w:cs="Arial" w:eastAsia="Arial" w:hAnsi="Arial"/>
          <w:sz w:val="22"/>
          <w:szCs w:val="22"/>
          <w:color w:val="auto"/>
        </w:rPr>
        <w:t>all cash on hand on the date of determination of available cash for the quarter.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 of Cash Upon Liquidation</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we dissolve in accordance with our partnership agreement, we will sell or otherwise dispose of our assets in a process called a liquidation. We will first apply the proceeds of liquidation to the payment of our creditors in the order of priority provided in the partnership agreement and by law, and, thereafter, we will distribute $100 to the holders of our Class A Units in the aggregate and any remaining proceeds to our other unitholders, including the holders of our common units and our general partner, in accordance with their respective positive capital account balances, as adjusted to reflect any gain or loss upon the sale or other disposition of our assets in liquidation.</w:t>
      </w:r>
    </w:p>
    <w:p>
      <w:pPr>
        <w:spacing w:after="0" w:line="194" w:lineRule="exact"/>
        <w:rPr>
          <w:sz w:val="20"/>
          <w:szCs w:val="20"/>
          <w:color w:val="auto"/>
        </w:rPr>
      </w:pPr>
    </w:p>
    <w:p>
      <w:pPr>
        <w:ind w:right="840" w:firstLine="648"/>
        <w:spacing w:after="0" w:line="448" w:lineRule="auto"/>
        <w:rPr>
          <w:sz w:val="20"/>
          <w:szCs w:val="20"/>
          <w:color w:val="auto"/>
        </w:rPr>
      </w:pPr>
      <w:r>
        <w:rPr>
          <w:rFonts w:ascii="Arial" w:cs="Arial" w:eastAsia="Arial" w:hAnsi="Arial"/>
          <w:sz w:val="22"/>
          <w:szCs w:val="22"/>
          <w:color w:val="auto"/>
        </w:rPr>
        <w:t xml:space="preserve">No unitholder will have any obligation to restore any negative balance in its capital account upon liquidation of us. </w:t>
      </w:r>
      <w:r>
        <w:rPr>
          <w:rFonts w:ascii="Arial" w:cs="Arial" w:eastAsia="Arial" w:hAnsi="Arial"/>
          <w:sz w:val="22"/>
          <w:szCs w:val="22"/>
          <w:b w:val="1"/>
          <w:bCs w:val="1"/>
          <w:color w:val="auto"/>
        </w:rPr>
        <w:t>ETOLP’s Cash Distribution Policy</w:t>
      </w:r>
    </w:p>
    <w:p>
      <w:pPr>
        <w:spacing w:after="0" w:line="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Within 45 days after the end of each quarter, Energy Transfer Operating, L.P. (“ETOLP”) will distribute all available cash to partners of record on the applicable record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Definition of Available Cash</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Available cash is defined in the ETOLP partnership agreement and generally means, for any calendar quarter, all cash on hand at the end of such quarter:</w:t>
      </w:r>
    </w:p>
    <w:p>
      <w:pPr>
        <w:spacing w:after="0" w:line="148" w:lineRule="exact"/>
        <w:rPr>
          <w:sz w:val="20"/>
          <w:szCs w:val="20"/>
          <w:color w:val="auto"/>
        </w:rPr>
      </w:pPr>
    </w:p>
    <w:p>
      <w:pPr>
        <w:ind w:left="2020" w:hanging="715"/>
        <w:spacing w:after="0"/>
        <w:tabs>
          <w:tab w:leader="none" w:pos="2020" w:val="left"/>
        </w:tabs>
        <w:numPr>
          <w:ilvl w:val="0"/>
          <w:numId w:val="205"/>
        </w:numPr>
        <w:rPr>
          <w:rFonts w:ascii="Arial" w:cs="Arial" w:eastAsia="Arial" w:hAnsi="Arial"/>
          <w:sz w:val="16"/>
          <w:szCs w:val="16"/>
          <w:color w:val="auto"/>
        </w:rPr>
      </w:pPr>
      <w:r>
        <w:rPr>
          <w:rFonts w:ascii="Arial" w:cs="Arial" w:eastAsia="Arial" w:hAnsi="Arial"/>
          <w:sz w:val="19"/>
          <w:szCs w:val="19"/>
          <w:color w:val="auto"/>
        </w:rPr>
        <w:t>less the amount of cash reserves that ETOLP’s general partner in good faith determines is necessary or</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appropriate to:</w:t>
      </w:r>
    </w:p>
    <w:p>
      <w:pPr>
        <w:spacing w:after="0" w:line="161" w:lineRule="exact"/>
        <w:rPr>
          <w:rFonts w:ascii="Arial" w:cs="Arial" w:eastAsia="Arial" w:hAnsi="Arial"/>
          <w:sz w:val="16"/>
          <w:szCs w:val="16"/>
          <w:color w:val="auto"/>
        </w:rPr>
      </w:pPr>
    </w:p>
    <w:p>
      <w:pPr>
        <w:ind w:left="1300" w:firstLine="653"/>
        <w:spacing w:after="0" w:line="239" w:lineRule="auto"/>
        <w:tabs>
          <w:tab w:leader="none" w:pos="3042" w:val="left"/>
        </w:tabs>
        <w:numPr>
          <w:ilvl w:val="1"/>
          <w:numId w:val="205"/>
        </w:numPr>
        <w:rPr>
          <w:rFonts w:ascii="Arial" w:cs="Arial" w:eastAsia="Arial" w:hAnsi="Arial"/>
          <w:sz w:val="18"/>
          <w:szCs w:val="18"/>
          <w:color w:val="auto"/>
        </w:rPr>
      </w:pPr>
      <w:r>
        <w:rPr>
          <w:rFonts w:ascii="Arial" w:cs="Arial" w:eastAsia="Arial" w:hAnsi="Arial"/>
          <w:sz w:val="22"/>
          <w:szCs w:val="22"/>
          <w:color w:val="auto"/>
        </w:rPr>
        <w:t>provide for the proper conduct of ETOLP’s business (including reserves for future capital expenditures and for anticipated future credit needs of ETOLP);</w:t>
      </w:r>
    </w:p>
    <w:p>
      <w:pPr>
        <w:spacing w:after="0" w:line="157" w:lineRule="exact"/>
        <w:rPr>
          <w:rFonts w:ascii="Arial" w:cs="Arial" w:eastAsia="Arial" w:hAnsi="Arial"/>
          <w:sz w:val="18"/>
          <w:szCs w:val="18"/>
          <w:color w:val="auto"/>
        </w:rPr>
      </w:pPr>
    </w:p>
    <w:p>
      <w:pPr>
        <w:ind w:left="2840" w:hanging="887"/>
        <w:spacing w:after="0"/>
        <w:tabs>
          <w:tab w:leader="none" w:pos="2840" w:val="left"/>
        </w:tabs>
        <w:numPr>
          <w:ilvl w:val="1"/>
          <w:numId w:val="205"/>
        </w:numPr>
        <w:rPr>
          <w:rFonts w:ascii="Arial" w:cs="Arial" w:eastAsia="Arial" w:hAnsi="Arial"/>
          <w:sz w:val="18"/>
          <w:szCs w:val="18"/>
          <w:color w:val="auto"/>
        </w:rPr>
      </w:pPr>
      <w:r>
        <w:rPr>
          <w:rFonts w:ascii="Arial" w:cs="Arial" w:eastAsia="Arial" w:hAnsi="Arial"/>
          <w:sz w:val="22"/>
          <w:szCs w:val="22"/>
          <w:color w:val="auto"/>
        </w:rPr>
        <w:t>comply with applicable law, any of ETOLP’s debt instruments or other agreements; or</w:t>
      </w:r>
    </w:p>
    <w:p>
      <w:pPr>
        <w:spacing w:after="0" w:line="192" w:lineRule="exact"/>
        <w:rPr>
          <w:rFonts w:ascii="Arial" w:cs="Arial" w:eastAsia="Arial" w:hAnsi="Arial"/>
          <w:sz w:val="18"/>
          <w:szCs w:val="18"/>
          <w:color w:val="auto"/>
        </w:rPr>
      </w:pPr>
    </w:p>
    <w:p>
      <w:pPr>
        <w:jc w:val="both"/>
        <w:ind w:left="1300" w:firstLine="653"/>
        <w:spacing w:after="0" w:line="245" w:lineRule="auto"/>
        <w:tabs>
          <w:tab w:leader="none" w:pos="3096" w:val="left"/>
        </w:tabs>
        <w:numPr>
          <w:ilvl w:val="1"/>
          <w:numId w:val="205"/>
        </w:numPr>
        <w:rPr>
          <w:rFonts w:ascii="Arial" w:cs="Arial" w:eastAsia="Arial" w:hAnsi="Arial"/>
          <w:sz w:val="16"/>
          <w:szCs w:val="16"/>
          <w:color w:val="auto"/>
        </w:rPr>
      </w:pPr>
      <w:r>
        <w:rPr>
          <w:rFonts w:ascii="Arial" w:cs="Arial" w:eastAsia="Arial" w:hAnsi="Arial"/>
          <w:sz w:val="19"/>
          <w:szCs w:val="19"/>
          <w:color w:val="auto"/>
        </w:rPr>
        <w:t>provide funds for distributions on ETOLP’s Series A Fixed-to-Floating Rate Cumulative Redeemable Perpetual Preferred Units (the “ETOLP Series A preferred units”), Series B Fixed-to-Floating Rate Cumulative Redeemable Perpetual Preferred Units (the “ETOLP Series B preferred units”), Series C Fixed-to-Floating Rate Cumulative Redeemable Perpetual Preferred Units (the “ETOLP Series C preferred units”), Series D Fixed-to-Floating Rate Cumulative Redeemable Perpetual Preferred Units (the “ETOLP Series D preferred units”), Series E Fixed-to-Floating Rate Cumulative Redeemable Perpetual Preferred Units (the “ETOLP Series E preferred units”), Series F Fixed-Rate Reset Cumulative Redeemable Perpetual Preferred Units (the “ETOLP Series F preferred units”), and Series G Fixed-Rate Reset Cumulative Redeemable Perpetual Preferred Units (the “ETOLP Series G preferred units” and, together with the ETOLP Series A preferred units, the ETOLP Series B preferred units, the ETOLP Series C preferred units, the ETOLP Series D preferred units, the</w:t>
      </w:r>
    </w:p>
    <w:p>
      <w:pPr>
        <w:sectPr>
          <w:pgSz w:w="11900" w:h="16838" w:orient="portrait"/>
          <w:cols w:equalWidth="0" w:num="1">
            <w:col w:w="11420"/>
          </w:cols>
          <w:pgMar w:left="240" w:top="537" w:right="239" w:bottom="1440" w:gutter="0" w:footer="0" w:header="0"/>
        </w:sectPr>
      </w:pPr>
    </w:p>
    <w:bookmarkStart w:id="265" w:name="page266"/>
    <w:bookmarkEnd w:id="265"/>
    <w:p>
      <w:pPr>
        <w:ind w:left="660" w:right="1100" w:firstLine="648"/>
        <w:spacing w:after="0" w:line="442" w:lineRule="auto"/>
        <w:rPr>
          <w:sz w:val="20"/>
          <w:szCs w:val="20"/>
          <w:color w:val="auto"/>
        </w:rPr>
      </w:pPr>
      <w:r>
        <w:rPr>
          <w:rFonts w:ascii="Arial" w:cs="Arial" w:eastAsia="Arial" w:hAnsi="Arial"/>
          <w:sz w:val="22"/>
          <w:szCs w:val="22"/>
          <w:color w:val="auto"/>
        </w:rPr>
        <w:t xml:space="preserve">ETOLP Series E preferred units, and the ETOLP Series F preferred units, the “ETOLP preferred units”). </w:t>
      </w:r>
      <w:r>
        <w:rPr>
          <w:rFonts w:ascii="Arial" w:cs="Arial" w:eastAsia="Arial" w:hAnsi="Arial"/>
          <w:sz w:val="22"/>
          <w:szCs w:val="22"/>
          <w:b w:val="1"/>
          <w:bCs w:val="1"/>
          <w:i w:val="1"/>
          <w:iCs w:val="1"/>
          <w:color w:val="auto"/>
        </w:rPr>
        <w:t>Distributions of Available Cash</w:t>
      </w:r>
    </w:p>
    <w:p>
      <w:pPr>
        <w:jc w:val="both"/>
        <w:ind w:firstLine="648"/>
        <w:spacing w:after="0" w:line="253" w:lineRule="auto"/>
        <w:rPr>
          <w:sz w:val="20"/>
          <w:szCs w:val="20"/>
          <w:color w:val="auto"/>
        </w:rPr>
      </w:pPr>
      <w:r>
        <w:rPr>
          <w:rFonts w:ascii="Arial" w:cs="Arial" w:eastAsia="Arial" w:hAnsi="Arial"/>
          <w:sz w:val="22"/>
          <w:szCs w:val="22"/>
          <w:color w:val="auto"/>
        </w:rPr>
        <w:t>Under the ETOLP partnership agreement, ETOLP is required to distribute all Available Cash to all unitholders, pro rata, except as provided below under “-Distributions to ETOLP Preferred Unitholders” and “-Distributions to Other ETOLP Units” below.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Distributions to ETOLP Preferred Unitholders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Prior to making any distributions to the unitholders as described above, the holders of ETOLP preferred units are entitled to receive, when, as, and if declared by ETOLP’s general partner out of legally available funds for such purpose, cumulative quarterly cash distributions. Unless otherwise determined by ETOLP’s general partner, distributions on the ETOLP preferred units are deemed to have been paid out of available cash with respect to the quarter ended immediately preceding the quarter in which the distribution is made.</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Distributions on each class of ETOLP preferred units are subject to an initial fixed distribution rate for a specified term, followed by a floating or reset distribution rate, as applicable, to extend thereafter until all outstanding ETOLP preferred units of that class are redeemed. Specifically, the ETOLP Series A preferred units have an initial distribution rate of 6.250% of the Series A liquidation preference of $1,000 per ETOLP Series A preferred unit (the “ETOLP Series A Liquidation Preference”) until February 14, 2023 and, thereafter, distributions will accumulate for each distribution period at a percentage of the ETOLP Series A Liquidation Preference equal to an annual floating rate of the three-month LIBOR plus a spread of 4.028% per annum. The ETOLP Series B preferred units have an initial distribution rate of 6.625% of the Series B liquidation preference of $1,000 per ETOLP Series B preferred unit (the “ETOLP Series B Liquidation Preference”) until February 14, 2028 and, thereafter, distributions will accumulate for each distribution period at a percentage of the ETOLP Series B Liquidation Preference equal to an annual floating rate of the three-month LIBOR plus a spread of 4.155% per annum. The ETOLP Series C preferred units have an initial distribution rate of 7.375% of the Series C liquidation preference of $25.00 per ETOLP Series C preferred unit (the “ETOLP Series C Liquidation Preference”) until May 14, 2023 and, thereafter, distributions will accumulate for each distribution period at a percentage of the ETOLP Series C Liquidation Preference equal to an annual floating rate of the three-month LIBOR plus a spread of 4.530% per annum. The ETOLP Series D preferred units have an initial distribution rate of 7.625% of the Series D liquidation preference of $25.00 per ETOLP Series D preferred unit (the “ETOLP Series D Liquidation Preference”) until August 14, 2023 and, thereafter, distributions will accumulate for each distribution period at a percentage of the ETOLP Series D Liquidation Preference equal to an annual floating rate of the three-month LIBOR plus a spread of 4.738% per annum. The ETOLP Series E preferred units have an initial distribution rate of 7.600% of the Series E liquidation preference of $25.00 per ETOLP Series E preferred unit (the “ETOLP Series E Liquidation Preference”) until May 15, 2024 and, thereafter, distributions will accumulate for each distribution period at a percentage of the ETOLP Series E Liquidation Preference equal to an annual floating rate of the three-month LIBOR plus a spread of 5.161% per annum. The ETOLP Series F preferred units have an initial distribution rate of 6.750% of the Series F liquidation preference of $1,000 per ETOLP Series F preferred unit (the “ETOLP Series F Liquidation Preference”) until May 15, 2025 and, thereafter, distributions will accumulate for each distribution period at a percentage of the ETOLP Series D Liquidation Preference equal to the Five-year U.S. Treasury Rate as of the most recent Series F Reset Distribution Determination Date plus a spread of 5.134% per annum. The ETOLP Series G preferred units have an initial distribution rate of 7.125% of the Series G liquidation preference of $1,000 per ETOLP Series G preferred unit (the “ETOLP Series G Liquidation Preference”) until May 15, 2030 and, thereafter, distributions will accumulate for each distribution period</w:t>
      </w:r>
    </w:p>
    <w:p>
      <w:pPr>
        <w:sectPr>
          <w:pgSz w:w="11900" w:h="16838" w:orient="portrait"/>
          <w:cols w:equalWidth="0" w:num="1">
            <w:col w:w="11420"/>
          </w:cols>
          <w:pgMar w:left="240" w:top="537" w:right="239" w:bottom="1440" w:gutter="0" w:footer="0" w:header="0"/>
        </w:sectPr>
      </w:pPr>
    </w:p>
    <w:bookmarkStart w:id="266" w:name="page267"/>
    <w:bookmarkEnd w:id="266"/>
    <w:p>
      <w:pPr>
        <w:jc w:val="both"/>
        <w:spacing w:after="0" w:line="263" w:lineRule="auto"/>
        <w:rPr>
          <w:sz w:val="20"/>
          <w:szCs w:val="20"/>
          <w:color w:val="auto"/>
        </w:rPr>
      </w:pPr>
      <w:r>
        <w:rPr>
          <w:rFonts w:ascii="Arial" w:cs="Arial" w:eastAsia="Arial" w:hAnsi="Arial"/>
          <w:sz w:val="22"/>
          <w:szCs w:val="22"/>
          <w:color w:val="auto"/>
        </w:rPr>
        <w:t>at a percentage of the ETOLP Series G Liquidation Preference equal to the Five-year U.S. Treasury Rate as of the most recent Series G Reset Distribution Determination Date plus a spread of 5.306% per annum.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Distributions to Other ETOLP Units</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ETOLP partnership agreement provides that each ETOLP Class K unit is entitled to a quarterly cash distribution in an amount equal to $0.67275 per Class K unit, which distribution must be made prior to any distribution of available cash to any other class of ETOLP units. The ETOLP partnership agreement also provides that each ETOLP Class L unit is entitled to a quarterly cash distribution in an amount equal to $0.286875 per Class L unit, which distribution must be made prior to any distribution of available cash to any other class of ETOLP units. The ETOLP partnership agreement also provides that each ETOLP Class M unit is entitled to a quarterly cash distribution in an amount equal to $0.20 per Class M unit, which distribution must be made prior to any distribution of available cash to any other class of ETOLP units.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Sunoco’s Cash Distribution Policy</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Under the Sunoco LP (“Sunoco”) partnership agreement, Sunoco is required to distribute all of its available cash, within 60 days after the end of each quarter, to its common unitholders of record on the applicable record date.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Definition of Available Cash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Available cash, for any quarter, generally consists of all cash and cash equivalents on hand at the end of that quarter:</w:t>
      </w:r>
    </w:p>
    <w:p>
      <w:pPr>
        <w:spacing w:after="0" w:line="227" w:lineRule="exact"/>
        <w:rPr>
          <w:sz w:val="20"/>
          <w:szCs w:val="20"/>
          <w:color w:val="auto"/>
        </w:rPr>
      </w:pPr>
    </w:p>
    <w:p>
      <w:pPr>
        <w:ind w:left="2020" w:hanging="715"/>
        <w:spacing w:after="0"/>
        <w:tabs>
          <w:tab w:leader="none" w:pos="2020" w:val="left"/>
        </w:tabs>
        <w:numPr>
          <w:ilvl w:val="0"/>
          <w:numId w:val="206"/>
        </w:numPr>
        <w:rPr>
          <w:rFonts w:ascii="Arial" w:cs="Arial" w:eastAsia="Arial" w:hAnsi="Arial"/>
          <w:sz w:val="16"/>
          <w:szCs w:val="16"/>
          <w:color w:val="auto"/>
        </w:rPr>
      </w:pPr>
      <w:r>
        <w:rPr>
          <w:rFonts w:ascii="Arial" w:cs="Arial" w:eastAsia="Arial" w:hAnsi="Arial"/>
          <w:sz w:val="19"/>
          <w:szCs w:val="19"/>
          <w:color w:val="auto"/>
        </w:rPr>
        <w:t>less, the amount of cash reserves that Sunoco GP LLC, the general partner of Sunoco (“Sunoco GP”),</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establishes to:</w:t>
      </w:r>
    </w:p>
    <w:p>
      <w:pPr>
        <w:spacing w:after="0" w:line="161" w:lineRule="exact"/>
        <w:rPr>
          <w:rFonts w:ascii="Arial" w:cs="Arial" w:eastAsia="Arial" w:hAnsi="Arial"/>
          <w:sz w:val="16"/>
          <w:szCs w:val="16"/>
          <w:color w:val="auto"/>
        </w:rPr>
      </w:pPr>
    </w:p>
    <w:p>
      <w:pPr>
        <w:ind w:left="2660" w:hanging="707"/>
        <w:spacing w:after="0"/>
        <w:tabs>
          <w:tab w:leader="none" w:pos="2660" w:val="left"/>
        </w:tabs>
        <w:numPr>
          <w:ilvl w:val="1"/>
          <w:numId w:val="206"/>
        </w:numPr>
        <w:rPr>
          <w:rFonts w:ascii="Arial" w:cs="Arial" w:eastAsia="Arial" w:hAnsi="Arial"/>
          <w:sz w:val="18"/>
          <w:szCs w:val="18"/>
          <w:color w:val="auto"/>
        </w:rPr>
      </w:pPr>
      <w:r>
        <w:rPr>
          <w:rFonts w:ascii="Arial" w:cs="Arial" w:eastAsia="Arial" w:hAnsi="Arial"/>
          <w:sz w:val="22"/>
          <w:szCs w:val="22"/>
          <w:color w:val="auto"/>
        </w:rPr>
        <w:t>provide for the proper conduct of Sunoco’s business;</w:t>
      </w:r>
    </w:p>
    <w:p>
      <w:pPr>
        <w:spacing w:after="0" w:line="192" w:lineRule="exact"/>
        <w:rPr>
          <w:rFonts w:ascii="Arial" w:cs="Arial" w:eastAsia="Arial" w:hAnsi="Arial"/>
          <w:sz w:val="18"/>
          <w:szCs w:val="18"/>
          <w:color w:val="auto"/>
        </w:rPr>
      </w:pPr>
    </w:p>
    <w:p>
      <w:pPr>
        <w:ind w:left="2660" w:hanging="707"/>
        <w:spacing w:after="0"/>
        <w:tabs>
          <w:tab w:leader="none" w:pos="2660" w:val="left"/>
        </w:tabs>
        <w:numPr>
          <w:ilvl w:val="1"/>
          <w:numId w:val="206"/>
        </w:numPr>
        <w:rPr>
          <w:rFonts w:ascii="Arial" w:cs="Arial" w:eastAsia="Arial" w:hAnsi="Arial"/>
          <w:sz w:val="16"/>
          <w:szCs w:val="16"/>
          <w:color w:val="auto"/>
        </w:rPr>
      </w:pPr>
      <w:r>
        <w:rPr>
          <w:rFonts w:ascii="Arial" w:cs="Arial" w:eastAsia="Arial" w:hAnsi="Arial"/>
          <w:sz w:val="19"/>
          <w:szCs w:val="19"/>
          <w:color w:val="auto"/>
        </w:rPr>
        <w:t>comply with applicable law, any of Sunoco’s debt instruments or other agreements or any other</w:t>
      </w:r>
    </w:p>
    <w:p>
      <w:pPr>
        <w:spacing w:after="0" w:line="29"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2"/>
          <w:szCs w:val="22"/>
          <w:color w:val="auto"/>
        </w:rPr>
        <w:t>obligation; or</w:t>
      </w:r>
    </w:p>
    <w:p>
      <w:pPr>
        <w:spacing w:after="0" w:line="161" w:lineRule="exact"/>
        <w:rPr>
          <w:rFonts w:ascii="Arial" w:cs="Arial" w:eastAsia="Arial" w:hAnsi="Arial"/>
          <w:sz w:val="16"/>
          <w:szCs w:val="16"/>
          <w:color w:val="auto"/>
        </w:rPr>
      </w:pPr>
    </w:p>
    <w:p>
      <w:pPr>
        <w:jc w:val="both"/>
        <w:ind w:left="1300" w:firstLine="653"/>
        <w:spacing w:after="0" w:line="222" w:lineRule="auto"/>
        <w:tabs>
          <w:tab w:leader="none" w:pos="2659" w:val="left"/>
        </w:tabs>
        <w:numPr>
          <w:ilvl w:val="1"/>
          <w:numId w:val="206"/>
        </w:numPr>
        <w:rPr>
          <w:rFonts w:ascii="Arial" w:cs="Arial" w:eastAsia="Arial" w:hAnsi="Arial"/>
          <w:sz w:val="18"/>
          <w:szCs w:val="18"/>
          <w:color w:val="auto"/>
        </w:rPr>
      </w:pPr>
      <w:r>
        <w:rPr>
          <w:rFonts w:ascii="Arial" w:cs="Arial" w:eastAsia="Arial" w:hAnsi="Arial"/>
          <w:sz w:val="22"/>
          <w:szCs w:val="22"/>
          <w:color w:val="auto"/>
        </w:rPr>
        <w:t>provide funds for distributions to Sunoco’s unitholders for any one or more of the next four quarters (provided that Sunoco GP may not establish cash reserves for the payment of distributions unless it determines that the establishment of such reserves will not prevent Sunoco from distributing the Sunoco minimum quarterly distribution on all common units for the current quarter);</w:t>
      </w:r>
    </w:p>
    <w:p>
      <w:pPr>
        <w:spacing w:after="0" w:line="157"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06"/>
        </w:numPr>
        <w:rPr>
          <w:rFonts w:ascii="Arial" w:cs="Arial" w:eastAsia="Arial" w:hAnsi="Arial"/>
          <w:sz w:val="18"/>
          <w:szCs w:val="18"/>
          <w:color w:val="auto"/>
        </w:rPr>
      </w:pPr>
      <w:r>
        <w:rPr>
          <w:rFonts w:ascii="Arial" w:cs="Arial" w:eastAsia="Arial" w:hAnsi="Arial"/>
          <w:sz w:val="22"/>
          <w:szCs w:val="22"/>
          <w:color w:val="auto"/>
        </w:rPr>
        <w:t>plus all cash on hand on the date of determination of available cash for the quarter resulting from working capital borrowings made after the end of the quarter.</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Working capital borrowings are generally borrowings that are made under Sunoco’s revolving credit facility and in all cases are used solely for working capital purposes or to pay distributions to partners.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Operating Surplus and Capital Surplus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cash distributed to Sunoco’s unitholders is characterized as being paid from either “operating surplus” or “capital surplus.” Sunoco distributes available cash from operating surplus differently than available cash from capital surplus. Operating surplus distributions will be made to Sunoco’s unitholders and, if Sunoco makes quarterly distributions above the first target distribution level described below, to the</w:t>
      </w:r>
    </w:p>
    <w:p>
      <w:pPr>
        <w:sectPr>
          <w:pgSz w:w="11900" w:h="16838" w:orient="portrait"/>
          <w:cols w:equalWidth="0" w:num="1">
            <w:col w:w="11420"/>
          </w:cols>
          <w:pgMar w:left="240" w:top="564" w:right="239" w:bottom="1440" w:gutter="0" w:footer="0" w:header="0"/>
        </w:sectPr>
      </w:pPr>
    </w:p>
    <w:bookmarkStart w:id="267" w:name="page268"/>
    <w:bookmarkEnd w:id="267"/>
    <w:p>
      <w:pPr>
        <w:jc w:val="both"/>
        <w:spacing w:after="0" w:line="271" w:lineRule="auto"/>
        <w:rPr>
          <w:sz w:val="20"/>
          <w:szCs w:val="20"/>
          <w:color w:val="auto"/>
        </w:rPr>
      </w:pPr>
      <w:r>
        <w:rPr>
          <w:rFonts w:ascii="Arial" w:cs="Arial" w:eastAsia="Arial" w:hAnsi="Arial"/>
          <w:sz w:val="21"/>
          <w:szCs w:val="21"/>
          <w:color w:val="auto"/>
        </w:rPr>
        <w:t>holder of Sunoco’s incentive distribution rights (“IDRs”). Sunoco does not anticipate that it will make any distributions from capital surplus. In such an event, however, any capital surplus distribution would generally be made first to the holders of Class C units, pro rata, the amount of accrued and unpaid distributions, and then pro rata to all unitholders.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Definition of Operating Surplus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Operating surplus for any period generally means:</w:t>
      </w:r>
    </w:p>
    <w:p>
      <w:pPr>
        <w:spacing w:after="0" w:line="193" w:lineRule="exact"/>
        <w:rPr>
          <w:sz w:val="20"/>
          <w:szCs w:val="20"/>
          <w:color w:val="auto"/>
        </w:rPr>
      </w:pPr>
    </w:p>
    <w:p>
      <w:pPr>
        <w:ind w:left="2020" w:hanging="715"/>
        <w:spacing w:after="0"/>
        <w:tabs>
          <w:tab w:leader="none" w:pos="2020" w:val="left"/>
        </w:tabs>
        <w:numPr>
          <w:ilvl w:val="0"/>
          <w:numId w:val="207"/>
        </w:numPr>
        <w:rPr>
          <w:rFonts w:ascii="Arial" w:cs="Arial" w:eastAsia="Arial" w:hAnsi="Arial"/>
          <w:sz w:val="18"/>
          <w:szCs w:val="18"/>
          <w:color w:val="auto"/>
        </w:rPr>
      </w:pPr>
      <w:r>
        <w:rPr>
          <w:rFonts w:ascii="Arial" w:cs="Arial" w:eastAsia="Arial" w:hAnsi="Arial"/>
          <w:sz w:val="22"/>
          <w:szCs w:val="22"/>
          <w:color w:val="auto"/>
        </w:rPr>
        <w:t>$25.0 million (as described below); plus</w:t>
      </w:r>
    </w:p>
    <w:p>
      <w:pPr>
        <w:spacing w:after="0" w:line="192" w:lineRule="exact"/>
        <w:rPr>
          <w:rFonts w:ascii="Arial" w:cs="Arial" w:eastAsia="Arial" w:hAnsi="Arial"/>
          <w:sz w:val="18"/>
          <w:szCs w:val="18"/>
          <w:color w:val="auto"/>
        </w:rPr>
      </w:pPr>
    </w:p>
    <w:p>
      <w:pPr>
        <w:jc w:val="both"/>
        <w:ind w:left="660" w:firstLine="645"/>
        <w:spacing w:after="0" w:line="222" w:lineRule="auto"/>
        <w:tabs>
          <w:tab w:leader="none" w:pos="2019" w:val="left"/>
        </w:tabs>
        <w:numPr>
          <w:ilvl w:val="0"/>
          <w:numId w:val="207"/>
        </w:numPr>
        <w:rPr>
          <w:rFonts w:ascii="Arial" w:cs="Arial" w:eastAsia="Arial" w:hAnsi="Arial"/>
          <w:sz w:val="18"/>
          <w:szCs w:val="18"/>
          <w:color w:val="auto"/>
        </w:rPr>
      </w:pPr>
      <w:r>
        <w:rPr>
          <w:rFonts w:ascii="Arial" w:cs="Arial" w:eastAsia="Arial" w:hAnsi="Arial"/>
          <w:sz w:val="22"/>
          <w:szCs w:val="22"/>
          <w:color w:val="auto"/>
        </w:rPr>
        <w:t>all of Sunoco’s cash receipts, excluding cash from interim capital transactions (as defined below), provided that cash receipts from the termination of any hedge contract prior to its stipulated settlement or termination date will be included in equal quarterly installments over the remaining scheduled life of such hedge contract had it not been terminated; plus</w:t>
      </w:r>
    </w:p>
    <w:p>
      <w:pPr>
        <w:spacing w:after="0" w:line="157"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07"/>
        </w:numPr>
        <w:rPr>
          <w:rFonts w:ascii="Arial" w:cs="Arial" w:eastAsia="Arial" w:hAnsi="Arial"/>
          <w:sz w:val="18"/>
          <w:szCs w:val="18"/>
          <w:color w:val="auto"/>
        </w:rPr>
      </w:pPr>
      <w:r>
        <w:rPr>
          <w:rFonts w:ascii="Arial" w:cs="Arial" w:eastAsia="Arial" w:hAnsi="Arial"/>
          <w:sz w:val="22"/>
          <w:szCs w:val="22"/>
          <w:color w:val="auto"/>
        </w:rPr>
        <w:t>working capital borrowings made after the end of a period but on or before the date of distribution of operating surplus for that period; plus</w:t>
      </w:r>
    </w:p>
    <w:p>
      <w:pPr>
        <w:spacing w:after="0" w:line="157" w:lineRule="exact"/>
        <w:rPr>
          <w:rFonts w:ascii="Arial" w:cs="Arial" w:eastAsia="Arial" w:hAnsi="Arial"/>
          <w:sz w:val="18"/>
          <w:szCs w:val="18"/>
          <w:color w:val="auto"/>
        </w:rPr>
      </w:pPr>
    </w:p>
    <w:p>
      <w:pPr>
        <w:jc w:val="both"/>
        <w:ind w:left="660" w:firstLine="645"/>
        <w:spacing w:after="0" w:line="232" w:lineRule="auto"/>
        <w:tabs>
          <w:tab w:leader="none" w:pos="2019" w:val="left"/>
        </w:tabs>
        <w:numPr>
          <w:ilvl w:val="0"/>
          <w:numId w:val="207"/>
        </w:numPr>
        <w:rPr>
          <w:rFonts w:ascii="Arial" w:cs="Arial" w:eastAsia="Arial" w:hAnsi="Arial"/>
          <w:sz w:val="17"/>
          <w:szCs w:val="17"/>
          <w:color w:val="auto"/>
        </w:rPr>
      </w:pPr>
      <w:r>
        <w:rPr>
          <w:rFonts w:ascii="Arial" w:cs="Arial" w:eastAsia="Arial" w:hAnsi="Arial"/>
          <w:sz w:val="21"/>
          <w:szCs w:val="21"/>
          <w:color w:val="auto"/>
        </w:rPr>
        <w:t>cash distributions paid on equity issued (including incremental distributions on IDRs), to finance all or a portion of expansion capital expenditures in respect of the period from the date that Sunoco enters into a binding obligation to commence the construction, acquisition or improvement of a capital asset until the earlier to occur of the date the capital asset commences commercial service and the date that it is abandoned or disposed of; plus</w:t>
      </w:r>
    </w:p>
    <w:p>
      <w:pPr>
        <w:spacing w:after="0" w:line="160" w:lineRule="exact"/>
        <w:rPr>
          <w:rFonts w:ascii="Arial" w:cs="Arial" w:eastAsia="Arial" w:hAnsi="Arial"/>
          <w:sz w:val="17"/>
          <w:szCs w:val="17"/>
          <w:color w:val="auto"/>
        </w:rPr>
      </w:pPr>
    </w:p>
    <w:p>
      <w:pPr>
        <w:jc w:val="both"/>
        <w:ind w:left="660" w:firstLine="645"/>
        <w:spacing w:after="0" w:line="256" w:lineRule="auto"/>
        <w:tabs>
          <w:tab w:leader="none" w:pos="2019" w:val="left"/>
        </w:tabs>
        <w:numPr>
          <w:ilvl w:val="0"/>
          <w:numId w:val="207"/>
        </w:numPr>
        <w:rPr>
          <w:rFonts w:ascii="Arial" w:cs="Arial" w:eastAsia="Arial" w:hAnsi="Arial"/>
          <w:sz w:val="16"/>
          <w:szCs w:val="16"/>
          <w:color w:val="auto"/>
        </w:rPr>
      </w:pPr>
      <w:r>
        <w:rPr>
          <w:rFonts w:ascii="Arial" w:cs="Arial" w:eastAsia="Arial" w:hAnsi="Arial"/>
          <w:sz w:val="19"/>
          <w:szCs w:val="19"/>
          <w:color w:val="auto"/>
        </w:rPr>
        <w:t>cash distributions paid on equity issued (including incremental distributions on IDRs), to pay the construction period interest on debt incurred, or to pay construction period distributions on equity issued, to finance the expansion capital expenditures referred to above, in each case, in respect of the period from the date that Sunoco enters into a binding obligation to commence the construction, acquisition or improvement of a capital asset until the earlier to occur of the date the capital asset is placed in service and the date that it is abandoned or disposed of; less</w:t>
      </w:r>
    </w:p>
    <w:p>
      <w:pPr>
        <w:spacing w:after="0" w:line="144" w:lineRule="exact"/>
        <w:rPr>
          <w:rFonts w:ascii="Arial" w:cs="Arial" w:eastAsia="Arial" w:hAnsi="Arial"/>
          <w:sz w:val="16"/>
          <w:szCs w:val="16"/>
          <w:color w:val="auto"/>
        </w:rPr>
      </w:pPr>
    </w:p>
    <w:p>
      <w:pPr>
        <w:ind w:left="2020" w:hanging="715"/>
        <w:spacing w:after="0"/>
        <w:tabs>
          <w:tab w:leader="none" w:pos="2020" w:val="left"/>
        </w:tabs>
        <w:numPr>
          <w:ilvl w:val="0"/>
          <w:numId w:val="207"/>
        </w:numPr>
        <w:rPr>
          <w:rFonts w:ascii="Arial" w:cs="Arial" w:eastAsia="Arial" w:hAnsi="Arial"/>
          <w:sz w:val="18"/>
          <w:szCs w:val="18"/>
          <w:color w:val="auto"/>
        </w:rPr>
      </w:pPr>
      <w:r>
        <w:rPr>
          <w:rFonts w:ascii="Arial" w:cs="Arial" w:eastAsia="Arial" w:hAnsi="Arial"/>
          <w:sz w:val="22"/>
          <w:szCs w:val="22"/>
          <w:color w:val="auto"/>
        </w:rPr>
        <w:t>all of Sunoco’s operating expenditures (as defined below); less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7"/>
        </w:numPr>
        <w:rPr>
          <w:rFonts w:ascii="Arial" w:cs="Arial" w:eastAsia="Arial" w:hAnsi="Arial"/>
          <w:sz w:val="16"/>
          <w:szCs w:val="16"/>
          <w:color w:val="auto"/>
        </w:rPr>
      </w:pPr>
      <w:r>
        <w:rPr>
          <w:rFonts w:ascii="Arial" w:cs="Arial" w:eastAsia="Arial" w:hAnsi="Arial"/>
          <w:sz w:val="19"/>
          <w:szCs w:val="19"/>
          <w:color w:val="auto"/>
        </w:rPr>
        <w:t>the amount of cash reserves established by Sunoco GP to provide funds for future operating expenditures;</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less</w:t>
      </w:r>
    </w:p>
    <w:p>
      <w:pPr>
        <w:spacing w:after="0" w:line="161" w:lineRule="exact"/>
        <w:rPr>
          <w:rFonts w:ascii="Arial" w:cs="Arial" w:eastAsia="Arial" w:hAnsi="Arial"/>
          <w:sz w:val="16"/>
          <w:szCs w:val="16"/>
          <w:color w:val="auto"/>
        </w:rPr>
      </w:pPr>
    </w:p>
    <w:p>
      <w:pPr>
        <w:ind w:left="660" w:right="20" w:firstLine="645"/>
        <w:spacing w:after="0" w:line="239" w:lineRule="auto"/>
        <w:tabs>
          <w:tab w:leader="none" w:pos="2019" w:val="left"/>
        </w:tabs>
        <w:numPr>
          <w:ilvl w:val="0"/>
          <w:numId w:val="207"/>
        </w:numPr>
        <w:rPr>
          <w:rFonts w:ascii="Arial" w:cs="Arial" w:eastAsia="Arial" w:hAnsi="Arial"/>
          <w:sz w:val="18"/>
          <w:szCs w:val="18"/>
          <w:color w:val="auto"/>
        </w:rPr>
      </w:pPr>
      <w:r>
        <w:rPr>
          <w:rFonts w:ascii="Arial" w:cs="Arial" w:eastAsia="Arial" w:hAnsi="Arial"/>
          <w:sz w:val="22"/>
          <w:szCs w:val="22"/>
          <w:color w:val="auto"/>
        </w:rPr>
        <w:t>all working capital borrowings not repaid within twelve months after having been incurred, or repaid within such twelve-month period with the proceeds of additional working capital borrowings; less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207"/>
        </w:numPr>
        <w:rPr>
          <w:rFonts w:ascii="Arial" w:cs="Arial" w:eastAsia="Arial" w:hAnsi="Arial"/>
          <w:sz w:val="18"/>
          <w:szCs w:val="18"/>
          <w:color w:val="auto"/>
        </w:rPr>
      </w:pPr>
      <w:r>
        <w:rPr>
          <w:rFonts w:ascii="Arial" w:cs="Arial" w:eastAsia="Arial" w:hAnsi="Arial"/>
          <w:sz w:val="22"/>
          <w:szCs w:val="22"/>
          <w:color w:val="auto"/>
        </w:rPr>
        <w:t>any cash loss realized on the disposition of an investment capital expenditure.</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As described above, operating surplus does not reflect actual cash on hand that is available for distribution to Sunoco’s unitholders and is not limited to cash generated by Sunoco’s operations. For example, it includes a basket of $25.0 million that enables Sunoco, if it chooses, to distribute as operating surplus up to that amount of cash Sunoco receives from non-operating sources such as asset sales, issuances of securities and long-term borrowings that would otherwise be distributed as capital surplus. In addition, the effect of including certain cash distributions on equity interests in operating surplus, as described above, will be to increase operating surplus by the amount of any such cash distributions. As a result, Sunoco may also distribute as operating surplus up to that amount of cash that it receives from non-operating sources.</w:t>
      </w:r>
    </w:p>
    <w:p>
      <w:pPr>
        <w:sectPr>
          <w:pgSz w:w="11900" w:h="16838" w:orient="portrait"/>
          <w:cols w:equalWidth="0" w:num="1">
            <w:col w:w="11420"/>
          </w:cols>
          <w:pgMar w:left="240" w:top="564" w:right="239" w:bottom="1440" w:gutter="0" w:footer="0" w:header="0"/>
        </w:sectPr>
      </w:pPr>
    </w:p>
    <w:bookmarkStart w:id="268" w:name="page269"/>
    <w:bookmarkEnd w:id="268"/>
    <w:p>
      <w:pPr>
        <w:jc w:val="both"/>
        <w:ind w:firstLine="648"/>
        <w:spacing w:after="0" w:line="297" w:lineRule="auto"/>
        <w:rPr>
          <w:sz w:val="20"/>
          <w:szCs w:val="20"/>
          <w:color w:val="auto"/>
        </w:rPr>
      </w:pPr>
      <w:r>
        <w:rPr>
          <w:rFonts w:ascii="Arial" w:cs="Arial" w:eastAsia="Arial" w:hAnsi="Arial"/>
          <w:sz w:val="19"/>
          <w:szCs w:val="19"/>
          <w:color w:val="auto"/>
        </w:rPr>
        <w:t>The proceeds of working capital borrowings increase operating surplus and repayments of working capital borrowings are generally operating expenditures, as described below, and thus reduce operating surplus when made. However, if a working capital borrowing is not repaid during the twelve-month period following the borrowing, it will be deemed repaid at the end of such period, thus decreasing operating surplus at such time. When such working capital borrowing is in fact repaid, it will be excluded from operating expenditures because operating surplus will have been previously reduced by the deemed repayment.</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Sunoco defines operating expenditures as all of its cash expenditures, including, but not limited to, taxes, reimbursement of expenses to Sunoco GP or its affiliates, payments made in the ordinary course of business under interest rate hedge agreements or commodity hedge agreements (provided that (1) payments made in connection with the initial purchase of an interest rate hedge contract or a commodity hedge contract will be amortized over the life of the applicable interest rate hedge contract or commodity hedge contract and (2) payments made in connection with the termination of any interest rate hedge contract or commodity hedge contract prior to its stipulated settlement or termination date will be included in operating expenditures in equal quarterly installments over the remaining scheduled life of such contract), compensation of officers, directors and employees of Sunoco GP, repayment of working capital borrowings, debt service payments and maintenance capital expenditures (as discussed in further detail below), provided that operating expenditures do not include:</w:t>
      </w:r>
    </w:p>
    <w:p>
      <w:pPr>
        <w:spacing w:after="0" w:line="131" w:lineRule="exact"/>
        <w:rPr>
          <w:sz w:val="20"/>
          <w:szCs w:val="20"/>
          <w:color w:val="auto"/>
        </w:rPr>
      </w:pPr>
    </w:p>
    <w:p>
      <w:pPr>
        <w:ind w:left="660" w:firstLine="645"/>
        <w:spacing w:after="0" w:line="239" w:lineRule="auto"/>
        <w:tabs>
          <w:tab w:leader="none" w:pos="2019" w:val="left"/>
        </w:tabs>
        <w:numPr>
          <w:ilvl w:val="0"/>
          <w:numId w:val="208"/>
        </w:numPr>
        <w:rPr>
          <w:rFonts w:ascii="Arial" w:cs="Arial" w:eastAsia="Arial" w:hAnsi="Arial"/>
          <w:sz w:val="18"/>
          <w:szCs w:val="18"/>
          <w:color w:val="auto"/>
        </w:rPr>
      </w:pPr>
      <w:r>
        <w:rPr>
          <w:rFonts w:ascii="Arial" w:cs="Arial" w:eastAsia="Arial" w:hAnsi="Arial"/>
          <w:sz w:val="22"/>
          <w:szCs w:val="22"/>
          <w:color w:val="auto"/>
        </w:rPr>
        <w:t>repayment of working capital borrowings deducted from operating surplus pursuant to the penultimate bullet point of the definition of operating surplus above when such repayment actually occurs;</w:t>
      </w:r>
    </w:p>
    <w:p>
      <w:pPr>
        <w:spacing w:after="0" w:line="157"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08"/>
        </w:numPr>
        <w:rPr>
          <w:rFonts w:ascii="Arial" w:cs="Arial" w:eastAsia="Arial" w:hAnsi="Arial"/>
          <w:sz w:val="18"/>
          <w:szCs w:val="18"/>
          <w:color w:val="auto"/>
        </w:rPr>
      </w:pPr>
      <w:r>
        <w:rPr>
          <w:rFonts w:ascii="Arial" w:cs="Arial" w:eastAsia="Arial" w:hAnsi="Arial"/>
          <w:sz w:val="22"/>
          <w:szCs w:val="22"/>
          <w:color w:val="auto"/>
        </w:rPr>
        <w:t>payments (including prepayments and prepayment penalties) of principal of and premium on indebtedness other than working capital borrowings;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208"/>
        </w:numPr>
        <w:rPr>
          <w:rFonts w:ascii="Arial" w:cs="Arial" w:eastAsia="Arial" w:hAnsi="Arial"/>
          <w:sz w:val="18"/>
          <w:szCs w:val="18"/>
          <w:color w:val="auto"/>
        </w:rPr>
      </w:pPr>
      <w:r>
        <w:rPr>
          <w:rFonts w:ascii="Arial" w:cs="Arial" w:eastAsia="Arial" w:hAnsi="Arial"/>
          <w:sz w:val="22"/>
          <w:szCs w:val="22"/>
          <w:color w:val="auto"/>
        </w:rPr>
        <w:t>expansion capital expenditures;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8"/>
        </w:numPr>
        <w:rPr>
          <w:rFonts w:ascii="Arial" w:cs="Arial" w:eastAsia="Arial" w:hAnsi="Arial"/>
          <w:sz w:val="18"/>
          <w:szCs w:val="18"/>
          <w:color w:val="auto"/>
        </w:rPr>
      </w:pPr>
      <w:r>
        <w:rPr>
          <w:rFonts w:ascii="Arial" w:cs="Arial" w:eastAsia="Arial" w:hAnsi="Arial"/>
          <w:sz w:val="22"/>
          <w:szCs w:val="22"/>
          <w:color w:val="auto"/>
        </w:rPr>
        <w:t>investment capital expenditures;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8"/>
        </w:numPr>
        <w:rPr>
          <w:rFonts w:ascii="Arial" w:cs="Arial" w:eastAsia="Arial" w:hAnsi="Arial"/>
          <w:sz w:val="18"/>
          <w:szCs w:val="18"/>
          <w:color w:val="auto"/>
        </w:rPr>
      </w:pPr>
      <w:r>
        <w:rPr>
          <w:rFonts w:ascii="Arial" w:cs="Arial" w:eastAsia="Arial" w:hAnsi="Arial"/>
          <w:sz w:val="22"/>
          <w:szCs w:val="22"/>
          <w:color w:val="auto"/>
        </w:rPr>
        <w:t>payment of transaction expenses relating to interim capital transactions;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8"/>
        </w:numPr>
        <w:rPr>
          <w:rFonts w:ascii="Arial" w:cs="Arial" w:eastAsia="Arial" w:hAnsi="Arial"/>
          <w:sz w:val="18"/>
          <w:szCs w:val="18"/>
          <w:color w:val="auto"/>
        </w:rPr>
      </w:pPr>
      <w:r>
        <w:rPr>
          <w:rFonts w:ascii="Arial" w:cs="Arial" w:eastAsia="Arial" w:hAnsi="Arial"/>
          <w:sz w:val="22"/>
          <w:szCs w:val="22"/>
          <w:color w:val="auto"/>
        </w:rPr>
        <w:t>distributions to Sunoco’s partners (including distributions in respect of Sunoco’s IDRs); or</w:t>
      </w:r>
    </w:p>
    <w:p>
      <w:pPr>
        <w:spacing w:after="0" w:line="192"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08"/>
        </w:numPr>
        <w:rPr>
          <w:rFonts w:ascii="Arial" w:cs="Arial" w:eastAsia="Arial" w:hAnsi="Arial"/>
          <w:sz w:val="18"/>
          <w:szCs w:val="18"/>
          <w:color w:val="auto"/>
        </w:rPr>
      </w:pPr>
      <w:r>
        <w:rPr>
          <w:rFonts w:ascii="Arial" w:cs="Arial" w:eastAsia="Arial" w:hAnsi="Arial"/>
          <w:sz w:val="22"/>
          <w:szCs w:val="22"/>
          <w:color w:val="auto"/>
        </w:rPr>
        <w:t>repurchases of equity interests (other than repurchases to satisfy obligations under employee benefit plans) or reimbursements of Sunoco GP for such purchases.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Interim Capital Transactions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Sunoco defines cash from interim capital transactions to include proceeds from:</w:t>
      </w:r>
    </w:p>
    <w:p>
      <w:pPr>
        <w:spacing w:after="0" w:line="193" w:lineRule="exact"/>
        <w:rPr>
          <w:sz w:val="20"/>
          <w:szCs w:val="20"/>
          <w:color w:val="auto"/>
        </w:rPr>
      </w:pPr>
    </w:p>
    <w:p>
      <w:pPr>
        <w:ind w:left="2020" w:hanging="715"/>
        <w:spacing w:after="0"/>
        <w:tabs>
          <w:tab w:leader="none" w:pos="2020" w:val="left"/>
        </w:tabs>
        <w:numPr>
          <w:ilvl w:val="0"/>
          <w:numId w:val="209"/>
        </w:numPr>
        <w:rPr>
          <w:rFonts w:ascii="Arial" w:cs="Arial" w:eastAsia="Arial" w:hAnsi="Arial"/>
          <w:sz w:val="18"/>
          <w:szCs w:val="18"/>
          <w:color w:val="auto"/>
        </w:rPr>
      </w:pPr>
      <w:r>
        <w:rPr>
          <w:rFonts w:ascii="Arial" w:cs="Arial" w:eastAsia="Arial" w:hAnsi="Arial"/>
          <w:sz w:val="22"/>
          <w:szCs w:val="22"/>
          <w:color w:val="auto"/>
        </w:rPr>
        <w:t>borrowings other than working capital borrowings;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09"/>
        </w:numPr>
        <w:rPr>
          <w:rFonts w:ascii="Arial" w:cs="Arial" w:eastAsia="Arial" w:hAnsi="Arial"/>
          <w:sz w:val="18"/>
          <w:szCs w:val="18"/>
          <w:color w:val="auto"/>
        </w:rPr>
      </w:pPr>
      <w:r>
        <w:rPr>
          <w:rFonts w:ascii="Arial" w:cs="Arial" w:eastAsia="Arial" w:hAnsi="Arial"/>
          <w:sz w:val="22"/>
          <w:szCs w:val="22"/>
          <w:color w:val="auto"/>
        </w:rPr>
        <w:t>sales of equity and debt securities; and</w:t>
      </w:r>
    </w:p>
    <w:p>
      <w:pPr>
        <w:spacing w:after="0" w:line="192" w:lineRule="exact"/>
        <w:rPr>
          <w:rFonts w:ascii="Arial" w:cs="Arial" w:eastAsia="Arial" w:hAnsi="Arial"/>
          <w:sz w:val="18"/>
          <w:szCs w:val="18"/>
          <w:color w:val="auto"/>
        </w:rPr>
      </w:pPr>
    </w:p>
    <w:p>
      <w:pPr>
        <w:ind w:left="660" w:firstLine="645"/>
        <w:spacing w:after="0" w:line="313" w:lineRule="auto"/>
        <w:tabs>
          <w:tab w:leader="none" w:pos="2019" w:val="left"/>
        </w:tabs>
        <w:numPr>
          <w:ilvl w:val="0"/>
          <w:numId w:val="209"/>
        </w:numPr>
        <w:rPr>
          <w:rFonts w:ascii="Arial" w:cs="Arial" w:eastAsia="Arial" w:hAnsi="Arial"/>
          <w:sz w:val="16"/>
          <w:szCs w:val="16"/>
          <w:color w:val="auto"/>
        </w:rPr>
      </w:pPr>
      <w:r>
        <w:rPr>
          <w:rFonts w:ascii="Arial" w:cs="Arial" w:eastAsia="Arial" w:hAnsi="Arial"/>
          <w:sz w:val="19"/>
          <w:szCs w:val="19"/>
          <w:color w:val="auto"/>
        </w:rPr>
        <w:t>sales or other dispositions of assets, other than inventory, accounts receivable and other assets sold in the ordinary course of business or assets sold or disposed of as part of normal retirement or replacement of assets.</w:t>
      </w:r>
    </w:p>
    <w:p>
      <w:pPr>
        <w:sectPr>
          <w:pgSz w:w="11900" w:h="16838" w:orient="portrait"/>
          <w:cols w:equalWidth="0" w:num="1">
            <w:col w:w="11420"/>
          </w:cols>
          <w:pgMar w:left="240" w:top="564" w:right="239" w:bottom="1440" w:gutter="0" w:footer="0" w:header="0"/>
        </w:sectPr>
      </w:pPr>
    </w:p>
    <w:bookmarkStart w:id="269" w:name="page270"/>
    <w:bookmarkEnd w:id="269"/>
    <w:p>
      <w:pPr>
        <w:ind w:left="660"/>
        <w:spacing w:after="0"/>
        <w:rPr>
          <w:sz w:val="20"/>
          <w:szCs w:val="20"/>
          <w:color w:val="auto"/>
        </w:rPr>
      </w:pPr>
      <w:r>
        <w:rPr>
          <w:rFonts w:ascii="Arial" w:cs="Arial" w:eastAsia="Arial" w:hAnsi="Arial"/>
          <w:sz w:val="22"/>
          <w:szCs w:val="22"/>
          <w:b w:val="1"/>
          <w:bCs w:val="1"/>
          <w:i w:val="1"/>
          <w:iCs w:val="1"/>
          <w:color w:val="auto"/>
        </w:rPr>
        <w:t>Capital Surplus</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Capital surplus is defined as any distribution of available cash in excess of operating surplus. Although the cash proceeds from interim capital transactions do not increase operating surplus, all distributions of available cash from whatever source are deemed to be from operating surplus until cumulative distributions of available cash exceed cumulative operating surplus. Thereafter, all distributions of available cash are deemed to be from capital surplus to the extent they continue to exceed cumulative operating surplus.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Characterization of Cash Distributions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Sunoco will treat all available cash distributed as coming from operating surplus until the sum of all available cash distributed since the closing of its initial public offering equals the operating surplus as of the most recent date of determination of available cash. Sunoco will treat any amount distributed in excess of operating surplus, regardless of its source, as capital surplus. As reflected above, operating surplus includes $25.0 million in addition to Sunoco’s cash balance on the closing date of its initial public offering, cash receipts from its operations and cash from working capital borrowings. This amount does not reflect actual cash on hand that is available for distribution to Sunoco’s unitholders. Rather, it is a provision that will enable Sunoco, if it chooses, to distribute as operating surplus up to $25.0 million of cash it receives in the future from interim capital transactions that would otherwise be distributed as capital surplus. Sunoco does not anticipate that it will make any distributions from capital surplus.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Capital Expenditures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Maintenance capital expenditures reduce operating surplus, but expansion capital expenditures and investment capital expenditures do not. Under Sunoco’s partnership agreement, maintenance capital expenditures are capital expenditures made to maintain Sunoco’s long-term operating income or operating capacity, while expansion capital expenditures are capital expenditures that Sunoco expects will increase its operating income or operating capacity over the long term. Examples of maintenance capital expenditures include those expenditures Sunoco makes to maintain existing contract volumes or renew existing distribution contracts, maintain its real estate leased to third-party dealers in leaseable condition or maintain its company operated convenience stores. Maintenance capital expenditures also include interest (and related fees) on debt incurred and distributions in respect of equity issued (including incremental distributions on IDRs), other than equity issued in any offering, to finance all or any portion of the construction or development of a replacement asset that are paid in respect of the period that begins when Sunoco enters into a binding obligation to commence construction or development of a replacement asset and ending on the earlier to occur of the date that such replacement asset commences commercial service and the date that it is disposed of or abandoned. Capital expenditures made solely for investment purposes are not considered maintenance capital expenditures.</w:t>
      </w:r>
    </w:p>
    <w:p>
      <w:pPr>
        <w:spacing w:after="0" w:line="1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Expansion capital expenditures are capital expenditures made to increase Sunoco’s operating capacity over the long term. Examples of expansion capital expenditures include the acquisition of new properties or equipment, to the extent such capital expenditures are expected to expand Sunoco’s long-term operating capacity. Expansion capital expenditures also include interest (and related fees) on debt incurred and distributions in respect of equity issued (including incremental distributions on IDRs) to finance all or any portion of the construction of a capital improvement paid in respect of the period that commences when Sunoco enters into a binding obligation to commence construction of a capital improvement and ending on the earlier to occur of date such capital improvement commences commercial service and the date that it is disposed of or abandoned. Capital expenditures made solely for investment purposes are not be considered expansion capital expenditures.</w:t>
      </w:r>
    </w:p>
    <w:p>
      <w:pPr>
        <w:sectPr>
          <w:pgSz w:w="11900" w:h="16838" w:orient="portrait"/>
          <w:cols w:equalWidth="0" w:num="1">
            <w:col w:w="11420"/>
          </w:cols>
          <w:pgMar w:left="240" w:top="564" w:right="239" w:bottom="1440" w:gutter="0" w:footer="0" w:header="0"/>
        </w:sectPr>
      </w:pPr>
    </w:p>
    <w:bookmarkStart w:id="270" w:name="page271"/>
    <w:bookmarkEnd w:id="270"/>
    <w:p>
      <w:pPr>
        <w:jc w:val="both"/>
        <w:ind w:firstLine="648"/>
        <w:spacing w:after="0" w:line="260" w:lineRule="auto"/>
        <w:rPr>
          <w:sz w:val="20"/>
          <w:szCs w:val="20"/>
          <w:color w:val="auto"/>
        </w:rPr>
      </w:pPr>
      <w:r>
        <w:rPr>
          <w:rFonts w:ascii="Arial" w:cs="Arial" w:eastAsia="Arial" w:hAnsi="Arial"/>
          <w:sz w:val="21"/>
          <w:szCs w:val="21"/>
          <w:color w:val="auto"/>
        </w:rPr>
        <w:t>Investment capital expenditures are those capital expenditures that are neither maintenance capital expenditures nor expansion capital expenditures. Investment capital expenditures largely consist of capital expenditures made for investment purposes. Examples of investment capital expenditures include traditional capital expenditures for investment purposes, such as purchases of securities, as well as other capital expenditures that might be made in lieu of such traditional investment capital expenditures, such as the acquisition of a capital asset for investment purposes or the development of assets that are in excess of those needed for the maintenance of Sunoco’s existing operating capacity, but which are not expected to expand, for more than the short term, its operating capacity.</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As described above, neither investment capital expenditures nor expansion capital expenditures are included in operating expenditures, and thus do not reduce operating surplus. Because expansion capital expenditures include interest payments (and related fees) on debt incurred to finance all or a portion of the construction, acquisition or development of a capital improvement during the period that begins when Sunoco enters into a binding obligation to commence construction, acquisition or development of a capital improvement and ending on the earlier to occur of the date such capital improvement commences commercial service and the date that it is disposed of or abandoned, such interest payments also do not reduce operating surplus. Losses on the disposition of an investment capital expenditure will reduce operating surplus when realized and cash receipts from an investment capital expenditure will be treated as a cash receipt for purposes of calculating operating surplus only to the extent the cash receipt is a return on principal.</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Capital expenditures that are made in part for maintenance capital purposes, investment capital purposes and/or expansion capital purposes are allocated as maintenance capital expenditures, investment capital expenditures or expansion capital expenditure by Sunoco GP.</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Distributions of Available Cash from Operating Surplus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Sunoco will make distributions of available cash from operating surplus for any quarter in the following manner:</w:t>
      </w:r>
    </w:p>
    <w:p>
      <w:pPr>
        <w:spacing w:after="0" w:line="204" w:lineRule="exact"/>
        <w:rPr>
          <w:sz w:val="20"/>
          <w:szCs w:val="20"/>
          <w:color w:val="auto"/>
        </w:rPr>
      </w:pPr>
    </w:p>
    <w:p>
      <w:pPr>
        <w:ind w:left="2020" w:hanging="715"/>
        <w:spacing w:after="0"/>
        <w:tabs>
          <w:tab w:leader="none" w:pos="2020" w:val="left"/>
        </w:tabs>
        <w:numPr>
          <w:ilvl w:val="0"/>
          <w:numId w:val="210"/>
        </w:numPr>
        <w:rPr>
          <w:rFonts w:ascii="Arial" w:cs="Arial" w:eastAsia="Arial" w:hAnsi="Arial"/>
          <w:sz w:val="16"/>
          <w:szCs w:val="16"/>
          <w:color w:val="auto"/>
        </w:rPr>
      </w:pPr>
      <w:r>
        <w:rPr>
          <w:rFonts w:ascii="Arial" w:cs="Arial" w:eastAsia="Arial" w:hAnsi="Arial"/>
          <w:sz w:val="19"/>
          <w:szCs w:val="19"/>
          <w:color w:val="auto"/>
        </w:rPr>
        <w:t>first, to the holders of Sunoco’s Class C units to the extent of the distribution preference on the Class C</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units;</w:t>
      </w:r>
    </w:p>
    <w:p>
      <w:pPr>
        <w:spacing w:after="0" w:line="161" w:lineRule="exact"/>
        <w:rPr>
          <w:sz w:val="20"/>
          <w:szCs w:val="20"/>
          <w:color w:val="auto"/>
        </w:rPr>
      </w:pPr>
    </w:p>
    <w:p>
      <w:pPr>
        <w:ind w:left="660" w:firstLine="645"/>
        <w:spacing w:after="0" w:line="313" w:lineRule="auto"/>
        <w:tabs>
          <w:tab w:leader="none" w:pos="2019" w:val="left"/>
        </w:tabs>
        <w:numPr>
          <w:ilvl w:val="0"/>
          <w:numId w:val="211"/>
        </w:numPr>
        <w:rPr>
          <w:rFonts w:ascii="Arial" w:cs="Arial" w:eastAsia="Arial" w:hAnsi="Arial"/>
          <w:sz w:val="16"/>
          <w:szCs w:val="16"/>
          <w:color w:val="auto"/>
        </w:rPr>
      </w:pPr>
      <w:r>
        <w:rPr>
          <w:rFonts w:ascii="Arial" w:cs="Arial" w:eastAsia="Arial" w:hAnsi="Arial"/>
          <w:sz w:val="19"/>
          <w:szCs w:val="19"/>
          <w:color w:val="auto"/>
        </w:rPr>
        <w:t>second, to all Sunoco unitholders holding Sunoco common units, pro rata, until Sunoco distributes for each outstanding Sunoco common unit an amount equal to the Sunoco minimum quarterly distribution for that quarter; and</w:t>
      </w:r>
    </w:p>
    <w:p>
      <w:pPr>
        <w:spacing w:after="0" w:line="91" w:lineRule="exact"/>
        <w:rPr>
          <w:rFonts w:ascii="Arial" w:cs="Arial" w:eastAsia="Arial" w:hAnsi="Arial"/>
          <w:sz w:val="16"/>
          <w:szCs w:val="16"/>
          <w:color w:val="auto"/>
        </w:rPr>
      </w:pPr>
    </w:p>
    <w:p>
      <w:pPr>
        <w:ind w:left="2020" w:hanging="715"/>
        <w:spacing w:after="0"/>
        <w:tabs>
          <w:tab w:leader="none" w:pos="2020" w:val="left"/>
        </w:tabs>
        <w:numPr>
          <w:ilvl w:val="0"/>
          <w:numId w:val="211"/>
        </w:numPr>
        <w:rPr>
          <w:rFonts w:ascii="Arial" w:cs="Arial" w:eastAsia="Arial" w:hAnsi="Arial"/>
          <w:sz w:val="17"/>
          <w:szCs w:val="17"/>
          <w:color w:val="auto"/>
        </w:rPr>
      </w:pPr>
      <w:r>
        <w:rPr>
          <w:rFonts w:ascii="Arial" w:cs="Arial" w:eastAsia="Arial" w:hAnsi="Arial"/>
          <w:sz w:val="21"/>
          <w:szCs w:val="21"/>
          <w:color w:val="auto"/>
        </w:rPr>
        <w:t>thereafter, in the manner as described in the section entitled “Incentive Distribution Rights” below.</w:t>
      </w:r>
    </w:p>
    <w:p>
      <w:pPr>
        <w:spacing w:after="0" w:line="231" w:lineRule="exact"/>
        <w:rPr>
          <w:sz w:val="20"/>
          <w:szCs w:val="20"/>
          <w:color w:val="auto"/>
        </w:rPr>
      </w:pPr>
    </w:p>
    <w:p>
      <w:pPr>
        <w:ind w:left="660" w:right="620"/>
        <w:spacing w:after="0" w:line="448" w:lineRule="auto"/>
        <w:rPr>
          <w:sz w:val="20"/>
          <w:szCs w:val="20"/>
          <w:color w:val="auto"/>
        </w:rPr>
      </w:pPr>
      <w:r>
        <w:rPr>
          <w:rFonts w:ascii="Arial" w:cs="Arial" w:eastAsia="Arial" w:hAnsi="Arial"/>
          <w:sz w:val="22"/>
          <w:szCs w:val="22"/>
          <w:color w:val="auto"/>
        </w:rPr>
        <w:t xml:space="preserve">The preceding discussion is based on the assumption that Sunoco does not issue additional classes of equity interests. </w:t>
      </w:r>
      <w:r>
        <w:rPr>
          <w:rFonts w:ascii="Arial" w:cs="Arial" w:eastAsia="Arial" w:hAnsi="Arial"/>
          <w:sz w:val="22"/>
          <w:szCs w:val="22"/>
          <w:b w:val="1"/>
          <w:bCs w:val="1"/>
          <w:i w:val="1"/>
          <w:iCs w:val="1"/>
          <w:color w:val="auto"/>
        </w:rPr>
        <w:t>Incentive Distribution Rights</w:t>
      </w:r>
    </w:p>
    <w:p>
      <w:pPr>
        <w:spacing w:after="0" w:line="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IDRs represent the right to receive an increasing percentage (15.0%, 25.0% and 50.0%) of quarterly distributions of available cash from operating surplus after the Sunoco minimum quarterly distribution and the target distribution levels have been achieved. ETOLP currently hold all of Sunoco’s IDRs, but may transfer these rights, subject to restrictions in Sunoco’s partnership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discussion assumes that ETOLP continues to own Sunoco’s IDRs.</w:t>
      </w:r>
    </w:p>
    <w:p>
      <w:pPr>
        <w:sectPr>
          <w:pgSz w:w="11900" w:h="16838" w:orient="portrait"/>
          <w:cols w:equalWidth="0" w:num="1">
            <w:col w:w="11420"/>
          </w:cols>
          <w:pgMar w:left="240" w:top="564" w:right="239" w:bottom="1440" w:gutter="0" w:footer="0" w:header="0"/>
        </w:sectPr>
      </w:pPr>
    </w:p>
    <w:bookmarkStart w:id="271" w:name="page272"/>
    <w:bookmarkEnd w:id="271"/>
    <w:p>
      <w:pPr>
        <w:jc w:val="both"/>
        <w:ind w:firstLine="648"/>
        <w:spacing w:after="0" w:line="312" w:lineRule="auto"/>
        <w:rPr>
          <w:sz w:val="20"/>
          <w:szCs w:val="20"/>
          <w:color w:val="auto"/>
        </w:rPr>
      </w:pPr>
      <w:r>
        <w:rPr>
          <w:rFonts w:ascii="Arial" w:cs="Arial" w:eastAsia="Arial" w:hAnsi="Arial"/>
          <w:sz w:val="19"/>
          <w:szCs w:val="19"/>
          <w:color w:val="auto"/>
        </w:rPr>
        <w:t>If for any quarter Sunoco has distributed available cash from operating surplus to the holders of Sunoco’s Class C units to the extent of their distribution preference and to the Sunoco common unitholders in an amount equal to the minimum quarterly distribution then it will make distributions of available cash from operating surplus for that quarter in the following manner:</w:t>
      </w:r>
    </w:p>
    <w:p>
      <w:pPr>
        <w:spacing w:after="0" w:line="107" w:lineRule="exact"/>
        <w:rPr>
          <w:sz w:val="20"/>
          <w:szCs w:val="20"/>
          <w:color w:val="auto"/>
        </w:rPr>
      </w:pPr>
    </w:p>
    <w:p>
      <w:pPr>
        <w:ind w:left="660" w:firstLine="645"/>
        <w:spacing w:after="0" w:line="239" w:lineRule="auto"/>
        <w:tabs>
          <w:tab w:leader="none" w:pos="2019" w:val="left"/>
        </w:tabs>
        <w:numPr>
          <w:ilvl w:val="0"/>
          <w:numId w:val="212"/>
        </w:numPr>
        <w:rPr>
          <w:rFonts w:ascii="Arial" w:cs="Arial" w:eastAsia="Arial" w:hAnsi="Arial"/>
          <w:sz w:val="18"/>
          <w:szCs w:val="18"/>
          <w:color w:val="auto"/>
        </w:rPr>
      </w:pPr>
      <w:r>
        <w:rPr>
          <w:rFonts w:ascii="Arial" w:cs="Arial" w:eastAsia="Arial" w:hAnsi="Arial"/>
          <w:sz w:val="22"/>
          <w:szCs w:val="22"/>
          <w:color w:val="auto"/>
        </w:rPr>
        <w:t>first, to all unitholders holding Sunoco common units, pro rata, until each unitholder receives a total of $0.503125 per Sunoco common unit for that quarter (the “first target distribution”);</w:t>
      </w:r>
    </w:p>
    <w:p>
      <w:pPr>
        <w:spacing w:after="0" w:line="157" w:lineRule="exact"/>
        <w:rPr>
          <w:rFonts w:ascii="Arial" w:cs="Arial" w:eastAsia="Arial" w:hAnsi="Arial"/>
          <w:sz w:val="18"/>
          <w:szCs w:val="18"/>
          <w:color w:val="auto"/>
        </w:rPr>
      </w:pPr>
    </w:p>
    <w:p>
      <w:pPr>
        <w:jc w:val="both"/>
        <w:ind w:left="660" w:firstLine="645"/>
        <w:spacing w:after="0" w:line="227" w:lineRule="auto"/>
        <w:tabs>
          <w:tab w:leader="none" w:pos="2019" w:val="left"/>
        </w:tabs>
        <w:numPr>
          <w:ilvl w:val="0"/>
          <w:numId w:val="212"/>
        </w:numPr>
        <w:rPr>
          <w:rFonts w:ascii="Arial" w:cs="Arial" w:eastAsia="Arial" w:hAnsi="Arial"/>
          <w:sz w:val="18"/>
          <w:szCs w:val="18"/>
          <w:color w:val="auto"/>
        </w:rPr>
      </w:pPr>
      <w:r>
        <w:rPr>
          <w:rFonts w:ascii="Arial" w:cs="Arial" w:eastAsia="Arial" w:hAnsi="Arial"/>
          <w:sz w:val="22"/>
          <w:szCs w:val="22"/>
          <w:color w:val="auto"/>
        </w:rPr>
        <w:t>second, 85.0% to all unitholders holding Sunoco common units, pro rata, and 15.0% to ETOLP (in its capacity as the holder of Sunoco’s IDRs), until each unitholder receives a total of $0.546875 per Sunoco common unit for that quarter (the “second target distribution”);</w:t>
      </w:r>
    </w:p>
    <w:p>
      <w:pPr>
        <w:spacing w:after="0" w:line="160" w:lineRule="exact"/>
        <w:rPr>
          <w:rFonts w:ascii="Arial" w:cs="Arial" w:eastAsia="Arial" w:hAnsi="Arial"/>
          <w:sz w:val="18"/>
          <w:szCs w:val="18"/>
          <w:color w:val="auto"/>
        </w:rPr>
      </w:pPr>
    </w:p>
    <w:p>
      <w:pPr>
        <w:jc w:val="both"/>
        <w:ind w:left="660" w:firstLine="645"/>
        <w:spacing w:after="0" w:line="227" w:lineRule="auto"/>
        <w:tabs>
          <w:tab w:leader="none" w:pos="2019" w:val="left"/>
        </w:tabs>
        <w:numPr>
          <w:ilvl w:val="0"/>
          <w:numId w:val="212"/>
        </w:numPr>
        <w:rPr>
          <w:rFonts w:ascii="Arial" w:cs="Arial" w:eastAsia="Arial" w:hAnsi="Arial"/>
          <w:sz w:val="18"/>
          <w:szCs w:val="18"/>
          <w:color w:val="auto"/>
        </w:rPr>
      </w:pPr>
      <w:r>
        <w:rPr>
          <w:rFonts w:ascii="Arial" w:cs="Arial" w:eastAsia="Arial" w:hAnsi="Arial"/>
          <w:sz w:val="22"/>
          <w:szCs w:val="22"/>
          <w:color w:val="auto"/>
        </w:rPr>
        <w:t>third, 75.0% to all unitholders holding Sunoco common units, pro rata, and 25.0% to ETOLP (in its capacity as the holder of Sunoco’s IDRs), until each unitholder receives a total of $0.65625 per Sunoco common unit for that quarter (the “third target distribution”); and</w:t>
      </w:r>
    </w:p>
    <w:p>
      <w:pPr>
        <w:spacing w:after="0" w:line="160"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12"/>
        </w:numPr>
        <w:rPr>
          <w:rFonts w:ascii="Arial" w:cs="Arial" w:eastAsia="Arial" w:hAnsi="Arial"/>
          <w:sz w:val="18"/>
          <w:szCs w:val="18"/>
          <w:color w:val="auto"/>
        </w:rPr>
      </w:pPr>
      <w:r>
        <w:rPr>
          <w:rFonts w:ascii="Arial" w:cs="Arial" w:eastAsia="Arial" w:hAnsi="Arial"/>
          <w:sz w:val="22"/>
          <w:szCs w:val="22"/>
          <w:color w:val="auto"/>
        </w:rPr>
        <w:t>thereafter, 50.0% to all unitholders holding Sunoco common units, pro rata, and 50.0% to ETOLP (in its capacity as the holder of Sunoco’s IDRs).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Distributions from Capital Surplus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Sunoco will make distributions of available cash from capital surplus, if any, in the following manner once the required distributions of available cash (other than Susser Petroleum Property Company LLC (“PropCo”) available cash) are made to the Class C unitholders:</w:t>
      </w:r>
    </w:p>
    <w:p>
      <w:pPr>
        <w:spacing w:after="0" w:line="159" w:lineRule="exact"/>
        <w:rPr>
          <w:sz w:val="20"/>
          <w:szCs w:val="20"/>
          <w:color w:val="auto"/>
        </w:rPr>
      </w:pPr>
    </w:p>
    <w:p>
      <w:pPr>
        <w:ind w:left="660" w:firstLine="645"/>
        <w:spacing w:after="0" w:line="239" w:lineRule="auto"/>
        <w:tabs>
          <w:tab w:leader="none" w:pos="2019" w:val="left"/>
        </w:tabs>
        <w:numPr>
          <w:ilvl w:val="0"/>
          <w:numId w:val="213"/>
        </w:numPr>
        <w:rPr>
          <w:rFonts w:ascii="Arial" w:cs="Arial" w:eastAsia="Arial" w:hAnsi="Arial"/>
          <w:sz w:val="18"/>
          <w:szCs w:val="18"/>
          <w:color w:val="auto"/>
        </w:rPr>
      </w:pPr>
      <w:r>
        <w:rPr>
          <w:rFonts w:ascii="Arial" w:cs="Arial" w:eastAsia="Arial" w:hAnsi="Arial"/>
          <w:sz w:val="22"/>
          <w:szCs w:val="22"/>
          <w:color w:val="auto"/>
        </w:rPr>
        <w:t>first, to all unitholders holding Sunoco common units, pro rata, until the minimum quarterly distribution level has been reduced to zero as described below; and</w:t>
      </w:r>
    </w:p>
    <w:p>
      <w:pPr>
        <w:spacing w:after="0" w:line="157" w:lineRule="exact"/>
        <w:rPr>
          <w:rFonts w:ascii="Arial" w:cs="Arial" w:eastAsia="Arial" w:hAnsi="Arial"/>
          <w:sz w:val="18"/>
          <w:szCs w:val="18"/>
          <w:color w:val="auto"/>
        </w:rPr>
      </w:pPr>
    </w:p>
    <w:p>
      <w:pPr>
        <w:ind w:left="660" w:right="20" w:firstLine="645"/>
        <w:spacing w:after="0" w:line="313" w:lineRule="auto"/>
        <w:tabs>
          <w:tab w:leader="none" w:pos="2019" w:val="left"/>
        </w:tabs>
        <w:numPr>
          <w:ilvl w:val="0"/>
          <w:numId w:val="213"/>
        </w:numPr>
        <w:rPr>
          <w:rFonts w:ascii="Arial" w:cs="Arial" w:eastAsia="Arial" w:hAnsi="Arial"/>
          <w:sz w:val="16"/>
          <w:szCs w:val="16"/>
          <w:color w:val="auto"/>
        </w:rPr>
      </w:pPr>
      <w:r>
        <w:rPr>
          <w:rFonts w:ascii="Arial" w:cs="Arial" w:eastAsia="Arial" w:hAnsi="Arial"/>
          <w:sz w:val="19"/>
          <w:szCs w:val="19"/>
          <w:color w:val="auto"/>
        </w:rPr>
        <w:t>thereafter, Sunoco will make all distributions of available cash from capital surplus as if they were from operating surplus. The preceding paragraph assumes that Sunoco does not issue additional classes of equity interests.</w:t>
      </w:r>
    </w:p>
    <w:p>
      <w:pPr>
        <w:spacing w:after="0" w:line="11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Sunoco’s partnership agreement treats a distribution of capital surplus as the repayment of the initial unit price from the initial public offering, which is a return of capital. The initial public offering price less any distributions of capital surplus per unit is referred to as the “unrecovered initial unit price.” Each time a distribution of capital surplus is made, the Sunoco minimum quarterly distribution and the target distribution levels will be reduced in the same proportion that the distribution had to the fair market value of the Sunoco common units immediately prior to the announcement of the distribution (or the average of the closing prices for the 20 consecutive trading days immediately prior to the ex-dividend date). Because distributions of capital surplus will reduce the Sunoco minimum quarterly distribution and target distribution levels after any of these distributions are made, it may be easier for ETOLP (in its capacity as the holder of Sunoco’s IDRs) to receive incentive distributions.</w:t>
      </w:r>
    </w:p>
    <w:p>
      <w:pPr>
        <w:spacing w:after="0" w:line="1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Once Sunoco distributes capital surplus on a unit in an amount equal to the initial unit price, it will reduce the Sunoco minimum quarterly distribution and the target distribution levels to zero. Sunoco will then make all future distributions from operating surplus, first, to the holders of Class C units to the extent required, and then, 50% being paid to the holders of Sunoco common units and 50% to ETOLP (in its capacity as the holder of Sunoco’s IDRs), assuming that ETOLP has not transferred the IDRs.</w:t>
      </w:r>
    </w:p>
    <w:p>
      <w:pPr>
        <w:sectPr>
          <w:pgSz w:w="11900" w:h="16838" w:orient="portrait"/>
          <w:cols w:equalWidth="0" w:num="1">
            <w:col w:w="11420"/>
          </w:cols>
          <w:pgMar w:left="240" w:top="564" w:right="239" w:bottom="1440" w:gutter="0" w:footer="0" w:header="0"/>
        </w:sectPr>
      </w:pPr>
    </w:p>
    <w:bookmarkStart w:id="272" w:name="page273"/>
    <w:bookmarkEnd w:id="272"/>
    <w:p>
      <w:pPr>
        <w:ind w:left="660"/>
        <w:spacing w:after="0"/>
        <w:rPr>
          <w:sz w:val="20"/>
          <w:szCs w:val="20"/>
          <w:color w:val="auto"/>
        </w:rPr>
      </w:pPr>
      <w:r>
        <w:rPr>
          <w:rFonts w:ascii="Arial" w:cs="Arial" w:eastAsia="Arial" w:hAnsi="Arial"/>
          <w:sz w:val="22"/>
          <w:szCs w:val="22"/>
          <w:b w:val="1"/>
          <w:bCs w:val="1"/>
          <w:i w:val="1"/>
          <w:iCs w:val="1"/>
          <w:color w:val="auto"/>
        </w:rPr>
        <w:t>Adjustment to the Minimum Quarterly Distribution and Target Distribution Levels</w:t>
      </w:r>
    </w:p>
    <w:p>
      <w:pPr>
        <w:spacing w:after="0" w:line="220"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In addition to adjusting the Sunoco minimum quarterly distribution and target distribution levels to reflect a distribution of capital surplus, if Sunoco combines its units into fewer units or subdivides its units into a greater number of units, it will proportionately adjust its:</w:t>
      </w:r>
    </w:p>
    <w:p>
      <w:pPr>
        <w:spacing w:after="0" w:line="159" w:lineRule="exact"/>
        <w:rPr>
          <w:sz w:val="20"/>
          <w:szCs w:val="20"/>
          <w:color w:val="auto"/>
        </w:rPr>
      </w:pPr>
    </w:p>
    <w:p>
      <w:pPr>
        <w:ind w:left="2020" w:hanging="715"/>
        <w:spacing w:after="0"/>
        <w:tabs>
          <w:tab w:leader="none" w:pos="2020" w:val="left"/>
        </w:tabs>
        <w:numPr>
          <w:ilvl w:val="0"/>
          <w:numId w:val="214"/>
        </w:numPr>
        <w:rPr>
          <w:rFonts w:ascii="Arial" w:cs="Arial" w:eastAsia="Arial" w:hAnsi="Arial"/>
          <w:sz w:val="18"/>
          <w:szCs w:val="18"/>
          <w:color w:val="auto"/>
        </w:rPr>
      </w:pPr>
      <w:r>
        <w:rPr>
          <w:rFonts w:ascii="Arial" w:cs="Arial" w:eastAsia="Arial" w:hAnsi="Arial"/>
          <w:sz w:val="22"/>
          <w:szCs w:val="22"/>
          <w:color w:val="auto"/>
        </w:rPr>
        <w:t>minimum quarterly distribution;</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14"/>
        </w:numPr>
        <w:rPr>
          <w:rFonts w:ascii="Arial" w:cs="Arial" w:eastAsia="Arial" w:hAnsi="Arial"/>
          <w:sz w:val="18"/>
          <w:szCs w:val="18"/>
          <w:color w:val="auto"/>
        </w:rPr>
      </w:pPr>
      <w:r>
        <w:rPr>
          <w:rFonts w:ascii="Arial" w:cs="Arial" w:eastAsia="Arial" w:hAnsi="Arial"/>
          <w:sz w:val="22"/>
          <w:szCs w:val="22"/>
          <w:color w:val="auto"/>
        </w:rPr>
        <w:t>target distribution levels; and</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14"/>
        </w:numPr>
        <w:rPr>
          <w:rFonts w:ascii="Arial" w:cs="Arial" w:eastAsia="Arial" w:hAnsi="Arial"/>
          <w:sz w:val="18"/>
          <w:szCs w:val="18"/>
          <w:color w:val="auto"/>
        </w:rPr>
      </w:pPr>
      <w:r>
        <w:rPr>
          <w:rFonts w:ascii="Arial" w:cs="Arial" w:eastAsia="Arial" w:hAnsi="Arial"/>
          <w:sz w:val="22"/>
          <w:szCs w:val="22"/>
          <w:color w:val="auto"/>
        </w:rPr>
        <w:t>unrecovered initial unit price.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example, if a two-for-one split of common units should occur, the Sunoco minimum quarterly distribution, the target distribution levels and the unrecovered initial unit price would each be reduced to 50% of its initial level. Sunoco will not make any adjustment by reason of the issuance of additional units for cash or property.</w:t>
      </w:r>
    </w:p>
    <w:p>
      <w:pPr>
        <w:spacing w:after="0" w:line="18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In addition, if legislation is enacted or if existing law is modified or interpreted by a governmental taxing authority, so that Sunoco becomes taxable as a corporation or otherwise subject to taxation as an entity for federal, state or local income tax purposes, it will reduce the Sunoco minimum quarterly distribution and the target distribution levels for each quarter may, in the sole discretion of Sunoco GP, be reduced by multiplying each distribution level by a fraction, the numerator of which is available cash for that quarter (reduced by the amount of the estimated tax liability for such quarter) and the denominator of which is the sum of available cash for that quarter before any adjustment for estimated taxes. To the extent that the actual tax liability differs from the estimated tax liability for any quarter, the difference will be accounted for in subsequent quarters.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Distributions of Cash Upon Liquidation</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i w:val="1"/>
          <w:iCs w:val="1"/>
          <w:color w:val="auto"/>
        </w:rPr>
        <w:t>General</w:t>
      </w:r>
      <w:r>
        <w:rPr>
          <w:rFonts w:ascii="Arial" w:cs="Arial" w:eastAsia="Arial" w:hAnsi="Arial"/>
          <w:sz w:val="21"/>
          <w:szCs w:val="21"/>
          <w:color w:val="auto"/>
        </w:rPr>
        <w:t>. If Sunoco dissolves in accordance with its partnership agreement, it will sell or otherwise dispose of its assets in a</w:t>
      </w:r>
      <w:r>
        <w:rPr>
          <w:rFonts w:ascii="Arial" w:cs="Arial" w:eastAsia="Arial" w:hAnsi="Arial"/>
          <w:sz w:val="21"/>
          <w:szCs w:val="21"/>
          <w:i w:val="1"/>
          <w:iCs w:val="1"/>
          <w:color w:val="auto"/>
        </w:rPr>
        <w:t xml:space="preserve"> </w:t>
      </w:r>
      <w:r>
        <w:rPr>
          <w:rFonts w:ascii="Arial" w:cs="Arial" w:eastAsia="Arial" w:hAnsi="Arial"/>
          <w:sz w:val="21"/>
          <w:szCs w:val="21"/>
          <w:color w:val="auto"/>
        </w:rPr>
        <w:t>process called liquidation. Sunoco will first apply the proceeds of liquidation to the payment of its creditors. Sunoco will distribute any remaining proceeds to the unitholders and the holder of its IDRs, in accordance with their capital account balances, as adjusted to reflect any gain or loss upon the sale or other disposition of its assets in liquidation.</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allocations of gain and loss upon liquidation are intended, to the extent possible, to permit holders of Sunoco common units to receive their unrecovered initial unit price plus the minimum quarterly distribution for the quarter during which liquidation occurs. However, there may not be sufficient gain upon Sunoco’s liquidation to enable Sunoco’s common unitholders to fully recover all of these amounts. Any further net gain recognized upon liquidation will be allocated in a manner that takes into account the IDRs.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Manner of Adjustments for Gain</w:t>
      </w:r>
      <w:r>
        <w:rPr>
          <w:rFonts w:ascii="Arial" w:cs="Arial" w:eastAsia="Arial" w:hAnsi="Arial"/>
          <w:sz w:val="19"/>
          <w:szCs w:val="19"/>
          <w:color w:val="auto"/>
        </w:rPr>
        <w:t>. The manner of the adjustment for gain is set forth in Sunoco’s partnership agreement.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Sunoco will generally allocate any gain to its partners in the following manner:</w:t>
      </w:r>
    </w:p>
    <w:p>
      <w:pPr>
        <w:spacing w:after="0" w:line="175" w:lineRule="exact"/>
        <w:rPr>
          <w:sz w:val="20"/>
          <w:szCs w:val="20"/>
          <w:color w:val="auto"/>
        </w:rPr>
      </w:pPr>
    </w:p>
    <w:p>
      <w:pPr>
        <w:jc w:val="both"/>
        <w:ind w:left="660" w:firstLine="645"/>
        <w:spacing w:after="0" w:line="227" w:lineRule="auto"/>
        <w:tabs>
          <w:tab w:leader="none" w:pos="2019" w:val="left"/>
        </w:tabs>
        <w:numPr>
          <w:ilvl w:val="0"/>
          <w:numId w:val="215"/>
        </w:numPr>
        <w:rPr>
          <w:rFonts w:ascii="Arial" w:cs="Arial" w:eastAsia="Arial" w:hAnsi="Arial"/>
          <w:sz w:val="18"/>
          <w:szCs w:val="18"/>
          <w:color w:val="auto"/>
        </w:rPr>
      </w:pPr>
      <w:r>
        <w:rPr>
          <w:rFonts w:ascii="Arial" w:cs="Arial" w:eastAsia="Arial" w:hAnsi="Arial"/>
          <w:sz w:val="22"/>
          <w:szCs w:val="22"/>
          <w:color w:val="auto"/>
        </w:rPr>
        <w:t>first, to the holders of Sunoco’s Class C units, pro rata, until the capital account for each Class C unit is equal to the sum of: (1) the unrecovered initial unit price for that Class C unit; and (2) the unpaid amount of all accrued but unpaid distributions on that Class C unit;</w:t>
      </w:r>
    </w:p>
    <w:p>
      <w:pPr>
        <w:spacing w:after="0" w:line="160" w:lineRule="exact"/>
        <w:rPr>
          <w:rFonts w:ascii="Arial" w:cs="Arial" w:eastAsia="Arial" w:hAnsi="Arial"/>
          <w:sz w:val="18"/>
          <w:szCs w:val="18"/>
          <w:color w:val="auto"/>
        </w:rPr>
      </w:pPr>
    </w:p>
    <w:p>
      <w:pPr>
        <w:ind w:left="2020" w:hanging="715"/>
        <w:spacing w:after="0"/>
        <w:tabs>
          <w:tab w:leader="none" w:pos="2020" w:val="left"/>
        </w:tabs>
        <w:numPr>
          <w:ilvl w:val="0"/>
          <w:numId w:val="215"/>
        </w:numPr>
        <w:rPr>
          <w:rFonts w:ascii="Arial" w:cs="Arial" w:eastAsia="Arial" w:hAnsi="Arial"/>
          <w:sz w:val="16"/>
          <w:szCs w:val="16"/>
          <w:color w:val="auto"/>
        </w:rPr>
      </w:pPr>
      <w:r>
        <w:rPr>
          <w:rFonts w:ascii="Arial" w:cs="Arial" w:eastAsia="Arial" w:hAnsi="Arial"/>
          <w:sz w:val="19"/>
          <w:szCs w:val="19"/>
          <w:color w:val="auto"/>
        </w:rPr>
        <w:t>second, to all Sunoco common unitholders, pro rata, until the capital account for each common unit is equal</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to the sum of:</w:t>
      </w:r>
    </w:p>
    <w:p>
      <w:pPr>
        <w:sectPr>
          <w:pgSz w:w="11900" w:h="16838" w:orient="portrait"/>
          <w:cols w:equalWidth="0" w:num="1">
            <w:col w:w="11420"/>
          </w:cols>
          <w:pgMar w:left="240" w:top="564" w:right="239" w:bottom="1440" w:gutter="0" w:footer="0" w:header="0"/>
        </w:sectPr>
      </w:pPr>
    </w:p>
    <w:bookmarkStart w:id="273" w:name="page274"/>
    <w:bookmarkEnd w:id="273"/>
    <w:p>
      <w:pPr>
        <w:ind w:left="2660" w:hanging="707"/>
        <w:spacing w:after="0"/>
        <w:tabs>
          <w:tab w:leader="none" w:pos="2660" w:val="left"/>
        </w:tabs>
        <w:numPr>
          <w:ilvl w:val="1"/>
          <w:numId w:val="216"/>
        </w:numPr>
        <w:rPr>
          <w:rFonts w:ascii="Arial" w:cs="Arial" w:eastAsia="Arial" w:hAnsi="Arial"/>
          <w:sz w:val="18"/>
          <w:szCs w:val="18"/>
          <w:color w:val="auto"/>
        </w:rPr>
      </w:pPr>
      <w:r>
        <w:rPr>
          <w:rFonts w:ascii="Arial" w:cs="Arial" w:eastAsia="Arial" w:hAnsi="Arial"/>
          <w:sz w:val="22"/>
          <w:szCs w:val="22"/>
          <w:color w:val="auto"/>
        </w:rPr>
        <w:t>the unrecovered initial unit price; and</w:t>
      </w:r>
    </w:p>
    <w:p>
      <w:pPr>
        <w:spacing w:after="0" w:line="192" w:lineRule="exact"/>
        <w:rPr>
          <w:rFonts w:ascii="Arial" w:cs="Arial" w:eastAsia="Arial" w:hAnsi="Arial"/>
          <w:sz w:val="18"/>
          <w:szCs w:val="18"/>
          <w:color w:val="auto"/>
        </w:rPr>
      </w:pPr>
    </w:p>
    <w:p>
      <w:pPr>
        <w:ind w:left="1300" w:firstLine="653"/>
        <w:spacing w:after="0" w:line="239" w:lineRule="auto"/>
        <w:tabs>
          <w:tab w:leader="none" w:pos="2659" w:val="left"/>
        </w:tabs>
        <w:numPr>
          <w:ilvl w:val="1"/>
          <w:numId w:val="216"/>
        </w:numPr>
        <w:rPr>
          <w:rFonts w:ascii="Arial" w:cs="Arial" w:eastAsia="Arial" w:hAnsi="Arial"/>
          <w:sz w:val="18"/>
          <w:szCs w:val="18"/>
          <w:color w:val="auto"/>
        </w:rPr>
      </w:pPr>
      <w:r>
        <w:rPr>
          <w:rFonts w:ascii="Arial" w:cs="Arial" w:eastAsia="Arial" w:hAnsi="Arial"/>
          <w:sz w:val="22"/>
          <w:szCs w:val="22"/>
          <w:color w:val="auto"/>
        </w:rPr>
        <w:t>the unpaid amount of the Sunoco minimum quarterly distribution for the quarter during which Sunoco’s liquidation occurs;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216"/>
        </w:numPr>
        <w:rPr>
          <w:rFonts w:ascii="Arial" w:cs="Arial" w:eastAsia="Arial" w:hAnsi="Arial"/>
          <w:sz w:val="16"/>
          <w:szCs w:val="16"/>
          <w:color w:val="auto"/>
        </w:rPr>
      </w:pPr>
      <w:r>
        <w:rPr>
          <w:rFonts w:ascii="Arial" w:cs="Arial" w:eastAsia="Arial" w:hAnsi="Arial"/>
          <w:sz w:val="19"/>
          <w:szCs w:val="19"/>
          <w:color w:val="auto"/>
        </w:rPr>
        <w:t>third, to all Sunoco common unitholders, pro rata, until Sunoco allocates under this paragraph an amount per</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unit equal to:</w:t>
      </w:r>
    </w:p>
    <w:p>
      <w:pPr>
        <w:spacing w:after="0" w:line="161" w:lineRule="exact"/>
        <w:rPr>
          <w:rFonts w:ascii="Arial" w:cs="Arial" w:eastAsia="Arial" w:hAnsi="Arial"/>
          <w:sz w:val="16"/>
          <w:szCs w:val="16"/>
          <w:color w:val="auto"/>
        </w:rPr>
      </w:pPr>
    </w:p>
    <w:p>
      <w:pPr>
        <w:ind w:left="1300" w:firstLine="653"/>
        <w:spacing w:after="0" w:line="239" w:lineRule="auto"/>
        <w:tabs>
          <w:tab w:leader="none" w:pos="2659" w:val="left"/>
        </w:tabs>
        <w:numPr>
          <w:ilvl w:val="1"/>
          <w:numId w:val="216"/>
        </w:numPr>
        <w:rPr>
          <w:rFonts w:ascii="Arial" w:cs="Arial" w:eastAsia="Arial" w:hAnsi="Arial"/>
          <w:sz w:val="18"/>
          <w:szCs w:val="18"/>
          <w:color w:val="auto"/>
        </w:rPr>
      </w:pPr>
      <w:r>
        <w:rPr>
          <w:rFonts w:ascii="Arial" w:cs="Arial" w:eastAsia="Arial" w:hAnsi="Arial"/>
          <w:sz w:val="22"/>
          <w:szCs w:val="22"/>
          <w:color w:val="auto"/>
        </w:rPr>
        <w:t>the excess of the first target distribution per unit over the Sunoco minimum quarterly distribution per unit for each quarter of Sunoco’s existence; less</w:t>
      </w:r>
    </w:p>
    <w:p>
      <w:pPr>
        <w:spacing w:after="0" w:line="157" w:lineRule="exact"/>
        <w:rPr>
          <w:rFonts w:ascii="Arial" w:cs="Arial" w:eastAsia="Arial" w:hAnsi="Arial"/>
          <w:sz w:val="18"/>
          <w:szCs w:val="18"/>
          <w:color w:val="auto"/>
        </w:rPr>
      </w:pPr>
    </w:p>
    <w:p>
      <w:pPr>
        <w:jc w:val="both"/>
        <w:ind w:left="1300" w:firstLine="653"/>
        <w:spacing w:after="0" w:line="227" w:lineRule="auto"/>
        <w:tabs>
          <w:tab w:leader="none" w:pos="2659" w:val="left"/>
        </w:tabs>
        <w:numPr>
          <w:ilvl w:val="1"/>
          <w:numId w:val="216"/>
        </w:numPr>
        <w:rPr>
          <w:rFonts w:ascii="Arial" w:cs="Arial" w:eastAsia="Arial" w:hAnsi="Arial"/>
          <w:sz w:val="18"/>
          <w:szCs w:val="18"/>
          <w:color w:val="auto"/>
        </w:rPr>
      </w:pPr>
      <w:r>
        <w:rPr>
          <w:rFonts w:ascii="Arial" w:cs="Arial" w:eastAsia="Arial" w:hAnsi="Arial"/>
          <w:sz w:val="22"/>
          <w:szCs w:val="22"/>
          <w:color w:val="auto"/>
        </w:rPr>
        <w:t>the cumulative amount per unit of any distributions of available cash from operating surplus in excess of the Sunoco minimum quarterly distribution per unit for each quarter of Sunoco’s existence that it distributed to the unitholders, pro rata;</w:t>
      </w:r>
    </w:p>
    <w:p>
      <w:pPr>
        <w:spacing w:after="0" w:line="160" w:lineRule="exact"/>
        <w:rPr>
          <w:rFonts w:ascii="Arial" w:cs="Arial" w:eastAsia="Arial" w:hAnsi="Arial"/>
          <w:sz w:val="18"/>
          <w:szCs w:val="18"/>
          <w:color w:val="auto"/>
        </w:rPr>
      </w:pPr>
    </w:p>
    <w:p>
      <w:pPr>
        <w:ind w:left="660" w:right="20" w:firstLine="645"/>
        <w:spacing w:after="0" w:line="239" w:lineRule="auto"/>
        <w:tabs>
          <w:tab w:leader="none" w:pos="2019" w:val="left"/>
        </w:tabs>
        <w:numPr>
          <w:ilvl w:val="0"/>
          <w:numId w:val="216"/>
        </w:numPr>
        <w:rPr>
          <w:rFonts w:ascii="Arial" w:cs="Arial" w:eastAsia="Arial" w:hAnsi="Arial"/>
          <w:sz w:val="18"/>
          <w:szCs w:val="18"/>
          <w:color w:val="auto"/>
        </w:rPr>
      </w:pPr>
      <w:r>
        <w:rPr>
          <w:rFonts w:ascii="Arial" w:cs="Arial" w:eastAsia="Arial" w:hAnsi="Arial"/>
          <w:sz w:val="22"/>
          <w:szCs w:val="22"/>
          <w:color w:val="auto"/>
        </w:rPr>
        <w:t>fourth, 85.0% to all Sunoco common unitholders, pro rata, and 15.0% to ETOLP (in its capacity as the holder of Sunoco’s IDRs), until Sunoco allocates under this paragraph an amount per unit equal to:</w:t>
      </w:r>
    </w:p>
    <w:p>
      <w:pPr>
        <w:spacing w:after="0" w:line="157" w:lineRule="exact"/>
        <w:rPr>
          <w:rFonts w:ascii="Arial" w:cs="Arial" w:eastAsia="Arial" w:hAnsi="Arial"/>
          <w:sz w:val="18"/>
          <w:szCs w:val="18"/>
          <w:color w:val="auto"/>
        </w:rPr>
      </w:pPr>
    </w:p>
    <w:p>
      <w:pPr>
        <w:ind w:left="1300" w:firstLine="653"/>
        <w:spacing w:after="0" w:line="239" w:lineRule="auto"/>
        <w:tabs>
          <w:tab w:leader="none" w:pos="2659" w:val="left"/>
        </w:tabs>
        <w:numPr>
          <w:ilvl w:val="1"/>
          <w:numId w:val="216"/>
        </w:numPr>
        <w:rPr>
          <w:rFonts w:ascii="Arial" w:cs="Arial" w:eastAsia="Arial" w:hAnsi="Arial"/>
          <w:sz w:val="18"/>
          <w:szCs w:val="18"/>
          <w:color w:val="auto"/>
        </w:rPr>
      </w:pPr>
      <w:r>
        <w:rPr>
          <w:rFonts w:ascii="Arial" w:cs="Arial" w:eastAsia="Arial" w:hAnsi="Arial"/>
          <w:sz w:val="22"/>
          <w:szCs w:val="22"/>
          <w:color w:val="auto"/>
        </w:rPr>
        <w:t>the excess of the second target distribution per unit over the first target distribution per unit for each quarter of Sunoco’s existence; less</w:t>
      </w:r>
    </w:p>
    <w:p>
      <w:pPr>
        <w:spacing w:after="0" w:line="157" w:lineRule="exact"/>
        <w:rPr>
          <w:rFonts w:ascii="Arial" w:cs="Arial" w:eastAsia="Arial" w:hAnsi="Arial"/>
          <w:sz w:val="18"/>
          <w:szCs w:val="18"/>
          <w:color w:val="auto"/>
        </w:rPr>
      </w:pPr>
    </w:p>
    <w:p>
      <w:pPr>
        <w:jc w:val="both"/>
        <w:ind w:left="1300" w:firstLine="653"/>
        <w:spacing w:after="0" w:line="238" w:lineRule="auto"/>
        <w:tabs>
          <w:tab w:leader="none" w:pos="2659" w:val="left"/>
        </w:tabs>
        <w:numPr>
          <w:ilvl w:val="1"/>
          <w:numId w:val="216"/>
        </w:numPr>
        <w:rPr>
          <w:rFonts w:ascii="Arial" w:cs="Arial" w:eastAsia="Arial" w:hAnsi="Arial"/>
          <w:sz w:val="17"/>
          <w:szCs w:val="17"/>
          <w:color w:val="auto"/>
        </w:rPr>
      </w:pPr>
      <w:r>
        <w:rPr>
          <w:rFonts w:ascii="Arial" w:cs="Arial" w:eastAsia="Arial" w:hAnsi="Arial"/>
          <w:sz w:val="21"/>
          <w:szCs w:val="21"/>
          <w:color w:val="auto"/>
        </w:rPr>
        <w:t>the cumulative amount per unit of any distributions of available cash from operating surplus in excess of the first target distribution per unit for each quarter of Sunoco’s existence that it distributed 85.0% to the unitholders, pro rata, and 15.0% to ETOLP (in its capacity as the holder of Sunoco’s IDRs);</w:t>
      </w:r>
    </w:p>
    <w:p>
      <w:pPr>
        <w:spacing w:after="0" w:line="159" w:lineRule="exact"/>
        <w:rPr>
          <w:rFonts w:ascii="Arial" w:cs="Arial" w:eastAsia="Arial" w:hAnsi="Arial"/>
          <w:sz w:val="17"/>
          <w:szCs w:val="17"/>
          <w:color w:val="auto"/>
        </w:rPr>
      </w:pPr>
    </w:p>
    <w:p>
      <w:pPr>
        <w:ind w:left="660" w:firstLine="645"/>
        <w:spacing w:after="0" w:line="239" w:lineRule="auto"/>
        <w:tabs>
          <w:tab w:leader="none" w:pos="2019" w:val="left"/>
        </w:tabs>
        <w:numPr>
          <w:ilvl w:val="0"/>
          <w:numId w:val="216"/>
        </w:numPr>
        <w:rPr>
          <w:rFonts w:ascii="Arial" w:cs="Arial" w:eastAsia="Arial" w:hAnsi="Arial"/>
          <w:sz w:val="18"/>
          <w:szCs w:val="18"/>
          <w:color w:val="auto"/>
        </w:rPr>
      </w:pPr>
      <w:r>
        <w:rPr>
          <w:rFonts w:ascii="Arial" w:cs="Arial" w:eastAsia="Arial" w:hAnsi="Arial"/>
          <w:sz w:val="22"/>
          <w:szCs w:val="22"/>
          <w:color w:val="auto"/>
        </w:rPr>
        <w:t>fifth, 75.0% to all Sunoco common unitholders, pro rata, and 25.0% to ETOLP (in its capacity as the holder of Sunoco’s IDRs), until Sunoco allocates under this paragraph an amount per unit equal to:</w:t>
      </w:r>
    </w:p>
    <w:p>
      <w:pPr>
        <w:spacing w:after="0" w:line="157" w:lineRule="exact"/>
        <w:rPr>
          <w:rFonts w:ascii="Arial" w:cs="Arial" w:eastAsia="Arial" w:hAnsi="Arial"/>
          <w:sz w:val="18"/>
          <w:szCs w:val="18"/>
          <w:color w:val="auto"/>
        </w:rPr>
      </w:pPr>
    </w:p>
    <w:p>
      <w:pPr>
        <w:ind w:left="1300" w:firstLine="653"/>
        <w:spacing w:after="0" w:line="239" w:lineRule="auto"/>
        <w:tabs>
          <w:tab w:leader="none" w:pos="2659" w:val="left"/>
        </w:tabs>
        <w:numPr>
          <w:ilvl w:val="1"/>
          <w:numId w:val="216"/>
        </w:numPr>
        <w:rPr>
          <w:rFonts w:ascii="Arial" w:cs="Arial" w:eastAsia="Arial" w:hAnsi="Arial"/>
          <w:sz w:val="18"/>
          <w:szCs w:val="18"/>
          <w:color w:val="auto"/>
        </w:rPr>
      </w:pPr>
      <w:r>
        <w:rPr>
          <w:rFonts w:ascii="Arial" w:cs="Arial" w:eastAsia="Arial" w:hAnsi="Arial"/>
          <w:sz w:val="22"/>
          <w:szCs w:val="22"/>
          <w:color w:val="auto"/>
        </w:rPr>
        <w:t>the excess of the third target distribution per unit over the second target distribution per unit for each quarter of Sunoco’s existence; less</w:t>
      </w:r>
    </w:p>
    <w:p>
      <w:pPr>
        <w:spacing w:after="0" w:line="157" w:lineRule="exact"/>
        <w:rPr>
          <w:rFonts w:ascii="Arial" w:cs="Arial" w:eastAsia="Arial" w:hAnsi="Arial"/>
          <w:sz w:val="18"/>
          <w:szCs w:val="18"/>
          <w:color w:val="auto"/>
        </w:rPr>
      </w:pPr>
    </w:p>
    <w:p>
      <w:pPr>
        <w:jc w:val="both"/>
        <w:ind w:left="1300" w:firstLine="653"/>
        <w:spacing w:after="0" w:line="238" w:lineRule="auto"/>
        <w:tabs>
          <w:tab w:leader="none" w:pos="2659" w:val="left"/>
        </w:tabs>
        <w:numPr>
          <w:ilvl w:val="1"/>
          <w:numId w:val="216"/>
        </w:numPr>
        <w:rPr>
          <w:rFonts w:ascii="Arial" w:cs="Arial" w:eastAsia="Arial" w:hAnsi="Arial"/>
          <w:sz w:val="17"/>
          <w:szCs w:val="17"/>
          <w:color w:val="auto"/>
        </w:rPr>
      </w:pPr>
      <w:r>
        <w:rPr>
          <w:rFonts w:ascii="Arial" w:cs="Arial" w:eastAsia="Arial" w:hAnsi="Arial"/>
          <w:sz w:val="21"/>
          <w:szCs w:val="21"/>
          <w:color w:val="auto"/>
        </w:rPr>
        <w:t>the cumulative amount per unit of any distributions of available cash from operating surplus in excess of the second target distribution per unit for each quarter of Sunoco’s existence that it distributed 75.0% to the unitholders, pro rata, and 25.0% to ETOLP (in its capacity as the holder of Sunoco’s IDRs); and</w:t>
      </w:r>
    </w:p>
    <w:p>
      <w:pPr>
        <w:spacing w:after="0" w:line="159" w:lineRule="exact"/>
        <w:rPr>
          <w:rFonts w:ascii="Arial" w:cs="Arial" w:eastAsia="Arial" w:hAnsi="Arial"/>
          <w:sz w:val="17"/>
          <w:szCs w:val="17"/>
          <w:color w:val="auto"/>
        </w:rPr>
      </w:pPr>
    </w:p>
    <w:p>
      <w:pPr>
        <w:ind w:left="1300" w:firstLine="653"/>
        <w:spacing w:after="0" w:line="239" w:lineRule="auto"/>
        <w:tabs>
          <w:tab w:leader="none" w:pos="2659" w:val="left"/>
        </w:tabs>
        <w:numPr>
          <w:ilvl w:val="1"/>
          <w:numId w:val="216"/>
        </w:numPr>
        <w:rPr>
          <w:rFonts w:ascii="Arial" w:cs="Arial" w:eastAsia="Arial" w:hAnsi="Arial"/>
          <w:sz w:val="18"/>
          <w:szCs w:val="18"/>
          <w:color w:val="auto"/>
        </w:rPr>
      </w:pPr>
      <w:r>
        <w:rPr>
          <w:rFonts w:ascii="Arial" w:cs="Arial" w:eastAsia="Arial" w:hAnsi="Arial"/>
          <w:sz w:val="22"/>
          <w:szCs w:val="22"/>
          <w:color w:val="auto"/>
        </w:rPr>
        <w:t>thereafter, 50.0% to all Sunoco common unitholders, pro rata, and 50.0% to ETOLP (in its capacity as the holder of Sunoco’s IDRs).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foregoing, if immediately prior to making allocations pursuant to the fourth, fifth and sixth clauses above, the capital account of each Sunoco common unit equals or exceeds the issue price of Sunoco’s Class C units ($38.5856), then Sunoco will allocate 1.0% of the remaining items of gain (other than gain attributable to PropCo) to the holders of Class C units, pro rata.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Manner of Adjustments for Losses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Sunoco will generally allocate any loss to its unitholders in the following manner:</w:t>
      </w:r>
    </w:p>
    <w:p>
      <w:pPr>
        <w:sectPr>
          <w:pgSz w:w="11900" w:h="16838" w:orient="portrait"/>
          <w:cols w:equalWidth="0" w:num="1">
            <w:col w:w="11420"/>
          </w:cols>
          <w:pgMar w:left="240" w:top="537" w:right="239" w:bottom="1440" w:gutter="0" w:footer="0" w:header="0"/>
        </w:sectPr>
      </w:pPr>
    </w:p>
    <w:bookmarkStart w:id="274" w:name="page275"/>
    <w:bookmarkEnd w:id="274"/>
    <w:p>
      <w:pPr>
        <w:ind w:left="660" w:firstLine="645"/>
        <w:spacing w:after="0" w:line="239" w:lineRule="auto"/>
        <w:tabs>
          <w:tab w:leader="none" w:pos="2019" w:val="left"/>
        </w:tabs>
        <w:numPr>
          <w:ilvl w:val="0"/>
          <w:numId w:val="217"/>
        </w:numPr>
        <w:rPr>
          <w:rFonts w:ascii="Arial" w:cs="Arial" w:eastAsia="Arial" w:hAnsi="Arial"/>
          <w:sz w:val="18"/>
          <w:szCs w:val="18"/>
          <w:color w:val="auto"/>
        </w:rPr>
      </w:pPr>
      <w:r>
        <w:rPr>
          <w:rFonts w:ascii="Arial" w:cs="Arial" w:eastAsia="Arial" w:hAnsi="Arial"/>
          <w:sz w:val="22"/>
          <w:szCs w:val="22"/>
          <w:color w:val="auto"/>
        </w:rPr>
        <w:t>first, to Sunoco’s common unitholders, pro rata, until the capital accounts of the common unitholders have been reduced to zero; and</w:t>
      </w:r>
    </w:p>
    <w:p>
      <w:pPr>
        <w:spacing w:after="0" w:line="157"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17"/>
        </w:numPr>
        <w:rPr>
          <w:rFonts w:ascii="Arial" w:cs="Arial" w:eastAsia="Arial" w:hAnsi="Arial"/>
          <w:sz w:val="18"/>
          <w:szCs w:val="18"/>
          <w:color w:val="auto"/>
        </w:rPr>
      </w:pPr>
      <w:r>
        <w:rPr>
          <w:rFonts w:ascii="Arial" w:cs="Arial" w:eastAsia="Arial" w:hAnsi="Arial"/>
          <w:sz w:val="22"/>
          <w:szCs w:val="22"/>
          <w:color w:val="auto"/>
        </w:rPr>
        <w:t>thereafter, to the holders of Sunoco’s Class C units, pro rata, until the capital accounts of the Class C units have been reduced to zero.</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provided, that Class C units will not be allocated any items of loss attributable to the ownership or sale of Sunoco’s membership interests in PropCo or any indebtedness of PropCo or its subsidiaries.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Adjustments to Capital Accounts</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Sunoco will make adjustments to capital accounts upon the issuance of additional units. In doing so, Sunoco generally will allocate any unrealized and, for tax purposes, unrecognized gain resulting from the adjustments to the unitholders and the holders of Sunoco’s IDRs in the same manner as it allocates gain upon liquidation. By contrast to the allocations of gain, and except as provided above, Sunoco generally will allocate any unrealized and unrecognized loss resulting from the adjustments to capital accounts upon the issuance of additional units to Sunoco’s common unitholders based on their percentage ownership of Sunoco. In the event Sunoco makes negative adjustments to the capital accounts as a result of such loss, future positive adjustments resulting from the issuance of additional units will be allocated in a manner designed to reverse the prior negative adjustments, and special allocations will be made upon liquidation in a manner that results, to the extent possible, in Sunoco’s common unitholders’ capital account balances equaling the amounts they would have been if no earlier adjustments for loss had been made. The Sunoco Class C units will not be allocated any items of gain or loss attributable to Sunoco’s ownership or sale of the membership interests in PropCo or any indebtedness of PropCo or its subsidiaries.</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USAC’s Cash Distribution Policy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General</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USAC’s partnership agreement requires that, within 45 days after the end of each quarter, USAC distribute all of its available cash to unitholders of record on the applicable record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Definition of Available Cash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Available cash, for any quarter, consists of all cash on hand at the end of that quarter:</w:t>
      </w:r>
    </w:p>
    <w:p>
      <w:pPr>
        <w:spacing w:after="0" w:line="193" w:lineRule="exact"/>
        <w:rPr>
          <w:sz w:val="20"/>
          <w:szCs w:val="20"/>
          <w:color w:val="auto"/>
        </w:rPr>
      </w:pPr>
    </w:p>
    <w:p>
      <w:pPr>
        <w:ind w:left="2020" w:hanging="715"/>
        <w:spacing w:after="0"/>
        <w:tabs>
          <w:tab w:leader="none" w:pos="2020" w:val="left"/>
        </w:tabs>
        <w:numPr>
          <w:ilvl w:val="0"/>
          <w:numId w:val="218"/>
        </w:numPr>
        <w:rPr>
          <w:rFonts w:ascii="Arial" w:cs="Arial" w:eastAsia="Arial" w:hAnsi="Arial"/>
          <w:sz w:val="18"/>
          <w:szCs w:val="18"/>
          <w:color w:val="auto"/>
        </w:rPr>
      </w:pPr>
      <w:r>
        <w:rPr>
          <w:rFonts w:ascii="Arial" w:cs="Arial" w:eastAsia="Arial" w:hAnsi="Arial"/>
          <w:sz w:val="22"/>
          <w:szCs w:val="22"/>
          <w:color w:val="auto"/>
        </w:rPr>
        <w:t>less, the amount of cash reserves established by USAC’s general partner to:</w:t>
      </w:r>
    </w:p>
    <w:p>
      <w:pPr>
        <w:spacing w:after="0" w:line="192" w:lineRule="exact"/>
        <w:rPr>
          <w:rFonts w:ascii="Arial" w:cs="Arial" w:eastAsia="Arial" w:hAnsi="Arial"/>
          <w:sz w:val="18"/>
          <w:szCs w:val="18"/>
          <w:color w:val="auto"/>
        </w:rPr>
      </w:pPr>
    </w:p>
    <w:p>
      <w:pPr>
        <w:ind w:left="2660" w:hanging="707"/>
        <w:spacing w:after="0"/>
        <w:tabs>
          <w:tab w:leader="none" w:pos="2660" w:val="left"/>
        </w:tabs>
        <w:numPr>
          <w:ilvl w:val="1"/>
          <w:numId w:val="218"/>
        </w:numPr>
        <w:rPr>
          <w:rFonts w:ascii="Arial" w:cs="Arial" w:eastAsia="Arial" w:hAnsi="Arial"/>
          <w:sz w:val="18"/>
          <w:szCs w:val="18"/>
          <w:color w:val="auto"/>
        </w:rPr>
      </w:pPr>
      <w:r>
        <w:rPr>
          <w:rFonts w:ascii="Arial" w:cs="Arial" w:eastAsia="Arial" w:hAnsi="Arial"/>
          <w:sz w:val="22"/>
          <w:szCs w:val="22"/>
          <w:color w:val="auto"/>
        </w:rPr>
        <w:t>provide for the proper conduct of USAC’s business;</w:t>
      </w:r>
    </w:p>
    <w:p>
      <w:pPr>
        <w:spacing w:after="0" w:line="192" w:lineRule="exact"/>
        <w:rPr>
          <w:rFonts w:ascii="Arial" w:cs="Arial" w:eastAsia="Arial" w:hAnsi="Arial"/>
          <w:sz w:val="18"/>
          <w:szCs w:val="18"/>
          <w:color w:val="auto"/>
        </w:rPr>
      </w:pPr>
    </w:p>
    <w:p>
      <w:pPr>
        <w:ind w:left="2660" w:hanging="707"/>
        <w:spacing w:after="0"/>
        <w:tabs>
          <w:tab w:leader="none" w:pos="2660" w:val="left"/>
        </w:tabs>
        <w:numPr>
          <w:ilvl w:val="1"/>
          <w:numId w:val="218"/>
        </w:numPr>
        <w:rPr>
          <w:rFonts w:ascii="Arial" w:cs="Arial" w:eastAsia="Arial" w:hAnsi="Arial"/>
          <w:sz w:val="18"/>
          <w:szCs w:val="18"/>
          <w:color w:val="auto"/>
        </w:rPr>
      </w:pPr>
      <w:r>
        <w:rPr>
          <w:rFonts w:ascii="Arial" w:cs="Arial" w:eastAsia="Arial" w:hAnsi="Arial"/>
          <w:sz w:val="22"/>
          <w:szCs w:val="22"/>
          <w:color w:val="auto"/>
        </w:rPr>
        <w:t>comply with applicable law, USAC’s revolving credit facility or other agreements; and</w:t>
      </w:r>
    </w:p>
    <w:p>
      <w:pPr>
        <w:spacing w:after="0" w:line="192" w:lineRule="exact"/>
        <w:rPr>
          <w:rFonts w:ascii="Arial" w:cs="Arial" w:eastAsia="Arial" w:hAnsi="Arial"/>
          <w:sz w:val="18"/>
          <w:szCs w:val="18"/>
          <w:color w:val="auto"/>
        </w:rPr>
      </w:pPr>
    </w:p>
    <w:p>
      <w:pPr>
        <w:ind w:left="2660" w:hanging="707"/>
        <w:spacing w:after="0"/>
        <w:tabs>
          <w:tab w:leader="none" w:pos="2660" w:val="left"/>
        </w:tabs>
        <w:numPr>
          <w:ilvl w:val="1"/>
          <w:numId w:val="218"/>
        </w:numPr>
        <w:rPr>
          <w:rFonts w:ascii="Arial" w:cs="Arial" w:eastAsia="Arial" w:hAnsi="Arial"/>
          <w:sz w:val="16"/>
          <w:szCs w:val="16"/>
          <w:color w:val="auto"/>
        </w:rPr>
      </w:pPr>
      <w:r>
        <w:rPr>
          <w:rFonts w:ascii="Arial" w:cs="Arial" w:eastAsia="Arial" w:hAnsi="Arial"/>
          <w:sz w:val="19"/>
          <w:szCs w:val="19"/>
          <w:color w:val="auto"/>
        </w:rPr>
        <w:t>provide funds for distributions to USAC’s unitholders for any one or more of the next four quarters;</w:t>
      </w:r>
    </w:p>
    <w:p>
      <w:pPr>
        <w:spacing w:after="0" w:line="227" w:lineRule="exact"/>
        <w:rPr>
          <w:rFonts w:ascii="Arial" w:cs="Arial" w:eastAsia="Arial" w:hAnsi="Arial"/>
          <w:sz w:val="16"/>
          <w:szCs w:val="16"/>
          <w:color w:val="auto"/>
        </w:rPr>
      </w:pPr>
    </w:p>
    <w:p>
      <w:pPr>
        <w:ind w:left="660" w:right="20" w:firstLine="645"/>
        <w:spacing w:after="0" w:line="313" w:lineRule="auto"/>
        <w:tabs>
          <w:tab w:leader="none" w:pos="2019" w:val="left"/>
        </w:tabs>
        <w:numPr>
          <w:ilvl w:val="0"/>
          <w:numId w:val="218"/>
        </w:numPr>
        <w:rPr>
          <w:rFonts w:ascii="Arial" w:cs="Arial" w:eastAsia="Arial" w:hAnsi="Arial"/>
          <w:sz w:val="16"/>
          <w:szCs w:val="16"/>
          <w:color w:val="auto"/>
        </w:rPr>
      </w:pPr>
      <w:r>
        <w:rPr>
          <w:rFonts w:ascii="Arial" w:cs="Arial" w:eastAsia="Arial" w:hAnsi="Arial"/>
          <w:sz w:val="19"/>
          <w:szCs w:val="19"/>
          <w:color w:val="auto"/>
        </w:rPr>
        <w:t>plus, if USAC’s general partner so determines, all or a portion of cash on hand on the date of determination of available cash for the quarter resulting from working capital borrowings made after the end of the quarter.</w:t>
      </w:r>
    </w:p>
    <w:p>
      <w:pPr>
        <w:sectPr>
          <w:pgSz w:w="11900" w:h="16838" w:orient="portrait"/>
          <w:cols w:equalWidth="0" w:num="1">
            <w:col w:w="11420"/>
          </w:cols>
          <w:pgMar w:left="240" w:top="537" w:right="239" w:bottom="1440" w:gutter="0" w:footer="0" w:header="0"/>
        </w:sectPr>
      </w:pPr>
    </w:p>
    <w:bookmarkStart w:id="275" w:name="page276"/>
    <w:bookmarkEnd w:id="275"/>
    <w:p>
      <w:pPr>
        <w:jc w:val="both"/>
        <w:ind w:firstLine="648"/>
        <w:spacing w:after="0" w:line="250" w:lineRule="auto"/>
        <w:rPr>
          <w:sz w:val="20"/>
          <w:szCs w:val="20"/>
          <w:color w:val="auto"/>
        </w:rPr>
      </w:pPr>
      <w:r>
        <w:rPr>
          <w:rFonts w:ascii="Arial" w:cs="Arial" w:eastAsia="Arial" w:hAnsi="Arial"/>
          <w:sz w:val="22"/>
          <w:szCs w:val="22"/>
          <w:color w:val="auto"/>
        </w:rPr>
        <w:t>Working capital borrowings are borrowings that are made under a credit facility, commercial paper facility or similar financing arrangement, and in all cases, are used solely for working capital purposes or to pay distributions to partners and with the intent of the borrower to repay such borrowings within twelve months from sources other than additional working capital borrowings.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Series A Preferred Units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Record holders of USAC’s Series A preferred units are entitled to receive cumulative quarterly distributions equal to $24.375 per Series A preferred unit, which may be paid in cash or, subject to certain limits, a combination of cash and additional Series A preferred units as determined by USAC’s general partner with respect to any quarter ending on or prior to June 30, 2019. USAC cannot pay any distributions on any junior securities, including any of the common units, prior to paying the quarterly distribution payable on the Series A preferred units, including any previously accrued and unpaid distributions thereon.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Operating Surplus and Capital Surplus</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All cash distributed will be characterized as either “operating surplus” or “capital surplus.” USAC’s partnership</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requires that USAC distribute available cash from operating surplus differently than available cash from capital surplus.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Operating Surplus</w:t>
      </w:r>
      <w:r>
        <w:rPr>
          <w:rFonts w:ascii="Arial" w:cs="Arial" w:eastAsia="Arial" w:hAnsi="Arial"/>
          <w:sz w:val="22"/>
          <w:szCs w:val="22"/>
          <w:color w:val="auto"/>
        </w:rPr>
        <w:t>. Operating surplus for any period consists of:</w:t>
      </w:r>
    </w:p>
    <w:p>
      <w:pPr>
        <w:spacing w:after="0" w:line="193" w:lineRule="exact"/>
        <w:rPr>
          <w:sz w:val="20"/>
          <w:szCs w:val="20"/>
          <w:color w:val="auto"/>
        </w:rPr>
      </w:pPr>
    </w:p>
    <w:p>
      <w:pPr>
        <w:ind w:left="2020" w:hanging="715"/>
        <w:spacing w:after="0"/>
        <w:tabs>
          <w:tab w:leader="none" w:pos="2020" w:val="left"/>
        </w:tabs>
        <w:numPr>
          <w:ilvl w:val="0"/>
          <w:numId w:val="219"/>
        </w:numPr>
        <w:rPr>
          <w:rFonts w:ascii="Arial" w:cs="Arial" w:eastAsia="Arial" w:hAnsi="Arial"/>
          <w:sz w:val="18"/>
          <w:szCs w:val="18"/>
          <w:color w:val="auto"/>
        </w:rPr>
      </w:pPr>
      <w:r>
        <w:rPr>
          <w:rFonts w:ascii="Arial" w:cs="Arial" w:eastAsia="Arial" w:hAnsi="Arial"/>
          <w:sz w:val="22"/>
          <w:szCs w:val="22"/>
          <w:color w:val="auto"/>
        </w:rPr>
        <w:t>$36.6 million (as described below); plus</w:t>
      </w:r>
    </w:p>
    <w:p>
      <w:pPr>
        <w:spacing w:after="0" w:line="192"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19"/>
        </w:numPr>
        <w:rPr>
          <w:rFonts w:ascii="Arial" w:cs="Arial" w:eastAsia="Arial" w:hAnsi="Arial"/>
          <w:sz w:val="18"/>
          <w:szCs w:val="18"/>
          <w:color w:val="auto"/>
        </w:rPr>
      </w:pPr>
      <w:r>
        <w:rPr>
          <w:rFonts w:ascii="Arial" w:cs="Arial" w:eastAsia="Arial" w:hAnsi="Arial"/>
          <w:sz w:val="22"/>
          <w:szCs w:val="22"/>
          <w:color w:val="auto"/>
        </w:rPr>
        <w:t>all of USAC’s cash receipts beginning January 18, 2013, the closing date of USAC’s initial public offering, excluding cash from interim capital transactions, which include the following:</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219"/>
        </w:numPr>
        <w:rPr>
          <w:rFonts w:ascii="Arial" w:cs="Arial" w:eastAsia="Arial" w:hAnsi="Arial"/>
          <w:sz w:val="18"/>
          <w:szCs w:val="18"/>
          <w:color w:val="auto"/>
        </w:rPr>
      </w:pPr>
      <w:r>
        <w:rPr>
          <w:rFonts w:ascii="Arial" w:cs="Arial" w:eastAsia="Arial" w:hAnsi="Arial"/>
          <w:sz w:val="22"/>
          <w:szCs w:val="22"/>
          <w:color w:val="auto"/>
        </w:rPr>
        <w:t>borrowings (including sales of debt securities) that are not working capital borrowings;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19"/>
        </w:numPr>
        <w:rPr>
          <w:rFonts w:ascii="Arial" w:cs="Arial" w:eastAsia="Arial" w:hAnsi="Arial"/>
          <w:sz w:val="18"/>
          <w:szCs w:val="18"/>
          <w:color w:val="auto"/>
        </w:rPr>
      </w:pPr>
      <w:r>
        <w:rPr>
          <w:rFonts w:ascii="Arial" w:cs="Arial" w:eastAsia="Arial" w:hAnsi="Arial"/>
          <w:sz w:val="22"/>
          <w:szCs w:val="22"/>
          <w:color w:val="auto"/>
        </w:rPr>
        <w:t>sales of equity interests;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19"/>
        </w:numPr>
        <w:rPr>
          <w:rFonts w:ascii="Arial" w:cs="Arial" w:eastAsia="Arial" w:hAnsi="Arial"/>
          <w:sz w:val="18"/>
          <w:szCs w:val="18"/>
          <w:color w:val="auto"/>
        </w:rPr>
      </w:pPr>
      <w:r>
        <w:rPr>
          <w:rFonts w:ascii="Arial" w:cs="Arial" w:eastAsia="Arial" w:hAnsi="Arial"/>
          <w:sz w:val="22"/>
          <w:szCs w:val="22"/>
          <w:color w:val="auto"/>
        </w:rPr>
        <w:t>sales or other dispositions of assets outside the ordinary course of business; and</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19"/>
        </w:numPr>
        <w:rPr>
          <w:rFonts w:ascii="Arial" w:cs="Arial" w:eastAsia="Arial" w:hAnsi="Arial"/>
          <w:sz w:val="18"/>
          <w:szCs w:val="18"/>
          <w:color w:val="auto"/>
        </w:rPr>
      </w:pPr>
      <w:r>
        <w:rPr>
          <w:rFonts w:ascii="Arial" w:cs="Arial" w:eastAsia="Arial" w:hAnsi="Arial"/>
          <w:sz w:val="22"/>
          <w:szCs w:val="22"/>
          <w:color w:val="auto"/>
        </w:rPr>
        <w:t>capital contributions received;</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cash receipts from the termination of a commodity hedge or interest rate hedge prior to its specified termination date</w:t>
      </w:r>
      <w:r>
        <w:rPr>
          <w:rFonts w:ascii="Arial" w:cs="Arial" w:eastAsia="Arial" w:hAnsi="Arial"/>
          <w:sz w:val="22"/>
          <w:szCs w:val="22"/>
          <w:i w:val="1"/>
          <w:iCs w:val="1"/>
          <w:color w:val="auto"/>
        </w:rPr>
        <w:t xml:space="preserve"> </w:t>
      </w:r>
      <w:r>
        <w:rPr>
          <w:rFonts w:ascii="Arial" w:cs="Arial" w:eastAsia="Arial" w:hAnsi="Arial"/>
          <w:sz w:val="22"/>
          <w:szCs w:val="22"/>
          <w:color w:val="auto"/>
        </w:rPr>
        <w:t>w be included in operating surplus in equal quarterly installments over the remaining scheduled life of such commodity hedge or interest rate hedge; plus</w:t>
      </w:r>
    </w:p>
    <w:p>
      <w:pPr>
        <w:spacing w:after="0" w:line="159" w:lineRule="exact"/>
        <w:rPr>
          <w:sz w:val="20"/>
          <w:szCs w:val="20"/>
          <w:color w:val="auto"/>
        </w:rPr>
      </w:pPr>
    </w:p>
    <w:p>
      <w:pPr>
        <w:ind w:left="660" w:right="20" w:firstLine="645"/>
        <w:spacing w:after="0" w:line="239" w:lineRule="auto"/>
        <w:tabs>
          <w:tab w:leader="none" w:pos="2019" w:val="left"/>
        </w:tabs>
        <w:numPr>
          <w:ilvl w:val="0"/>
          <w:numId w:val="220"/>
        </w:numPr>
        <w:rPr>
          <w:rFonts w:ascii="Arial" w:cs="Arial" w:eastAsia="Arial" w:hAnsi="Arial"/>
          <w:sz w:val="18"/>
          <w:szCs w:val="18"/>
          <w:color w:val="auto"/>
        </w:rPr>
      </w:pPr>
      <w:r>
        <w:rPr>
          <w:rFonts w:ascii="Arial" w:cs="Arial" w:eastAsia="Arial" w:hAnsi="Arial"/>
          <w:sz w:val="22"/>
          <w:szCs w:val="22"/>
          <w:color w:val="auto"/>
        </w:rPr>
        <w:t>working capital borrowings made after the end of the period but on or before the date of determination of operating surplus for the period; plus</w:t>
      </w:r>
    </w:p>
    <w:p>
      <w:pPr>
        <w:spacing w:after="0" w:line="157" w:lineRule="exact"/>
        <w:rPr>
          <w:rFonts w:ascii="Arial" w:cs="Arial" w:eastAsia="Arial" w:hAnsi="Arial"/>
          <w:sz w:val="18"/>
          <w:szCs w:val="18"/>
          <w:color w:val="auto"/>
        </w:rPr>
      </w:pPr>
    </w:p>
    <w:p>
      <w:pPr>
        <w:jc w:val="both"/>
        <w:ind w:left="660" w:firstLine="645"/>
        <w:spacing w:after="0" w:line="218" w:lineRule="auto"/>
        <w:tabs>
          <w:tab w:leader="none" w:pos="2019" w:val="left"/>
        </w:tabs>
        <w:numPr>
          <w:ilvl w:val="0"/>
          <w:numId w:val="220"/>
        </w:numPr>
        <w:rPr>
          <w:rFonts w:ascii="Arial" w:cs="Arial" w:eastAsia="Arial" w:hAnsi="Arial"/>
          <w:sz w:val="18"/>
          <w:szCs w:val="18"/>
          <w:color w:val="auto"/>
        </w:rPr>
      </w:pPr>
      <w:r>
        <w:rPr>
          <w:rFonts w:ascii="Arial" w:cs="Arial" w:eastAsia="Arial" w:hAnsi="Arial"/>
          <w:sz w:val="22"/>
          <w:szCs w:val="22"/>
          <w:color w:val="auto"/>
        </w:rPr>
        <w:t>cash distributions paid on equity issued to finance all or a portion of the construction, acquisition or improvement of a capital improvement (such as equipment or facilities) in respect of the period beginning on the date that USAC enters into a binding obligation to commence the construction, acquisition or improvement of a capital improvement and ending on the earlier to occur of the date the capital improvement or capital asset commences commercial service and the date that it is abandoned or disposed of; plus</w:t>
      </w:r>
    </w:p>
    <w:p>
      <w:pPr>
        <w:sectPr>
          <w:pgSz w:w="11900" w:h="16838" w:orient="portrait"/>
          <w:cols w:equalWidth="0" w:num="1">
            <w:col w:w="11420"/>
          </w:cols>
          <w:pgMar w:left="240" w:top="564" w:right="239" w:bottom="1440" w:gutter="0" w:footer="0" w:header="0"/>
        </w:sectPr>
      </w:pPr>
    </w:p>
    <w:bookmarkStart w:id="276" w:name="page277"/>
    <w:bookmarkEnd w:id="276"/>
    <w:p>
      <w:pPr>
        <w:ind w:left="660" w:firstLine="645"/>
        <w:spacing w:after="0" w:line="261" w:lineRule="auto"/>
        <w:tabs>
          <w:tab w:leader="none" w:pos="2019" w:val="left"/>
        </w:tabs>
        <w:numPr>
          <w:ilvl w:val="0"/>
          <w:numId w:val="221"/>
        </w:numPr>
        <w:rPr>
          <w:rFonts w:ascii="Arial" w:cs="Arial" w:eastAsia="Arial" w:hAnsi="Arial"/>
          <w:sz w:val="17"/>
          <w:szCs w:val="17"/>
          <w:color w:val="auto"/>
        </w:rPr>
      </w:pPr>
      <w:r>
        <w:rPr>
          <w:rFonts w:ascii="Arial" w:cs="Arial" w:eastAsia="Arial" w:hAnsi="Arial"/>
          <w:sz w:val="21"/>
          <w:szCs w:val="21"/>
          <w:color w:val="auto"/>
        </w:rPr>
        <w:t>cash distributions paid on equity issued to pay the construction period interest on debt incurred, or to pay construction period distributions on equity issued, to finance the capital improvements referred to above; less</w:t>
      </w:r>
    </w:p>
    <w:p>
      <w:pPr>
        <w:spacing w:after="0" w:line="136" w:lineRule="exact"/>
        <w:rPr>
          <w:rFonts w:ascii="Arial" w:cs="Arial" w:eastAsia="Arial" w:hAnsi="Arial"/>
          <w:sz w:val="17"/>
          <w:szCs w:val="17"/>
          <w:color w:val="auto"/>
        </w:rPr>
      </w:pPr>
    </w:p>
    <w:p>
      <w:pPr>
        <w:ind w:left="2020" w:hanging="715"/>
        <w:spacing w:after="0"/>
        <w:tabs>
          <w:tab w:leader="none" w:pos="2020" w:val="left"/>
        </w:tabs>
        <w:numPr>
          <w:ilvl w:val="0"/>
          <w:numId w:val="221"/>
        </w:numPr>
        <w:rPr>
          <w:rFonts w:ascii="Arial" w:cs="Arial" w:eastAsia="Arial" w:hAnsi="Arial"/>
          <w:sz w:val="16"/>
          <w:szCs w:val="16"/>
          <w:color w:val="auto"/>
        </w:rPr>
      </w:pPr>
      <w:r>
        <w:rPr>
          <w:rFonts w:ascii="Arial" w:cs="Arial" w:eastAsia="Arial" w:hAnsi="Arial"/>
          <w:sz w:val="19"/>
          <w:szCs w:val="19"/>
          <w:color w:val="auto"/>
        </w:rPr>
        <w:t>all of USAC’s operating expenditures (as defined below) after the closing of USAC’s initial public offering;</w:t>
      </w:r>
    </w:p>
    <w:p>
      <w:pPr>
        <w:spacing w:after="0" w:line="2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less</w:t>
      </w:r>
    </w:p>
    <w:p>
      <w:pPr>
        <w:spacing w:after="0" w:line="161" w:lineRule="exact"/>
        <w:rPr>
          <w:rFonts w:ascii="Arial" w:cs="Arial" w:eastAsia="Arial" w:hAnsi="Arial"/>
          <w:sz w:val="16"/>
          <w:szCs w:val="16"/>
          <w:color w:val="auto"/>
        </w:rPr>
      </w:pPr>
    </w:p>
    <w:p>
      <w:pPr>
        <w:ind w:left="660" w:firstLine="645"/>
        <w:spacing w:after="0" w:line="239" w:lineRule="auto"/>
        <w:tabs>
          <w:tab w:leader="none" w:pos="2019" w:val="left"/>
        </w:tabs>
        <w:numPr>
          <w:ilvl w:val="0"/>
          <w:numId w:val="221"/>
        </w:numPr>
        <w:rPr>
          <w:rFonts w:ascii="Arial" w:cs="Arial" w:eastAsia="Arial" w:hAnsi="Arial"/>
          <w:sz w:val="18"/>
          <w:szCs w:val="18"/>
          <w:color w:val="auto"/>
        </w:rPr>
      </w:pPr>
      <w:r>
        <w:rPr>
          <w:rFonts w:ascii="Arial" w:cs="Arial" w:eastAsia="Arial" w:hAnsi="Arial"/>
          <w:sz w:val="22"/>
          <w:szCs w:val="22"/>
          <w:color w:val="auto"/>
        </w:rPr>
        <w:t>the amount of cash reserves established by USAC’s general partner to provide funds for future operating expenditures; less</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221"/>
        </w:numPr>
        <w:rPr>
          <w:rFonts w:ascii="Arial" w:cs="Arial" w:eastAsia="Arial" w:hAnsi="Arial"/>
          <w:sz w:val="18"/>
          <w:szCs w:val="18"/>
          <w:color w:val="auto"/>
        </w:rPr>
      </w:pPr>
      <w:r>
        <w:rPr>
          <w:rFonts w:ascii="Arial" w:cs="Arial" w:eastAsia="Arial" w:hAnsi="Arial"/>
          <w:sz w:val="22"/>
          <w:szCs w:val="22"/>
          <w:color w:val="auto"/>
        </w:rPr>
        <w:t>all working capital borrowings not repaid within twelve months after having been incurred; less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21"/>
        </w:numPr>
        <w:rPr>
          <w:rFonts w:ascii="Arial" w:cs="Arial" w:eastAsia="Arial" w:hAnsi="Arial"/>
          <w:sz w:val="18"/>
          <w:szCs w:val="18"/>
          <w:color w:val="auto"/>
        </w:rPr>
      </w:pPr>
      <w:r>
        <w:rPr>
          <w:rFonts w:ascii="Arial" w:cs="Arial" w:eastAsia="Arial" w:hAnsi="Arial"/>
          <w:sz w:val="22"/>
          <w:szCs w:val="22"/>
          <w:color w:val="auto"/>
        </w:rPr>
        <w:t>any loss realized on disposition of an investment capital expenditure.</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As described above, operating surplus does not reflect actual cash on hand that is available for distribution to USAC’s unitholders and is not limited to cash generated by USAC’s operations. For example, it includes a basket of $36.6 million that will enable USAC, if it chooses, to distribute as operating surplus cash it receives in the future from non-operating sources such as asset sales, issuances of securities and long-term borrowings that would otherwise be distributed as capital surplus. In addition, the effect of including, as described above, certain cash distributions on equity interests in operating surplus will be to increase operating surplus by the amount of any such cash distributions. As a result, USAC may also distribute as operating surplus up to the amount of any such cash that it receives from non-operating sources.</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proceeds of working capital borrowings increase operating surplus and repayments of working capital borrowings are generally operating expenditures, as described below, and thus reduce operating surplus when made. However, if a working capital borrowing is not repaid during the twelve-month period following the borrowing, it will be deemed repaid at the end of such period, thus decreasing operating surplus at such time. When such working capital borrowing is in fact repaid, it will be excluded from operating expenditures because operating surplus will have been previously reduced by the deemed repayment.</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USAC defines operating expenditures in its partnership agreement, and operating expenditures generally means all of USAC’s cash expenditures, including, but not limited to, taxes, reimbursement of expenses to USAC’s general partner and its affiliates, payments made under interest rate hedge agreements or commodity hedge contracts (provided that (i) with respect to amounts paid in connection with the initial purchase of an interest rate hedge contract or a commodity hedge contract, such amounts will be amortized over the life of the applicable interest rate hedge contract or commodity hedge contract and (ii) payments made in connection with the termination of any interest rate hedge contract or commodity hedge contract prior to the expiration of its stipulated settlement or termination date will be included in operating expenditures in equal quarterly installments over the remaining scheduled life of such interest rate hedge contract or commodity hedge contract), officer compensation, repayment of working capital borrowings, debt service payments and maintenance capital expenditures (as defined below), provided that operating expenditures will not include:</w:t>
      </w:r>
    </w:p>
    <w:p>
      <w:pPr>
        <w:spacing w:after="0" w:line="159" w:lineRule="exact"/>
        <w:rPr>
          <w:sz w:val="20"/>
          <w:szCs w:val="20"/>
          <w:color w:val="auto"/>
        </w:rPr>
      </w:pPr>
    </w:p>
    <w:p>
      <w:pPr>
        <w:ind w:left="660" w:firstLine="645"/>
        <w:spacing w:after="0" w:line="239" w:lineRule="auto"/>
        <w:tabs>
          <w:tab w:leader="none" w:pos="2019" w:val="left"/>
        </w:tabs>
        <w:numPr>
          <w:ilvl w:val="0"/>
          <w:numId w:val="222"/>
        </w:numPr>
        <w:rPr>
          <w:rFonts w:ascii="Arial" w:cs="Arial" w:eastAsia="Arial" w:hAnsi="Arial"/>
          <w:sz w:val="18"/>
          <w:szCs w:val="18"/>
          <w:color w:val="auto"/>
        </w:rPr>
      </w:pPr>
      <w:r>
        <w:rPr>
          <w:rFonts w:ascii="Arial" w:cs="Arial" w:eastAsia="Arial" w:hAnsi="Arial"/>
          <w:sz w:val="22"/>
          <w:szCs w:val="22"/>
          <w:color w:val="auto"/>
        </w:rPr>
        <w:t>repayment of working capital borrowings deducted from operating surplus pursuant to the penultimate bullet point of the definition of operating surplus above when such repayment actually occurs;</w:t>
      </w:r>
    </w:p>
    <w:p>
      <w:pPr>
        <w:spacing w:after="0" w:line="157"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22"/>
        </w:numPr>
        <w:rPr>
          <w:rFonts w:ascii="Arial" w:cs="Arial" w:eastAsia="Arial" w:hAnsi="Arial"/>
          <w:sz w:val="18"/>
          <w:szCs w:val="18"/>
          <w:color w:val="auto"/>
        </w:rPr>
      </w:pPr>
      <w:r>
        <w:rPr>
          <w:rFonts w:ascii="Arial" w:cs="Arial" w:eastAsia="Arial" w:hAnsi="Arial"/>
          <w:sz w:val="22"/>
          <w:szCs w:val="22"/>
          <w:color w:val="auto"/>
        </w:rPr>
        <w:t>payments (including prepayments and prepayment penalties) of principal of and premium on indebtedness, other than working capital borrowings;</w:t>
      </w:r>
    </w:p>
    <w:p>
      <w:pPr>
        <w:sectPr>
          <w:pgSz w:w="11900" w:h="16838" w:orient="portrait"/>
          <w:cols w:equalWidth="0" w:num="1">
            <w:col w:w="11420"/>
          </w:cols>
          <w:pgMar w:left="240" w:top="537" w:right="239" w:bottom="1440" w:gutter="0" w:footer="0" w:header="0"/>
        </w:sectPr>
      </w:pPr>
    </w:p>
    <w:bookmarkStart w:id="277" w:name="page278"/>
    <w:bookmarkEnd w:id="277"/>
    <w:p>
      <w:pPr>
        <w:ind w:left="2020" w:hanging="715"/>
        <w:spacing w:after="0"/>
        <w:tabs>
          <w:tab w:leader="none" w:pos="2020" w:val="left"/>
        </w:tabs>
        <w:numPr>
          <w:ilvl w:val="0"/>
          <w:numId w:val="223"/>
        </w:numPr>
        <w:rPr>
          <w:rFonts w:ascii="Arial" w:cs="Arial" w:eastAsia="Arial" w:hAnsi="Arial"/>
          <w:sz w:val="18"/>
          <w:szCs w:val="18"/>
          <w:color w:val="auto"/>
        </w:rPr>
      </w:pPr>
      <w:r>
        <w:rPr>
          <w:rFonts w:ascii="Arial" w:cs="Arial" w:eastAsia="Arial" w:hAnsi="Arial"/>
          <w:sz w:val="22"/>
          <w:szCs w:val="22"/>
          <w:color w:val="auto"/>
        </w:rPr>
        <w:t>expansion capital expenditures (as defined below);</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23"/>
        </w:numPr>
        <w:rPr>
          <w:rFonts w:ascii="Arial" w:cs="Arial" w:eastAsia="Arial" w:hAnsi="Arial"/>
          <w:sz w:val="18"/>
          <w:szCs w:val="18"/>
          <w:color w:val="auto"/>
        </w:rPr>
      </w:pPr>
      <w:r>
        <w:rPr>
          <w:rFonts w:ascii="Arial" w:cs="Arial" w:eastAsia="Arial" w:hAnsi="Arial"/>
          <w:sz w:val="22"/>
          <w:szCs w:val="22"/>
          <w:color w:val="auto"/>
        </w:rPr>
        <w:t>investment capital expenditures (as defined below);</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23"/>
        </w:numPr>
        <w:rPr>
          <w:rFonts w:ascii="Arial" w:cs="Arial" w:eastAsia="Arial" w:hAnsi="Arial"/>
          <w:sz w:val="18"/>
          <w:szCs w:val="18"/>
          <w:color w:val="auto"/>
        </w:rPr>
      </w:pPr>
      <w:r>
        <w:rPr>
          <w:rFonts w:ascii="Arial" w:cs="Arial" w:eastAsia="Arial" w:hAnsi="Arial"/>
          <w:sz w:val="22"/>
          <w:szCs w:val="22"/>
          <w:color w:val="auto"/>
        </w:rPr>
        <w:t>payment of transaction expenses relating to interim capital transactions;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23"/>
        </w:numPr>
        <w:rPr>
          <w:rFonts w:ascii="Arial" w:cs="Arial" w:eastAsia="Arial" w:hAnsi="Arial"/>
          <w:sz w:val="18"/>
          <w:szCs w:val="18"/>
          <w:color w:val="auto"/>
        </w:rPr>
      </w:pPr>
      <w:r>
        <w:rPr>
          <w:rFonts w:ascii="Arial" w:cs="Arial" w:eastAsia="Arial" w:hAnsi="Arial"/>
          <w:sz w:val="22"/>
          <w:szCs w:val="22"/>
          <w:color w:val="auto"/>
        </w:rPr>
        <w:t>distributions to USAC’s partners; or</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23"/>
        </w:numPr>
        <w:rPr>
          <w:rFonts w:ascii="Arial" w:cs="Arial" w:eastAsia="Arial" w:hAnsi="Arial"/>
          <w:sz w:val="18"/>
          <w:szCs w:val="18"/>
          <w:color w:val="auto"/>
        </w:rPr>
      </w:pPr>
      <w:r>
        <w:rPr>
          <w:rFonts w:ascii="Arial" w:cs="Arial" w:eastAsia="Arial" w:hAnsi="Arial"/>
          <w:sz w:val="22"/>
          <w:szCs w:val="22"/>
          <w:color w:val="auto"/>
        </w:rPr>
        <w:t>repurchases of equity interests except to fund obligations under employee benefit plans.</w:t>
      </w:r>
    </w:p>
    <w:p>
      <w:pPr>
        <w:spacing w:after="0" w:line="220"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i w:val="1"/>
          <w:iCs w:val="1"/>
          <w:color w:val="auto"/>
        </w:rPr>
        <w:t>Capital Surplus</w:t>
      </w:r>
      <w:r>
        <w:rPr>
          <w:rFonts w:ascii="Arial" w:cs="Arial" w:eastAsia="Arial" w:hAnsi="Arial"/>
          <w:sz w:val="21"/>
          <w:szCs w:val="21"/>
          <w:color w:val="auto"/>
        </w:rPr>
        <w:t>. Capital surplus is defined in USAC’s partnership agreement as any distribution of available cash in excess</w:t>
      </w:r>
      <w:r>
        <w:rPr>
          <w:rFonts w:ascii="Arial" w:cs="Arial" w:eastAsia="Arial" w:hAnsi="Arial"/>
          <w:sz w:val="21"/>
          <w:szCs w:val="21"/>
          <w:i w:val="1"/>
          <w:iCs w:val="1"/>
          <w:color w:val="auto"/>
        </w:rPr>
        <w:t xml:space="preserve"> </w:t>
      </w:r>
      <w:r>
        <w:rPr>
          <w:rFonts w:ascii="Arial" w:cs="Arial" w:eastAsia="Arial" w:hAnsi="Arial"/>
          <w:sz w:val="21"/>
          <w:szCs w:val="21"/>
          <w:color w:val="auto"/>
        </w:rPr>
        <w:t>of USAC’s cumulative operating surplus. Accordingly, capital surplus would generally be generated by:</w:t>
      </w:r>
    </w:p>
    <w:p>
      <w:pPr>
        <w:spacing w:after="0" w:line="125" w:lineRule="exact"/>
        <w:rPr>
          <w:sz w:val="20"/>
          <w:szCs w:val="20"/>
          <w:color w:val="auto"/>
        </w:rPr>
      </w:pPr>
    </w:p>
    <w:p>
      <w:pPr>
        <w:ind w:left="2020" w:hanging="715"/>
        <w:spacing w:after="0"/>
        <w:tabs>
          <w:tab w:leader="none" w:pos="2020" w:val="left"/>
        </w:tabs>
        <w:numPr>
          <w:ilvl w:val="0"/>
          <w:numId w:val="224"/>
        </w:numPr>
        <w:rPr>
          <w:rFonts w:ascii="Arial" w:cs="Arial" w:eastAsia="Arial" w:hAnsi="Arial"/>
          <w:sz w:val="18"/>
          <w:szCs w:val="18"/>
          <w:color w:val="auto"/>
        </w:rPr>
      </w:pPr>
      <w:r>
        <w:rPr>
          <w:rFonts w:ascii="Arial" w:cs="Arial" w:eastAsia="Arial" w:hAnsi="Arial"/>
          <w:sz w:val="22"/>
          <w:szCs w:val="22"/>
          <w:color w:val="auto"/>
        </w:rPr>
        <w:t>borrowings other than working capital borrowings;</w:t>
      </w:r>
    </w:p>
    <w:p>
      <w:pPr>
        <w:spacing w:after="0" w:line="192" w:lineRule="exact"/>
        <w:rPr>
          <w:rFonts w:ascii="Arial" w:cs="Arial" w:eastAsia="Arial" w:hAnsi="Arial"/>
          <w:sz w:val="18"/>
          <w:szCs w:val="18"/>
          <w:color w:val="auto"/>
        </w:rPr>
      </w:pPr>
    </w:p>
    <w:p>
      <w:pPr>
        <w:ind w:left="2020" w:hanging="715"/>
        <w:spacing w:after="0"/>
        <w:tabs>
          <w:tab w:leader="none" w:pos="2020" w:val="left"/>
        </w:tabs>
        <w:numPr>
          <w:ilvl w:val="0"/>
          <w:numId w:val="224"/>
        </w:numPr>
        <w:rPr>
          <w:rFonts w:ascii="Arial" w:cs="Arial" w:eastAsia="Arial" w:hAnsi="Arial"/>
          <w:sz w:val="18"/>
          <w:szCs w:val="18"/>
          <w:color w:val="auto"/>
        </w:rPr>
      </w:pPr>
      <w:r>
        <w:rPr>
          <w:rFonts w:ascii="Arial" w:cs="Arial" w:eastAsia="Arial" w:hAnsi="Arial"/>
          <w:sz w:val="22"/>
          <w:szCs w:val="22"/>
          <w:color w:val="auto"/>
        </w:rPr>
        <w:t>sales of USAC’s equity and debt securities; and</w:t>
      </w:r>
    </w:p>
    <w:p>
      <w:pPr>
        <w:spacing w:after="0" w:line="192" w:lineRule="exact"/>
        <w:rPr>
          <w:rFonts w:ascii="Arial" w:cs="Arial" w:eastAsia="Arial" w:hAnsi="Arial"/>
          <w:sz w:val="18"/>
          <w:szCs w:val="18"/>
          <w:color w:val="auto"/>
        </w:rPr>
      </w:pPr>
    </w:p>
    <w:p>
      <w:pPr>
        <w:ind w:left="660" w:firstLine="645"/>
        <w:spacing w:after="0" w:line="239" w:lineRule="auto"/>
        <w:tabs>
          <w:tab w:leader="none" w:pos="2019" w:val="left"/>
        </w:tabs>
        <w:numPr>
          <w:ilvl w:val="0"/>
          <w:numId w:val="224"/>
        </w:numPr>
        <w:rPr>
          <w:rFonts w:ascii="Arial" w:cs="Arial" w:eastAsia="Arial" w:hAnsi="Arial"/>
          <w:sz w:val="18"/>
          <w:szCs w:val="18"/>
          <w:color w:val="auto"/>
        </w:rPr>
      </w:pPr>
      <w:r>
        <w:rPr>
          <w:rFonts w:ascii="Arial" w:cs="Arial" w:eastAsia="Arial" w:hAnsi="Arial"/>
          <w:sz w:val="22"/>
          <w:szCs w:val="22"/>
          <w:color w:val="auto"/>
        </w:rPr>
        <w:t>sales or other dispositions of assets for cash, other than inventory, accounts receivable and other assets sold in the ordinary course of business or as part of normal retirement or replacement of assets.</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i w:val="1"/>
          <w:iCs w:val="1"/>
          <w:color w:val="auto"/>
        </w:rPr>
        <w:t>Characterization of Cash Distributions</w:t>
      </w:r>
      <w:r>
        <w:rPr>
          <w:rFonts w:ascii="Arial" w:cs="Arial" w:eastAsia="Arial" w:hAnsi="Arial"/>
          <w:sz w:val="22"/>
          <w:szCs w:val="22"/>
          <w:color w:val="auto"/>
        </w:rPr>
        <w:t>. USAC’s partnership agreement requires that USAC treat all available cash</w:t>
      </w:r>
      <w:r>
        <w:rPr>
          <w:rFonts w:ascii="Arial" w:cs="Arial" w:eastAsia="Arial" w:hAnsi="Arial"/>
          <w:sz w:val="22"/>
          <w:szCs w:val="22"/>
          <w:i w:val="1"/>
          <w:iCs w:val="1"/>
          <w:color w:val="auto"/>
        </w:rPr>
        <w:t xml:space="preserve"> </w:t>
      </w:r>
      <w:r>
        <w:rPr>
          <w:rFonts w:ascii="Arial" w:cs="Arial" w:eastAsia="Arial" w:hAnsi="Arial"/>
          <w:sz w:val="22"/>
          <w:szCs w:val="22"/>
          <w:color w:val="auto"/>
        </w:rPr>
        <w:t>distributed as coming from operating surplus until the sum of all available cash distributed since January 18, 2013, the closing date of USAC’s initial public offering, equals the operating surplus from January 18, 2013 through the end of the quarter immediately preceding that distribution. USAC’s partnership agreement requires that USAC treat any amount distributed in excess of operating surplus, regardless of its source, as capital surplus. USAC does not anticipate that we will make any distributions from capital surplus.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Capital Expenditures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Maintenance capital expenditures are those capital expenditures required to maintain USAC’s long-term operating capacity and/or operating income. Capital expenditures made solely for investment purposes will not be considered maintenance capital expenditures.</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Expansion capital expenditures are those capital expenditures that USAC expects will increase USAC’s operating capacity or operating income over the long term. Expansion capital expenditures will also include interest (and related fees) on debt incurred to finance all or any portion of the construction of such capital improvement in respect of the period that commences when USAC enters into a binding obligation to commence construction of a capital improvement and ending on the earlier to occur of the date any such capital improvement commences commercial service and the date that it is abandoned or disposed of. Capital expenditures made solely for investment purposes will not be considered expansion capital expenditures.</w:t>
      </w:r>
    </w:p>
    <w:p>
      <w:pPr>
        <w:spacing w:after="0" w:line="15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Investment capital expenditures are those capital expenditures that are neither maintenance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 of securities, as well as other capital expenditures that might be made in lieu of such traditional investment capital expenditures, such as the acquisition of a capital asset for investment purposes or development of facilities that are in excess of</w:t>
      </w:r>
    </w:p>
    <w:p>
      <w:pPr>
        <w:sectPr>
          <w:pgSz w:w="11900" w:h="16838" w:orient="portrait"/>
          <w:cols w:equalWidth="0" w:num="1">
            <w:col w:w="11420"/>
          </w:cols>
          <w:pgMar w:left="240" w:top="537" w:right="239" w:bottom="1440" w:gutter="0" w:footer="0" w:header="0"/>
        </w:sectPr>
      </w:pPr>
    </w:p>
    <w:bookmarkStart w:id="278" w:name="page279"/>
    <w:bookmarkEnd w:id="278"/>
    <w:p>
      <w:pPr>
        <w:jc w:val="both"/>
        <w:spacing w:after="0" w:line="263" w:lineRule="auto"/>
        <w:rPr>
          <w:sz w:val="20"/>
          <w:szCs w:val="20"/>
          <w:color w:val="auto"/>
        </w:rPr>
      </w:pPr>
      <w:r>
        <w:rPr>
          <w:rFonts w:ascii="Arial" w:cs="Arial" w:eastAsia="Arial" w:hAnsi="Arial"/>
          <w:sz w:val="22"/>
          <w:szCs w:val="22"/>
          <w:color w:val="auto"/>
        </w:rPr>
        <w:t>the maintenance of USAC’s existing operating capacity or operating income, but which are not expected to expand, for more than the short term, USAC’s operating capacity or operating income.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As described above, neither investment capital expenditures nor expansion capital expenditures will be included in operating expenditures, and thus will not reduce operating surplus. Because expansion capital expenditures include interest payments (and related fees) on debt incurred to finance all or a portion of the construction or improvement of a capital asset (such as gathering compressors) in respect of the period that begins when USAC enters into a binding obligation to commence construction of the capital asset and ends on the earlier to occur of the date the capital asset commences commercial service or the date that it is abandoned or disposed of, such interest payments are also not subtracted from operating surplus. Losses on disposition of an investment capital expenditure will reduce operating surplus when realized and cash receipts from an investment capital expenditure will be treated as a cash receipt for purposes of calculating operating surplus only to the extent the cash receipt is a return on principal.</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Capital expenditures that are made in part for maintenance capital purposes, investment capital purposes and/or expansion capital purposes will be allocated as maintenance capital expenditures, investment capital expenditures or expansion capital expenditures by USAC’s general partner.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Distributions of Available Cash from Operating Surplus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USAC’s partnership agreement requires that USAC make distributions or payments of available cash from operating surplus for any quarter in the following manner:</w:t>
      </w:r>
    </w:p>
    <w:p>
      <w:pPr>
        <w:spacing w:after="0" w:line="148" w:lineRule="exact"/>
        <w:rPr>
          <w:sz w:val="20"/>
          <w:szCs w:val="20"/>
          <w:color w:val="auto"/>
        </w:rPr>
      </w:pPr>
    </w:p>
    <w:p>
      <w:pPr>
        <w:ind w:left="660" w:firstLine="645"/>
        <w:spacing w:after="0" w:line="239" w:lineRule="auto"/>
        <w:tabs>
          <w:tab w:leader="none" w:pos="2019" w:val="left"/>
        </w:tabs>
        <w:numPr>
          <w:ilvl w:val="0"/>
          <w:numId w:val="225"/>
        </w:numPr>
        <w:rPr>
          <w:rFonts w:ascii="Arial" w:cs="Arial" w:eastAsia="Arial" w:hAnsi="Arial"/>
          <w:sz w:val="18"/>
          <w:szCs w:val="18"/>
          <w:color w:val="auto"/>
        </w:rPr>
      </w:pPr>
      <w:r>
        <w:rPr>
          <w:rFonts w:ascii="Arial" w:cs="Arial" w:eastAsia="Arial" w:hAnsi="Arial"/>
          <w:sz w:val="22"/>
          <w:szCs w:val="22"/>
          <w:color w:val="auto"/>
        </w:rPr>
        <w:t>first, as distributions or payments with respect to the Series A preferred units (as described above under “-Distributions of Available Cash:); and</w:t>
      </w:r>
    </w:p>
    <w:p>
      <w:pPr>
        <w:spacing w:after="0" w:line="157" w:lineRule="exact"/>
        <w:rPr>
          <w:rFonts w:ascii="Arial" w:cs="Arial" w:eastAsia="Arial" w:hAnsi="Arial"/>
          <w:sz w:val="18"/>
          <w:szCs w:val="18"/>
          <w:color w:val="auto"/>
        </w:rPr>
      </w:pPr>
    </w:p>
    <w:p>
      <w:pPr>
        <w:ind w:left="2020" w:hanging="715"/>
        <w:spacing w:after="0"/>
        <w:tabs>
          <w:tab w:leader="none" w:pos="2020" w:val="left"/>
        </w:tabs>
        <w:numPr>
          <w:ilvl w:val="0"/>
          <w:numId w:val="225"/>
        </w:numPr>
        <w:rPr>
          <w:rFonts w:ascii="Arial" w:cs="Arial" w:eastAsia="Arial" w:hAnsi="Arial"/>
          <w:sz w:val="18"/>
          <w:szCs w:val="18"/>
          <w:color w:val="auto"/>
        </w:rPr>
      </w:pPr>
      <w:r>
        <w:rPr>
          <w:rFonts w:ascii="Arial" w:cs="Arial" w:eastAsia="Arial" w:hAnsi="Arial"/>
          <w:sz w:val="22"/>
          <w:szCs w:val="22"/>
          <w:color w:val="auto"/>
        </w:rPr>
        <w:t>thereafter, to the holders of common units, pro rata.</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Holders of USAC’s Class B units are not entitled to distributions from available cash prior to conversion of the Class B units into common units.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Distributions from Capital Surplus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USAC’s partnership agreement generally provides that USAC may not declare or pay any distribution from capital surplus without the affirmative vote of the holders of at least 66 2/3% of USAC’s Series A preferred units. In the event a distribution from capital surplus is so approved, USAC may make distributions of available cash from capital surplus, as if they were from operating surplus.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Distributions of Cash upon Liquidation</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USAC dissolves in accordance with its partnership agreement, USAC will sell or otherwise dispose of its assets in a process called a liquidation. USAC will first apply the proceeds of liquidation to the payment of its creditors. USAC will distribute any remaining proceeds to the unitholders, in accordance with their capital account balances, as adjusted to reflect any gain or loss upon the sale or other disposition of USAC’s assets in liquidation; provided, that any cash or cash equivalents for distributions will be distributed with respect to USAC’s Series A preferred units (up to the positive balance in the associated capital accounts), prior to any distribution of cash or cash equivalents with respect to USAC’s common units or other junior securities.</w:t>
      </w:r>
    </w:p>
    <w:p>
      <w:pPr>
        <w:sectPr>
          <w:pgSz w:w="11900" w:h="16838" w:orient="portrait"/>
          <w:cols w:equalWidth="0" w:num="1">
            <w:col w:w="11420"/>
          </w:cols>
          <w:pgMar w:left="240" w:top="564"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ENERGY TRANSFER LP, a Delaware limited partnership:</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LNG Holdings,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Partners GP,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Partners,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Energy Transfer Operating,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 LNG GP,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 LNG,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ETE Common Holdings,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ETE Services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ETP Acquisition Sub,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ETP Merger Sub A,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ETP Merger Sub B,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Partners Lease Acquisition &amp; Marketing LLC,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Alpine Holding, LLC, an Oklahoma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Beachhead Holdings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Beachhead I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Beachhead II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K.C. Asphalt L.L.C., a Colorado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Century Transportation,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Rose Rock Finance Corporation,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SemBio,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SemCAMS Midstream ULC, an Alberta unlimited liability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SemCAMS Pipelines Limited Partnership, an Alberta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SemCAMS Pipelines ULC, an Alberta unlimited liability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SemCAMS Redwillow ULC, a Nova Scotia Unlimited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SemCanada Crude Company, a Nova Scotia Unlimited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SemCanada II, L.P., an Oklahoma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SemCap, L.L.C., an Oklahoma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SemEnergy S. de R.L. de C.V.</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SemFuel Transport LLC, a Wisconsin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SemFuel, L.P., a Texas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SemGreen,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Corporation,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Asia,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Energy S. de R.L. de C.V.</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Europe Holding,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Holdings G.P.,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Holdings,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Mexico S. de R.L. de C.V.</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Netherlands B.V., a Dutch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Netherlands I B.V., a Dutch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SemGroup Subsidiary Holding,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SemManagement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SemMaterials, L.P., an Oklahoma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SemMexico, L.L.C., an Oklahoma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SemOperating G.P., L.L.C., an Oklahoma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SemProducts, L.L.C, an Oklahoma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SemStream L.P., a Delaware limited partnership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SemTrucking, L.P., an Oklahoma limited partnership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ENERGY TRANSFER OPERATING, L.P., a Delaware limited partnership:</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Advanced Meter Solutions LLC, a Delaware limited liability company</w:t>
      </w:r>
    </w:p>
    <w:p>
      <w:pPr>
        <w:sectPr>
          <w:pgSz w:w="11900" w:h="16838" w:orient="portrait"/>
          <w:cols w:equalWidth="0" w:num="1">
            <w:col w:w="11420"/>
          </w:cols>
          <w:pgMar w:left="240" w:top="554" w:right="239" w:bottom="626" w:gutter="0" w:footer="0" w:header="0"/>
        </w:sectPr>
      </w:pPr>
    </w:p>
    <w:bookmarkStart w:id="280" w:name="page281"/>
    <w:bookmarkEnd w:id="280"/>
    <w:p>
      <w:pPr>
        <w:ind w:right="4999"/>
        <w:spacing w:after="0" w:line="313" w:lineRule="auto"/>
        <w:rPr>
          <w:sz w:val="20"/>
          <w:szCs w:val="20"/>
          <w:color w:val="auto"/>
        </w:rPr>
      </w:pPr>
      <w:r>
        <w:rPr>
          <w:rFonts w:ascii="Arial" w:cs="Arial" w:eastAsia="Arial" w:hAnsi="Arial"/>
          <w:sz w:val="18"/>
          <w:szCs w:val="18"/>
          <w:color w:val="auto"/>
        </w:rPr>
        <w:t>Advantage Diesel, LLC, a Idaho limited liability company Aqua-ETC Water Solutions, LLC, a Delaware limited liability company Arguelles Pipeline, S. De R.L. De C.V., a Mexico SRL Bakken Gathering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Bakken Holdings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Bakken Pipeline Investments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Bayou Bridge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Bayview Refining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BBP Construction Management,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Buffalo Gulf Coast Terminals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Buffalo Parent Gulf Coast Terminals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Chalkley Gathering Company,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Citrus Energy Services,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Citrus ETP Finance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Citrus,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Clean Air Action Corporation,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Comanche Trail Pipeline,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Connect Gas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Consorcio Terminales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CrossCountry Citrus,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CrossCountry Energy,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Dakota Access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Dakota Access Truck Terminals,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Dakota Access,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DAL-TEX Consulting,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DAPL-ETCO Construction Management,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DAPL-ETCO Operations Management,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Dual Drive Technologies,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Eastern Gulf Crude Access,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Edwards Lime Gathering,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ELG Oil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ELG Utility LLC, a Delaware limited liability company</w:t>
      </w:r>
    </w:p>
    <w:p>
      <w:pPr>
        <w:spacing w:after="0" w:line="63" w:lineRule="exact"/>
        <w:rPr>
          <w:sz w:val="20"/>
          <w:szCs w:val="20"/>
          <w:color w:val="auto"/>
        </w:rPr>
      </w:pPr>
    </w:p>
    <w:p>
      <w:pPr>
        <w:ind w:right="3519"/>
        <w:spacing w:after="0" w:line="313" w:lineRule="auto"/>
        <w:rPr>
          <w:sz w:val="20"/>
          <w:szCs w:val="20"/>
          <w:color w:val="auto"/>
        </w:rPr>
      </w:pPr>
      <w:r>
        <w:rPr>
          <w:rFonts w:ascii="Arial" w:cs="Arial" w:eastAsia="Arial" w:hAnsi="Arial"/>
          <w:sz w:val="18"/>
          <w:szCs w:val="18"/>
          <w:color w:val="auto"/>
        </w:rPr>
        <w:t>Energy Transfer (Beijing) Energy Technology Co., Ltd., a Chinese limited liability company Energy Transfer Aviation LLC, a Delaware limited liability company</w:t>
      </w:r>
    </w:p>
    <w:p>
      <w:pPr>
        <w:ind w:right="4319"/>
        <w:spacing w:after="0" w:line="352" w:lineRule="auto"/>
        <w:rPr>
          <w:sz w:val="20"/>
          <w:szCs w:val="20"/>
          <w:color w:val="auto"/>
        </w:rPr>
      </w:pPr>
      <w:r>
        <w:rPr>
          <w:rFonts w:ascii="Arial" w:cs="Arial" w:eastAsia="Arial" w:hAnsi="Arial"/>
          <w:sz w:val="16"/>
          <w:szCs w:val="16"/>
          <w:color w:val="auto"/>
        </w:rPr>
        <w:t>Energy Transfer Crude Oil Company, LLC, a Delaware limited liability company Energy Transfer Data Center,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Employee Management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Fuel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Fuel,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Group,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International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Interstate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LNG Export,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Management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Mexicana,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Rail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Retail Power,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 Terminalling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Company I,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Crude Oil Terminals, LLC,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Fuel Pipeline,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Rover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Starfish Holdings,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 TexLa Holdings LLC</w:t>
      </w:r>
    </w:p>
    <w:p>
      <w:pPr>
        <w:spacing w:after="0" w:line="63" w:lineRule="exact"/>
        <w:rPr>
          <w:sz w:val="20"/>
          <w:szCs w:val="20"/>
          <w:color w:val="auto"/>
        </w:rPr>
      </w:pPr>
    </w:p>
    <w:p>
      <w:pPr>
        <w:ind w:right="4899"/>
        <w:spacing w:after="0" w:line="313" w:lineRule="auto"/>
        <w:rPr>
          <w:sz w:val="20"/>
          <w:szCs w:val="20"/>
          <w:color w:val="auto"/>
        </w:rPr>
      </w:pPr>
      <w:r>
        <w:rPr>
          <w:rFonts w:ascii="Arial" w:cs="Arial" w:eastAsia="Arial" w:hAnsi="Arial"/>
          <w:sz w:val="18"/>
          <w:szCs w:val="18"/>
          <w:color w:val="auto"/>
        </w:rPr>
        <w:t>ETC Bayou Bridge Holdings, LLC, a Delaware limited liability company ETC Champ Pipeline LLC</w:t>
      </w:r>
    </w:p>
    <w:p>
      <w:pPr>
        <w:spacing w:after="0"/>
        <w:rPr>
          <w:sz w:val="20"/>
          <w:szCs w:val="20"/>
          <w:color w:val="auto"/>
        </w:rPr>
      </w:pPr>
      <w:r>
        <w:rPr>
          <w:rFonts w:ascii="Arial" w:cs="Arial" w:eastAsia="Arial" w:hAnsi="Arial"/>
          <w:sz w:val="18"/>
          <w:szCs w:val="18"/>
          <w:color w:val="auto"/>
        </w:rPr>
        <w:t>ETC China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Compression, LLC, a Delaware limited liability company</w:t>
      </w:r>
    </w:p>
    <w:p>
      <w:pPr>
        <w:sectPr>
          <w:pgSz w:w="11900" w:h="16838" w:orient="portrait"/>
          <w:cols w:equalWidth="0" w:num="1">
            <w:col w:w="10179"/>
          </w:cols>
          <w:pgMar w:left="280" w:top="720" w:right="1440" w:bottom="0" w:gutter="0" w:footer="0" w:header="0"/>
        </w:sectPr>
      </w:pPr>
    </w:p>
    <w:bookmarkStart w:id="281" w:name="page282"/>
    <w:bookmarkEnd w:id="2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ETC Endure Energy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Energy Transfer,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ETC Fayetteville Express Pipeline,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ETC Fayetteville Operating Company,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ETC Gas Company,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Gas Storage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Hydrocarbons,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Illinois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ETC Interstate Procurement Company,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ETC Intrastate Procurement Company,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ETC Katy Pipeline, LLC,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M-A Acquisition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Marketing,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ETC Midcontinent Express Pipeline, L.L.C., a Delaware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ETC NGL Marketing,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NGL Transport,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 Dakota Terminalling,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ETC Northeast Development, LLC, a West Virginia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ETC Northeast Field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Midstream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PennTex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Sunoco Holdings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Texas Pipeline,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Tiger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Tilden System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 Water Solutions,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ETCO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ETP Crude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ETP Holdco Corporation,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ETP Retail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Evergreen Assurance,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Evergreen Capital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Evergreen Resources Group,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Explorer Pipeline Company,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Fayetteville Express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FEP Arkansas Pipeline, LLC, an Arkansas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Five Dawaco, LLC, a Texas limited liability company</w:t>
      </w:r>
    </w:p>
    <w:p>
      <w:pPr>
        <w:spacing w:after="0" w:line="63" w:lineRule="exact"/>
        <w:rPr>
          <w:sz w:val="20"/>
          <w:szCs w:val="20"/>
          <w:color w:val="auto"/>
        </w:rPr>
      </w:pPr>
    </w:p>
    <w:p>
      <w:pPr>
        <w:ind w:right="4399"/>
        <w:spacing w:after="0" w:line="313" w:lineRule="auto"/>
        <w:rPr>
          <w:sz w:val="20"/>
          <w:szCs w:val="20"/>
          <w:color w:val="auto"/>
        </w:rPr>
      </w:pPr>
      <w:r>
        <w:rPr>
          <w:rFonts w:ascii="Arial" w:cs="Arial" w:eastAsia="Arial" w:hAnsi="Arial"/>
          <w:sz w:val="18"/>
          <w:szCs w:val="18"/>
          <w:color w:val="auto"/>
        </w:rPr>
        <w:t>Florida Gas Transmission Company, LLC, a Delaware limited liability company FLST LLC, a Delaware limited liability company</w:t>
      </w:r>
    </w:p>
    <w:p>
      <w:pPr>
        <w:spacing w:after="0"/>
        <w:rPr>
          <w:sz w:val="20"/>
          <w:szCs w:val="20"/>
          <w:color w:val="auto"/>
        </w:rPr>
      </w:pPr>
      <w:r>
        <w:rPr>
          <w:rFonts w:ascii="Arial" w:cs="Arial" w:eastAsia="Arial" w:hAnsi="Arial"/>
          <w:sz w:val="18"/>
          <w:szCs w:val="18"/>
          <w:color w:val="auto"/>
        </w:rPr>
        <w:t>FrontStreet Hugoton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Glass Mountain Holding,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Grayson Pipeline,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Greyhawk Gas Storage Company,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Gulf States Transmission LLC, a Louisiana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Helios Assurance Company, Limited, a Limited Bermuda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Heritage ETC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Heritage ETC,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HFOTCO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Houston Pipe Line Company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Asset Holdings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Consolidation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GP, LLC, a Delaware limited liability company</w:t>
      </w:r>
    </w:p>
    <w:p>
      <w:pPr>
        <w:spacing w:after="0" w:line="63" w:lineRule="exact"/>
        <w:rPr>
          <w:sz w:val="20"/>
          <w:szCs w:val="20"/>
          <w:color w:val="auto"/>
        </w:rPr>
      </w:pPr>
    </w:p>
    <w:p>
      <w:pPr>
        <w:ind w:right="4519"/>
        <w:spacing w:after="0" w:line="313" w:lineRule="auto"/>
        <w:rPr>
          <w:sz w:val="20"/>
          <w:szCs w:val="20"/>
          <w:color w:val="auto"/>
        </w:rPr>
      </w:pPr>
      <w:r>
        <w:rPr>
          <w:rFonts w:ascii="Arial" w:cs="Arial" w:eastAsia="Arial" w:hAnsi="Arial"/>
          <w:sz w:val="18"/>
          <w:szCs w:val="18"/>
          <w:color w:val="auto"/>
        </w:rPr>
        <w:t>HPL Houston Pipe Line Company, LLC, a Delaware limited liability company HPL Leaseco LP, a Delaware limited partnership</w:t>
      </w:r>
    </w:p>
    <w:p>
      <w:pPr>
        <w:spacing w:after="0"/>
        <w:rPr>
          <w:sz w:val="20"/>
          <w:szCs w:val="20"/>
          <w:color w:val="auto"/>
        </w:rPr>
      </w:pPr>
      <w:r>
        <w:rPr>
          <w:rFonts w:ascii="Arial" w:cs="Arial" w:eastAsia="Arial" w:hAnsi="Arial"/>
          <w:sz w:val="18"/>
          <w:szCs w:val="18"/>
          <w:color w:val="auto"/>
        </w:rPr>
        <w:t>HPL Resources Company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HPL Storage GP LLC, a Delaware limited liability company</w:t>
      </w:r>
    </w:p>
    <w:p>
      <w:pPr>
        <w:sectPr>
          <w:pgSz w:w="11900" w:h="16838" w:orient="portrait"/>
          <w:cols w:equalWidth="0" w:num="1">
            <w:col w:w="10179"/>
          </w:cols>
          <w:pgMar w:left="280" w:top="720" w:right="1440" w:bottom="0" w:gutter="0" w:footer="0" w:header="0"/>
        </w:sectPr>
      </w:pPr>
    </w:p>
    <w:bookmarkStart w:id="283" w:name="page284"/>
    <w:bookmarkEnd w:id="2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Inland Corporation, an Ohio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J.C. Nolan Pipeline Co.,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J.C. Nolan Terminal Co.,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Japan Sun Oil Company, Ltd., a Japan 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Kanawha Rail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 GP,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 Grange Acquisition, L.P.,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LaGrange-ETCOP Operating Company,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Lake Charles Exports,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Lake Charles LNG Company, LLC,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Lake Charles LNG Export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Lee 8 Storage Partnership,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LG PL,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LGM,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Liberty Pipeline Group,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Libre Insurance Company, Ltd., a Bermuda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LJL, LLC, a West Virginia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Loadout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Lobo Pipeline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Marine Facilities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Asset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Asset Holdings II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Asset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Development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Fractionators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Hattiesburg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Marketing LLC, a Delaware limited liability company</w:t>
      </w:r>
    </w:p>
    <w:p>
      <w:pPr>
        <w:spacing w:after="0" w:line="63" w:lineRule="exact"/>
        <w:rPr>
          <w:sz w:val="20"/>
          <w:szCs w:val="20"/>
          <w:color w:val="auto"/>
        </w:rPr>
      </w:pPr>
    </w:p>
    <w:p>
      <w:pPr>
        <w:ind w:right="4599"/>
        <w:spacing w:after="0" w:line="331" w:lineRule="auto"/>
        <w:rPr>
          <w:sz w:val="20"/>
          <w:szCs w:val="20"/>
          <w:color w:val="auto"/>
        </w:rPr>
      </w:pPr>
      <w:r>
        <w:rPr>
          <w:rFonts w:ascii="Arial" w:cs="Arial" w:eastAsia="Arial" w:hAnsi="Arial"/>
          <w:sz w:val="17"/>
          <w:szCs w:val="17"/>
          <w:color w:val="auto"/>
        </w:rPr>
        <w:t>Lone Star NGL Mont Belvieu GP LLC, a Delaware limited liability company Lone Star NGL Mont Belvieu LP, a Delaware limited partnership</w:t>
      </w:r>
    </w:p>
    <w:p>
      <w:pPr>
        <w:spacing w:after="0" w:line="1" w:lineRule="exact"/>
        <w:rPr>
          <w:sz w:val="20"/>
          <w:szCs w:val="20"/>
          <w:color w:val="auto"/>
        </w:rPr>
      </w:pPr>
    </w:p>
    <w:p>
      <w:pPr>
        <w:ind w:right="4159"/>
        <w:spacing w:after="0" w:line="313" w:lineRule="auto"/>
        <w:rPr>
          <w:sz w:val="20"/>
          <w:szCs w:val="20"/>
          <w:color w:val="auto"/>
        </w:rPr>
      </w:pPr>
      <w:r>
        <w:rPr>
          <w:rFonts w:ascii="Arial" w:cs="Arial" w:eastAsia="Arial" w:hAnsi="Arial"/>
          <w:sz w:val="18"/>
          <w:szCs w:val="18"/>
          <w:color w:val="auto"/>
        </w:rPr>
        <w:t>Lone Star NGL Mont Belvieu Pipelines LLC, a Delaware limited liability company Lone Star NGL Pipeline LP, a Delaware limited partnership</w:t>
      </w:r>
    </w:p>
    <w:p>
      <w:pPr>
        <w:spacing w:after="0"/>
        <w:rPr>
          <w:sz w:val="20"/>
          <w:szCs w:val="20"/>
          <w:color w:val="auto"/>
        </w:rPr>
      </w:pPr>
      <w:r>
        <w:rPr>
          <w:rFonts w:ascii="Arial" w:cs="Arial" w:eastAsia="Arial" w:hAnsi="Arial"/>
          <w:sz w:val="18"/>
          <w:szCs w:val="18"/>
          <w:color w:val="auto"/>
        </w:rPr>
        <w:t>Lone Star NGL Product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Refinery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Sea Robin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Materials Handling Solutions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Maurepas Holding,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Maurepas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 Vida JV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Mid-America Midstream Gas Services, L.L.C., an Oklahoma limited liability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Mid Valley Pipeline Company LLC, an Ohio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Midcontinent Express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Midstream Logistics,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Midwest Connector Capital Company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Oasis Pipe Line Finance Company,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Oasis Pipeline, LP,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 River System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Oil Casualty Insurance, Ltd., a Bermuda Limited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Oil Insurance Limited, Bermuda limited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Old Ocean Pipeline,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Orbit Gulf Coast NGL Exports,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Pacific Ethanol Central,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 Gas Storage LLC ,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Panhandle Eastern Pipe Line Company,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Panhandle Energy LNG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Panhandle Storage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PEI Power II,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PEI Power LLC, a Pennsylvania limited liability company</w:t>
      </w:r>
    </w:p>
    <w:p>
      <w:pPr>
        <w:sectPr>
          <w:pgSz w:w="11900" w:h="16838" w:orient="portrait"/>
          <w:cols w:equalWidth="0" w:num="1">
            <w:col w:w="10179"/>
          </w:cols>
          <w:pgMar w:left="280" w:top="720" w:right="1440" w:bottom="0" w:gutter="0" w:footer="0" w:header="0"/>
        </w:sectPr>
      </w:pPr>
    </w:p>
    <w:bookmarkStart w:id="285" w:name="page286"/>
    <w:bookmarkEnd w:id="2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Pelico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Penn Virginia Operating Co.,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PEPL Real Estate,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Partners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Partners Operating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Terminal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Permian Gulf Coast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PES Energy Inc.,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PES Equity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PES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PG Energy Inc., a Pennsylvania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Philadelphia Energy Solutions LLC, a Delaware limited liability company</w:t>
      </w:r>
    </w:p>
    <w:p>
      <w:pPr>
        <w:spacing w:after="0" w:line="63" w:lineRule="exact"/>
        <w:rPr>
          <w:sz w:val="20"/>
          <w:szCs w:val="20"/>
          <w:color w:val="auto"/>
        </w:rPr>
      </w:pPr>
    </w:p>
    <w:p>
      <w:pPr>
        <w:ind w:right="3059"/>
        <w:spacing w:after="0" w:line="313" w:lineRule="auto"/>
        <w:rPr>
          <w:sz w:val="20"/>
          <w:szCs w:val="20"/>
          <w:color w:val="auto"/>
        </w:rPr>
      </w:pPr>
      <w:r>
        <w:rPr>
          <w:rFonts w:ascii="Arial" w:cs="Arial" w:eastAsia="Arial" w:hAnsi="Arial"/>
          <w:sz w:val="18"/>
          <w:szCs w:val="18"/>
          <w:color w:val="auto"/>
        </w:rPr>
        <w:t>Philadelphia Energy Solutions Refining and Marketing LLC, a Delaware limited liability company Price River Terminal, LLC, a Texas limited liability company</w:t>
      </w:r>
    </w:p>
    <w:p>
      <w:pPr>
        <w:ind w:right="4899"/>
        <w:spacing w:after="0" w:line="331" w:lineRule="auto"/>
        <w:rPr>
          <w:sz w:val="20"/>
          <w:szCs w:val="20"/>
          <w:color w:val="auto"/>
        </w:rPr>
      </w:pPr>
      <w:r>
        <w:rPr>
          <w:rFonts w:ascii="Arial" w:cs="Arial" w:eastAsia="Arial" w:hAnsi="Arial"/>
          <w:sz w:val="17"/>
          <w:szCs w:val="17"/>
          <w:color w:val="auto"/>
        </w:rPr>
        <w:t>PVR Midstream JV Holdings LLC, a Delaware limited liability company Ranch Westex JV LLC, a Delaware limited liability company</w:t>
      </w:r>
    </w:p>
    <w:p>
      <w:pPr>
        <w:spacing w:after="0" w:line="1" w:lineRule="exact"/>
        <w:rPr>
          <w:sz w:val="20"/>
          <w:szCs w:val="20"/>
          <w:color w:val="auto"/>
        </w:rPr>
      </w:pPr>
    </w:p>
    <w:p>
      <w:pPr>
        <w:ind w:right="5019"/>
        <w:spacing w:after="0" w:line="352" w:lineRule="auto"/>
        <w:rPr>
          <w:sz w:val="20"/>
          <w:szCs w:val="20"/>
          <w:color w:val="auto"/>
        </w:rPr>
      </w:pPr>
      <w:r>
        <w:rPr>
          <w:rFonts w:ascii="Arial" w:cs="Arial" w:eastAsia="Arial" w:hAnsi="Arial"/>
          <w:sz w:val="16"/>
          <w:szCs w:val="16"/>
          <w:color w:val="auto"/>
        </w:rPr>
        <w:t>Red Bluff Express Pipeline, LLC, a Delaware limited liability company Regency Crude Marketing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Regency Employees Management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Energy Finance Corp.,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Energy Partners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Gas Services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GP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Hydrocarbons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Intrastate Gas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Marcellus Gas Gathering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NEPA Gas Gathering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OLP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Texas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Utica Gas Gathering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Regency Utica Holdco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RGP Marketing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RIGS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RIGS Haynesville Partnership Co., a Delaware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Rocky Cliffs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Rose Rock Midstream Crude,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Rose Rock Midstream Energy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Rose Rock Midstream Field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Rose Rock Midstream Operating,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Rover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RSS Water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SemCrude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SemDevelopment,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SemGas Gathering,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SemGas Storage,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SemGas, L.P., an Oklahoma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SemKan,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Sea Robin Pipeline Company, LLC ,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 Energy Products &amp; Services, L.P.,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SEC General Holdings,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Gas Company, Inc., a Texas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Panhandle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Starfish Pipeline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Steuben Development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Stingray Pipeline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 Gas Services Operating Company, Inc., a Delaware corporation</w:t>
      </w:r>
    </w:p>
    <w:p>
      <w:pPr>
        <w:sectPr>
          <w:pgSz w:w="11900" w:h="16838" w:orient="portrait"/>
          <w:cols w:equalWidth="0" w:num="1">
            <w:col w:w="10179"/>
          </w:cols>
          <w:pgMar w:left="280" w:top="720" w:right="1440" w:bottom="0" w:gutter="0" w:footer="0" w:header="0"/>
        </w:sectPr>
      </w:pPr>
    </w:p>
    <w:bookmarkStart w:id="287" w:name="page288"/>
    <w:bookmarkEnd w:id="2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SU Holding Company, Inc., a Delaware corporation</w:t>
      </w:r>
    </w:p>
    <w:p>
      <w:pPr>
        <w:spacing w:after="0" w:line="63" w:lineRule="exact"/>
        <w:rPr>
          <w:sz w:val="20"/>
          <w:szCs w:val="20"/>
          <w:color w:val="auto"/>
        </w:rPr>
      </w:pPr>
    </w:p>
    <w:p>
      <w:pPr>
        <w:ind w:right="3579"/>
        <w:spacing w:after="0" w:line="313" w:lineRule="auto"/>
        <w:rPr>
          <w:sz w:val="20"/>
          <w:szCs w:val="20"/>
          <w:color w:val="auto"/>
        </w:rPr>
      </w:pPr>
      <w:r>
        <w:rPr>
          <w:rFonts w:ascii="Arial" w:cs="Arial" w:eastAsia="Arial" w:hAnsi="Arial"/>
          <w:sz w:val="18"/>
          <w:szCs w:val="18"/>
          <w:color w:val="auto"/>
        </w:rPr>
        <w:t>Sun Atlantic Refining and Marketing Company, LLC, a Delaware limited liability company Sun Canada, Inc., a Delaware corporation</w:t>
      </w:r>
    </w:p>
    <w:p>
      <w:pPr>
        <w:spacing w:after="0"/>
        <w:rPr>
          <w:sz w:val="20"/>
          <w:szCs w:val="20"/>
          <w:color w:val="auto"/>
        </w:rPr>
      </w:pPr>
      <w:r>
        <w:rPr>
          <w:rFonts w:ascii="Arial" w:cs="Arial" w:eastAsia="Arial" w:hAnsi="Arial"/>
          <w:sz w:val="18"/>
          <w:szCs w:val="18"/>
          <w:color w:val="auto"/>
        </w:rPr>
        <w:t>Sun International Limited, a Bermuda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Lubricants and Specialty Products Inc., a Quebec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Oil Export Company,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Pipe Line Company of Delaware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 Transport,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(R&amp;M), LLC, a Pennsylvania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GP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Sunoco Logistics Partners Operations GP LLC, a Delaware limited liability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Operations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LP, a Delaware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Midland Terminal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Sunoco Overseas, Inc., a Delaware corporation</w:t>
      </w:r>
    </w:p>
    <w:p>
      <w:pPr>
        <w:spacing w:after="0" w:line="63" w:lineRule="exact"/>
        <w:rPr>
          <w:sz w:val="20"/>
          <w:szCs w:val="20"/>
          <w:color w:val="auto"/>
        </w:rPr>
      </w:pPr>
    </w:p>
    <w:p>
      <w:pPr>
        <w:ind w:right="4899"/>
        <w:spacing w:after="0" w:line="352" w:lineRule="auto"/>
        <w:rPr>
          <w:sz w:val="20"/>
          <w:szCs w:val="20"/>
          <w:color w:val="auto"/>
        </w:rPr>
      </w:pPr>
      <w:r>
        <w:rPr>
          <w:rFonts w:ascii="Arial" w:cs="Arial" w:eastAsia="Arial" w:hAnsi="Arial"/>
          <w:sz w:val="16"/>
          <w:szCs w:val="16"/>
          <w:color w:val="auto"/>
        </w:rPr>
        <w:t>Sunoco Partners Marketing &amp; Terminals L.P., a Texas limited partnership Sunoco Partners Operating LLC, a Delaware limited liability company</w:t>
      </w:r>
    </w:p>
    <w:p>
      <w:pPr>
        <w:spacing w:after="0" w:line="1" w:lineRule="exact"/>
        <w:rPr>
          <w:sz w:val="20"/>
          <w:szCs w:val="20"/>
          <w:color w:val="auto"/>
        </w:rPr>
      </w:pPr>
    </w:p>
    <w:p>
      <w:pPr>
        <w:ind w:right="4119"/>
        <w:spacing w:after="0" w:line="331" w:lineRule="auto"/>
        <w:rPr>
          <w:sz w:val="20"/>
          <w:szCs w:val="20"/>
          <w:color w:val="auto"/>
        </w:rPr>
      </w:pPr>
      <w:r>
        <w:rPr>
          <w:rFonts w:ascii="Arial" w:cs="Arial" w:eastAsia="Arial" w:hAnsi="Arial"/>
          <w:sz w:val="17"/>
          <w:szCs w:val="17"/>
          <w:color w:val="auto"/>
        </w:rPr>
        <w:t>Sunoco Partners Real Estate Acquisition LLC, a Delaware limited liability company Sunoco Partners Rockies LLC, a Delaware limited liability company</w:t>
      </w:r>
    </w:p>
    <w:p>
      <w:pPr>
        <w:spacing w:after="0" w:line="1" w:lineRule="exact"/>
        <w:rPr>
          <w:sz w:val="20"/>
          <w:szCs w:val="20"/>
          <w:color w:val="auto"/>
        </w:rPr>
      </w:pPr>
    </w:p>
    <w:p>
      <w:pPr>
        <w:ind w:right="4979"/>
        <w:spacing w:after="0" w:line="313" w:lineRule="auto"/>
        <w:rPr>
          <w:sz w:val="20"/>
          <w:szCs w:val="20"/>
          <w:color w:val="auto"/>
        </w:rPr>
      </w:pPr>
      <w:r>
        <w:rPr>
          <w:rFonts w:ascii="Arial" w:cs="Arial" w:eastAsia="Arial" w:hAnsi="Arial"/>
          <w:sz w:val="18"/>
          <w:szCs w:val="18"/>
          <w:color w:val="auto"/>
        </w:rPr>
        <w:t>Sunoco Pipeline Acquisition LLC, a Delaware limited liability company Sunoco Pipeline L.P., a Texas limited partnership</w:t>
      </w:r>
    </w:p>
    <w:p>
      <w:pPr>
        <w:spacing w:after="0"/>
        <w:rPr>
          <w:sz w:val="20"/>
          <w:szCs w:val="20"/>
          <w:color w:val="auto"/>
        </w:rPr>
      </w:pPr>
      <w:r>
        <w:rPr>
          <w:rFonts w:ascii="Arial" w:cs="Arial" w:eastAsia="Arial" w:hAnsi="Arial"/>
          <w:sz w:val="18"/>
          <w:szCs w:val="18"/>
          <w:color w:val="auto"/>
        </w:rPr>
        <w:t>Sweeney Gathering, L.P.,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TETC,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Energy Transfer Company, Ltd., a Texas limited partnership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Texas Energy Transfer Power,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Energy Transfer/Sunoco Foundation, a Pennsylvania non-profit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Toney Fork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Leasing, LLC, a Idaho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Properties, LLC, a Idaho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Williston, LLC, a Idaho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 Star, LLC, a Idaho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Trans-Pecos Pipeline,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Transwestern Pipeline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Triton Gathering,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Trunkline Field Services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Trunkline Gas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Trunkline LNG Holdings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 Compression GP, LLC, a Delaware limited liability company</w:t>
      </w:r>
    </w:p>
    <w:p>
      <w:pPr>
        <w:spacing w:after="0" w:line="63" w:lineRule="exact"/>
        <w:rPr>
          <w:sz w:val="20"/>
          <w:szCs w:val="20"/>
          <w:color w:val="auto"/>
        </w:rPr>
      </w:pPr>
    </w:p>
    <w:p>
      <w:pPr>
        <w:ind w:right="3999"/>
        <w:spacing w:after="0" w:line="313" w:lineRule="auto"/>
        <w:rPr>
          <w:sz w:val="20"/>
          <w:szCs w:val="20"/>
          <w:color w:val="auto"/>
        </w:rPr>
      </w:pPr>
      <w:r>
        <w:rPr>
          <w:rFonts w:ascii="Arial" w:cs="Arial" w:eastAsia="Arial" w:hAnsi="Arial"/>
          <w:sz w:val="18"/>
          <w:szCs w:val="18"/>
          <w:color w:val="auto"/>
        </w:rPr>
        <w:t>USA Compression Management Services, LLC, a Delaware limited liability company Venezoil, C.A., a Venezuela other</w:t>
      </w:r>
    </w:p>
    <w:p>
      <w:pPr>
        <w:spacing w:after="0"/>
        <w:rPr>
          <w:sz w:val="20"/>
          <w:szCs w:val="20"/>
          <w:color w:val="auto"/>
        </w:rPr>
      </w:pPr>
      <w:r>
        <w:rPr>
          <w:rFonts w:ascii="Arial" w:cs="Arial" w:eastAsia="Arial" w:hAnsi="Arial"/>
          <w:sz w:val="18"/>
          <w:szCs w:val="18"/>
          <w:color w:val="auto"/>
        </w:rPr>
        <w:t>Vista Mar Pipeline, LLC, a Texas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Wattenberg Holding, LLC, an Oklahoma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Waha Express Pipeline, LLC, a Delaware limited liability company</w:t>
      </w:r>
    </w:p>
    <w:p>
      <w:pPr>
        <w:spacing w:after="0" w:line="63" w:lineRule="exact"/>
        <w:rPr>
          <w:sz w:val="20"/>
          <w:szCs w:val="20"/>
          <w:color w:val="auto"/>
        </w:rPr>
      </w:pPr>
    </w:p>
    <w:p>
      <w:pPr>
        <w:ind w:right="4119"/>
        <w:spacing w:after="0" w:line="313" w:lineRule="auto"/>
        <w:rPr>
          <w:sz w:val="20"/>
          <w:szCs w:val="20"/>
          <w:color w:val="auto"/>
        </w:rPr>
      </w:pPr>
      <w:r>
        <w:rPr>
          <w:rFonts w:ascii="Arial" w:cs="Arial" w:eastAsia="Arial" w:hAnsi="Arial"/>
          <w:sz w:val="18"/>
          <w:szCs w:val="18"/>
          <w:color w:val="auto"/>
        </w:rPr>
        <w:t>West Cameron Dehydration Company, L.L.C., a Delaware limited liability company West Shore Pipe Line Company, a Delaware corporation</w:t>
      </w:r>
    </w:p>
    <w:p>
      <w:pPr>
        <w:spacing w:after="0"/>
        <w:rPr>
          <w:sz w:val="20"/>
          <w:szCs w:val="20"/>
          <w:color w:val="auto"/>
        </w:rPr>
      </w:pPr>
      <w:r>
        <w:rPr>
          <w:rFonts w:ascii="Arial" w:cs="Arial" w:eastAsia="Arial" w:hAnsi="Arial"/>
          <w:sz w:val="18"/>
          <w:szCs w:val="18"/>
          <w:color w:val="auto"/>
        </w:rPr>
        <w:t>West Texas Gulf Pipe Line Company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Westex Energy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WGP-KHC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White Cliffs Pipeline, L.L.C., a Delaware limited liability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Wolverine Pipe Line Company, a Delaware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Yellowstone Pipe Line Company, a Delaware corporation</w:t>
      </w:r>
    </w:p>
    <w:p>
      <w:pPr>
        <w:sectPr>
          <w:pgSz w:w="11900" w:h="16838" w:orient="portrait"/>
          <w:cols w:equalWidth="0" w:num="1">
            <w:col w:w="10179"/>
          </w:cols>
          <w:pgMar w:left="280" w:top="719" w:right="1440"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color w:val="auto"/>
        </w:rPr>
        <w:t>SUBSIDIARIES OF SUNOCO LP, a Delaware limited partnership:</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Aloha Petroleum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Aloha Petroleum, Ltd., a Hawaii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J.C. Nolan Pipeline Co.,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J.C. Nolan Terminal Co.,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Sandford Oil Company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BevCo I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BevCo II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Beverage,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Stripes Acquisition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 LP Pipeline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 LP Terminals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Sunmarks,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Caddo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Finance Corp.,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NLR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Property Company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Refined Products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Retail LLC, a Pennsylvania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TCFS Holdings, Inc. a Texas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TND Beverage,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Town &amp; Country Food Stores, Inc., a Texas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USA COMPRESSION PARTNERS, LP, a Delaware limited partnership:</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CDM Environmental &amp; Technical Services,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CDM Resource Management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 Compression Finance, Corp., a Delaware corporation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 Compression Partners,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Leasing, LLC, a Delaware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OpCo 2, LLC, a Texas limited liability 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Leasing 2, LLC, a Texas limited liability company</w:t>
      </w:r>
    </w:p>
    <w:p>
      <w:pPr>
        <w:sectPr>
          <w:pgSz w:w="11900" w:h="16838" w:orient="portrait"/>
          <w:cols w:equalWidth="0" w:num="1">
            <w:col w:w="10219"/>
          </w:cols>
          <w:pgMar w:left="240" w:top="715" w:right="1440"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issued our reports dated February 21, 2020, with respect to the consolidated financial statements and internal control over financial reporting included in the Annual Report of Energy Transfer LP on Form 10-K for the year ended December 31, 2019. We consent to the incorporation by reference of said reports in the Registration Statements of Energy Transfer LP on Forms S-3 (File No. 333-228737, File No. 333-216451, File No. 333-215969, File No. 333-215893, and File No. 333-146300) and on Forms S-8 (File No. 333-229456 and File No. 333-146298).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553" w:right="239" w:bottom="1440" w:gutter="0" w:footer="0" w:header="0"/>
        </w:sectPr>
      </w:pPr>
    </w:p>
    <w:bookmarkStart w:id="291" w:name="page292"/>
    <w:bookmarkEnd w:id="291"/>
    <w:p>
      <w:pPr>
        <w:ind w:left="1048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Kelcy L. Warren, certify that:</w:t>
      </w:r>
    </w:p>
    <w:p>
      <w:pPr>
        <w:spacing w:after="0" w:line="171" w:lineRule="exact"/>
        <w:rPr>
          <w:sz w:val="20"/>
          <w:szCs w:val="20"/>
          <w:color w:val="auto"/>
        </w:rPr>
      </w:pPr>
    </w:p>
    <w:p>
      <w:pPr>
        <w:ind w:left="980" w:hanging="648"/>
        <w:spacing w:after="0"/>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LP;</w:t>
      </w:r>
    </w:p>
    <w:p>
      <w:pPr>
        <w:spacing w:after="0" w:line="17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20" w:hanging="648"/>
        <w:spacing w:after="0" w:line="342" w:lineRule="auto"/>
        <w:tabs>
          <w:tab w:leader="none" w:pos="9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620" w:hanging="640"/>
        <w:spacing w:after="0" w:line="264"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hanging="640"/>
        <w:spacing w:after="0" w:line="342" w:lineRule="auto"/>
        <w:tabs>
          <w:tab w:leader="none" w:pos="162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620" w:hanging="640"/>
        <w:spacing w:after="0" w:line="308" w:lineRule="auto"/>
        <w:tabs>
          <w:tab w:leader="none" w:pos="162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620" w:right="20" w:hanging="640"/>
        <w:spacing w:after="0" w:line="277" w:lineRule="auto"/>
        <w:tabs>
          <w:tab w:leader="none" w:pos="16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3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Kelcy L.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4047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Kelcy L. Warren</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54" w:right="239" w:bottom="1440" w:gutter="0" w:footer="0" w:header="0"/>
        </w:sectPr>
      </w:pPr>
    </w:p>
    <w:bookmarkStart w:id="292" w:name="page293"/>
    <w:bookmarkEnd w:id="292"/>
    <w:p>
      <w:pPr>
        <w:ind w:left="1048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LP;</w:t>
      </w:r>
    </w:p>
    <w:p>
      <w:pPr>
        <w:spacing w:after="0" w:line="17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20" w:hanging="648"/>
        <w:spacing w:after="0" w:line="342" w:lineRule="auto"/>
        <w:tabs>
          <w:tab w:leader="none" w:pos="9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620" w:hanging="640"/>
        <w:spacing w:after="0" w:line="264" w:lineRule="auto"/>
        <w:tabs>
          <w:tab w:leader="none" w:pos="16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hanging="640"/>
        <w:spacing w:after="0" w:line="342" w:lineRule="auto"/>
        <w:tabs>
          <w:tab w:leader="none" w:pos="162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620" w:hanging="640"/>
        <w:spacing w:after="0" w:line="264" w:lineRule="auto"/>
        <w:tabs>
          <w:tab w:leader="none" w:pos="16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1620" w:hanging="640"/>
        <w:spacing w:after="0" w:line="308" w:lineRule="auto"/>
        <w:tabs>
          <w:tab w:leader="none" w:pos="162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620" w:right="20" w:hanging="640"/>
        <w:spacing w:after="0" w:line="277" w:lineRule="auto"/>
        <w:tabs>
          <w:tab w:leader="none" w:pos="16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3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40474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2">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Thomas E. Long</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3"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Energy Transfer LP (the “Partnership”) on Form 10-K for the year ended December 31, 2019, as filed with the Securities and Exchange Commission on the date hereof (the “Report”), I, Kelcy L. Warren, Chief Executive Officer, certify, pursuant to 18 U.S.C. Section 1350, as adopted pursuant to Section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3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Kelcy L.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3">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Kelcy L. Warren</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p>
      <w:pPr>
        <w:sectPr>
          <w:pgSz w:w="11900" w:h="16838" w:orient="portrait"/>
          <w:cols w:equalWidth="0" w:num="1">
            <w:col w:w="11420"/>
          </w:cols>
          <w:pgMar w:left="240" w:top="554"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Energy Transfer LP (the “Partnership”) on Form 10-K for the year ended December 31, 2019, as filed with the Securities and Exchange Commission on the date hereof (the “Report”), I, Thomas E. Long, Chief Financial Officer, certify, pursuant to 18 U.S.C. Section 1350, as adopted pursuant to Section 906 of the Sarbanes-Oxley Act of 2002, that to the best of my knowledge:</w:t>
      </w:r>
    </w:p>
    <w:p>
      <w:pPr>
        <w:spacing w:after="0" w:line="127" w:lineRule="exact"/>
        <w:rPr>
          <w:sz w:val="20"/>
          <w:szCs w:val="20"/>
          <w:color w:val="auto"/>
        </w:rPr>
      </w:pPr>
    </w:p>
    <w:p>
      <w:pPr>
        <w:ind w:left="660" w:hanging="328"/>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38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31750</wp:posOffset>
            </wp:positionV>
            <wp:extent cx="40049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Thomas E. Long</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Energy Transfer LP and furnished to the Securities and Exchange Commission upon request.</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
      <w:numFmt w:val="bullet"/>
      <w:start w:val="1"/>
    </w:lvl>
    <w:lvl w:ilvl="1">
      <w:lvlJc w:val="left"/>
      <w:lvlText w:val="•"/>
      <w:numFmt w:val="bullet"/>
      <w:start w:val="1"/>
    </w:lvl>
  </w:abstractNum>
  <w:abstractNum w:abstractNumId="3">
    <w:nsid w:val="2B0D8DBE"/>
    <w:multiLevelType w:val="hybridMultilevel"/>
    <w:lvl w:ilvl="0">
      <w:lvlJc w:val="left"/>
      <w:lvlText w:val="•"/>
      <w:numFmt w:val="bullet"/>
      <w:start w:val="1"/>
    </w:lvl>
  </w:abstractNum>
  <w:abstractNum w:abstractNumId="4">
    <w:nsid w:val="6C80EC70"/>
    <w:multiLevelType w:val="hybridMultilevel"/>
    <w:lvl w:ilvl="0">
      <w:lvlJc w:val="left"/>
      <w:lvlText w:val="•"/>
      <w:numFmt w:val="bullet"/>
      <w:start w:val="1"/>
    </w:lvl>
  </w:abstractNum>
  <w:abstractNum w:abstractNumId="5">
    <w:nsid w:val="379E21B5"/>
    <w:multiLevelType w:val="hybridMultilevel"/>
    <w:lvl w:ilvl="0">
      <w:lvlJc w:val="left"/>
      <w:lvlText w:val="•"/>
      <w:numFmt w:val="bullet"/>
      <w:start w:val="1"/>
    </w:lvl>
  </w:abstractNum>
  <w:abstractNum w:abstractNumId="6">
    <w:nsid w:val="69E373"/>
    <w:multiLevelType w:val="hybridMultilevel"/>
    <w:lvl w:ilvl="0">
      <w:lvlJc w:val="left"/>
      <w:lvlText w:val="•"/>
      <w:numFmt w:val="bullet"/>
      <w:start w:val="1"/>
    </w:lvl>
  </w:abstractNum>
  <w:abstractNum w:abstractNumId="7">
    <w:nsid w:val="2C27173B"/>
    <w:multiLevelType w:val="hybridMultilevel"/>
    <w:lvl w:ilvl="0">
      <w:lvlJc w:val="left"/>
      <w:lvlText w:val="•"/>
      <w:numFmt w:val="bullet"/>
      <w:start w:val="1"/>
    </w:lvl>
  </w:abstractNum>
  <w:abstractNum w:abstractNumId="8">
    <w:nsid w:val="4C9B0904"/>
    <w:multiLevelType w:val="hybridMultilevel"/>
    <w:lvl w:ilvl="0">
      <w:lvlJc w:val="left"/>
      <w:lvlText w:val="•"/>
      <w:numFmt w:val="bullet"/>
      <w:start w:val="1"/>
    </w:lvl>
  </w:abstractNum>
  <w:abstractNum w:abstractNumId="9">
    <w:nsid w:val="6AA7B75C"/>
    <w:multiLevelType w:val="hybridMultilevel"/>
    <w:lvl w:ilvl="0">
      <w:lvlJc w:val="left"/>
      <w:lvlText w:val="•"/>
      <w:numFmt w:val="bullet"/>
      <w:start w:val="1"/>
    </w:lvl>
  </w:abstractNum>
  <w:abstractNum w:abstractNumId="10">
    <w:nsid w:val="1DF029D3"/>
    <w:multiLevelType w:val="hybridMultilevel"/>
    <w:lvl w:ilvl="0">
      <w:lvlJc w:val="left"/>
      <w:lvlText w:val="•"/>
      <w:numFmt w:val="bullet"/>
      <w:start w:val="1"/>
    </w:lvl>
  </w:abstractNum>
  <w:abstractNum w:abstractNumId="11">
    <w:nsid w:val="5675FF36"/>
    <w:multiLevelType w:val="hybridMultilevel"/>
    <w:lvl w:ilvl="0">
      <w:lvlJc w:val="left"/>
      <w:lvlText w:val="(%1)"/>
      <w:numFmt w:val="decimal"/>
      <w:start w:val="1"/>
    </w:lvl>
  </w:abstractNum>
  <w:abstractNum w:abstractNumId="12">
    <w:nsid w:val="3DD15094"/>
    <w:multiLevelType w:val="hybridMultilevel"/>
    <w:lvl w:ilvl="0">
      <w:lvlJc w:val="left"/>
      <w:lvlText w:val="•"/>
      <w:numFmt w:val="bullet"/>
      <w:start w:val="1"/>
    </w:lvl>
  </w:abstractNum>
  <w:abstractNum w:abstractNumId="13">
    <w:nsid w:val="3DB012B3"/>
    <w:multiLevelType w:val="hybridMultilevel"/>
    <w:lvl w:ilvl="0">
      <w:lvlJc w:val="left"/>
      <w:lvlText w:val="•"/>
      <w:numFmt w:val="bullet"/>
      <w:start w:val="1"/>
    </w:lvl>
  </w:abstractNum>
  <w:abstractNum w:abstractNumId="14">
    <w:nsid w:val="2708C9AF"/>
    <w:multiLevelType w:val="hybridMultilevel"/>
    <w:lvl w:ilvl="0">
      <w:lvlJc w:val="left"/>
      <w:lvlText w:val="•"/>
      <w:numFmt w:val="bullet"/>
      <w:start w:val="1"/>
    </w:lvl>
  </w:abstractNum>
  <w:abstractNum w:abstractNumId="15">
    <w:nsid w:val="5B25ACE2"/>
    <w:multiLevelType w:val="hybridMultilevel"/>
    <w:lvl w:ilvl="0">
      <w:lvlJc w:val="left"/>
      <w:lvlText w:val="•"/>
      <w:numFmt w:val="bullet"/>
      <w:start w:val="1"/>
    </w:lvl>
  </w:abstractNum>
  <w:abstractNum w:abstractNumId="16">
    <w:nsid w:val="175DFCF0"/>
    <w:multiLevelType w:val="hybridMultilevel"/>
    <w:lvl w:ilvl="0">
      <w:lvlJc w:val="left"/>
      <w:lvlText w:val="•"/>
      <w:numFmt w:val="bullet"/>
      <w:start w:val="1"/>
    </w:lvl>
  </w:abstractNum>
  <w:abstractNum w:abstractNumId="17">
    <w:nsid w:val="4F97E3E4"/>
    <w:multiLevelType w:val="hybridMultilevel"/>
    <w:lvl w:ilvl="0">
      <w:lvlJc w:val="left"/>
      <w:lvlText w:val="•"/>
      <w:numFmt w:val="bullet"/>
      <w:start w:val="1"/>
    </w:lvl>
  </w:abstractNum>
  <w:abstractNum w:abstractNumId="18">
    <w:nsid w:val="53B0A9E"/>
    <w:multiLevelType w:val="hybridMultilevel"/>
    <w:lvl w:ilvl="0">
      <w:lvlJc w:val="left"/>
      <w:lvlText w:val="•"/>
      <w:numFmt w:val="bullet"/>
      <w:start w:val="1"/>
    </w:lvl>
  </w:abstractNum>
  <w:abstractNum w:abstractNumId="19">
    <w:nsid w:val="34FD6B4F"/>
    <w:multiLevelType w:val="hybridMultilevel"/>
    <w:lvl w:ilvl="0">
      <w:lvlJc w:val="left"/>
      <w:lvlText w:val="•"/>
      <w:numFmt w:val="bullet"/>
      <w:start w:val="1"/>
    </w:lvl>
  </w:abstractNum>
  <w:abstractNum w:abstractNumId="20">
    <w:nsid w:val="5915FF32"/>
    <w:multiLevelType w:val="hybridMultilevel"/>
    <w:lvl w:ilvl="0">
      <w:lvlJc w:val="left"/>
      <w:lvlText w:val="•"/>
      <w:numFmt w:val="bullet"/>
      <w:start w:val="1"/>
    </w:lvl>
  </w:abstractNum>
  <w:abstractNum w:abstractNumId="21">
    <w:nsid w:val="56438D15"/>
    <w:multiLevelType w:val="hybridMultilevel"/>
    <w:lvl w:ilvl="0">
      <w:lvlJc w:val="left"/>
      <w:lvlText w:val="(%1)"/>
      <w:numFmt w:val="decimal"/>
      <w:start w:val="1"/>
    </w:lvl>
  </w:abstractNum>
  <w:abstractNum w:abstractNumId="22">
    <w:nsid w:val="519E3149"/>
    <w:multiLevelType w:val="hybridMultilevel"/>
    <w:lvl w:ilvl="0">
      <w:lvlJc w:val="left"/>
      <w:lvlText w:val="•"/>
      <w:numFmt w:val="bullet"/>
      <w:start w:val="1"/>
    </w:lvl>
  </w:abstractNum>
  <w:abstractNum w:abstractNumId="23">
    <w:nsid w:val="2C6E4AFD"/>
    <w:multiLevelType w:val="hybridMultilevel"/>
    <w:lvl w:ilvl="0">
      <w:lvlJc w:val="left"/>
      <w:lvlText w:val="•"/>
      <w:numFmt w:val="bullet"/>
      <w:start w:val="1"/>
    </w:lvl>
  </w:abstractNum>
  <w:abstractNum w:abstractNumId="24">
    <w:nsid w:val="17A1B582"/>
    <w:multiLevelType w:val="hybridMultilevel"/>
    <w:lvl w:ilvl="0">
      <w:lvlJc w:val="left"/>
      <w:lvlText w:val="•"/>
      <w:numFmt w:val="bullet"/>
      <w:start w:val="1"/>
    </w:lvl>
  </w:abstractNum>
  <w:abstractNum w:abstractNumId="25">
    <w:nsid w:val="4DF72E4E"/>
    <w:multiLevelType w:val="hybridMultilevel"/>
    <w:lvl w:ilvl="0">
      <w:lvlJc w:val="left"/>
      <w:lvlText w:val="(%1)"/>
      <w:numFmt w:val="decimal"/>
      <w:start w:val="1"/>
    </w:lvl>
  </w:abstractNum>
  <w:abstractNum w:abstractNumId="26">
    <w:nsid w:val="5046B5A9"/>
    <w:multiLevelType w:val="hybridMultilevel"/>
    <w:lvl w:ilvl="0">
      <w:lvlJc w:val="left"/>
      <w:lvlText w:val="•"/>
      <w:numFmt w:val="bullet"/>
      <w:start w:val="1"/>
    </w:lvl>
  </w:abstractNum>
  <w:abstractNum w:abstractNumId="27">
    <w:nsid w:val="5D888A08"/>
    <w:multiLevelType w:val="hybridMultilevel"/>
    <w:lvl w:ilvl="0">
      <w:lvlJc w:val="left"/>
      <w:lvlText w:val="•"/>
      <w:numFmt w:val="bullet"/>
      <w:start w:val="1"/>
    </w:lvl>
  </w:abstractNum>
  <w:abstractNum w:abstractNumId="28">
    <w:nsid w:val="2A082C70"/>
    <w:multiLevelType w:val="hybridMultilevel"/>
    <w:lvl w:ilvl="0">
      <w:lvlJc w:val="left"/>
      <w:lvlText w:val="•"/>
      <w:numFmt w:val="bullet"/>
      <w:start w:val="1"/>
    </w:lvl>
  </w:abstractNum>
  <w:abstractNum w:abstractNumId="29">
    <w:nsid w:val="5EC6AFD4"/>
    <w:multiLevelType w:val="hybridMultilevel"/>
    <w:lvl w:ilvl="0">
      <w:lvlJc w:val="left"/>
      <w:lvlText w:val="•"/>
      <w:numFmt w:val="bullet"/>
      <w:start w:val="1"/>
    </w:lvl>
  </w:abstractNum>
  <w:abstractNum w:abstractNumId="30">
    <w:nsid w:val="19E21BB2"/>
    <w:multiLevelType w:val="hybridMultilevel"/>
    <w:lvl w:ilvl="0">
      <w:lvlJc w:val="left"/>
      <w:lvlText w:val="•"/>
      <w:numFmt w:val="bullet"/>
      <w:start w:val="1"/>
    </w:lvl>
  </w:abstractNum>
  <w:abstractNum w:abstractNumId="31">
    <w:nsid w:val="75E0858A"/>
    <w:multiLevelType w:val="hybridMultilevel"/>
    <w:lvl w:ilvl="0">
      <w:lvlJc w:val="left"/>
      <w:lvlText w:val="•"/>
      <w:numFmt w:val="bullet"/>
      <w:start w:val="1"/>
    </w:lvl>
  </w:abstractNum>
  <w:abstractNum w:abstractNumId="32">
    <w:nsid w:val="57A61A29"/>
    <w:multiLevelType w:val="hybridMultilevel"/>
    <w:lvl w:ilvl="0">
      <w:lvlJc w:val="left"/>
      <w:lvlText w:val="(%1)"/>
      <w:numFmt w:val="decimal"/>
      <w:start w:val="1"/>
    </w:lvl>
  </w:abstractNum>
  <w:abstractNum w:abstractNumId="33">
    <w:nsid w:val="5399C654"/>
    <w:multiLevelType w:val="hybridMultilevel"/>
    <w:lvl w:ilvl="0">
      <w:lvlJc w:val="left"/>
      <w:lvlText w:val="•"/>
      <w:numFmt w:val="bullet"/>
      <w:start w:val="1"/>
    </w:lvl>
  </w:abstractNum>
  <w:abstractNum w:abstractNumId="34">
    <w:nsid w:val="20EE1348"/>
    <w:multiLevelType w:val="hybridMultilevel"/>
    <w:lvl w:ilvl="0">
      <w:lvlJc w:val="left"/>
      <w:lvlText w:val="•"/>
      <w:numFmt w:val="bullet"/>
      <w:start w:val="1"/>
    </w:lvl>
  </w:abstractNum>
  <w:abstractNum w:abstractNumId="35">
    <w:nsid w:val="4427069A"/>
    <w:multiLevelType w:val="hybridMultilevel"/>
    <w:lvl w:ilvl="0">
      <w:lvlJc w:val="left"/>
      <w:lvlText w:val="•"/>
      <w:numFmt w:val="bullet"/>
      <w:start w:val="1"/>
    </w:lvl>
  </w:abstractNum>
  <w:abstractNum w:abstractNumId="36">
    <w:nsid w:val="B37E80A"/>
    <w:multiLevelType w:val="hybridMultilevel"/>
    <w:lvl w:ilvl="0">
      <w:lvlJc w:val="left"/>
      <w:lvlText w:val="•"/>
      <w:numFmt w:val="bullet"/>
      <w:start w:val="1"/>
    </w:lvl>
  </w:abstractNum>
  <w:abstractNum w:abstractNumId="37">
    <w:nsid w:val="2157F6BC"/>
    <w:multiLevelType w:val="hybridMultilevel"/>
    <w:lvl w:ilvl="0">
      <w:lvlJc w:val="left"/>
      <w:lvlText w:val="•"/>
      <w:numFmt w:val="bullet"/>
      <w:start w:val="1"/>
    </w:lvl>
  </w:abstractNum>
  <w:abstractNum w:abstractNumId="38">
    <w:nsid w:val="704E1DD5"/>
    <w:multiLevelType w:val="hybridMultilevel"/>
    <w:lvl w:ilvl="0">
      <w:lvlJc w:val="left"/>
      <w:lvlText w:val="•"/>
      <w:numFmt w:val="bullet"/>
      <w:start w:val="1"/>
    </w:lvl>
  </w:abstractNum>
  <w:abstractNum w:abstractNumId="39">
    <w:nsid w:val="57D2F10E"/>
    <w:multiLevelType w:val="hybridMultilevel"/>
    <w:lvl w:ilvl="0">
      <w:lvlJc w:val="left"/>
      <w:lvlText w:val="•"/>
      <w:numFmt w:val="bullet"/>
      <w:start w:val="1"/>
    </w:lvl>
  </w:abstractNum>
  <w:abstractNum w:abstractNumId="40">
    <w:nsid w:val="BFFAE18"/>
    <w:multiLevelType w:val="hybridMultilevel"/>
    <w:lvl w:ilvl="0">
      <w:lvlJc w:val="left"/>
      <w:lvlText w:val="•"/>
      <w:numFmt w:val="bullet"/>
      <w:start w:val="1"/>
    </w:lvl>
  </w:abstractNum>
  <w:abstractNum w:abstractNumId="41">
    <w:nsid w:val="E3E47A8"/>
    <w:multiLevelType w:val="hybridMultilevel"/>
    <w:lvl w:ilvl="0">
      <w:lvlJc w:val="left"/>
      <w:lvlText w:val="•"/>
      <w:numFmt w:val="bullet"/>
      <w:start w:val="1"/>
    </w:lvl>
  </w:abstractNum>
  <w:abstractNum w:abstractNumId="42">
    <w:nsid w:val="2E48F044"/>
    <w:multiLevelType w:val="hybridMultilevel"/>
    <w:lvl w:ilvl="0">
      <w:lvlJc w:val="left"/>
      <w:lvlText w:val="•"/>
      <w:numFmt w:val="bullet"/>
      <w:start w:val="1"/>
    </w:lvl>
  </w:abstractNum>
  <w:abstractNum w:abstractNumId="43">
    <w:nsid w:val="49D0FEAC"/>
    <w:multiLevelType w:val="hybridMultilevel"/>
    <w:lvl w:ilvl="0">
      <w:lvlJc w:val="left"/>
      <w:lvlText w:val="•"/>
      <w:numFmt w:val="bullet"/>
      <w:start w:val="1"/>
    </w:lvl>
  </w:abstractNum>
  <w:abstractNum w:abstractNumId="44">
    <w:nsid w:val="4BEE5A5B"/>
    <w:multiLevelType w:val="hybridMultilevel"/>
    <w:lvl w:ilvl="0">
      <w:lvlJc w:val="left"/>
      <w:lvlText w:val="•"/>
      <w:numFmt w:val="bullet"/>
      <w:start w:val="1"/>
    </w:lvl>
  </w:abstractNum>
  <w:abstractNum w:abstractNumId="45">
    <w:nsid w:val="5551B9F3"/>
    <w:multiLevelType w:val="hybridMultilevel"/>
    <w:lvl w:ilvl="0">
      <w:lvlJc w:val="left"/>
      <w:lvlText w:val="•"/>
      <w:numFmt w:val="bullet"/>
      <w:start w:val="1"/>
    </w:lvl>
  </w:abstractNum>
  <w:abstractNum w:abstractNumId="46">
    <w:nsid w:val="24F6AB8E"/>
    <w:multiLevelType w:val="hybridMultilevel"/>
    <w:lvl w:ilvl="0">
      <w:lvlJc w:val="left"/>
      <w:lvlText w:val="•"/>
      <w:numFmt w:val="bullet"/>
      <w:start w:val="1"/>
    </w:lvl>
  </w:abstractNum>
  <w:abstractNum w:abstractNumId="47">
    <w:nsid w:val="634C574C"/>
    <w:multiLevelType w:val="hybridMultilevel"/>
    <w:lvl w:ilvl="0">
      <w:lvlJc w:val="left"/>
      <w:lvlText w:val="•"/>
      <w:numFmt w:val="bullet"/>
      <w:start w:val="1"/>
    </w:lvl>
  </w:abstractNum>
  <w:abstractNum w:abstractNumId="48">
    <w:nsid w:val="24E99DD7"/>
    <w:multiLevelType w:val="hybridMultilevel"/>
    <w:lvl w:ilvl="0">
      <w:lvlJc w:val="left"/>
      <w:lvlText w:val="•"/>
      <w:numFmt w:val="bullet"/>
      <w:start w:val="1"/>
    </w:lvl>
  </w:abstractNum>
  <w:abstractNum w:abstractNumId="49">
    <w:nsid w:val="2A31B62D"/>
    <w:multiLevelType w:val="hybridMultilevel"/>
    <w:lvl w:ilvl="0">
      <w:lvlJc w:val="left"/>
      <w:lvlText w:val="•"/>
      <w:numFmt w:val="bullet"/>
      <w:start w:val="1"/>
    </w:lvl>
  </w:abstractNum>
  <w:abstractNum w:abstractNumId="50">
    <w:nsid w:val="1849C29B"/>
    <w:multiLevelType w:val="hybridMultilevel"/>
    <w:lvl w:ilvl="0">
      <w:lvlJc w:val="left"/>
      <w:lvlText w:val="•"/>
      <w:numFmt w:val="bullet"/>
      <w:start w:val="1"/>
    </w:lvl>
  </w:abstractNum>
  <w:abstractNum w:abstractNumId="51">
    <w:nsid w:val="7DFF9D09"/>
    <w:multiLevelType w:val="hybridMultilevel"/>
    <w:lvl w:ilvl="0">
      <w:lvlJc w:val="left"/>
      <w:lvlText w:val="•"/>
      <w:numFmt w:val="bullet"/>
      <w:start w:val="1"/>
    </w:lvl>
  </w:abstractNum>
  <w:abstractNum w:abstractNumId="52">
    <w:nsid w:val="754342"/>
    <w:multiLevelType w:val="hybridMultilevel"/>
    <w:lvl w:ilvl="0">
      <w:lvlJc w:val="left"/>
      <w:lvlText w:val="•"/>
      <w:numFmt w:val="bullet"/>
      <w:start w:val="1"/>
    </w:lvl>
  </w:abstractNum>
  <w:abstractNum w:abstractNumId="53">
    <w:nsid w:val="69E7F3E5"/>
    <w:multiLevelType w:val="hybridMultilevel"/>
    <w:lvl w:ilvl="0">
      <w:lvlJc w:val="left"/>
      <w:lvlText w:val="•"/>
      <w:numFmt w:val="bullet"/>
      <w:start w:val="1"/>
    </w:lvl>
  </w:abstractNum>
  <w:abstractNum w:abstractNumId="54">
    <w:nsid w:val="2A6DE806"/>
    <w:multiLevelType w:val="hybridMultilevel"/>
    <w:lvl w:ilvl="0">
      <w:lvlJc w:val="left"/>
      <w:lvlText w:val="•"/>
      <w:numFmt w:val="bullet"/>
      <w:start w:val="1"/>
    </w:lvl>
  </w:abstractNum>
  <w:abstractNum w:abstractNumId="55">
    <w:nsid w:val="1816F8C4"/>
    <w:multiLevelType w:val="hybridMultilevel"/>
    <w:lvl w:ilvl="0">
      <w:lvlJc w:val="left"/>
      <w:lvlText w:val="•"/>
      <w:numFmt w:val="bullet"/>
      <w:start w:val="1"/>
    </w:lvl>
  </w:abstractNum>
  <w:abstractNum w:abstractNumId="56">
    <w:nsid w:val="37DF2233"/>
    <w:multiLevelType w:val="hybridMultilevel"/>
    <w:lvl w:ilvl="0">
      <w:lvlJc w:val="left"/>
      <w:lvlText w:val="•"/>
      <w:numFmt w:val="bullet"/>
      <w:start w:val="1"/>
    </w:lvl>
  </w:abstractNum>
  <w:abstractNum w:abstractNumId="57">
    <w:nsid w:val="7AB49DAF"/>
    <w:multiLevelType w:val="hybridMultilevel"/>
    <w:lvl w:ilvl="0">
      <w:lvlJc w:val="left"/>
      <w:lvlText w:val="•"/>
      <w:numFmt w:val="bullet"/>
      <w:start w:val="1"/>
    </w:lvl>
  </w:abstractNum>
  <w:abstractNum w:abstractNumId="58">
    <w:nsid w:val="759F82CD"/>
    <w:multiLevelType w:val="hybridMultilevel"/>
    <w:lvl w:ilvl="0">
      <w:lvlJc w:val="left"/>
      <w:lvlText w:val="•"/>
      <w:numFmt w:val="bullet"/>
      <w:start w:val="1"/>
    </w:lvl>
  </w:abstractNum>
  <w:abstractNum w:abstractNumId="59">
    <w:nsid w:val="61E74EA3"/>
    <w:multiLevelType w:val="hybridMultilevel"/>
    <w:lvl w:ilvl="0">
      <w:lvlJc w:val="left"/>
      <w:lvlText w:val="•"/>
      <w:numFmt w:val="bullet"/>
      <w:start w:val="1"/>
    </w:lvl>
  </w:abstractNum>
  <w:abstractNum w:abstractNumId="60">
    <w:nsid w:val="597B4D84"/>
    <w:multiLevelType w:val="hybridMultilevel"/>
    <w:lvl w:ilvl="0">
      <w:lvlJc w:val="left"/>
      <w:lvlText w:val="•"/>
      <w:numFmt w:val="bullet"/>
      <w:start w:val="1"/>
    </w:lvl>
  </w:abstractNum>
  <w:abstractNum w:abstractNumId="61">
    <w:nsid w:val="F819E7F"/>
    <w:multiLevelType w:val="hybridMultilevel"/>
    <w:lvl w:ilvl="0">
      <w:lvlJc w:val="left"/>
      <w:lvlText w:val="•"/>
      <w:numFmt w:val="bullet"/>
      <w:start w:val="1"/>
    </w:lvl>
  </w:abstractNum>
  <w:abstractNum w:abstractNumId="62">
    <w:nsid w:val="57C7D42D"/>
    <w:multiLevelType w:val="hybridMultilevel"/>
    <w:lvl w:ilvl="0">
      <w:lvlJc w:val="left"/>
      <w:lvlText w:val="•"/>
      <w:numFmt w:val="bullet"/>
      <w:start w:val="1"/>
    </w:lvl>
  </w:abstractNum>
  <w:abstractNum w:abstractNumId="63">
    <w:nsid w:val="312167AD"/>
    <w:multiLevelType w:val="hybridMultilevel"/>
    <w:lvl w:ilvl="0">
      <w:lvlJc w:val="left"/>
      <w:lvlText w:val="(%1)"/>
      <w:numFmt w:val="decimal"/>
      <w:start w:val="1"/>
    </w:lvl>
  </w:abstractNum>
  <w:abstractNum w:abstractNumId="64">
    <w:nsid w:val="631B64D4"/>
    <w:multiLevelType w:val="hybridMultilevel"/>
    <w:lvl w:ilvl="0">
      <w:lvlJc w:val="left"/>
      <w:lvlText w:val="•"/>
      <w:numFmt w:val="bullet"/>
      <w:start w:val="1"/>
    </w:lvl>
  </w:abstractNum>
  <w:abstractNum w:abstractNumId="65">
    <w:nsid w:val="78B5E776"/>
    <w:multiLevelType w:val="hybridMultilevel"/>
    <w:lvl w:ilvl="0">
      <w:lvlJc w:val="left"/>
      <w:lvlText w:val="•"/>
      <w:numFmt w:val="bullet"/>
      <w:start w:val="1"/>
    </w:lvl>
  </w:abstractNum>
  <w:abstractNum w:abstractNumId="66">
    <w:nsid w:val="75486E47"/>
    <w:multiLevelType w:val="hybridMultilevel"/>
    <w:lvl w:ilvl="0">
      <w:lvlJc w:val="left"/>
      <w:lvlText w:val="•"/>
      <w:numFmt w:val="bullet"/>
      <w:start w:val="1"/>
    </w:lvl>
  </w:abstractNum>
  <w:abstractNum w:abstractNumId="67">
    <w:nsid w:val="6E534CDE"/>
    <w:multiLevelType w:val="hybridMultilevel"/>
    <w:lvl w:ilvl="0">
      <w:lvlJc w:val="left"/>
      <w:lvlText w:val="•"/>
      <w:numFmt w:val="bullet"/>
      <w:start w:val="1"/>
    </w:lvl>
  </w:abstractNum>
  <w:abstractNum w:abstractNumId="68">
    <w:nsid w:val="1A0DDE32"/>
    <w:multiLevelType w:val="hybridMultilevel"/>
    <w:lvl w:ilvl="0">
      <w:lvlJc w:val="left"/>
      <w:lvlText w:val="•"/>
      <w:numFmt w:val="bullet"/>
      <w:start w:val="1"/>
    </w:lvl>
  </w:abstractNum>
  <w:abstractNum w:abstractNumId="69">
    <w:nsid w:val="65968C1C"/>
    <w:multiLevelType w:val="hybridMultilevel"/>
    <w:lvl w:ilvl="0">
      <w:lvlJc w:val="left"/>
      <w:lvlText w:val="•"/>
      <w:numFmt w:val="bullet"/>
      <w:start w:val="1"/>
    </w:lvl>
  </w:abstractNum>
  <w:abstractNum w:abstractNumId="70">
    <w:nsid w:val="46263DEC"/>
    <w:multiLevelType w:val="hybridMultilevel"/>
    <w:lvl w:ilvl="0">
      <w:lvlJc w:val="left"/>
      <w:lvlText w:val="•"/>
      <w:numFmt w:val="bullet"/>
      <w:start w:val="1"/>
    </w:lvl>
  </w:abstractNum>
  <w:abstractNum w:abstractNumId="71">
    <w:nsid w:val="260D8C4A"/>
    <w:multiLevelType w:val="hybridMultilevel"/>
    <w:lvl w:ilvl="0">
      <w:lvlJc w:val="left"/>
      <w:lvlText w:val="•"/>
      <w:numFmt w:val="bullet"/>
      <w:start w:val="1"/>
    </w:lvl>
  </w:abstractNum>
  <w:abstractNum w:abstractNumId="72">
    <w:nsid w:val="73D4D3C4"/>
    <w:multiLevelType w:val="hybridMultilevel"/>
    <w:lvl w:ilvl="0">
      <w:lvlJc w:val="left"/>
      <w:lvlText w:val="•"/>
      <w:numFmt w:val="bullet"/>
      <w:start w:val="1"/>
    </w:lvl>
  </w:abstractNum>
  <w:abstractNum w:abstractNumId="73">
    <w:nsid w:val="746F2E30"/>
    <w:multiLevelType w:val="hybridMultilevel"/>
    <w:lvl w:ilvl="0">
      <w:lvlJc w:val="left"/>
      <w:lvlText w:val="•"/>
      <w:numFmt w:val="bullet"/>
      <w:start w:val="1"/>
    </w:lvl>
  </w:abstractNum>
  <w:abstractNum w:abstractNumId="74">
    <w:nsid w:val="6FDE8AF6"/>
    <w:multiLevelType w:val="hybridMultilevel"/>
    <w:lvl w:ilvl="0">
      <w:lvlJc w:val="left"/>
      <w:lvlText w:val="•"/>
      <w:numFmt w:val="bullet"/>
      <w:start w:val="1"/>
    </w:lvl>
  </w:abstractNum>
  <w:abstractNum w:abstractNumId="75">
    <w:nsid w:val="3FC32E20"/>
    <w:multiLevelType w:val="hybridMultilevel"/>
    <w:lvl w:ilvl="0">
      <w:lvlJc w:val="left"/>
      <w:lvlText w:val="•"/>
      <w:numFmt w:val="bullet"/>
      <w:start w:val="1"/>
    </w:lvl>
  </w:abstractNum>
  <w:abstractNum w:abstractNumId="76">
    <w:nsid w:val="49C0E823"/>
    <w:multiLevelType w:val="hybridMultilevel"/>
    <w:lvl w:ilvl="0">
      <w:lvlJc w:val="left"/>
      <w:lvlText w:val="•"/>
      <w:numFmt w:val="bullet"/>
      <w:start w:val="1"/>
    </w:lvl>
  </w:abstractNum>
  <w:abstractNum w:abstractNumId="77">
    <w:nsid w:val="14D53685"/>
    <w:multiLevelType w:val="hybridMultilevel"/>
    <w:lvl w:ilvl="0">
      <w:lvlJc w:val="left"/>
      <w:lvlText w:val="•"/>
      <w:numFmt w:val="bullet"/>
      <w:start w:val="1"/>
    </w:lvl>
  </w:abstractNum>
  <w:abstractNum w:abstractNumId="78">
    <w:nsid w:val="230F856C"/>
    <w:multiLevelType w:val="hybridMultilevel"/>
    <w:lvl w:ilvl="0">
      <w:lvlJc w:val="left"/>
      <w:lvlText w:val="(%1)"/>
      <w:numFmt w:val="decimal"/>
      <w:start w:val="1"/>
    </w:lvl>
  </w:abstractNum>
  <w:abstractNum w:abstractNumId="79">
    <w:nsid w:val="6EAA85FB"/>
    <w:multiLevelType w:val="hybridMultilevel"/>
    <w:lvl w:ilvl="0">
      <w:lvlJc w:val="left"/>
      <w:lvlText w:val="•"/>
      <w:numFmt w:val="bullet"/>
      <w:start w:val="1"/>
    </w:lvl>
  </w:abstractNum>
  <w:abstractNum w:abstractNumId="80">
    <w:nsid w:val="3F06ECB2"/>
    <w:multiLevelType w:val="hybridMultilevel"/>
    <w:lvl w:ilvl="0">
      <w:lvlJc w:val="left"/>
      <w:lvlText w:val="•"/>
      <w:numFmt w:val="bullet"/>
      <w:start w:val="1"/>
    </w:lvl>
  </w:abstractNum>
  <w:abstractNum w:abstractNumId="81">
    <w:nsid w:val="3B594807"/>
    <w:multiLevelType w:val="hybridMultilevel"/>
    <w:lvl w:ilvl="0">
      <w:lvlJc w:val="left"/>
      <w:lvlText w:val="•"/>
      <w:numFmt w:val="bullet"/>
      <w:start w:val="1"/>
    </w:lvl>
  </w:abstractNum>
  <w:abstractNum w:abstractNumId="82">
    <w:nsid w:val="6CAA2304"/>
    <w:multiLevelType w:val="hybridMultilevel"/>
    <w:lvl w:ilvl="0">
      <w:lvlJc w:val="left"/>
      <w:lvlText w:val="•"/>
      <w:numFmt w:val="bullet"/>
      <w:start w:val="1"/>
    </w:lvl>
  </w:abstractNum>
  <w:abstractNum w:abstractNumId="83">
    <w:nsid w:val="3F7C2FF4"/>
    <w:multiLevelType w:val="hybridMultilevel"/>
    <w:lvl w:ilvl="0">
      <w:lvlJc w:val="left"/>
      <w:lvlText w:val="•"/>
      <w:numFmt w:val="bullet"/>
      <w:start w:val="1"/>
    </w:lvl>
  </w:abstractNum>
  <w:abstractNum w:abstractNumId="84">
    <w:nsid w:val="25413BEC"/>
    <w:multiLevelType w:val="hybridMultilevel"/>
    <w:lvl w:ilvl="0">
      <w:lvlJc w:val="left"/>
      <w:lvlText w:val="•"/>
      <w:numFmt w:val="bullet"/>
      <w:start w:val="1"/>
    </w:lvl>
  </w:abstractNum>
  <w:abstractNum w:abstractNumId="85">
    <w:nsid w:val="17180B0B"/>
    <w:multiLevelType w:val="hybridMultilevel"/>
    <w:lvl w:ilvl="0">
      <w:lvlJc w:val="left"/>
      <w:lvlText w:val="•"/>
      <w:numFmt w:val="bullet"/>
      <w:start w:val="1"/>
    </w:lvl>
  </w:abstractNum>
  <w:abstractNum w:abstractNumId="86">
    <w:nsid w:val="579328B9"/>
    <w:multiLevelType w:val="hybridMultilevel"/>
    <w:lvl w:ilvl="0">
      <w:lvlJc w:val="left"/>
      <w:lvlText w:val="•"/>
      <w:numFmt w:val="bullet"/>
      <w:start w:val="1"/>
    </w:lvl>
  </w:abstractNum>
  <w:abstractNum w:abstractNumId="87">
    <w:nsid w:val="5D205E20"/>
    <w:multiLevelType w:val="hybridMultilevel"/>
    <w:lvl w:ilvl="0">
      <w:lvlJc w:val="left"/>
      <w:lvlText w:val="•"/>
      <w:numFmt w:val="bullet"/>
      <w:start w:val="1"/>
    </w:lvl>
  </w:abstractNum>
  <w:abstractNum w:abstractNumId="88">
    <w:nsid w:val="11CCA8BA"/>
    <w:multiLevelType w:val="hybridMultilevel"/>
    <w:lvl w:ilvl="0">
      <w:lvlJc w:val="left"/>
      <w:lvlText w:val="(%1)"/>
      <w:numFmt w:val="decimal"/>
      <w:start w:val="1"/>
    </w:lvl>
  </w:abstractNum>
  <w:abstractNum w:abstractNumId="89">
    <w:nsid w:val="4D32AB86"/>
    <w:multiLevelType w:val="hybridMultilevel"/>
    <w:lvl w:ilvl="0">
      <w:lvlJc w:val="left"/>
      <w:lvlText w:val="•"/>
      <w:numFmt w:val="bullet"/>
      <w:start w:val="1"/>
    </w:lvl>
  </w:abstractNum>
  <w:abstractNum w:abstractNumId="90">
    <w:nsid w:val="3F07ACC3"/>
    <w:multiLevelType w:val="hybridMultilevel"/>
    <w:lvl w:ilvl="0">
      <w:lvlJc w:val="left"/>
      <w:lvlText w:val="(%1)"/>
      <w:numFmt w:val="decimal"/>
      <w:start w:val="1"/>
    </w:lvl>
  </w:abstractNum>
  <w:abstractNum w:abstractNumId="91">
    <w:nsid w:val="6B47F63E"/>
    <w:multiLevelType w:val="hybridMultilevel"/>
    <w:lvl w:ilvl="0">
      <w:lvlJc w:val="left"/>
      <w:lvlText w:val="•"/>
      <w:numFmt w:val="bullet"/>
      <w:start w:val="1"/>
    </w:lvl>
  </w:abstractNum>
  <w:abstractNum w:abstractNumId="92">
    <w:nsid w:val="5CB44A05"/>
    <w:multiLevelType w:val="hybridMultilevel"/>
    <w:lvl w:ilvl="0">
      <w:lvlJc w:val="left"/>
      <w:lvlText w:val="•"/>
      <w:numFmt w:val="bullet"/>
      <w:start w:val="1"/>
    </w:lvl>
  </w:abstractNum>
  <w:abstractNum w:abstractNumId="93">
    <w:nsid w:val="16CF80F1"/>
    <w:multiLevelType w:val="hybridMultilevel"/>
    <w:lvl w:ilvl="0">
      <w:lvlJc w:val="left"/>
      <w:lvlText w:val="•"/>
      <w:numFmt w:val="bullet"/>
      <w:start w:val="1"/>
    </w:lvl>
  </w:abstractNum>
  <w:abstractNum w:abstractNumId="94">
    <w:nsid w:val="1C695DEC"/>
    <w:multiLevelType w:val="hybridMultilevel"/>
    <w:lvl w:ilvl="0">
      <w:lvlJc w:val="left"/>
      <w:lvlText w:val="•"/>
      <w:numFmt w:val="bullet"/>
      <w:start w:val="1"/>
    </w:lvl>
  </w:abstractNum>
  <w:abstractNum w:abstractNumId="95">
    <w:nsid w:val="3FCFAED9"/>
    <w:multiLevelType w:val="hybridMultilevel"/>
    <w:lvl w:ilvl="0">
      <w:lvlJc w:val="left"/>
      <w:lvlText w:val="•"/>
      <w:numFmt w:val="bullet"/>
      <w:start w:val="1"/>
    </w:lvl>
  </w:abstractNum>
  <w:abstractNum w:abstractNumId="96">
    <w:nsid w:val="F856867"/>
    <w:multiLevelType w:val="hybridMultilevel"/>
    <w:lvl w:ilvl="0">
      <w:lvlJc w:val="left"/>
      <w:lvlText w:val="•"/>
      <w:numFmt w:val="bullet"/>
      <w:start w:val="1"/>
    </w:lvl>
  </w:abstractNum>
  <w:abstractNum w:abstractNumId="97">
    <w:nsid w:val="11B1CC33"/>
    <w:multiLevelType w:val="hybridMultilevel"/>
    <w:lvl w:ilvl="0">
      <w:lvlJc w:val="left"/>
      <w:lvlText w:val="•"/>
      <w:numFmt w:val="bullet"/>
      <w:start w:val="1"/>
    </w:lvl>
  </w:abstractNum>
  <w:abstractNum w:abstractNumId="98">
    <w:nsid w:val="2E22FBB7"/>
    <w:multiLevelType w:val="hybridMultilevel"/>
    <w:lvl w:ilvl="0">
      <w:lvlJc w:val="left"/>
      <w:lvlText w:val="(%1)"/>
      <w:numFmt w:val="decimal"/>
      <w:start w:val="1"/>
    </w:lvl>
  </w:abstractNum>
  <w:abstractNum w:abstractNumId="99">
    <w:nsid w:val="29934699"/>
    <w:multiLevelType w:val="hybridMultilevel"/>
    <w:lvl w:ilvl="0">
      <w:lvlJc w:val="left"/>
      <w:lvlText w:val="(%1)"/>
      <w:numFmt w:val="decimal"/>
      <w:start w:val="1"/>
    </w:lvl>
  </w:abstractNum>
  <w:abstractNum w:abstractNumId="100">
    <w:nsid w:val="77485850"/>
    <w:multiLevelType w:val="hybridMultilevel"/>
    <w:lvl w:ilvl="0">
      <w:lvlJc w:val="left"/>
      <w:lvlText w:val="(%1)"/>
      <w:numFmt w:val="decimal"/>
      <w:start w:val="1"/>
    </w:lvl>
  </w:abstractNum>
  <w:abstractNum w:abstractNumId="101">
    <w:nsid w:val="744939A3"/>
    <w:multiLevelType w:val="hybridMultilevel"/>
    <w:lvl w:ilvl="0">
      <w:lvlJc w:val="left"/>
      <w:lvlText w:val="(%1)"/>
      <w:numFmt w:val="decimal"/>
      <w:start w:val="1"/>
    </w:lvl>
  </w:abstractNum>
  <w:abstractNum w:abstractNumId="102">
    <w:nsid w:val="4FA0D2E3"/>
    <w:multiLevelType w:val="hybridMultilevel"/>
    <w:lvl w:ilvl="0">
      <w:lvlJc w:val="left"/>
      <w:lvlText w:val="*"/>
      <w:numFmt w:val="bullet"/>
      <w:start w:val="1"/>
    </w:lvl>
  </w:abstractNum>
  <w:abstractNum w:abstractNumId="103">
    <w:nsid w:val="6B1D2C14"/>
    <w:multiLevelType w:val="hybridMultilevel"/>
    <w:lvl w:ilvl="0">
      <w:lvlJc w:val="left"/>
      <w:lvlText w:val="(%1)"/>
      <w:numFmt w:val="decimal"/>
      <w:start w:val="1"/>
    </w:lvl>
  </w:abstractNum>
  <w:abstractNum w:abstractNumId="104">
    <w:nsid w:val="68B867D3"/>
    <w:multiLevelType w:val="hybridMultilevel"/>
    <w:lvl w:ilvl="0">
      <w:lvlJc w:val="left"/>
      <w:lvlText w:val="•"/>
      <w:numFmt w:val="bullet"/>
      <w:start w:val="1"/>
    </w:lvl>
  </w:abstractNum>
  <w:abstractNum w:abstractNumId="105">
    <w:nsid w:val="3F7F5DD9"/>
    <w:multiLevelType w:val="hybridMultilevel"/>
    <w:lvl w:ilvl="0">
      <w:lvlJc w:val="left"/>
      <w:lvlText w:val="•"/>
      <w:numFmt w:val="bullet"/>
      <w:start w:val="1"/>
    </w:lvl>
  </w:abstractNum>
  <w:abstractNum w:abstractNumId="106">
    <w:nsid w:val="2AE05A34"/>
    <w:multiLevelType w:val="hybridMultilevel"/>
    <w:lvl w:ilvl="0">
      <w:lvlJc w:val="left"/>
      <w:lvlText w:val="•"/>
      <w:numFmt w:val="bullet"/>
      <w:start w:val="1"/>
    </w:lvl>
  </w:abstractNum>
  <w:abstractNum w:abstractNumId="107">
    <w:nsid w:val="32794FF7"/>
    <w:multiLevelType w:val="hybridMultilevel"/>
    <w:lvl w:ilvl="0">
      <w:lvlJc w:val="left"/>
      <w:lvlText w:val="•"/>
      <w:numFmt w:val="bullet"/>
      <w:start w:val="1"/>
    </w:lvl>
  </w:abstractNum>
  <w:abstractNum w:abstractNumId="108">
    <w:nsid w:val="5454945E"/>
    <w:multiLevelType w:val="hybridMultilevel"/>
    <w:lvl w:ilvl="0">
      <w:lvlJc w:val="left"/>
      <w:lvlText w:val="•"/>
      <w:numFmt w:val="bullet"/>
      <w:start w:val="1"/>
    </w:lvl>
  </w:abstractNum>
  <w:abstractNum w:abstractNumId="109">
    <w:nsid w:val="4DEFDFA0"/>
    <w:multiLevelType w:val="hybridMultilevel"/>
    <w:lvl w:ilvl="0">
      <w:lvlJc w:val="left"/>
      <w:lvlText w:val="(%1)"/>
      <w:numFmt w:val="decimal"/>
      <w:start w:val="1"/>
    </w:lvl>
  </w:abstractNum>
  <w:abstractNum w:abstractNumId="110">
    <w:nsid w:val="2123D5F2"/>
    <w:multiLevelType w:val="hybridMultilevel"/>
    <w:lvl w:ilvl="0">
      <w:lvlJc w:val="left"/>
      <w:lvlText w:val="(%1)"/>
      <w:numFmt w:val="decimal"/>
      <w:start w:val="1"/>
    </w:lvl>
  </w:abstractNum>
  <w:abstractNum w:abstractNumId="111">
    <w:nsid w:val="135B8110"/>
    <w:multiLevelType w:val="hybridMultilevel"/>
    <w:lvl w:ilvl="0">
      <w:lvlJc w:val="left"/>
      <w:lvlText w:val="•"/>
      <w:numFmt w:val="bullet"/>
      <w:start w:val="1"/>
    </w:lvl>
  </w:abstractNum>
  <w:abstractNum w:abstractNumId="112">
    <w:nsid w:val="94927A8"/>
    <w:multiLevelType w:val="hybridMultilevel"/>
    <w:lvl w:ilvl="0">
      <w:lvlJc w:val="left"/>
      <w:lvlText w:val="•"/>
      <w:numFmt w:val="bullet"/>
      <w:start w:val="1"/>
    </w:lvl>
  </w:abstractNum>
  <w:abstractNum w:abstractNumId="113">
    <w:nsid w:val="DCDF8F6"/>
    <w:multiLevelType w:val="hybridMultilevel"/>
    <w:lvl w:ilvl="0">
      <w:lvlJc w:val="left"/>
      <w:lvlText w:val="•"/>
      <w:numFmt w:val="bullet"/>
      <w:start w:val="1"/>
    </w:lvl>
  </w:abstractNum>
  <w:abstractNum w:abstractNumId="114">
    <w:nsid w:val="52D7B105"/>
    <w:multiLevelType w:val="hybridMultilevel"/>
    <w:lvl w:ilvl="0">
      <w:lvlJc w:val="left"/>
      <w:lvlText w:val="•"/>
      <w:numFmt w:val="bullet"/>
      <w:start w:val="1"/>
    </w:lvl>
  </w:abstractNum>
  <w:abstractNum w:abstractNumId="115">
    <w:nsid w:val="2E8A6394"/>
    <w:multiLevelType w:val="hybridMultilevel"/>
    <w:lvl w:ilvl="0">
      <w:lvlJc w:val="left"/>
      <w:lvlText w:val="•"/>
      <w:numFmt w:val="bullet"/>
      <w:start w:val="1"/>
    </w:lvl>
  </w:abstractNum>
  <w:abstractNum w:abstractNumId="116">
    <w:nsid w:val="24E60401"/>
    <w:multiLevelType w:val="hybridMultilevel"/>
    <w:lvl w:ilvl="0">
      <w:lvlJc w:val="left"/>
      <w:lvlText w:val="(%1)"/>
      <w:numFmt w:val="decimal"/>
      <w:start w:val="1"/>
    </w:lvl>
  </w:abstractNum>
  <w:abstractNum w:abstractNumId="117">
    <w:nsid w:val="2A6AD9BE"/>
    <w:multiLevelType w:val="hybridMultilevel"/>
    <w:lvl w:ilvl="0">
      <w:lvlJc w:val="left"/>
      <w:lvlText w:val="(%1)"/>
      <w:numFmt w:val="decimal"/>
      <w:start w:val="1"/>
    </w:lvl>
  </w:abstractNum>
  <w:abstractNum w:abstractNumId="118">
    <w:nsid w:val="BAAC1B4"/>
    <w:multiLevelType w:val="hybridMultilevel"/>
    <w:lvl w:ilvl="0">
      <w:lvlJc w:val="left"/>
      <w:lvlText w:val="(%1)"/>
      <w:numFmt w:val="decimal"/>
      <w:start w:val="1"/>
    </w:lvl>
  </w:abstractNum>
  <w:abstractNum w:abstractNumId="119">
    <w:nsid w:val="36B2ACBC"/>
    <w:multiLevelType w:val="hybridMultilevel"/>
    <w:lvl w:ilvl="0">
      <w:lvlJc w:val="left"/>
      <w:lvlText w:val="(%1)"/>
      <w:numFmt w:val="decimal"/>
      <w:start w:val="2"/>
    </w:lvl>
    <w:lvl w:ilvl="1">
      <w:lvlJc w:val="left"/>
      <w:lvlText w:val="•"/>
      <w:numFmt w:val="bullet"/>
      <w:start w:val="1"/>
    </w:lvl>
  </w:abstractNum>
  <w:abstractNum w:abstractNumId="120">
    <w:nsid w:val="779D8544"/>
    <w:multiLevelType w:val="hybridMultilevel"/>
    <w:lvl w:ilvl="0">
      <w:lvlJc w:val="left"/>
      <w:lvlText w:val="(%1)"/>
      <w:numFmt w:val="decimal"/>
      <w:start w:val="1"/>
    </w:lvl>
  </w:abstractNum>
  <w:abstractNum w:abstractNumId="121">
    <w:nsid w:val="4AB26E78"/>
    <w:multiLevelType w:val="hybridMultilevel"/>
    <w:lvl w:ilvl="0">
      <w:lvlJc w:val="left"/>
      <w:lvlText w:val="(%1)"/>
      <w:numFmt w:val="lowerRoman"/>
      <w:start w:val="5"/>
    </w:lvl>
  </w:abstractNum>
  <w:abstractNum w:abstractNumId="122">
    <w:nsid w:val="21FAA2FA"/>
    <w:multiLevelType w:val="hybridMultilevel"/>
    <w:lvl w:ilvl="0">
      <w:lvlJc w:val="left"/>
      <w:lvlText w:val="%1."/>
      <w:numFmt w:val="decimal"/>
      <w:start w:val="1"/>
    </w:lvl>
  </w:abstractNum>
  <w:abstractNum w:abstractNumId="123">
    <w:nsid w:val="5451CF49"/>
    <w:multiLevelType w:val="hybridMultilevel"/>
    <w:lvl w:ilvl="0">
      <w:lvlJc w:val="left"/>
      <w:lvlText w:val="%1."/>
      <w:numFmt w:val="decimal"/>
      <w:start w:val="3"/>
    </w:lvl>
  </w:abstractNum>
  <w:abstractNum w:abstractNumId="124">
    <w:nsid w:val="6181EF69"/>
    <w:multiLevelType w:val="hybridMultilevel"/>
    <w:lvl w:ilvl="0">
      <w:lvlJc w:val="left"/>
      <w:lvlText w:val="(%1)"/>
      <w:numFmt w:val="decimal"/>
      <w:start w:val="1"/>
    </w:lvl>
  </w:abstractNum>
  <w:abstractNum w:abstractNumId="125">
    <w:nsid w:val="3E6400E6"/>
    <w:multiLevelType w:val="hybridMultilevel"/>
    <w:lvl w:ilvl="0">
      <w:lvlJc w:val="left"/>
      <w:lvlText w:val="(%1)"/>
      <w:numFmt w:val="decimal"/>
      <w:start w:val="1"/>
    </w:lvl>
  </w:abstractNum>
  <w:abstractNum w:abstractNumId="126">
    <w:nsid w:val="14217E23"/>
    <w:multiLevelType w:val="hybridMultilevel"/>
    <w:lvl w:ilvl="0">
      <w:lvlJc w:val="left"/>
      <w:lvlText w:val="(%1)"/>
      <w:numFmt w:val="decimal"/>
      <w:start w:val="4"/>
    </w:lvl>
  </w:abstractNum>
  <w:abstractNum w:abstractNumId="127">
    <w:nsid w:val="710757D0"/>
    <w:multiLevelType w:val="hybridMultilevel"/>
    <w:lvl w:ilvl="0">
      <w:lvlJc w:val="left"/>
      <w:lvlText w:val="(%1)"/>
      <w:numFmt w:val="decimal"/>
      <w:start w:val="1"/>
    </w:lvl>
  </w:abstractNum>
  <w:abstractNum w:abstractNumId="128">
    <w:nsid w:val="5015CD1A"/>
    <w:multiLevelType w:val="hybridMultilevel"/>
    <w:lvl w:ilvl="0">
      <w:lvlJc w:val="left"/>
      <w:lvlText w:val="•"/>
      <w:numFmt w:val="bullet"/>
      <w:start w:val="1"/>
    </w:lvl>
  </w:abstractNum>
  <w:abstractNum w:abstractNumId="129">
    <w:nsid w:val="424479DA"/>
    <w:multiLevelType w:val="hybridMultilevel"/>
    <w:lvl w:ilvl="0">
      <w:lvlJc w:val="left"/>
      <w:lvlText w:val="%1"/>
      <w:numFmt w:val="decimal"/>
      <w:start w:val="104"/>
    </w:lvl>
  </w:abstractNum>
  <w:abstractNum w:abstractNumId="130">
    <w:nsid w:val="1A9A9E69"/>
    <w:multiLevelType w:val="hybridMultilevel"/>
    <w:lvl w:ilvl="0">
      <w:lvlJc w:val="left"/>
      <w:lvlText w:val="*"/>
      <w:numFmt w:val="bullet"/>
      <w:start w:val="1"/>
    </w:lvl>
  </w:abstractNum>
  <w:abstractNum w:abstractNumId="131">
    <w:nsid w:val="475E256A"/>
    <w:multiLevelType w:val="hybridMultilevel"/>
    <w:lvl w:ilvl="0">
      <w:lvlJc w:val="left"/>
      <w:lvlText w:val="**"/>
      <w:numFmt w:val="bullet"/>
      <w:start w:val="1"/>
    </w:lvl>
  </w:abstractNum>
  <w:abstractNum w:abstractNumId="132">
    <w:nsid w:val="368DB37E"/>
    <w:multiLevelType w:val="hybridMultilevel"/>
    <w:lvl w:ilvl="0">
      <w:lvlJc w:val="left"/>
      <w:lvlText w:val="+"/>
      <w:numFmt w:val="bullet"/>
      <w:start w:val="1"/>
    </w:lvl>
  </w:abstractNum>
  <w:abstractNum w:abstractNumId="133">
    <w:nsid w:val="6A3B714C"/>
    <w:multiLevelType w:val="hybridMultilevel"/>
    <w:lvl w:ilvl="0">
      <w:lvlJc w:val="left"/>
      <w:lvlText w:val="•"/>
      <w:numFmt w:val="bullet"/>
      <w:start w:val="1"/>
    </w:lvl>
    <w:lvl w:ilvl="1">
      <w:lvlJc w:val="left"/>
      <w:lvlText w:val="◦"/>
      <w:numFmt w:val="bullet"/>
      <w:start w:val="1"/>
    </w:lvl>
  </w:abstractNum>
  <w:abstractNum w:abstractNumId="134">
    <w:nsid w:val="327B517E"/>
    <w:multiLevelType w:val="hybridMultilevel"/>
    <w:lvl w:ilvl="0">
      <w:lvlJc w:val="left"/>
      <w:lvlText w:val="•"/>
      <w:numFmt w:val="bullet"/>
      <w:start w:val="1"/>
    </w:lvl>
    <w:lvl w:ilvl="1">
      <w:lvlJc w:val="left"/>
      <w:lvlText w:val="◦"/>
      <w:numFmt w:val="bullet"/>
      <w:start w:val="1"/>
    </w:lvl>
  </w:abstractNum>
  <w:abstractNum w:abstractNumId="135">
    <w:nsid w:val="1F461B51"/>
    <w:multiLevelType w:val="hybridMultilevel"/>
    <w:lvl w:ilvl="0">
      <w:lvlJc w:val="left"/>
      <w:lvlText w:val="•"/>
      <w:numFmt w:val="bullet"/>
      <w:start w:val="1"/>
    </w:lvl>
    <w:lvl w:ilvl="1">
      <w:lvlJc w:val="left"/>
      <w:lvlText w:val="◦"/>
      <w:numFmt w:val="bullet"/>
      <w:start w:val="1"/>
    </w:lvl>
  </w:abstractNum>
  <w:abstractNum w:abstractNumId="136">
    <w:nsid w:val="29BACF25"/>
    <w:multiLevelType w:val="hybridMultilevel"/>
    <w:lvl w:ilvl="0">
      <w:lvlJc w:val="left"/>
      <w:lvlText w:val="%1."/>
      <w:numFmt w:val="decimal"/>
      <w:start w:val="1"/>
    </w:lvl>
    <w:lvl w:ilvl="1">
      <w:lvlJc w:val="left"/>
      <w:lvlText w:val="•"/>
      <w:numFmt w:val="bullet"/>
      <w:start w:val="1"/>
    </w:lvl>
  </w:abstractNum>
  <w:abstractNum w:abstractNumId="137">
    <w:nsid w:val="5D5BABB3"/>
    <w:multiLevelType w:val="hybridMultilevel"/>
    <w:lvl w:ilvl="0">
      <w:lvlJc w:val="left"/>
      <w:lvlText w:val="•"/>
      <w:numFmt w:val="bullet"/>
      <w:start w:val="1"/>
    </w:lvl>
    <w:lvl w:ilvl="1">
      <w:lvlJc w:val="left"/>
      <w:lvlText w:val="•"/>
      <w:numFmt w:val="bullet"/>
      <w:start w:val="1"/>
    </w:lvl>
  </w:abstractNum>
  <w:abstractNum w:abstractNumId="138">
    <w:nsid w:val="51BF6B48"/>
    <w:multiLevelType w:val="hybridMultilevel"/>
    <w:lvl w:ilvl="0">
      <w:lvlJc w:val="left"/>
      <w:lvlText w:val="•"/>
      <w:numFmt w:val="bullet"/>
      <w:start w:val="1"/>
    </w:lvl>
  </w:abstractNum>
  <w:abstractNum w:abstractNumId="139">
    <w:nsid w:val="7E0F6384"/>
    <w:multiLevelType w:val="hybridMultilevel"/>
    <w:lvl w:ilvl="0">
      <w:lvlJc w:val="left"/>
      <w:lvlText w:val="%1."/>
      <w:numFmt w:val="decimal"/>
      <w:start w:val="2"/>
    </w:lvl>
  </w:abstractNum>
  <w:abstractNum w:abstractNumId="140">
    <w:nsid w:val="2B4B8B53"/>
    <w:multiLevelType w:val="hybridMultilevel"/>
    <w:lvl w:ilvl="0">
      <w:lvlJc w:val="left"/>
      <w:lvlText w:val="(%1)"/>
      <w:numFmt w:val="decimal"/>
      <w:start w:val="1"/>
    </w:lvl>
  </w:abstractNum>
  <w:abstractNum w:abstractNumId="141">
    <w:nsid w:val="72E3413A"/>
    <w:multiLevelType w:val="hybridMultilevel"/>
    <w:lvl w:ilvl="0">
      <w:lvlJc w:val="left"/>
      <w:lvlText w:val="%1."/>
      <w:numFmt w:val="decimal"/>
      <w:start w:val="3"/>
    </w:lvl>
  </w:abstractNum>
  <w:abstractNum w:abstractNumId="142">
    <w:nsid w:val="116AE494"/>
    <w:multiLevelType w:val="hybridMultilevel"/>
    <w:lvl w:ilvl="0">
      <w:lvlJc w:val="left"/>
      <w:lvlText w:val="(%1)"/>
      <w:numFmt w:val="decimal"/>
      <w:start w:val="1"/>
    </w:lvl>
  </w:abstractNum>
  <w:abstractNum w:abstractNumId="143">
    <w:nsid w:val="3494B2FB"/>
    <w:multiLevelType w:val="hybridMultilevel"/>
    <w:lvl w:ilvl="0">
      <w:lvlJc w:val="left"/>
      <w:lvlText w:val="(%1)"/>
      <w:numFmt w:val="decimal"/>
      <w:start w:val="4"/>
    </w:lvl>
  </w:abstractNum>
  <w:abstractNum w:abstractNumId="144">
    <w:nsid w:val="B13A31"/>
    <w:multiLevelType w:val="hybridMultilevel"/>
    <w:lvl w:ilvl="0">
      <w:lvlJc w:val="left"/>
      <w:lvlText w:val="•"/>
      <w:numFmt w:val="bullet"/>
      <w:start w:val="1"/>
    </w:lvl>
  </w:abstractNum>
  <w:abstractNum w:abstractNumId="145">
    <w:nsid w:val="64429599"/>
    <w:multiLevelType w:val="hybridMultilevel"/>
    <w:lvl w:ilvl="0">
      <w:lvlJc w:val="left"/>
      <w:lvlText w:val="(%1)"/>
      <w:numFmt w:val="decimal"/>
      <w:start w:val="1"/>
    </w:lvl>
  </w:abstractNum>
  <w:abstractNum w:abstractNumId="146">
    <w:nsid w:val="631F1690"/>
    <w:multiLevelType w:val="hybridMultilevel"/>
    <w:lvl w:ilvl="0">
      <w:lvlJc w:val="left"/>
      <w:lvlText w:val="%1."/>
      <w:numFmt w:val="decimal"/>
      <w:start w:val="4"/>
    </w:lvl>
  </w:abstractNum>
  <w:abstractNum w:abstractNumId="147">
    <w:nsid w:val="25973E32"/>
    <w:multiLevelType w:val="hybridMultilevel"/>
    <w:lvl w:ilvl="0">
      <w:lvlJc w:val="left"/>
      <w:lvlText w:val="(%1)"/>
      <w:numFmt w:val="decimal"/>
      <w:start w:val="1"/>
    </w:lvl>
  </w:abstractNum>
  <w:abstractNum w:abstractNumId="148">
    <w:nsid w:val="EAD6F57"/>
    <w:multiLevelType w:val="hybridMultilevel"/>
    <w:lvl w:ilvl="0">
      <w:lvlJc w:val="left"/>
      <w:lvlText w:val="%1."/>
      <w:numFmt w:val="decimal"/>
      <w:start w:val="5"/>
    </w:lvl>
  </w:abstractNum>
  <w:abstractNum w:abstractNumId="149">
    <w:nsid w:val="6EC9D844"/>
    <w:multiLevelType w:val="hybridMultilevel"/>
    <w:lvl w:ilvl="0">
      <w:lvlJc w:val="left"/>
      <w:lvlText w:val="%1."/>
      <w:numFmt w:val="decimal"/>
      <w:start w:val="6"/>
    </w:lvl>
  </w:abstractNum>
  <w:abstractNum w:abstractNumId="150">
    <w:nsid w:val="5C49EAEE"/>
    <w:multiLevelType w:val="hybridMultilevel"/>
    <w:lvl w:ilvl="0">
      <w:lvlJc w:val="left"/>
      <w:lvlText w:val="5"/>
      <w:numFmt w:val="bullet"/>
      <w:start w:val="1"/>
    </w:lvl>
  </w:abstractNum>
  <w:abstractNum w:abstractNumId="151">
    <w:nsid w:val="64AF49B"/>
    <w:multiLevelType w:val="hybridMultilevel"/>
    <w:lvl w:ilvl="0">
      <w:lvlJc w:val="left"/>
      <w:lvlText w:val="\emdash "/>
      <w:numFmt w:val="bullet"/>
      <w:start w:val="1"/>
    </w:lvl>
  </w:abstractNum>
  <w:abstractNum w:abstractNumId="152">
    <w:nsid w:val="397C46BC"/>
    <w:multiLevelType w:val="hybridMultilevel"/>
    <w:lvl w:ilvl="0">
      <w:lvlJc w:val="left"/>
      <w:lvlText w:val="(%1)"/>
      <w:numFmt w:val="decimal"/>
      <w:start w:val="1"/>
    </w:lvl>
  </w:abstractNum>
  <w:abstractNum w:abstractNumId="153">
    <w:nsid w:val="7E448DE9"/>
    <w:multiLevelType w:val="hybridMultilevel"/>
    <w:lvl w:ilvl="0">
      <w:lvlJc w:val="left"/>
      <w:lvlText w:val="•"/>
      <w:numFmt w:val="bullet"/>
      <w:start w:val="1"/>
    </w:lvl>
  </w:abstractNum>
  <w:abstractNum w:abstractNumId="154">
    <w:nsid w:val="5A9CC3E5"/>
    <w:multiLevelType w:val="hybridMultilevel"/>
    <w:lvl w:ilvl="0">
      <w:lvlJc w:val="left"/>
      <w:lvlText w:val="•"/>
      <w:numFmt w:val="bullet"/>
      <w:start w:val="1"/>
    </w:lvl>
  </w:abstractNum>
  <w:abstractNum w:abstractNumId="155">
    <w:nsid w:val="1AFE3625"/>
    <w:multiLevelType w:val="hybridMultilevel"/>
    <w:lvl w:ilvl="0">
      <w:lvlJc w:val="left"/>
      <w:lvlText w:val="•"/>
      <w:numFmt w:val="bullet"/>
      <w:start w:val="1"/>
    </w:lvl>
  </w:abstractNum>
  <w:abstractNum w:abstractNumId="156">
    <w:nsid w:val="3CA88ECF"/>
    <w:multiLevelType w:val="hybridMultilevel"/>
    <w:lvl w:ilvl="0">
      <w:lvlJc w:val="left"/>
      <w:lvlText w:val="•"/>
      <w:numFmt w:val="bullet"/>
      <w:start w:val="1"/>
    </w:lvl>
  </w:abstractNum>
  <w:abstractNum w:abstractNumId="157">
    <w:nsid w:val="6EBE4208"/>
    <w:multiLevelType w:val="hybridMultilevel"/>
    <w:lvl w:ilvl="0">
      <w:lvlJc w:val="left"/>
      <w:lvlText w:val="•"/>
      <w:numFmt w:val="bullet"/>
      <w:start w:val="1"/>
    </w:lvl>
  </w:abstractNum>
  <w:abstractNum w:abstractNumId="158">
    <w:nsid w:val="C058DF5"/>
    <w:multiLevelType w:val="hybridMultilevel"/>
    <w:lvl w:ilvl="0">
      <w:lvlJc w:val="left"/>
      <w:lvlText w:val="•"/>
      <w:numFmt w:val="bullet"/>
      <w:start w:val="1"/>
    </w:lvl>
  </w:abstractNum>
  <w:abstractNum w:abstractNumId="159">
    <w:nsid w:val="CBE5BE9"/>
    <w:multiLevelType w:val="hybridMultilevel"/>
    <w:lvl w:ilvl="0">
      <w:lvlJc w:val="left"/>
      <w:lvlText w:val="•"/>
      <w:numFmt w:val="bullet"/>
      <w:start w:val="1"/>
    </w:lvl>
  </w:abstractNum>
  <w:abstractNum w:abstractNumId="160">
    <w:nsid w:val="3102BBE2"/>
    <w:multiLevelType w:val="hybridMultilevel"/>
    <w:lvl w:ilvl="0">
      <w:lvlJc w:val="left"/>
      <w:lvlText w:val="•"/>
      <w:numFmt w:val="bullet"/>
      <w:start w:val="1"/>
    </w:lvl>
  </w:abstractNum>
  <w:abstractNum w:abstractNumId="161">
    <w:nsid w:val="26A02C5E"/>
    <w:multiLevelType w:val="hybridMultilevel"/>
    <w:lvl w:ilvl="0">
      <w:lvlJc w:val="left"/>
      <w:lvlText w:val="%1."/>
      <w:numFmt w:val="decimal"/>
      <w:start w:val="7"/>
    </w:lvl>
  </w:abstractNum>
  <w:abstractNum w:abstractNumId="162">
    <w:nsid w:val="541C8153"/>
    <w:multiLevelType w:val="hybridMultilevel"/>
    <w:lvl w:ilvl="0">
      <w:lvlJc w:val="left"/>
      <w:lvlText w:val="(%1)"/>
      <w:numFmt w:val="decimal"/>
      <w:start w:val="1"/>
    </w:lvl>
  </w:abstractNum>
  <w:abstractNum w:abstractNumId="163">
    <w:nsid w:val="67906F60"/>
    <w:multiLevelType w:val="hybridMultilevel"/>
    <w:lvl w:ilvl="0">
      <w:lvlJc w:val="left"/>
      <w:lvlText w:val="*"/>
      <w:numFmt w:val="bullet"/>
      <w:start w:val="1"/>
    </w:lvl>
  </w:abstractNum>
  <w:abstractNum w:abstractNumId="164">
    <w:nsid w:val="10DB9DAA"/>
    <w:multiLevelType w:val="hybridMultilevel"/>
    <w:lvl w:ilvl="0">
      <w:lvlJc w:val="left"/>
      <w:lvlText w:val="(%1)"/>
      <w:numFmt w:val="decimal"/>
      <w:start w:val="1"/>
    </w:lvl>
  </w:abstractNum>
  <w:abstractNum w:abstractNumId="165">
    <w:nsid w:val="697D2D2"/>
    <w:multiLevelType w:val="hybridMultilevel"/>
    <w:lvl w:ilvl="0">
      <w:lvlJc w:val="left"/>
      <w:lvlText w:val="%1."/>
      <w:numFmt w:val="decimal"/>
      <w:start w:val="9"/>
    </w:lvl>
  </w:abstractNum>
  <w:abstractNum w:abstractNumId="166">
    <w:nsid w:val="6D68AB2"/>
    <w:multiLevelType w:val="hybridMultilevel"/>
    <w:lvl w:ilvl="0">
      <w:lvlJc w:val="left"/>
      <w:lvlText w:val="%1."/>
      <w:numFmt w:val="decimal"/>
      <w:start w:val="10"/>
    </w:lvl>
  </w:abstractNum>
  <w:abstractNum w:abstractNumId="167">
    <w:nsid w:val="3A966CD0"/>
    <w:multiLevelType w:val="hybridMultilevel"/>
    <w:lvl w:ilvl="0">
      <w:lvlJc w:val="left"/>
      <w:lvlText w:val="%1."/>
      <w:numFmt w:val="decimal"/>
      <w:start w:val="11"/>
    </w:lvl>
  </w:abstractNum>
  <w:abstractNum w:abstractNumId="168">
    <w:nsid w:val="63F37E85"/>
    <w:multiLevelType w:val="hybridMultilevel"/>
    <w:lvl w:ilvl="0">
      <w:lvlJc w:val="left"/>
      <w:lvlText w:val="•"/>
      <w:numFmt w:val="bullet"/>
      <w:start w:val="1"/>
    </w:lvl>
  </w:abstractNum>
  <w:abstractNum w:abstractNumId="169">
    <w:nsid w:val="5895F5FA"/>
    <w:multiLevelType w:val="hybridMultilevel"/>
    <w:lvl w:ilvl="0">
      <w:lvlJc w:val="left"/>
      <w:lvlText w:val="•"/>
      <w:numFmt w:val="bullet"/>
      <w:start w:val="1"/>
    </w:lvl>
  </w:abstractNum>
  <w:abstractNum w:abstractNumId="170">
    <w:nsid w:val="38A5D054"/>
    <w:multiLevelType w:val="hybridMultilevel"/>
    <w:lvl w:ilvl="0">
      <w:lvlJc w:val="left"/>
      <w:lvlText w:val="%1."/>
      <w:numFmt w:val="decimal"/>
      <w:start w:val="12"/>
    </w:lvl>
  </w:abstractNum>
  <w:abstractNum w:abstractNumId="171">
    <w:nsid w:val="F3F09D8"/>
    <w:multiLevelType w:val="hybridMultilevel"/>
    <w:lvl w:ilvl="0">
      <w:lvlJc w:val="left"/>
      <w:lvlText w:val="•"/>
      <w:numFmt w:val="bullet"/>
      <w:start w:val="1"/>
    </w:lvl>
    <w:lvl w:ilvl="1">
      <w:lvlJc w:val="left"/>
      <w:lvlText w:val="•"/>
      <w:numFmt w:val="bullet"/>
      <w:start w:val="1"/>
    </w:lvl>
  </w:abstractNum>
  <w:abstractNum w:abstractNumId="172">
    <w:nsid w:val="4B793735"/>
    <w:multiLevelType w:val="hybridMultilevel"/>
    <w:lvl w:ilvl="0">
      <w:lvlJc w:val="left"/>
      <w:lvlText w:val="•"/>
      <w:numFmt w:val="bullet"/>
      <w:start w:val="1"/>
    </w:lvl>
  </w:abstractNum>
  <w:abstractNum w:abstractNumId="173">
    <w:nsid w:val="4A10B4E8"/>
    <w:multiLevelType w:val="hybridMultilevel"/>
    <w:lvl w:ilvl="0">
      <w:lvlJc w:val="left"/>
      <w:lvlText w:val="•"/>
      <w:numFmt w:val="bullet"/>
      <w:start w:val="1"/>
    </w:lvl>
  </w:abstractNum>
  <w:abstractNum w:abstractNumId="174">
    <w:nsid w:val="43D3BCD4"/>
    <w:multiLevelType w:val="hybridMultilevel"/>
    <w:lvl w:ilvl="0">
      <w:lvlJc w:val="left"/>
      <w:lvlText w:val="%1."/>
      <w:numFmt w:val="decimal"/>
      <w:start w:val="12"/>
    </w:lvl>
    <w:lvl w:ilvl="1">
      <w:lvlJc w:val="left"/>
      <w:lvlText w:val="•"/>
      <w:numFmt w:val="bullet"/>
      <w:start w:val="1"/>
    </w:lvl>
  </w:abstractNum>
  <w:abstractNum w:abstractNumId="175">
    <w:nsid w:val="4C2A7166"/>
    <w:multiLevelType w:val="hybridMultilevel"/>
    <w:lvl w:ilvl="0">
      <w:lvlJc w:val="left"/>
      <w:lvlText w:val="$"/>
      <w:numFmt w:val="bullet"/>
      <w:start w:val="1"/>
    </w:lvl>
  </w:abstractNum>
  <w:abstractNum w:abstractNumId="176">
    <w:nsid w:val="2E534A82"/>
    <w:multiLevelType w:val="hybridMultilevel"/>
    <w:lvl w:ilvl="0">
      <w:lvlJc w:val="left"/>
      <w:lvlText w:val="$"/>
      <w:numFmt w:val="bullet"/>
      <w:start w:val="1"/>
    </w:lvl>
  </w:abstractNum>
  <w:abstractNum w:abstractNumId="177">
    <w:nsid w:val="26F2D364"/>
    <w:multiLevelType w:val="hybridMultilevel"/>
    <w:lvl w:ilvl="0">
      <w:lvlJc w:val="left"/>
      <w:lvlText w:val="%1."/>
      <w:numFmt w:val="decimal"/>
      <w:start w:val="14"/>
    </w:lvl>
  </w:abstractNum>
  <w:abstractNum w:abstractNumId="178">
    <w:nsid w:val="71C1AF98"/>
    <w:multiLevelType w:val="hybridMultilevel"/>
    <w:lvl w:ilvl="0">
      <w:lvlJc w:val="left"/>
      <w:lvlText w:val="(%1)"/>
      <w:numFmt w:val="decimal"/>
      <w:start w:val="1"/>
    </w:lvl>
  </w:abstractNum>
  <w:abstractNum w:abstractNumId="179">
    <w:nsid w:val="3D00B9D9"/>
    <w:multiLevelType w:val="hybridMultilevel"/>
    <w:lvl w:ilvl="0">
      <w:lvlJc w:val="left"/>
      <w:lvlText w:val="(%1)"/>
      <w:numFmt w:val="decimal"/>
      <w:start w:val="1"/>
    </w:lvl>
  </w:abstractNum>
  <w:abstractNum w:abstractNumId="180">
    <w:nsid w:val="15BCABA8"/>
    <w:multiLevelType w:val="hybridMultilevel"/>
    <w:lvl w:ilvl="0">
      <w:lvlJc w:val="left"/>
      <w:lvlText w:val="%1."/>
      <w:numFmt w:val="decimal"/>
      <w:start w:val="15"/>
    </w:lvl>
  </w:abstractNum>
  <w:abstractNum w:abstractNumId="181">
    <w:nsid w:val="4E0B9A87"/>
    <w:multiLevelType w:val="hybridMultilevel"/>
    <w:lvl w:ilvl="0">
      <w:lvlJc w:val="left"/>
      <w:lvlText w:val="(%1)"/>
      <w:numFmt w:val="decimal"/>
      <w:start w:val="1"/>
    </w:lvl>
  </w:abstractNum>
  <w:abstractNum w:abstractNumId="182">
    <w:nsid w:val="434BAE75"/>
    <w:multiLevelType w:val="hybridMultilevel"/>
    <w:lvl w:ilvl="0">
      <w:lvlJc w:val="left"/>
      <w:lvlText w:val="(%1)"/>
      <w:numFmt w:val="decimal"/>
      <w:start w:val="1"/>
    </w:lvl>
  </w:abstractNum>
  <w:abstractNum w:abstractNumId="183">
    <w:nsid w:val="4F38F265"/>
    <w:multiLevelType w:val="hybridMultilevel"/>
    <w:lvl w:ilvl="0">
      <w:lvlJc w:val="left"/>
      <w:lvlText w:val="(%1)"/>
      <w:numFmt w:val="decimal"/>
      <w:start w:val="1"/>
    </w:lvl>
  </w:abstractNum>
  <w:abstractNum w:abstractNumId="184">
    <w:nsid w:val="4C502870"/>
    <w:multiLevelType w:val="hybridMultilevel"/>
    <w:lvl w:ilvl="0">
      <w:lvlJc w:val="left"/>
      <w:lvlText w:val="(%1)"/>
      <w:numFmt w:val="decimal"/>
      <w:start w:val="1"/>
    </w:lvl>
  </w:abstractNum>
  <w:abstractNum w:abstractNumId="185">
    <w:nsid w:val="1DE8725A"/>
    <w:multiLevelType w:val="hybridMultilevel"/>
    <w:lvl w:ilvl="0">
      <w:lvlJc w:val="left"/>
      <w:lvlText w:val="(%1)"/>
      <w:numFmt w:val="decimal"/>
      <w:start w:val="1"/>
    </w:lvl>
  </w:abstractNum>
  <w:abstractNum w:abstractNumId="186">
    <w:nsid w:val="6A37288A"/>
    <w:multiLevelType w:val="hybridMultilevel"/>
    <w:lvl w:ilvl="0">
      <w:lvlJc w:val="left"/>
      <w:lvlText w:val="%1."/>
      <w:numFmt w:val="decimal"/>
      <w:start w:val="16"/>
    </w:lvl>
  </w:abstractNum>
  <w:abstractNum w:abstractNumId="187">
    <w:nsid w:val="8F8B73F"/>
    <w:multiLevelType w:val="hybridMultilevel"/>
    <w:lvl w:ilvl="0">
      <w:lvlJc w:val="left"/>
      <w:lvlText w:val="%1."/>
      <w:numFmt w:val="decimal"/>
      <w:start w:val="17"/>
    </w:lvl>
    <w:lvl w:ilvl="1">
      <w:lvlJc w:val="left"/>
      <w:lvlText w:val="•"/>
      <w:numFmt w:val="bullet"/>
      <w:start w:val="1"/>
    </w:lvl>
  </w:abstractNum>
  <w:abstractNum w:abstractNumId="188">
    <w:nsid w:val="CA6B462"/>
    <w:multiLevelType w:val="hybridMultilevel"/>
    <w:lvl w:ilvl="0">
      <w:lvlJc w:val="left"/>
      <w:lvlText w:val="(%1)"/>
      <w:numFmt w:val="decimal"/>
      <w:start w:val="1"/>
    </w:lvl>
  </w:abstractNum>
  <w:abstractNum w:abstractNumId="189">
    <w:nsid w:val="763CB680"/>
    <w:multiLevelType w:val="hybridMultilevel"/>
    <w:lvl w:ilvl="0">
      <w:lvlJc w:val="left"/>
      <w:lvlText w:val="%1."/>
      <w:numFmt w:val="decimal"/>
      <w:start w:val="18"/>
    </w:lvl>
  </w:abstractNum>
  <w:abstractNum w:abstractNumId="190">
    <w:nsid w:val="15B71329"/>
    <w:multiLevelType w:val="hybridMultilevel"/>
    <w:lvl w:ilvl="0">
      <w:lvlJc w:val="left"/>
      <w:lvlText w:val="•"/>
      <w:numFmt w:val="bullet"/>
      <w:start w:val="1"/>
    </w:lvl>
  </w:abstractNum>
  <w:abstractNum w:abstractNumId="191">
    <w:nsid w:val="3DA97044"/>
    <w:multiLevelType w:val="hybridMultilevel"/>
    <w:lvl w:ilvl="0">
      <w:lvlJc w:val="left"/>
      <w:lvlText w:val="•"/>
      <w:numFmt w:val="bullet"/>
      <w:start w:val="1"/>
    </w:lvl>
  </w:abstractNum>
  <w:abstractNum w:abstractNumId="192">
    <w:nsid w:val="1CDCE2DE"/>
    <w:multiLevelType w:val="hybridMultilevel"/>
    <w:lvl w:ilvl="0">
      <w:lvlJc w:val="left"/>
      <w:lvlText w:val="•"/>
      <w:numFmt w:val="bullet"/>
      <w:start w:val="1"/>
    </w:lvl>
  </w:abstractNum>
  <w:abstractNum w:abstractNumId="193">
    <w:nsid w:val="69D3947C"/>
    <w:multiLevelType w:val="hybridMultilevel"/>
    <w:lvl w:ilvl="0">
      <w:lvlJc w:val="left"/>
      <w:lvlText w:val="(%1)"/>
      <w:numFmt w:val="decimal"/>
      <w:start w:val="1"/>
    </w:lvl>
  </w:abstractNum>
  <w:abstractNum w:abstractNumId="194">
    <w:nsid w:val="2539DFA5"/>
    <w:multiLevelType w:val="hybridMultilevel"/>
    <w:lvl w:ilvl="0">
      <w:lvlJc w:val="left"/>
      <w:lvlText w:val="(%1)"/>
      <w:numFmt w:val="decimal"/>
      <w:start w:val="3"/>
    </w:lvl>
  </w:abstractNum>
  <w:abstractNum w:abstractNumId="195">
    <w:nsid w:val="2DB88089"/>
    <w:multiLevelType w:val="hybridMultilevel"/>
    <w:lvl w:ilvl="0">
      <w:lvlJc w:val="left"/>
      <w:lvlText w:val="(%1)"/>
      <w:numFmt w:val="decimal"/>
      <w:start w:val="1"/>
    </w:lvl>
  </w:abstractNum>
  <w:abstractNum w:abstractNumId="196">
    <w:nsid w:val="706B674E"/>
    <w:multiLevelType w:val="hybridMultilevel"/>
    <w:lvl w:ilvl="0">
      <w:lvlJc w:val="left"/>
      <w:lvlText w:val="(%1)"/>
      <w:numFmt w:val="decimal"/>
      <w:start w:val="5"/>
    </w:lvl>
  </w:abstractNum>
  <w:abstractNum w:abstractNumId="197">
    <w:nsid w:val="2C106A57"/>
    <w:multiLevelType w:val="hybridMultilevel"/>
    <w:lvl w:ilvl="0">
      <w:lvlJc w:val="left"/>
      <w:lvlText w:val="(%1)"/>
      <w:numFmt w:val="decimal"/>
      <w:start w:val="1"/>
    </w:lvl>
  </w:abstractNum>
  <w:abstractNum w:abstractNumId="198">
    <w:nsid w:val="684EED59"/>
    <w:multiLevelType w:val="hybridMultilevel"/>
    <w:lvl w:ilvl="0">
      <w:lvlJc w:val="left"/>
      <w:lvlText w:val="•"/>
      <w:numFmt w:val="bullet"/>
      <w:start w:val="1"/>
    </w:lvl>
  </w:abstractNum>
  <w:abstractNum w:abstractNumId="199">
    <w:nsid w:val="545EE5D3"/>
    <w:multiLevelType w:val="hybridMultilevel"/>
    <w:lvl w:ilvl="0">
      <w:lvlJc w:val="left"/>
      <w:lvlText w:val="(%1)"/>
      <w:numFmt w:val="lowerRoman"/>
      <w:start w:val="1"/>
    </w:lvl>
  </w:abstractNum>
  <w:abstractNum w:abstractNumId="200">
    <w:nsid w:val="4A66051"/>
    <w:multiLevelType w:val="hybridMultilevel"/>
    <w:lvl w:ilvl="0">
      <w:lvlJc w:val="left"/>
      <w:lvlText w:val="•"/>
      <w:numFmt w:val="bullet"/>
      <w:start w:val="1"/>
    </w:lvl>
  </w:abstractNum>
  <w:abstractNum w:abstractNumId="201">
    <w:nsid w:val="20F4BDAD"/>
    <w:multiLevelType w:val="hybridMultilevel"/>
    <w:lvl w:ilvl="0">
      <w:lvlJc w:val="left"/>
      <w:lvlText w:val="•"/>
      <w:numFmt w:val="bullet"/>
      <w:start w:val="1"/>
    </w:lvl>
  </w:abstractNum>
  <w:abstractNum w:abstractNumId="202">
    <w:nsid w:val="639DEFAC"/>
    <w:multiLevelType w:val="hybridMultilevel"/>
    <w:lvl w:ilvl="0">
      <w:lvlJc w:val="left"/>
      <w:lvlText w:val="•"/>
      <w:numFmt w:val="bullet"/>
      <w:start w:val="1"/>
    </w:lvl>
    <w:lvl w:ilvl="1">
      <w:lvlJc w:val="left"/>
      <w:lvlText w:val="•"/>
      <w:numFmt w:val="bullet"/>
      <w:start w:val="1"/>
    </w:lvl>
  </w:abstractNum>
  <w:abstractNum w:abstractNumId="203">
    <w:nsid w:val="501F9786"/>
    <w:multiLevelType w:val="hybridMultilevel"/>
    <w:lvl w:ilvl="0">
      <w:lvlJc w:val="left"/>
      <w:lvlText w:val="•"/>
      <w:numFmt w:val="bullet"/>
      <w:start w:val="1"/>
    </w:lvl>
    <w:lvl w:ilvl="1">
      <w:lvlJc w:val="left"/>
      <w:lvlText w:val="•"/>
      <w:numFmt w:val="bullet"/>
      <w:start w:val="1"/>
    </w:lvl>
  </w:abstractNum>
  <w:abstractNum w:abstractNumId="204">
    <w:nsid w:val="6B057295"/>
    <w:multiLevelType w:val="hybridMultilevel"/>
    <w:lvl w:ilvl="0">
      <w:lvlJc w:val="left"/>
      <w:lvlText w:val="•"/>
      <w:numFmt w:val="bullet"/>
      <w:start w:val="1"/>
    </w:lvl>
    <w:lvl w:ilvl="1">
      <w:lvlJc w:val="left"/>
      <w:lvlText w:val="•"/>
      <w:numFmt w:val="bullet"/>
      <w:start w:val="1"/>
    </w:lvl>
  </w:abstractNum>
  <w:abstractNum w:abstractNumId="205">
    <w:nsid w:val="2771AC80"/>
    <w:multiLevelType w:val="hybridMultilevel"/>
    <w:lvl w:ilvl="0">
      <w:lvlJc w:val="left"/>
      <w:lvlText w:val="•"/>
      <w:numFmt w:val="bullet"/>
      <w:start w:val="1"/>
    </w:lvl>
    <w:lvl w:ilvl="1">
      <w:lvlJc w:val="left"/>
      <w:lvlText w:val="•"/>
      <w:numFmt w:val="bullet"/>
      <w:start w:val="1"/>
    </w:lvl>
  </w:abstractNum>
  <w:abstractNum w:abstractNumId="206">
    <w:nsid w:val="1C4A08EC"/>
    <w:multiLevelType w:val="hybridMultilevel"/>
    <w:lvl w:ilvl="0">
      <w:lvlJc w:val="left"/>
      <w:lvlText w:val="•"/>
      <w:numFmt w:val="bullet"/>
      <w:start w:val="1"/>
    </w:lvl>
  </w:abstractNum>
  <w:abstractNum w:abstractNumId="207">
    <w:nsid w:val="1958BD17"/>
    <w:multiLevelType w:val="hybridMultilevel"/>
    <w:lvl w:ilvl="0">
      <w:lvlJc w:val="left"/>
      <w:lvlText w:val="•"/>
      <w:numFmt w:val="bullet"/>
      <w:start w:val="1"/>
    </w:lvl>
  </w:abstractNum>
  <w:abstractNum w:abstractNumId="208">
    <w:nsid w:val="4E647FE4"/>
    <w:multiLevelType w:val="hybridMultilevel"/>
    <w:lvl w:ilvl="0">
      <w:lvlJc w:val="left"/>
      <w:lvlText w:val="•"/>
      <w:numFmt w:val="bullet"/>
      <w:start w:val="1"/>
    </w:lvl>
  </w:abstractNum>
  <w:abstractNum w:abstractNumId="209">
    <w:nsid w:val="E0BB885"/>
    <w:multiLevelType w:val="hybridMultilevel"/>
    <w:lvl w:ilvl="0">
      <w:lvlJc w:val="left"/>
      <w:lvlText w:val="•"/>
      <w:numFmt w:val="bullet"/>
      <w:start w:val="1"/>
    </w:lvl>
  </w:abstractNum>
  <w:abstractNum w:abstractNumId="210">
    <w:nsid w:val="565976F1"/>
    <w:multiLevelType w:val="hybridMultilevel"/>
    <w:lvl w:ilvl="0">
      <w:lvlJc w:val="left"/>
      <w:lvlText w:val="•"/>
      <w:numFmt w:val="bullet"/>
      <w:start w:val="1"/>
    </w:lvl>
  </w:abstractNum>
  <w:abstractNum w:abstractNumId="211">
    <w:nsid w:val="64212B8C"/>
    <w:multiLevelType w:val="hybridMultilevel"/>
    <w:lvl w:ilvl="0">
      <w:lvlJc w:val="left"/>
      <w:lvlText w:val="•"/>
      <w:numFmt w:val="bullet"/>
      <w:start w:val="1"/>
    </w:lvl>
  </w:abstractNum>
  <w:abstractNum w:abstractNumId="212">
    <w:nsid w:val="5C17530C"/>
    <w:multiLevelType w:val="hybridMultilevel"/>
    <w:lvl w:ilvl="0">
      <w:lvlJc w:val="left"/>
      <w:lvlText w:val="•"/>
      <w:numFmt w:val="bullet"/>
      <w:start w:val="1"/>
    </w:lvl>
  </w:abstractNum>
  <w:abstractNum w:abstractNumId="213">
    <w:nsid w:val="19A52566"/>
    <w:multiLevelType w:val="hybridMultilevel"/>
    <w:lvl w:ilvl="0">
      <w:lvlJc w:val="left"/>
      <w:lvlText w:val="•"/>
      <w:numFmt w:val="bullet"/>
      <w:start w:val="1"/>
    </w:lvl>
  </w:abstractNum>
  <w:abstractNum w:abstractNumId="214">
    <w:nsid w:val="335A1DF1"/>
    <w:multiLevelType w:val="hybridMultilevel"/>
    <w:lvl w:ilvl="0">
      <w:lvlJc w:val="left"/>
      <w:lvlText w:val="•"/>
      <w:numFmt w:val="bullet"/>
      <w:start w:val="1"/>
    </w:lvl>
  </w:abstractNum>
  <w:abstractNum w:abstractNumId="215">
    <w:nsid w:val="28677B7C"/>
    <w:multiLevelType w:val="hybridMultilevel"/>
    <w:lvl w:ilvl="0">
      <w:lvlJc w:val="left"/>
      <w:lvlText w:val="•"/>
      <w:numFmt w:val="bullet"/>
      <w:start w:val="1"/>
    </w:lvl>
    <w:lvl w:ilvl="1">
      <w:lvlJc w:val="left"/>
      <w:lvlText w:val="•"/>
      <w:numFmt w:val="bullet"/>
      <w:start w:val="1"/>
    </w:lvl>
  </w:abstractNum>
  <w:abstractNum w:abstractNumId="216">
    <w:nsid w:val="378D97C0"/>
    <w:multiLevelType w:val="hybridMultilevel"/>
    <w:lvl w:ilvl="0">
      <w:lvlJc w:val="left"/>
      <w:lvlText w:val="•"/>
      <w:numFmt w:val="bullet"/>
      <w:start w:val="1"/>
    </w:lvl>
  </w:abstractNum>
  <w:abstractNum w:abstractNumId="217">
    <w:nsid w:val="1D91467C"/>
    <w:multiLevelType w:val="hybridMultilevel"/>
    <w:lvl w:ilvl="0">
      <w:lvlJc w:val="left"/>
      <w:lvlText w:val="•"/>
      <w:numFmt w:val="bullet"/>
      <w:start w:val="1"/>
    </w:lvl>
    <w:lvl w:ilvl="1">
      <w:lvlJc w:val="left"/>
      <w:lvlText w:val="•"/>
      <w:numFmt w:val="bullet"/>
      <w:start w:val="1"/>
    </w:lvl>
  </w:abstractNum>
  <w:abstractNum w:abstractNumId="218">
    <w:nsid w:val="316032BB"/>
    <w:multiLevelType w:val="hybridMultilevel"/>
    <w:lvl w:ilvl="0">
      <w:lvlJc w:val="left"/>
      <w:lvlText w:val="•"/>
      <w:numFmt w:val="bullet"/>
      <w:start w:val="1"/>
    </w:lvl>
  </w:abstractNum>
  <w:abstractNum w:abstractNumId="219">
    <w:nsid w:val="44344C22"/>
    <w:multiLevelType w:val="hybridMultilevel"/>
    <w:lvl w:ilvl="0">
      <w:lvlJc w:val="left"/>
      <w:lvlText w:val="•"/>
      <w:numFmt w:val="bullet"/>
      <w:start w:val="1"/>
    </w:lvl>
  </w:abstractNum>
  <w:abstractNum w:abstractNumId="220">
    <w:nsid w:val="13CDFCFC"/>
    <w:multiLevelType w:val="hybridMultilevel"/>
    <w:lvl w:ilvl="0">
      <w:lvlJc w:val="left"/>
      <w:lvlText w:val="•"/>
      <w:numFmt w:val="bullet"/>
      <w:start w:val="1"/>
    </w:lvl>
  </w:abstractNum>
  <w:abstractNum w:abstractNumId="221">
    <w:nsid w:val="471745E4"/>
    <w:multiLevelType w:val="hybridMultilevel"/>
    <w:lvl w:ilvl="0">
      <w:lvlJc w:val="left"/>
      <w:lvlText w:val="•"/>
      <w:numFmt w:val="bullet"/>
      <w:start w:val="1"/>
    </w:lvl>
  </w:abstractNum>
  <w:abstractNum w:abstractNumId="222">
    <w:nsid w:val="1DDBC66"/>
    <w:multiLevelType w:val="hybridMultilevel"/>
    <w:lvl w:ilvl="0">
      <w:lvlJc w:val="left"/>
      <w:lvlText w:val="•"/>
      <w:numFmt w:val="bullet"/>
      <w:start w:val="1"/>
    </w:lvl>
  </w:abstractNum>
  <w:abstractNum w:abstractNumId="223">
    <w:nsid w:val="30AADFDA"/>
    <w:multiLevelType w:val="hybridMultilevel"/>
    <w:lvl w:ilvl="0">
      <w:lvlJc w:val="left"/>
      <w:lvlText w:val="•"/>
      <w:numFmt w:val="bullet"/>
      <w:start w:val="1"/>
    </w:lvl>
  </w:abstractNum>
  <w:abstractNum w:abstractNumId="224">
    <w:nsid w:val="30EADA61"/>
    <w:multiLevelType w:val="hybridMultilevel"/>
    <w:lvl w:ilvl="0">
      <w:lvlJc w:val="left"/>
      <w:lvlText w:val="•"/>
      <w:numFmt w:val="bullet"/>
      <w:start w:val="1"/>
    </w:lvl>
  </w:abstractNum>
  <w:abstractNum w:abstractNumId="225">
    <w:nsid w:val="27179C0B"/>
    <w:multiLevelType w:val="hybridMultilevel"/>
    <w:lvl w:ilvl="0">
      <w:lvlJc w:val="left"/>
      <w:lvlText w:val="%1."/>
      <w:numFmt w:val="decimal"/>
      <w:start w:val="1"/>
    </w:lvl>
    <w:lvl w:ilvl="1">
      <w:lvlJc w:val="left"/>
      <w:lvlText w:val="%2."/>
      <w:numFmt w:val="lowerLetter"/>
      <w:start w:val="1"/>
    </w:lvl>
  </w:abstractNum>
  <w:abstractNum w:abstractNumId="226">
    <w:nsid w:val="5E636063"/>
    <w:multiLevelType w:val="hybridMultilevel"/>
    <w:lvl w:ilvl="0">
      <w:lvlJc w:val="left"/>
      <w:lvlText w:val="%1."/>
      <w:numFmt w:val="decimal"/>
      <w:start w:val="1"/>
    </w:lvl>
    <w:lvl w:ilvl="1">
      <w:lvlJc w:val="left"/>
      <w:lvlText w:val="%2."/>
      <w:numFmt w:val="lowerLetter"/>
      <w:start w:val="1"/>
    </w:lvl>
  </w:abstractNum>
  <w:abstractNum w:abstractNumId="227">
    <w:nsid w:val="215641AF"/>
    <w:multiLevelType w:val="hybridMultilevel"/>
    <w:lvl w:ilvl="0">
      <w:lvlJc w:val="left"/>
      <w:lvlText w:val="(%1)"/>
      <w:numFmt w:val="decimal"/>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61" Type="http://schemas.openxmlformats.org/officeDocument/2006/relationships/image" Target="media/image2.png"/><Relationship Id="rId62" Type="http://schemas.openxmlformats.org/officeDocument/2006/relationships/image" Target="media/image3.png"/><Relationship Id="rId63" Type="http://schemas.openxmlformats.org/officeDocument/2006/relationships/image" Target="media/image4.png"/><Relationship Id="rId64" Type="http://schemas.openxmlformats.org/officeDocument/2006/relationships/image" Target="media/image5.png"/><Relationship Id="rId65" Type="http://schemas.openxmlformats.org/officeDocument/2006/relationships/image" Target="media/image6.png"/><Relationship Id="rId66" Type="http://schemas.openxmlformats.org/officeDocument/2006/relationships/image" Target="media/image7.png"/><Relationship Id="rId67" Type="http://schemas.openxmlformats.org/officeDocument/2006/relationships/image" Target="media/image8.png"/><Relationship Id="rId68" Type="http://schemas.openxmlformats.org/officeDocument/2006/relationships/image" Target="media/image9.png"/><Relationship Id="rId69" Type="http://schemas.openxmlformats.org/officeDocument/2006/relationships/image" Target="media/image10.png"/><Relationship Id="rId70" Type="http://schemas.openxmlformats.org/officeDocument/2006/relationships/image" Target="media/image11.png"/><Relationship Id="rId71" Type="http://schemas.openxmlformats.org/officeDocument/2006/relationships/image" Target="media/image12.png"/><Relationship Id="rId72" Type="http://schemas.openxmlformats.org/officeDocument/2006/relationships/image" Target="media/image13.png"/><Relationship Id="rId73" Type="http://schemas.openxmlformats.org/officeDocument/2006/relationships/image" Target="media/image14.png"/><Relationship Id="rId74" Type="http://schemas.openxmlformats.org/officeDocument/2006/relationships/image" Target="media/image15.png"/><Relationship Id="rId75" Type="http://schemas.openxmlformats.org/officeDocument/2006/relationships/image" Target="media/image16.png"/><Relationship Id="rId76" Type="http://schemas.openxmlformats.org/officeDocument/2006/relationships/image" Target="media/image17.png"/><Relationship Id="rId77" Type="http://schemas.openxmlformats.org/officeDocument/2006/relationships/image" Target="media/image18.png"/><Relationship Id="rId78" Type="http://schemas.openxmlformats.org/officeDocument/2006/relationships/image" Target="media/image19.png"/><Relationship Id="rId79" Type="http://schemas.openxmlformats.org/officeDocument/2006/relationships/image" Target="media/image20.png"/><Relationship Id="rId80" Type="http://schemas.openxmlformats.org/officeDocument/2006/relationships/image" Target="media/image21.png"/><Relationship Id="rId81" Type="http://schemas.openxmlformats.org/officeDocument/2006/relationships/image" Target="media/image22.png"/><Relationship Id="rId82" Type="http://schemas.openxmlformats.org/officeDocument/2006/relationships/image" Target="media/image23.png"/><Relationship Id="rId83" Type="http://schemas.openxmlformats.org/officeDocument/2006/relationships/image" Target="media/image24.png"/><Relationship Id="rId84" Type="http://schemas.openxmlformats.org/officeDocument/2006/relationships/image" Target="media/image25.png"/><Relationship Id="rId85" Type="http://schemas.openxmlformats.org/officeDocument/2006/relationships/image" Target="media/image26.png"/><Relationship Id="rId86" Type="http://schemas.openxmlformats.org/officeDocument/2006/relationships/image" Target="media/image27.png"/><Relationship Id="rId87" Type="http://schemas.openxmlformats.org/officeDocument/2006/relationships/image" Target="media/image28.png"/><Relationship Id="rId88" Type="http://schemas.openxmlformats.org/officeDocument/2006/relationships/image" Target="media/image29.png"/><Relationship Id="rId89" Type="http://schemas.openxmlformats.org/officeDocument/2006/relationships/image" Target="media/image30.png"/><Relationship Id="rId90" Type="http://schemas.openxmlformats.org/officeDocument/2006/relationships/image" Target="media/image31.png"/><Relationship Id="rId91" Type="http://schemas.openxmlformats.org/officeDocument/2006/relationships/image" Target="media/image32.png"/><Relationship Id="rId92" Type="http://schemas.openxmlformats.org/officeDocument/2006/relationships/image" Target="media/image33.png"/><Relationship Id="rId93" Type="http://schemas.openxmlformats.org/officeDocument/2006/relationships/image" Target="media/image34.png"/><Relationship Id="rId94" Type="http://schemas.openxmlformats.org/officeDocument/2006/relationships/image" Target="media/image35.png"/><Relationship Id="rId95" Type="http://schemas.openxmlformats.org/officeDocument/2006/relationships/image" Target="media/image36.png"/><Relationship Id="rId96" Type="http://schemas.openxmlformats.org/officeDocument/2006/relationships/image" Target="media/image37.png"/><Relationship Id="rId97" Type="http://schemas.openxmlformats.org/officeDocument/2006/relationships/image" Target="media/image38.png"/><Relationship Id="rId98" Type="http://schemas.openxmlformats.org/officeDocument/2006/relationships/image" Target="media/image39.png"/><Relationship Id="rId99" Type="http://schemas.openxmlformats.org/officeDocument/2006/relationships/image" Target="media/image40.png"/><Relationship Id="rId100" Type="http://schemas.openxmlformats.org/officeDocument/2006/relationships/image" Target="media/image41.png"/><Relationship Id="rId101" Type="http://schemas.openxmlformats.org/officeDocument/2006/relationships/image" Target="media/image42.png"/><Relationship Id="rId102" Type="http://schemas.openxmlformats.org/officeDocument/2006/relationships/image" Target="media/image43.png"/><Relationship Id="rId103" Type="http://schemas.openxmlformats.org/officeDocument/2006/relationships/image" Target="media/image44.png"/><Relationship Id="rId104" Type="http://schemas.openxmlformats.org/officeDocument/2006/relationships/image" Target="media/image45.png"/><Relationship Id="rId105" Type="http://schemas.openxmlformats.org/officeDocument/2006/relationships/image" Target="media/image46.png"/><Relationship Id="rId106" Type="http://schemas.openxmlformats.org/officeDocument/2006/relationships/image" Target="media/image47.png"/><Relationship Id="rId107" Type="http://schemas.openxmlformats.org/officeDocument/2006/relationships/image" Target="media/image48.png"/><Relationship Id="rId108" Type="http://schemas.openxmlformats.org/officeDocument/2006/relationships/image" Target="media/image49.png"/><Relationship Id="rId109" Type="http://schemas.openxmlformats.org/officeDocument/2006/relationships/image" Target="media/image50.png"/><Relationship Id="rId110" Type="http://schemas.openxmlformats.org/officeDocument/2006/relationships/image" Target="media/image51.png"/><Relationship Id="rId111" Type="http://schemas.openxmlformats.org/officeDocument/2006/relationships/image" Target="media/image52.png"/><Relationship Id="rId112" Type="http://schemas.openxmlformats.org/officeDocument/2006/relationships/image" Target="media/image53.png"/><Relationship Id="rId113" Type="http://schemas.openxmlformats.org/officeDocument/2006/relationships/image" Target="media/image54.png"/><Relationship Id="rId114" Type="http://schemas.openxmlformats.org/officeDocument/2006/relationships/image" Target="media/image55.png"/><Relationship Id="rId115" Type="http://schemas.openxmlformats.org/officeDocument/2006/relationships/image" Target="media/image56.png"/><Relationship Id="rId116" Type="http://schemas.openxmlformats.org/officeDocument/2006/relationships/image" Target="media/image57.png"/><Relationship Id="rId117" Type="http://schemas.openxmlformats.org/officeDocument/2006/relationships/image" Target="media/image58.png"/><Relationship Id="rId118" Type="http://schemas.openxmlformats.org/officeDocument/2006/relationships/image" Target="media/image59.png"/><Relationship Id="rId119" Type="http://schemas.openxmlformats.org/officeDocument/2006/relationships/image" Target="media/image60.png"/><Relationship Id="rId120" Type="http://schemas.openxmlformats.org/officeDocument/2006/relationships/image" Target="media/image61.png"/><Relationship Id="rId121" Type="http://schemas.openxmlformats.org/officeDocument/2006/relationships/image" Target="media/image62.png"/><Relationship Id="rId122" Type="http://schemas.openxmlformats.org/officeDocument/2006/relationships/image" Target="media/image63.png"/><Relationship Id="rId123" Type="http://schemas.openxmlformats.org/officeDocument/2006/relationships/image" Target="media/image64.png"/><Relationship Id="rId124" Type="http://schemas.openxmlformats.org/officeDocument/2006/relationships/image" Target="media/image65.png"/><Relationship Id="rId9" Type="http://schemas.openxmlformats.org/officeDocument/2006/relationships/hyperlink" Target="http://www.sec.gov/Archives/edgar/data/1276187/000127618715000083/ex21-wmbetetransactionagre.htm" TargetMode="External"/><Relationship Id="rId10" Type="http://schemas.openxmlformats.org/officeDocument/2006/relationships/hyperlink" Target="http://www.sec.gov/Archives/edgar/data/1012569/000119312516773907/d285419dex21.htm" TargetMode="External"/><Relationship Id="rId11" Type="http://schemas.openxmlformats.org/officeDocument/2006/relationships/hyperlink" Target="http://www.sec.gov/Archives/edgar/data/1012569/000119312516800652/d319170dex22.htm" TargetMode="External"/><Relationship Id="rId12" Type="http://schemas.openxmlformats.org/officeDocument/2006/relationships/hyperlink" Target="http://www.sec.gov/Archives/edgar/data/1161154/000119312518011358/d466186dex21.htm" TargetMode="External"/><Relationship Id="rId13" Type="http://schemas.openxmlformats.org/officeDocument/2006/relationships/hyperlink" Target="http://www.sec.gov/Archives/edgar/data/1161154/000119312518011358/d466186dex22.htm" TargetMode="External"/><Relationship Id="rId14" Type="http://schemas.openxmlformats.org/officeDocument/2006/relationships/hyperlink" Target="http://www.sec.gov/Archives/edgar/data/1276187/000119312518236837/d594535dex21.htm" TargetMode="External"/><Relationship Id="rId15" Type="http://schemas.openxmlformats.org/officeDocument/2006/relationships/hyperlink" Target="http://www.sec.gov/Archives/edgar/data/1276187/000119312519245885/d804505dex21.htm" TargetMode="External"/><Relationship Id="rId16" Type="http://schemas.openxmlformats.org/officeDocument/2006/relationships/hyperlink" Target="http://www.sec.gov/Archives/edgar/data/1276187/000119312505179978/dex32.htm" TargetMode="External"/><Relationship Id="rId17" Type="http://schemas.openxmlformats.org/officeDocument/2006/relationships/hyperlink" Target="http://www.sec.gov/Archives/edgar/data/1276187/000119312518303169/d639079dex31.htm" TargetMode="External"/><Relationship Id="rId18" Type="http://schemas.openxmlformats.org/officeDocument/2006/relationships/hyperlink" Target="http://www.sec.gov/Archives/edgar/data/1276187/000119312506031657/dex31.htm" TargetMode="External"/><Relationship Id="rId19" Type="http://schemas.openxmlformats.org/officeDocument/2006/relationships/hyperlink" Target="http://www.sec.gov/Archives/edgar/data/1276187/000119312506243515/dex331.htm" TargetMode="External"/><Relationship Id="rId20" Type="http://schemas.openxmlformats.org/officeDocument/2006/relationships/hyperlink" Target="http://www.sec.gov/Archives/edgar/data/1276187/000095012907005609/h51447exv3w3w2.htm" TargetMode="External"/><Relationship Id="rId21" Type="http://schemas.openxmlformats.org/officeDocument/2006/relationships/hyperlink" Target="http://www.sec.gov/Archives/edgar/data/1276187/000095012310055206/h73441exv3w1.htm" TargetMode="External"/><Relationship Id="rId22" Type="http://schemas.openxmlformats.org/officeDocument/2006/relationships/hyperlink" Target="http://www.sec.gov/Archives/edgar/data/1276187/000119312513486360/d650558dex31.htm" TargetMode="External"/><Relationship Id="rId23" Type="http://schemas.openxmlformats.org/officeDocument/2006/relationships/hyperlink" Target="http://www.sec.gov/Archives/edgar/data/1276187/000119312516498562/d138318dex31.htm" TargetMode="External"/><Relationship Id="rId24" Type="http://schemas.openxmlformats.org/officeDocument/2006/relationships/hyperlink" Target="http://www.sec.gov/Archives/edgar/data/1276187/000119312518303169/d639079dex32.htm" TargetMode="External"/><Relationship Id="rId25" Type="http://schemas.openxmlformats.org/officeDocument/2006/relationships/hyperlink" Target="http://www.sec.gov/Archives/edgar/data/1276187/000127618719000034/etex310amendmentno7.htm" TargetMode="External"/><Relationship Id="rId26" Type="http://schemas.openxmlformats.org/officeDocument/2006/relationships/hyperlink" Target="http://www.sec.gov/Archives/edgar/data/1276187/000095012310087517/h76247exv4w1.htm" TargetMode="External"/><Relationship Id="rId27" Type="http://schemas.openxmlformats.org/officeDocument/2006/relationships/hyperlink" Target="http://www.sec.gov/Archives/edgar/data/1276187/000095012310087517/h76247exv4w2.htm" TargetMode="External"/><Relationship Id="rId28" Type="http://schemas.openxmlformats.org/officeDocument/2006/relationships/hyperlink" Target="http://www.sec.gov/Archives/edgar/data/1276187/000119312513441362/d626251dex43.htm" TargetMode="External"/><Relationship Id="rId29" Type="http://schemas.openxmlformats.org/officeDocument/2006/relationships/hyperlink" Target="http://www.sec.gov/Archives/edgar/data/1276187/000119312512067077/d303861dex41.htm" TargetMode="External"/><Relationship Id="rId30" Type="http://schemas.openxmlformats.org/officeDocument/2006/relationships/hyperlink" Target="http://www.sec.gov/Archives/edgar/data/1276187/000119312513459297/d635738dex42.htm" TargetMode="External"/><Relationship Id="rId31" Type="http://schemas.openxmlformats.org/officeDocument/2006/relationships/hyperlink" Target="http://www.sec.gov/Archives/edgar/data/1276187/000127618714000026/a42ete-5thsupplementalinde.htm" TargetMode="External"/><Relationship Id="rId32" Type="http://schemas.openxmlformats.org/officeDocument/2006/relationships/hyperlink" Target="http://www.sec.gov/Archives/edgar/data/1276187/000127618714000026/a43ete-20146thsupplemental.htm" TargetMode="External"/><Relationship Id="rId33" Type="http://schemas.openxmlformats.org/officeDocument/2006/relationships/hyperlink" Target="http://www.sec.gov/Archives/edgar/data/1276187/000119312515198921/d930453dex42.htm" TargetMode="External"/><Relationship Id="rId34" Type="http://schemas.openxmlformats.org/officeDocument/2006/relationships/hyperlink" Target="http://www.sec.gov/Archives/edgar/data/1276187/000127618717000081/exhibit42-etexeighthsupple.htm" TargetMode="External"/><Relationship Id="rId35" Type="http://schemas.openxmlformats.org/officeDocument/2006/relationships/hyperlink" Target="http://www.sec.gov/Archives/edgar/data/1276187/000119312505245171/dex1025.htm" TargetMode="External"/><Relationship Id="rId36" Type="http://schemas.openxmlformats.org/officeDocument/2006/relationships/hyperlink" Target="http://www.sec.gov/Archives/edgar/data/1276187/000127618718000011/eteex101ltip.htm" TargetMode="External"/><Relationship Id="rId37" Type="http://schemas.openxmlformats.org/officeDocument/2006/relationships/hyperlink" Target="http://www.sec.gov/Archives/edgar/data/1276187/000119312519024137/d699644dex41.htm" TargetMode="External"/><Relationship Id="rId38" Type="http://schemas.openxmlformats.org/officeDocument/2006/relationships/hyperlink" Target="http://www.sec.gov/Archives/edgar/data/1276187/000119312519024137/d699644dex42.htm" TargetMode="External"/><Relationship Id="rId39" Type="http://schemas.openxmlformats.org/officeDocument/2006/relationships/hyperlink" Target="http://www.sec.gov/Archives/edgar/data/1276187/000119312519024137/d699644dex43.htm" TargetMode="External"/><Relationship Id="rId40" Type="http://schemas.openxmlformats.org/officeDocument/2006/relationships/hyperlink" Target="http://www.sec.gov/Archives/edgar/data/1276187/000119312505245171/dex1026.htm" TargetMode="External"/><Relationship Id="rId41" Type="http://schemas.openxmlformats.org/officeDocument/2006/relationships/hyperlink" Target="http://www.sec.gov/Archives/edgar/data/1276187/000119312506243515/dex1038.htm" TargetMode="External"/><Relationship Id="rId42" Type="http://schemas.openxmlformats.org/officeDocument/2006/relationships/hyperlink" Target="http://www.sec.gov/Archives/edgar/data/1276187/000119312506244368/dex991.htm" TargetMode="External"/><Relationship Id="rId43" Type="http://schemas.openxmlformats.org/officeDocument/2006/relationships/hyperlink" Target="http://www.sec.gov/Archives/edgar/data/1276187/000127618719000011/et-12312018xex109.htm" TargetMode="External"/><Relationship Id="rId44" Type="http://schemas.openxmlformats.org/officeDocument/2006/relationships/hyperlink" Target="http://www.sec.gov/Archives/edgar/data/1276187/000119312507046447/dex991.htm" TargetMode="External"/><Relationship Id="rId45" Type="http://schemas.openxmlformats.org/officeDocument/2006/relationships/hyperlink" Target="http://www.sec.gov/Archives/edgar/data/1276187/000119312507105351/dex1045.htm" TargetMode="External"/><Relationship Id="rId46" Type="http://schemas.openxmlformats.org/officeDocument/2006/relationships/hyperlink" Target="http://www.sec.gov/Archives/edgar/data/1276187/000119312512197128/d343382dex101.htm" TargetMode="External"/><Relationship Id="rId47" Type="http://schemas.openxmlformats.org/officeDocument/2006/relationships/hyperlink" Target="http://www.sec.gov/Archives/edgar/data/1276187/000119312505245171/dex1030.htm" TargetMode="External"/><Relationship Id="rId48" Type="http://schemas.openxmlformats.org/officeDocument/2006/relationships/hyperlink" Target="http://www.sec.gov/Archives/edgar/data/1276187/000127618713000022/a102holdco-amendmenttoshar.htm" TargetMode="External"/><Relationship Id="rId49" Type="http://schemas.openxmlformats.org/officeDocument/2006/relationships/hyperlink" Target="http://www.sec.gov/Archives/edgar/data/1276187/000119312514058861/d678722dex101.htm" TargetMode="External"/><Relationship Id="rId50" Type="http://schemas.openxmlformats.org/officeDocument/2006/relationships/hyperlink" Target="http://www.sec.gov/Archives/edgar/data/1276187/000127618717000034/ex101revolvingcreditagreem.htm" TargetMode="External"/><Relationship Id="rId51" Type="http://schemas.openxmlformats.org/officeDocument/2006/relationships/hyperlink" Target="http://www.sec.gov/Archives/edgar/data/1276187/000119312513486360/d650558dex101.htm" TargetMode="External"/><Relationship Id="rId52" Type="http://schemas.openxmlformats.org/officeDocument/2006/relationships/hyperlink" Target="http://www.sec.gov/Archives/edgar/data/1276187/000127618716000132/eteex1044masonretentionagr.htm" TargetMode="External"/><Relationship Id="rId53" Type="http://schemas.openxmlformats.org/officeDocument/2006/relationships/hyperlink" Target="http://www.sec.gov/Archives/edgar/data/1276187/000127618717000011/ete-seniortermloancreditag.htm" TargetMode="External"/><Relationship Id="rId54" Type="http://schemas.openxmlformats.org/officeDocument/2006/relationships/hyperlink" Target="http://www.sec.gov/Archives/edgar/data/1276187/000119312518011379/d468149dex101.htm" TargetMode="External"/><Relationship Id="rId55" Type="http://schemas.openxmlformats.org/officeDocument/2006/relationships/hyperlink" Target="http://www.sec.gov/Archives/edgar/data/1276187/000127618718000016/ex101registrationrightsagr.htm" TargetMode="External"/><Relationship Id="rId56" Type="http://schemas.openxmlformats.org/officeDocument/2006/relationships/hyperlink" Target="http://www.sec.gov/Archives/edgar/data/1276187/000127618718000045/etp06-30x2018ex102.htm" TargetMode="External"/><Relationship Id="rId57" Type="http://schemas.openxmlformats.org/officeDocument/2006/relationships/hyperlink" Target="http://www.sec.gov/Archives/edgar/data/1276187/000127618719000011/et-12312018xex1023bonusplan.htm" TargetMode="External"/><Relationship Id="rId58" Type="http://schemas.openxmlformats.org/officeDocument/2006/relationships/hyperlink" Target="http://www.sec.gov/Archives/edgar/data/1276187/000119312519245885/d804505dex101.htm" TargetMode="External"/><Relationship Id="rId59" Type="http://schemas.openxmlformats.org/officeDocument/2006/relationships/hyperlink" Target="http://www.sec.gov/Archives/edgar/data/1276187/000119312519270127/d820692dex101.htm" TargetMode="External"/><Relationship Id="rId60" Type="http://schemas.openxmlformats.org/officeDocument/2006/relationships/hyperlink" Target="http://www.sec.gov/Archives/edgar/data/1276187/000119312519270127/d820692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2020-02-21T13:08:02Z</dcterms:created>
  <dcterms:modified xsi:type="dcterms:W3CDTF">2020-02-21T13:08:02Z</dcterms:modified>
</cp:coreProperties>
</file>