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15"/>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before="80" w:after="283"/>
        <w:jc w:val="center"/>
        <w:rPr/>
      </w:pPr>
      <w:r>
        <w:rPr/>
        <w:drawing>
          <wp:inline distT="0" distB="0" distL="0" distR="0">
            <wp:extent cx="1743075" cy="533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743075" cy="533400"/>
                    </a:xfrm>
                    <a:prstGeom prst="rect">
                      <a:avLst/>
                    </a:prstGeom>
                  </pic:spPr>
                </pic:pic>
              </a:graphicData>
            </a:graphic>
          </wp:inline>
        </w:drawing>
      </w:r>
      <w:bookmarkStart w:id="0" w:name="i-1"/>
      <w:bookmarkEnd w:id="0"/>
    </w:p>
    <w:p>
      <w:pPr>
        <w:pStyle w:val="TextBody"/>
        <w:bidi w:val="0"/>
        <w:spacing w:lineRule="auto" w:line="288" w:before="100" w:after="283"/>
        <w:jc w:val="center"/>
        <w:rPr>
          <w:rFonts w:ascii="Times New Roman;serif" w:hAnsi="Times New Roman;serif"/>
          <w:b/>
          <w:color w:val="000000"/>
          <w:sz w:val="28"/>
        </w:rPr>
      </w:pPr>
      <w:r>
        <w:rPr>
          <w:rFonts w:ascii="Times New Roman;serif" w:hAnsi="Times New Roman;serif"/>
          <w:b/>
          <w:color w:val="000000"/>
          <w:sz w:val="28"/>
        </w:rPr>
        <w:t>FORM 10-Q</w:t>
      </w:r>
    </w:p>
    <w:p>
      <w:pPr>
        <w:pStyle w:val="TextBody"/>
        <w:bidi w:val="0"/>
        <w:spacing w:lineRule="auto" w:line="288" w:before="120" w:after="283"/>
        <w:jc w:val="center"/>
        <w:rPr/>
      </w:pPr>
      <w:r>
        <w:rPr>
          <w:color w:val="000000"/>
        </w:rPr>
        <w:t xml:space="preserve">☒ </w:t>
      </w:r>
      <w:r>
        <w:rPr>
          <w:rFonts w:ascii="Times New Roman;serif" w:hAnsi="Times New Roman;serif"/>
          <w:b/>
          <w:color w:val="000000"/>
          <w:sz w:val="20"/>
        </w:rPr>
        <w:t>QUARTERLY REPORT PURSUANT TO SECTION 13 OR 15(d)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OF THE SECURITIES EXCHANGE ACT OF 1934</w:t>
      </w:r>
    </w:p>
    <w:p>
      <w:pPr>
        <w:pStyle w:val="TextBody"/>
        <w:bidi w:val="0"/>
        <w:spacing w:lineRule="auto" w:line="288" w:before="40" w:after="283"/>
        <w:jc w:val="center"/>
        <w:rPr>
          <w:rFonts w:ascii="Times New Roman;serif" w:hAnsi="Times New Roman;serif"/>
          <w:b/>
          <w:color w:val="000000"/>
          <w:sz w:val="20"/>
        </w:rPr>
      </w:pPr>
      <w:r>
        <w:rPr>
          <w:rFonts w:ascii="Times New Roman;serif" w:hAnsi="Times New Roman;serif"/>
          <w:b/>
          <w:color w:val="000000"/>
          <w:sz w:val="20"/>
        </w:rPr>
        <w:t>For the quarterly period ended March 31, 2026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or</w:t>
      </w:r>
    </w:p>
    <w:p>
      <w:pPr>
        <w:pStyle w:val="TextBody"/>
        <w:bidi w:val="0"/>
        <w:spacing w:lineRule="auto" w:line="288" w:before="40" w:after="283"/>
        <w:jc w:val="center"/>
        <w:rPr/>
      </w:pPr>
      <w:r>
        <w:rPr>
          <w:color w:val="000000"/>
        </w:rPr>
        <w:t xml:space="preserve">☐ </w:t>
      </w:r>
      <w:r>
        <w:rPr>
          <w:rFonts w:ascii="Times New Roman;serif" w:hAnsi="Times New Roman;serif"/>
          <w:b/>
          <w:color w:val="000000"/>
          <w:sz w:val="20"/>
        </w:rPr>
        <w:t>TRANSITION REPORT PURSUANT TO SECTION 13 OR 15(d)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OF THE SECURITIES EXCHANGE ACT OF 1934</w:t>
      </w:r>
    </w:p>
    <w:p>
      <w:pPr>
        <w:pStyle w:val="TextBody"/>
        <w:bidi w:val="0"/>
        <w:spacing w:lineRule="auto" w:line="288" w:before="160" w:after="283"/>
        <w:jc w:val="center"/>
        <w:rPr>
          <w:rFonts w:ascii="Times New Roman;serif" w:hAnsi="Times New Roman;serif"/>
          <w:b/>
          <w:color w:val="000000"/>
          <w:sz w:val="20"/>
        </w:rPr>
      </w:pPr>
      <w:r>
        <w:rPr>
          <w:rFonts w:ascii="Times New Roman;serif" w:hAnsi="Times New Roman;serif"/>
          <w:b/>
          <w:color w:val="000000"/>
          <w:sz w:val="20"/>
        </w:rPr>
        <w:t>Commission file number 1-32740</w:t>
      </w:r>
    </w:p>
    <w:p>
      <w:pPr>
        <w:pStyle w:val="TextBody"/>
        <w:bidi w:val="0"/>
        <w:spacing w:lineRule="auto" w:line="240" w:before="100" w:after="283"/>
        <w:jc w:val="center"/>
        <w:rPr>
          <w:rFonts w:ascii="Times New Roman;serif" w:hAnsi="Times New Roman;serif"/>
          <w:b/>
          <w:color w:val="000000"/>
          <w:sz w:val="32"/>
        </w:rPr>
      </w:pPr>
      <w:r>
        <w:rPr>
          <w:rFonts w:ascii="Times New Roman;serif" w:hAnsi="Times New Roman;serif"/>
          <w:b/>
          <w:color w:val="000000"/>
          <w:sz w:val="32"/>
        </w:rPr>
        <w:t>ENERGY TRANSFER LP</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7286" w:type="dxa"/>
        <w:jc w:val="left"/>
        <w:tblInd w:w="0" w:type="dxa"/>
        <w:tblLayout w:type="fixed"/>
        <w:tblCellMar>
          <w:top w:w="28" w:type="dxa"/>
          <w:left w:w="28" w:type="dxa"/>
          <w:bottom w:w="28" w:type="dxa"/>
          <w:right w:w="28" w:type="dxa"/>
        </w:tblCellMar>
      </w:tblPr>
      <w:tblGrid>
        <w:gridCol w:w="1549"/>
        <w:gridCol w:w="1360"/>
        <w:gridCol w:w="1380"/>
        <w:gridCol w:w="109"/>
        <w:gridCol w:w="109"/>
        <w:gridCol w:w="109"/>
        <w:gridCol w:w="780"/>
        <w:gridCol w:w="780"/>
        <w:gridCol w:w="1110"/>
      </w:tblGrid>
      <w:tr>
        <w:trPr/>
        <w:tc>
          <w:tcPr>
            <w:tcW w:w="1549" w:type="dxa"/>
            <w:tcBorders/>
            <w:vAlign w:val="center"/>
          </w:tcPr>
          <w:p>
            <w:pPr>
              <w:pStyle w:val="TableContents"/>
              <w:bidi w:val="0"/>
              <w:spacing w:before="0" w:after="283"/>
              <w:jc w:val="left"/>
              <w:rPr>
                <w:sz w:val="4"/>
                <w:szCs w:val="4"/>
              </w:rPr>
            </w:pPr>
            <w:r>
              <w:rPr>
                <w:sz w:val="4"/>
                <w:szCs w:val="4"/>
              </w:rPr>
            </w:r>
          </w:p>
        </w:tc>
        <w:tc>
          <w:tcPr>
            <w:tcW w:w="1360" w:type="dxa"/>
            <w:tcBorders/>
            <w:vAlign w:val="center"/>
          </w:tcPr>
          <w:p>
            <w:pPr>
              <w:pStyle w:val="TableContents"/>
              <w:bidi w:val="0"/>
              <w:spacing w:before="0" w:after="283"/>
              <w:jc w:val="left"/>
              <w:rPr>
                <w:sz w:val="4"/>
                <w:szCs w:val="4"/>
              </w:rPr>
            </w:pPr>
            <w:r>
              <w:rPr>
                <w:sz w:val="4"/>
                <w:szCs w:val="4"/>
              </w:rPr>
            </w:r>
          </w:p>
        </w:tc>
        <w:tc>
          <w:tcPr>
            <w:tcW w:w="13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r>
      <w:tr>
        <w:trPr/>
        <w:tc>
          <w:tcPr>
            <w:tcW w:w="4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30-0108820</w:t>
            </w:r>
          </w:p>
        </w:tc>
      </w:tr>
      <w:tr>
        <w:trPr/>
        <w:tc>
          <w:tcPr>
            <w:tcW w:w="4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(I.R.S. Employer Identification No.)</w:t>
            </w:r>
          </w:p>
        </w:tc>
      </w:tr>
    </w:tbl>
    <w:p>
      <w:pPr>
        <w:pStyle w:val="TextBody"/>
        <w:bidi w:val="0"/>
        <w:spacing w:lineRule="auto" w:line="288" w:before="40" w:after="283"/>
        <w:jc w:val="center"/>
        <w:rPr>
          <w:rFonts w:ascii="Times New Roman;serif" w:hAnsi="Times New Roman;serif"/>
          <w:b/>
          <w:color w:val="000000"/>
          <w:sz w:val="20"/>
        </w:rPr>
      </w:pPr>
      <w:r>
        <w:rPr>
          <w:rFonts w:ascii="Times New Roman;serif" w:hAnsi="Times New Roman;serif"/>
          <w:b/>
          <w:color w:val="000000"/>
          <w:sz w:val="20"/>
        </w:rPr>
        <w:t>8111 Westchester Drive, Suite 600, Dallas, Texas 75225</w:t>
      </w:r>
    </w:p>
    <w:p>
      <w:pPr>
        <w:pStyle w:val="TextBody"/>
        <w:bidi w:val="0"/>
        <w:spacing w:lineRule="auto" w:line="288" w:before="40" w:after="283"/>
        <w:jc w:val="center"/>
        <w:rPr>
          <w:rFonts w:ascii="Times New Roman;serif" w:hAnsi="Times New Roman;serif"/>
          <w:b w:val="false"/>
          <w:color w:val="000000"/>
          <w:sz w:val="16"/>
        </w:rPr>
      </w:pPr>
      <w:r>
        <w:rPr>
          <w:rFonts w:ascii="Times New Roman;serif" w:hAnsi="Times New Roman;serif"/>
          <w:b w:val="false"/>
          <w:color w:val="000000"/>
          <w:sz w:val="16"/>
        </w:rPr>
        <w:t>(Address of principal executive offices) (zip code)</w:t>
      </w:r>
    </w:p>
    <w:p>
      <w:pPr>
        <w:pStyle w:val="TextBody"/>
        <w:bidi w:val="0"/>
        <w:spacing w:lineRule="auto" w:line="288" w:before="40" w:after="283"/>
        <w:jc w:val="center"/>
        <w:rPr>
          <w:rFonts w:ascii="Times New Roman;serif" w:hAnsi="Times New Roman;serif"/>
          <w:b/>
          <w:color w:val="000000"/>
          <w:sz w:val="20"/>
        </w:rPr>
      </w:pPr>
      <w:r>
        <w:rPr>
          <w:rFonts w:ascii="Times New Roman;serif" w:hAnsi="Times New Roman;serif"/>
          <w:b/>
          <w:color w:val="000000"/>
          <w:sz w:val="20"/>
        </w:rPr>
        <w:t>(214) 981-0700</w:t>
      </w:r>
    </w:p>
    <w:p>
      <w:pPr>
        <w:pStyle w:val="TextBody"/>
        <w:bidi w:val="0"/>
        <w:spacing w:lineRule="auto" w:line="288" w:before="40" w:after="283"/>
        <w:jc w:val="center"/>
        <w:rPr>
          <w:rFonts w:ascii="Times New Roman;serif" w:hAnsi="Times New Roman;serif"/>
          <w:b w:val="false"/>
          <w:color w:val="000000"/>
          <w:sz w:val="16"/>
        </w:rPr>
      </w:pPr>
      <w:r>
        <w:rPr>
          <w:rFonts w:ascii="Times New Roman;serif" w:hAnsi="Times New Roman;serif"/>
          <w:b w:val="false"/>
          <w:color w:val="000000"/>
          <w:sz w:val="16"/>
        </w:rPr>
        <w:t>(Registrant’s telephone number, including area code)</w:t>
      </w:r>
    </w:p>
    <w:p>
      <w:pPr>
        <w:pStyle w:val="TextBody"/>
        <w:bidi w:val="0"/>
        <w:spacing w:lineRule="auto" w:line="288" w:before="40" w:after="283"/>
        <w:jc w:val="center"/>
        <w:rPr>
          <w:rFonts w:ascii="Times New Roman;serif" w:hAnsi="Times New Roman;serif"/>
          <w:b w:val="false"/>
          <w:color w:val="000000"/>
          <w:sz w:val="18"/>
        </w:rPr>
      </w:pPr>
      <w:r>
        <w:rPr>
          <w:rFonts w:ascii="Times New Roman;serif" w:hAnsi="Times New Roman;serif"/>
          <w:b w:val="false"/>
          <w:color w:val="000000"/>
          <w:sz w:val="18"/>
        </w:rPr>
        <w:t>Securities registered pursuant to Section 12(b) of the Act:</w:t>
      </w:r>
    </w:p>
    <w:tbl>
      <w:tblPr>
        <w:tblW w:w="9397" w:type="dxa"/>
        <w:jc w:val="center"/>
        <w:tblInd w:w="0" w:type="dxa"/>
        <w:tblLayout w:type="fixed"/>
        <w:tblCellMar>
          <w:top w:w="28" w:type="dxa"/>
          <w:left w:w="28" w:type="dxa"/>
          <w:bottom w:w="28" w:type="dxa"/>
          <w:right w:w="28" w:type="dxa"/>
        </w:tblCellMar>
      </w:tblPr>
      <w:tblGrid>
        <w:gridCol w:w="1449"/>
        <w:gridCol w:w="1277"/>
        <w:gridCol w:w="1294"/>
        <w:gridCol w:w="109"/>
        <w:gridCol w:w="109"/>
        <w:gridCol w:w="109"/>
        <w:gridCol w:w="484"/>
        <w:gridCol w:w="484"/>
        <w:gridCol w:w="486"/>
        <w:gridCol w:w="109"/>
        <w:gridCol w:w="109"/>
        <w:gridCol w:w="109"/>
        <w:gridCol w:w="956"/>
        <w:gridCol w:w="956"/>
        <w:gridCol w:w="1357"/>
      </w:tblGrid>
      <w:tr>
        <w:trPr/>
        <w:tc>
          <w:tcPr>
            <w:tcW w:w="1449" w:type="dxa"/>
            <w:tcBorders/>
            <w:vAlign w:val="center"/>
          </w:tcPr>
          <w:p>
            <w:pPr>
              <w:pStyle w:val="TableContents"/>
              <w:bidi w:val="0"/>
              <w:spacing w:before="0" w:after="283"/>
              <w:jc w:val="left"/>
              <w:rPr>
                <w:sz w:val="4"/>
                <w:szCs w:val="4"/>
              </w:rPr>
            </w:pPr>
            <w:r>
              <w:rPr>
                <w:sz w:val="4"/>
                <w:szCs w:val="4"/>
              </w:rPr>
            </w:r>
          </w:p>
        </w:tc>
        <w:tc>
          <w:tcPr>
            <w:tcW w:w="1277" w:type="dxa"/>
            <w:tcBorders/>
            <w:vAlign w:val="center"/>
          </w:tcPr>
          <w:p>
            <w:pPr>
              <w:pStyle w:val="TableContents"/>
              <w:bidi w:val="0"/>
              <w:spacing w:before="0" w:after="283"/>
              <w:jc w:val="left"/>
              <w:rPr>
                <w:sz w:val="4"/>
                <w:szCs w:val="4"/>
              </w:rPr>
            </w:pPr>
            <w:r>
              <w:rPr>
                <w:sz w:val="4"/>
                <w:szCs w:val="4"/>
              </w:rPr>
            </w:r>
          </w:p>
        </w:tc>
        <w:tc>
          <w:tcPr>
            <w:tcW w:w="12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r>
      <w:tr>
        <w:trPr/>
        <w:tc>
          <w:tcPr>
            <w:tcW w:w="40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Name of each exchange on which registered</w:t>
            </w:r>
          </w:p>
        </w:tc>
      </w:tr>
      <w:tr>
        <w:trPr/>
        <w:tc>
          <w:tcPr>
            <w:tcW w:w="40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New York Stock Exchange</w:t>
            </w:r>
          </w:p>
        </w:tc>
      </w:tr>
      <w:tr>
        <w:trPr/>
        <w:tc>
          <w:tcPr>
            <w:tcW w:w="4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69" w:type="dxa"/>
            <w:gridSpan w:val="3"/>
            <w:tcBorders/>
            <w:vAlign w:val="center"/>
          </w:tcPr>
          <w:p>
            <w:pPr>
              <w:pStyle w:val="TableContents"/>
              <w:bidi w:val="0"/>
              <w:spacing w:before="0" w:after="283"/>
              <w:jc w:val="left"/>
              <w:rPr>
                <w:sz w:val="4"/>
                <w:szCs w:val="4"/>
              </w:rPr>
            </w:pPr>
            <w:r>
              <w:rPr>
                <w:sz w:val="4"/>
                <w:szCs w:val="4"/>
              </w:rPr>
            </w:r>
          </w:p>
        </w:tc>
      </w:tr>
      <w:tr>
        <w:trPr/>
        <w:tc>
          <w:tcPr>
            <w:tcW w:w="40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9.250% Series I Fixed Rate Perpetual Preferred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ETprI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New York Stock Exchange</w:t>
            </w:r>
          </w:p>
        </w:tc>
      </w:tr>
    </w:tbl>
    <w:p>
      <w:pPr>
        <w:pStyle w:val="TextBody"/>
        <w:bidi w:val="0"/>
        <w:spacing w:lineRule="auto" w:line="288" w:before="120" w:after="283"/>
        <w:jc w:val="both"/>
        <w:rPr/>
      </w:pPr>
      <w:r>
        <w:rPr>
          <w:rFonts w:ascii="Times New Roman;serif" w:hAnsi="Times New Roman;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erif" w:hAnsi="Times New Roman;serif"/>
          <w:b w:val="false"/>
          <w:color w:val="000000"/>
          <w:sz w:val="18"/>
        </w:rPr>
        <w:t>No  </w:t>
      </w:r>
      <w:r>
        <w:rPr>
          <w:color w:val="000000"/>
        </w:rPr>
        <w:t>☐</w:t>
      </w:r>
    </w:p>
    <w:p>
      <w:pPr>
        <w:pStyle w:val="TextBody"/>
        <w:bidi w:val="0"/>
        <w:spacing w:lineRule="auto" w:line="288" w:before="120" w:after="283"/>
        <w:jc w:val="both"/>
        <w:rPr/>
      </w:pPr>
      <w:r>
        <w:rPr>
          <w:rFonts w:ascii="Times New Roman;serif" w:hAnsi="Times New Roman;serif"/>
          <w:b w:val="false"/>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w:t>
      </w:r>
      <w:r>
        <w:rPr>
          <w:rFonts w:ascii="Times New Roman;serif" w:hAnsi="Times New Roman;serif"/>
          <w:b w:val="false"/>
          <w:color w:val="000000"/>
          <w:sz w:val="18"/>
        </w:rPr>
        <w:t>No  </w:t>
      </w:r>
      <w:r>
        <w:rPr>
          <w:color w:val="000000"/>
        </w:rPr>
        <w:t>☐</w:t>
      </w:r>
    </w:p>
    <w:p>
      <w:pPr>
        <w:pStyle w:val="TextBody"/>
        <w:bidi w:val="0"/>
        <w:spacing w:lineRule="auto" w:line="288" w:before="120" w:after="283"/>
        <w:jc w:val="both"/>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730" w:type="dxa"/>
        <w:jc w:val="left"/>
        <w:tblInd w:w="0" w:type="dxa"/>
        <w:tblLayout w:type="fixed"/>
        <w:tblCellMar>
          <w:top w:w="28" w:type="dxa"/>
          <w:left w:w="28" w:type="dxa"/>
          <w:bottom w:w="28" w:type="dxa"/>
          <w:right w:w="28" w:type="dxa"/>
        </w:tblCellMar>
      </w:tblPr>
      <w:tblGrid>
        <w:gridCol w:w="603"/>
        <w:gridCol w:w="530"/>
        <w:gridCol w:w="532"/>
        <w:gridCol w:w="109"/>
        <w:gridCol w:w="109"/>
        <w:gridCol w:w="109"/>
        <w:gridCol w:w="109"/>
        <w:gridCol w:w="109"/>
        <w:gridCol w:w="109"/>
        <w:gridCol w:w="678"/>
        <w:gridCol w:w="678"/>
        <w:gridCol w:w="683"/>
        <w:gridCol w:w="109"/>
        <w:gridCol w:w="109"/>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0"/>
              <w:jc w:val="both"/>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0"/>
              <w:jc w:val="both"/>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0"/>
              <w:jc w:val="both"/>
              <w:rPr>
                <w:color w:val="000000"/>
              </w:rPr>
            </w:pPr>
            <w:r>
              <w:rPr>
                <w:color w:val="000000"/>
              </w:rPr>
              <w:t>☐</w:t>
            </w:r>
          </w:p>
        </w:tc>
      </w:tr>
    </w:tbl>
    <w:p>
      <w:pPr>
        <w:pStyle w:val="TextBody"/>
        <w:bidi w:val="0"/>
        <w:spacing w:lineRule="auto" w:line="288" w:before="120" w:after="283"/>
        <w:jc w:val="both"/>
        <w:rPr/>
      </w:pPr>
      <w:r>
        <w:rPr>
          <w:rFonts w:ascii="Times New Roman;serif" w:hAnsi="Times New Roman;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120" w:after="283"/>
        <w:jc w:val="both"/>
        <w:rPr/>
      </w:pPr>
      <w:r>
        <w:rPr>
          <w:rFonts w:ascii="Times New Roman;serif" w:hAnsi="Times New Roman;serif"/>
          <w:b w:val="false"/>
          <w:color w:val="000000"/>
          <w:sz w:val="18"/>
        </w:rPr>
        <w:t>Indicate by check mark whether the registrant is a shell company (as defined in Rule 12b-2 of the Exchange Act).    Yes  </w:t>
      </w:r>
      <w:r>
        <w:rPr>
          <w:color w:val="000000"/>
        </w:rPr>
        <w:t>☐     </w:t>
      </w:r>
      <w:r>
        <w:rPr>
          <w:rFonts w:ascii="Times New Roman;serif" w:hAnsi="Times New Roman;serif"/>
          <w:b w:val="false"/>
          <w:color w:val="000000"/>
          <w:sz w:val="18"/>
        </w:rPr>
        <w:t>No  </w:t>
      </w:r>
      <w:r>
        <w:rPr>
          <w:color w:val="000000"/>
        </w:rPr>
        <w:t>☒</w:t>
      </w:r>
    </w:p>
    <w:p>
      <w:pPr>
        <w:pStyle w:val="TextBody"/>
        <w:bidi w:val="0"/>
        <w:spacing w:lineRule="auto" w:line="288" w:before="120" w:after="283"/>
        <w:jc w:val="both"/>
        <w:rPr>
          <w:rFonts w:ascii="Times New Roman;serif" w:hAnsi="Times New Roman;serif"/>
          <w:b w:val="false"/>
          <w:color w:val="000000"/>
          <w:sz w:val="18"/>
        </w:rPr>
      </w:pPr>
      <w:r>
        <w:rPr>
          <w:rFonts w:ascii="Times New Roman;serif" w:hAnsi="Times New Roman;serif"/>
          <w:b w:val="false"/>
          <w:color w:val="000000"/>
          <w:sz w:val="18"/>
        </w:rPr>
        <w:t>At May 1, 2026, the registrant had 3,441,159,277 common units outstanding.</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ind w:left="0" w:right="0" w:hanging="360"/>
        <w:jc w:val="both"/>
        <w:rPr/>
      </w:pPr>
      <w:hyperlink w:anchor="i5e1c82de0c41484c87a001ffe0af493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FORM 10-Q</w:t>
      </w:r>
    </w:p>
    <w:p>
      <w:pPr>
        <w:pStyle w:val="TextBody"/>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ENERGY TRANSFER LP AND SUBSIDIARIES</w:t>
      </w:r>
    </w:p>
    <w:p>
      <w:pPr>
        <w:pStyle w:val="TextBody"/>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TABLE OF CONTENTS</w:t>
      </w:r>
    </w:p>
    <w:tbl>
      <w:tblPr>
        <w:tblW w:w="10205" w:type="dxa"/>
        <w:jc w:val="left"/>
        <w:tblInd w:w="0" w:type="dxa"/>
        <w:tblLayout w:type="fixed"/>
        <w:tblCellMar>
          <w:top w:w="28" w:type="dxa"/>
          <w:left w:w="28" w:type="dxa"/>
          <w:bottom w:w="28" w:type="dxa"/>
          <w:right w:w="28" w:type="dxa"/>
        </w:tblCellMar>
      </w:tblPr>
      <w:tblGrid>
        <w:gridCol w:w="3148"/>
        <w:gridCol w:w="2729"/>
        <w:gridCol w:w="2674"/>
        <w:gridCol w:w="481"/>
        <w:gridCol w:w="481"/>
        <w:gridCol w:w="692"/>
      </w:tblGrid>
      <w:tr>
        <w:trPr/>
        <w:tc>
          <w:tcPr>
            <w:tcW w:w="3148" w:type="dxa"/>
            <w:tcBorders/>
            <w:vAlign w:val="center"/>
          </w:tcPr>
          <w:p>
            <w:pPr>
              <w:pStyle w:val="TableContents"/>
              <w:bidi w:val="0"/>
              <w:spacing w:before="0" w:after="283"/>
              <w:jc w:val="left"/>
              <w:rPr>
                <w:sz w:val="4"/>
                <w:szCs w:val="4"/>
              </w:rPr>
            </w:pPr>
            <w:r>
              <w:rPr>
                <w:sz w:val="4"/>
                <w:szCs w:val="4"/>
              </w:rPr>
            </w:r>
          </w:p>
        </w:tc>
        <w:tc>
          <w:tcPr>
            <w:tcW w:w="2729" w:type="dxa"/>
            <w:tcBorders/>
            <w:vAlign w:val="center"/>
          </w:tcPr>
          <w:p>
            <w:pPr>
              <w:pStyle w:val="TableContents"/>
              <w:bidi w:val="0"/>
              <w:spacing w:before="0" w:after="283"/>
              <w:jc w:val="left"/>
              <w:rPr>
                <w:sz w:val="4"/>
                <w:szCs w:val="4"/>
              </w:rPr>
            </w:pPr>
            <w:r>
              <w:rPr>
                <w:sz w:val="4"/>
                <w:szCs w:val="4"/>
              </w:rPr>
            </w:r>
          </w:p>
        </w:tc>
        <w:tc>
          <w:tcPr>
            <w:tcW w:w="2674"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r>
      <w:tr>
        <w:trPr/>
        <w:tc>
          <w:tcPr>
            <w:tcW w:w="10205" w:type="dxa"/>
            <w:gridSpan w:val="6"/>
            <w:tcBorders/>
            <w:tcMar>
              <w:top w:w="0" w:type="dxa"/>
              <w:left w:w="0" w:type="dxa"/>
              <w:bottom w:w="0" w:type="dxa"/>
              <w:right w:w="0" w:type="dxa"/>
            </w:tcMar>
            <w:vAlign w:val="center"/>
          </w:tcPr>
          <w:p>
            <w:pPr>
              <w:pStyle w:val="TableContents"/>
              <w:bidi w:val="0"/>
              <w:spacing w:lineRule="auto" w:line="240" w:before="0" w:after="0"/>
              <w:jc w:val="center"/>
              <w:rPr/>
            </w:pPr>
            <w:hyperlink w:anchor="i5e1c82de0c41484c87a001ffe0af493e_13">
              <w:r>
                <w:rPr>
                  <w:rStyle w:val="InternetLink"/>
                  <w:rFonts w:ascii="Times New Roman;serif" w:hAnsi="Times New Roman;serif"/>
                  <w:b/>
                  <w:color w:val="0000FF"/>
                  <w:sz w:val="20"/>
                  <w:u w:val="single"/>
                </w:rPr>
                <w:t>PART I – FINANCIAL INFORMATION</w:t>
              </w:r>
            </w:hyperlink>
          </w:p>
        </w:tc>
      </w:tr>
      <w:tr>
        <w:trPr/>
        <w:tc>
          <w:tcPr>
            <w:tcW w:w="855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e1c82de0c41484c87a001ffe0af493e_16">
              <w:r>
                <w:rPr>
                  <w:rStyle w:val="InternetLink"/>
                  <w:rFonts w:ascii="Times New Roman;serif" w:hAnsi="Times New Roman;serif"/>
                  <w:b w:val="false"/>
                  <w:color w:val="000080"/>
                  <w:sz w:val="20"/>
                  <w:u w:val="single"/>
                </w:rPr>
                <w:t>ITEM 1. FINANCIAL STATEMENTS (</w:t>
              </w:r>
            </w:hyperlink>
            <w:hyperlink w:anchor="i5e1c82de0c41484c87a001ffe0af493e_16">
              <w:r>
                <w:rPr>
                  <w:rStyle w:val="InternetLink"/>
                  <w:rFonts w:ascii="Times New Roman;serif" w:hAnsi="Times New Roman;serif"/>
                  <w:b w:val="false"/>
                  <w:color w:val="000080"/>
                  <w:sz w:val="20"/>
                  <w:u w:val="single"/>
                </w:rPr>
                <w:t>u</w:t>
              </w:r>
            </w:hyperlink>
            <w:hyperlink w:anchor="i5e1c82de0c41484c87a001ffe0af493e_16">
              <w:r>
                <w:rPr>
                  <w:rStyle w:val="InternetLink"/>
                  <w:rFonts w:ascii="Times New Roman;serif" w:hAnsi="Times New Roman;serif"/>
                  <w:b w:val="false"/>
                  <w:color w:val="000080"/>
                  <w:sz w:val="20"/>
                  <w:u w:val="single"/>
                </w:rPr>
                <w:t>naudited)</w:t>
              </w:r>
            </w:hyperlink>
          </w:p>
        </w:tc>
        <w:tc>
          <w:tcPr>
            <w:tcW w:w="1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5e1c82de0c41484c87a001ffe0af493e_19">
              <w:r>
                <w:rPr>
                  <w:rStyle w:val="InternetLink"/>
                  <w:rFonts w:ascii="Times New Roman;serif" w:hAnsi="Times New Roman;serif"/>
                  <w:b w:val="false"/>
                  <w:color w:val="0000FF"/>
                  <w:sz w:val="20"/>
                  <w:u w:val="single"/>
                </w:rPr>
                <w:t>Consolidated Balance Sheets</w:t>
              </w:r>
            </w:hyperlink>
          </w:p>
        </w:tc>
        <w:tc>
          <w:tcPr>
            <w:tcW w:w="16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5e1c82de0c41484c87a001ffe0af493e_19">
              <w:r>
                <w:rPr>
                  <w:rStyle w:val="InternetLink"/>
                  <w:rFonts w:ascii="Times New Roman;serif" w:hAnsi="Times New Roman;serif"/>
                  <w:b w:val="false"/>
                  <w:color w:val="0000FF"/>
                  <w:sz w:val="20"/>
                  <w:u w:val="single"/>
                </w:rPr>
                <w:t>5</w:t>
              </w:r>
            </w:hyperlink>
          </w:p>
        </w:tc>
      </w:tr>
      <w:tr>
        <w:trPr/>
        <w:tc>
          <w:tcPr>
            <w:tcW w:w="85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5e1c82de0c41484c87a001ffe0af493e_22">
              <w:r>
                <w:rPr>
                  <w:rStyle w:val="InternetLink"/>
                  <w:rFonts w:ascii="Times New Roman;serif" w:hAnsi="Times New Roman;serif"/>
                  <w:b w:val="false"/>
                  <w:color w:val="0000FF"/>
                  <w:sz w:val="20"/>
                  <w:u w:val="single"/>
                </w:rPr>
                <w:t>Consolidated Statements of Operations</w:t>
              </w:r>
            </w:hyperlink>
          </w:p>
        </w:tc>
        <w:tc>
          <w:tcPr>
            <w:tcW w:w="16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5e1c82de0c41484c87a001ffe0af493e_22">
              <w:r>
                <w:rPr>
                  <w:rStyle w:val="InternetLink"/>
                  <w:rFonts w:ascii="Times New Roman;serif" w:hAnsi="Times New Roman;serif"/>
                  <w:b w:val="false"/>
                  <w:color w:val="0000FF"/>
                  <w:sz w:val="20"/>
                  <w:u w:val="single"/>
                </w:rPr>
                <w:t>7</w:t>
              </w:r>
            </w:hyperlink>
          </w:p>
        </w:tc>
      </w:tr>
      <w:tr>
        <w:trPr/>
        <w:tc>
          <w:tcPr>
            <w:tcW w:w="855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5e1c82de0c41484c87a001ffe0af493e_25">
              <w:r>
                <w:rPr>
                  <w:rStyle w:val="InternetLink"/>
                  <w:rFonts w:ascii="Times New Roman;serif" w:hAnsi="Times New Roman;serif"/>
                  <w:b w:val="false"/>
                  <w:color w:val="0000FF"/>
                  <w:sz w:val="20"/>
                  <w:u w:val="single"/>
                </w:rPr>
                <w:t>Consolidated Statements of Comprehensive Income</w:t>
              </w:r>
            </w:hyperlink>
          </w:p>
        </w:tc>
        <w:tc>
          <w:tcPr>
            <w:tcW w:w="16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5e1c82de0c41484c87a001ffe0af493e_25">
              <w:r>
                <w:rPr>
                  <w:rStyle w:val="InternetLink"/>
                  <w:rFonts w:ascii="Times New Roman;serif" w:hAnsi="Times New Roman;serif"/>
                  <w:b w:val="false"/>
                  <w:color w:val="0000FF"/>
                  <w:sz w:val="20"/>
                  <w:u w:val="single"/>
                </w:rPr>
                <w:t>8</w:t>
              </w:r>
            </w:hyperlink>
          </w:p>
        </w:tc>
      </w:tr>
      <w:tr>
        <w:trPr/>
        <w:tc>
          <w:tcPr>
            <w:tcW w:w="85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5e1c82de0c41484c87a001ffe0af493e_28">
              <w:r>
                <w:rPr>
                  <w:rStyle w:val="InternetLink"/>
                  <w:rFonts w:ascii="Times New Roman;serif" w:hAnsi="Times New Roman;serif"/>
                  <w:b w:val="false"/>
                  <w:color w:val="0000FF"/>
                  <w:sz w:val="20"/>
                  <w:u w:val="single"/>
                </w:rPr>
                <w:t>Consolidated Statements of Equity</w:t>
              </w:r>
            </w:hyperlink>
          </w:p>
        </w:tc>
        <w:tc>
          <w:tcPr>
            <w:tcW w:w="16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5e1c82de0c41484c87a001ffe0af493e_28">
              <w:r>
                <w:rPr>
                  <w:rStyle w:val="InternetLink"/>
                  <w:rFonts w:ascii="Times New Roman;serif" w:hAnsi="Times New Roman;serif"/>
                  <w:b w:val="false"/>
                  <w:color w:val="0000FF"/>
                  <w:sz w:val="20"/>
                  <w:u w:val="single"/>
                </w:rPr>
                <w:t>9</w:t>
              </w:r>
            </w:hyperlink>
          </w:p>
        </w:tc>
      </w:tr>
      <w:tr>
        <w:trPr/>
        <w:tc>
          <w:tcPr>
            <w:tcW w:w="85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5e1c82de0c41484c87a001ffe0af493e_31">
              <w:r>
                <w:rPr>
                  <w:rStyle w:val="InternetLink"/>
                  <w:rFonts w:ascii="Times New Roman;serif" w:hAnsi="Times New Roman;serif"/>
                  <w:b w:val="false"/>
                  <w:color w:val="0000FF"/>
                  <w:sz w:val="20"/>
                  <w:u w:val="single"/>
                </w:rPr>
                <w:t>Consolidated Statements of Cash Flows</w:t>
              </w:r>
            </w:hyperlink>
          </w:p>
        </w:tc>
        <w:tc>
          <w:tcPr>
            <w:tcW w:w="16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5e1c82de0c41484c87a001ffe0af493e_31">
              <w:r>
                <w:rPr>
                  <w:rStyle w:val="InternetLink"/>
                  <w:rFonts w:ascii="Times New Roman;serif" w:hAnsi="Times New Roman;serif"/>
                  <w:b w:val="false"/>
                  <w:color w:val="0000FF"/>
                  <w:sz w:val="20"/>
                  <w:u w:val="single"/>
                </w:rPr>
                <w:t>10</w:t>
              </w:r>
            </w:hyperlink>
          </w:p>
        </w:tc>
      </w:tr>
      <w:tr>
        <w:trPr/>
        <w:tc>
          <w:tcPr>
            <w:tcW w:w="85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5e1c82de0c41484c87a001ffe0af493e_34">
              <w:r>
                <w:rPr>
                  <w:rStyle w:val="InternetLink"/>
                  <w:rFonts w:ascii="Times New Roman;serif" w:hAnsi="Times New Roman;serif"/>
                  <w:b w:val="false"/>
                  <w:color w:val="0000FF"/>
                  <w:sz w:val="20"/>
                  <w:u w:val="single"/>
                </w:rPr>
                <w:t>Notes to Consolidated Financial Statements</w:t>
              </w:r>
            </w:hyperlink>
          </w:p>
        </w:tc>
        <w:tc>
          <w:tcPr>
            <w:tcW w:w="16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5e1c82de0c41484c87a001ffe0af493e_34">
              <w:r>
                <w:rPr>
                  <w:rStyle w:val="InternetLink"/>
                  <w:rFonts w:ascii="Times New Roman;serif" w:hAnsi="Times New Roman;serif"/>
                  <w:b w:val="false"/>
                  <w:color w:val="0000FF"/>
                  <w:sz w:val="20"/>
                  <w:u w:val="single"/>
                </w:rPr>
                <w:t>11</w:t>
              </w:r>
            </w:hyperlink>
          </w:p>
        </w:tc>
      </w:tr>
      <w:tr>
        <w:trPr/>
        <w:tc>
          <w:tcPr>
            <w:tcW w:w="85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5e1c82de0c41484c87a001ffe0af493e_37">
              <w:r>
                <w:rPr>
                  <w:rStyle w:val="InternetLink"/>
                  <w:rFonts w:ascii="Times New Roman;serif" w:hAnsi="Times New Roman;serif"/>
                  <w:b w:val="false"/>
                  <w:color w:val="0000FF"/>
                  <w:sz w:val="20"/>
                  <w:u w:val="single"/>
                </w:rPr>
                <w:t>1. Organization and Basis of Presentation</w:t>
              </w:r>
            </w:hyperlink>
          </w:p>
        </w:tc>
        <w:tc>
          <w:tcPr>
            <w:tcW w:w="16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5e1c82de0c41484c87a001ffe0af493e_37">
              <w:r>
                <w:rPr>
                  <w:rStyle w:val="InternetLink"/>
                  <w:rFonts w:ascii="Times New Roman;serif" w:hAnsi="Times New Roman;serif"/>
                  <w:b w:val="false"/>
                  <w:color w:val="0000FF"/>
                  <w:sz w:val="20"/>
                  <w:u w:val="single"/>
                </w:rPr>
                <w:t>11</w:t>
              </w:r>
            </w:hyperlink>
          </w:p>
        </w:tc>
      </w:tr>
      <w:tr>
        <w:trPr/>
        <w:tc>
          <w:tcPr>
            <w:tcW w:w="85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5e1c82de0c41484c87a001ffe0af493e_40">
              <w:r>
                <w:rPr>
                  <w:rStyle w:val="InternetLink"/>
                  <w:rFonts w:ascii="Times New Roman;serif" w:hAnsi="Times New Roman;serif"/>
                  <w:b w:val="false"/>
                  <w:color w:val="0000FF"/>
                  <w:sz w:val="20"/>
                  <w:u w:val="single"/>
                </w:rPr>
                <w:t>2. Acquisitions</w:t>
              </w:r>
            </w:hyperlink>
          </w:p>
        </w:tc>
        <w:tc>
          <w:tcPr>
            <w:tcW w:w="16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5e1c82de0c41484c87a001ffe0af493e_40">
              <w:r>
                <w:rPr>
                  <w:rStyle w:val="InternetLink"/>
                  <w:rFonts w:ascii="Times New Roman;serif" w:hAnsi="Times New Roman;serif"/>
                  <w:b w:val="false"/>
                  <w:color w:val="0000FF"/>
                  <w:sz w:val="20"/>
                  <w:u w:val="single"/>
                </w:rPr>
                <w:t>11</w:t>
              </w:r>
            </w:hyperlink>
          </w:p>
        </w:tc>
      </w:tr>
      <w:tr>
        <w:trPr/>
        <w:tc>
          <w:tcPr>
            <w:tcW w:w="85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5e1c82de0c41484c87a001ffe0af493e_43">
              <w:r>
                <w:rPr>
                  <w:rStyle w:val="InternetLink"/>
                  <w:rFonts w:ascii="Times New Roman;serif" w:hAnsi="Times New Roman;serif"/>
                  <w:b w:val="false"/>
                  <w:color w:val="0000FF"/>
                  <w:sz w:val="20"/>
                  <w:u w:val="single"/>
                </w:rPr>
                <w:t>3. Cash and Cash Equivalents</w:t>
              </w:r>
            </w:hyperlink>
          </w:p>
        </w:tc>
        <w:tc>
          <w:tcPr>
            <w:tcW w:w="16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5e1c82de0c41484c87a001ffe0af493e_43">
              <w:r>
                <w:rPr>
                  <w:rStyle w:val="InternetLink"/>
                  <w:rFonts w:ascii="Times New Roman;serif" w:hAnsi="Times New Roman;serif"/>
                  <w:b w:val="false"/>
                  <w:color w:val="0000FF"/>
                  <w:sz w:val="20"/>
                  <w:u w:val="single"/>
                </w:rPr>
                <w:t>13</w:t>
              </w:r>
            </w:hyperlink>
          </w:p>
        </w:tc>
      </w:tr>
      <w:tr>
        <w:trPr/>
        <w:tc>
          <w:tcPr>
            <w:tcW w:w="85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5e1c82de0c41484c87a001ffe0af493e_46">
              <w:r>
                <w:rPr>
                  <w:rStyle w:val="InternetLink"/>
                  <w:rFonts w:ascii="Times New Roman;serif" w:hAnsi="Times New Roman;serif"/>
                  <w:b w:val="false"/>
                  <w:color w:val="0000FF"/>
                  <w:sz w:val="20"/>
                  <w:u w:val="single"/>
                </w:rPr>
                <w:t>4. Inventories</w:t>
              </w:r>
            </w:hyperlink>
          </w:p>
        </w:tc>
        <w:tc>
          <w:tcPr>
            <w:tcW w:w="16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5e1c82de0c41484c87a001ffe0af493e_46">
              <w:r>
                <w:rPr>
                  <w:rStyle w:val="InternetLink"/>
                  <w:rFonts w:ascii="Times New Roman;serif" w:hAnsi="Times New Roman;serif"/>
                  <w:b w:val="false"/>
                  <w:color w:val="0000FF"/>
                  <w:sz w:val="20"/>
                  <w:u w:val="single"/>
                </w:rPr>
                <w:t>14</w:t>
              </w:r>
            </w:hyperlink>
          </w:p>
        </w:tc>
      </w:tr>
      <w:tr>
        <w:trPr/>
        <w:tc>
          <w:tcPr>
            <w:tcW w:w="85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5e1c82de0c41484c87a001ffe0af493e_49">
              <w:r>
                <w:rPr>
                  <w:rStyle w:val="InternetLink"/>
                  <w:rFonts w:ascii="Times New Roman;serif" w:hAnsi="Times New Roman;serif"/>
                  <w:b w:val="false"/>
                  <w:color w:val="0000FF"/>
                  <w:sz w:val="20"/>
                  <w:u w:val="single"/>
                </w:rPr>
                <w:t>5. Fair Value Measures</w:t>
              </w:r>
            </w:hyperlink>
          </w:p>
        </w:tc>
        <w:tc>
          <w:tcPr>
            <w:tcW w:w="16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5e1c82de0c41484c87a001ffe0af493e_49">
              <w:r>
                <w:rPr>
                  <w:rStyle w:val="InternetLink"/>
                  <w:rFonts w:ascii="Times New Roman;serif" w:hAnsi="Times New Roman;serif"/>
                  <w:b w:val="false"/>
                  <w:color w:val="0000FF"/>
                  <w:sz w:val="20"/>
                  <w:u w:val="single"/>
                </w:rPr>
                <w:t>14</w:t>
              </w:r>
            </w:hyperlink>
          </w:p>
        </w:tc>
      </w:tr>
      <w:tr>
        <w:trPr/>
        <w:tc>
          <w:tcPr>
            <w:tcW w:w="85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5e1c82de0c41484c87a001ffe0af493e_52">
              <w:r>
                <w:rPr>
                  <w:rStyle w:val="InternetLink"/>
                  <w:rFonts w:ascii="Times New Roman;serif" w:hAnsi="Times New Roman;serif"/>
                  <w:b w:val="false"/>
                  <w:color w:val="0000FF"/>
                  <w:sz w:val="20"/>
                  <w:u w:val="single"/>
                </w:rPr>
                <w:t>6. Net Income per Common Unit</w:t>
              </w:r>
            </w:hyperlink>
          </w:p>
        </w:tc>
        <w:tc>
          <w:tcPr>
            <w:tcW w:w="16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5e1c82de0c41484c87a001ffe0af493e_52">
              <w:r>
                <w:rPr>
                  <w:rStyle w:val="InternetLink"/>
                  <w:rFonts w:ascii="Times New Roman;serif" w:hAnsi="Times New Roman;serif"/>
                  <w:b w:val="false"/>
                  <w:color w:val="0000FF"/>
                  <w:sz w:val="20"/>
                  <w:u w:val="single"/>
                </w:rPr>
                <w:t>16</w:t>
              </w:r>
            </w:hyperlink>
          </w:p>
        </w:tc>
      </w:tr>
      <w:tr>
        <w:trPr/>
        <w:tc>
          <w:tcPr>
            <w:tcW w:w="85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5e1c82de0c41484c87a001ffe0af493e_55">
              <w:r>
                <w:rPr>
                  <w:rStyle w:val="InternetLink"/>
                  <w:rFonts w:ascii="Times New Roman;serif" w:hAnsi="Times New Roman;serif"/>
                  <w:b w:val="false"/>
                  <w:color w:val="0000FF"/>
                  <w:sz w:val="20"/>
                  <w:u w:val="single"/>
                </w:rPr>
                <w:t>7. Debt Obligations</w:t>
              </w:r>
            </w:hyperlink>
          </w:p>
        </w:tc>
        <w:tc>
          <w:tcPr>
            <w:tcW w:w="16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5e1c82de0c41484c87a001ffe0af493e_55">
              <w:r>
                <w:rPr>
                  <w:rStyle w:val="InternetLink"/>
                  <w:rFonts w:ascii="Times New Roman;serif" w:hAnsi="Times New Roman;serif"/>
                  <w:b w:val="false"/>
                  <w:color w:val="0000FF"/>
                  <w:sz w:val="20"/>
                  <w:u w:val="single"/>
                </w:rPr>
                <w:t>16</w:t>
              </w:r>
            </w:hyperlink>
          </w:p>
        </w:tc>
      </w:tr>
      <w:tr>
        <w:trPr/>
        <w:tc>
          <w:tcPr>
            <w:tcW w:w="85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5e1c82de0c41484c87a001ffe0af493e_58">
              <w:r>
                <w:rPr>
                  <w:rStyle w:val="InternetLink"/>
                  <w:rFonts w:ascii="Times New Roman;serif" w:hAnsi="Times New Roman;serif"/>
                  <w:b w:val="false"/>
                  <w:color w:val="0000FF"/>
                  <w:sz w:val="20"/>
                  <w:u w:val="single"/>
                </w:rPr>
                <w:t>8. Redeemable Noncontrolling Interests</w:t>
              </w:r>
            </w:hyperlink>
          </w:p>
        </w:tc>
        <w:tc>
          <w:tcPr>
            <w:tcW w:w="16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5e1c82de0c41484c87a001ffe0af493e_58">
              <w:r>
                <w:rPr>
                  <w:rStyle w:val="InternetLink"/>
                  <w:rFonts w:ascii="Times New Roman;serif" w:hAnsi="Times New Roman;serif"/>
                  <w:b w:val="false"/>
                  <w:color w:val="0000FF"/>
                  <w:sz w:val="20"/>
                  <w:u w:val="single"/>
                </w:rPr>
                <w:t>17</w:t>
              </w:r>
            </w:hyperlink>
          </w:p>
        </w:tc>
      </w:tr>
      <w:tr>
        <w:trPr/>
        <w:tc>
          <w:tcPr>
            <w:tcW w:w="85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5e1c82de0c41484c87a001ffe0af493e_61">
              <w:r>
                <w:rPr>
                  <w:rStyle w:val="InternetLink"/>
                  <w:rFonts w:ascii="Times New Roman;serif" w:hAnsi="Times New Roman;serif"/>
                  <w:b w:val="false"/>
                  <w:color w:val="0000FF"/>
                  <w:sz w:val="20"/>
                  <w:u w:val="single"/>
                </w:rPr>
                <w:t>9. Equity</w:t>
              </w:r>
            </w:hyperlink>
          </w:p>
        </w:tc>
        <w:tc>
          <w:tcPr>
            <w:tcW w:w="16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5e1c82de0c41484c87a001ffe0af493e_61">
              <w:r>
                <w:rPr>
                  <w:rStyle w:val="InternetLink"/>
                  <w:rFonts w:ascii="Times New Roman;serif" w:hAnsi="Times New Roman;serif"/>
                  <w:b w:val="false"/>
                  <w:color w:val="0000FF"/>
                  <w:sz w:val="20"/>
                  <w:u w:val="single"/>
                </w:rPr>
                <w:t>18</w:t>
              </w:r>
            </w:hyperlink>
          </w:p>
        </w:tc>
      </w:tr>
      <w:tr>
        <w:trPr/>
        <w:tc>
          <w:tcPr>
            <w:tcW w:w="85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5e1c82de0c41484c87a001ffe0af493e_64">
              <w:r>
                <w:rPr>
                  <w:rStyle w:val="InternetLink"/>
                  <w:rFonts w:ascii="Times New Roman;serif" w:hAnsi="Times New Roman;serif"/>
                  <w:b w:val="false"/>
                  <w:color w:val="0000FF"/>
                  <w:sz w:val="20"/>
                  <w:u w:val="single"/>
                </w:rPr>
                <w:t>10. Regulatory Matters, Commitments, Contingencies and Environmental Liabilities</w:t>
              </w:r>
            </w:hyperlink>
          </w:p>
        </w:tc>
        <w:tc>
          <w:tcPr>
            <w:tcW w:w="16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5e1c82de0c41484c87a001ffe0af493e_64">
              <w:r>
                <w:rPr>
                  <w:rStyle w:val="InternetLink"/>
                  <w:rFonts w:ascii="Times New Roman;serif" w:hAnsi="Times New Roman;serif"/>
                  <w:b w:val="false"/>
                  <w:color w:val="0000FF"/>
                  <w:sz w:val="20"/>
                  <w:u w:val="single"/>
                </w:rPr>
                <w:t>20</w:t>
              </w:r>
            </w:hyperlink>
          </w:p>
        </w:tc>
      </w:tr>
      <w:tr>
        <w:trPr/>
        <w:tc>
          <w:tcPr>
            <w:tcW w:w="85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5e1c82de0c41484c87a001ffe0af493e_67">
              <w:r>
                <w:rPr>
                  <w:rStyle w:val="InternetLink"/>
                  <w:rFonts w:ascii="Times New Roman;serif" w:hAnsi="Times New Roman;serif"/>
                  <w:b w:val="false"/>
                  <w:color w:val="0000FF"/>
                  <w:sz w:val="20"/>
                  <w:u w:val="single"/>
                </w:rPr>
                <w:t>11. Revenue</w:t>
              </w:r>
            </w:hyperlink>
          </w:p>
        </w:tc>
        <w:tc>
          <w:tcPr>
            <w:tcW w:w="16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5e1c82de0c41484c87a001ffe0af493e_67">
              <w:r>
                <w:rPr>
                  <w:rStyle w:val="InternetLink"/>
                  <w:rFonts w:ascii="Times New Roman;serif" w:hAnsi="Times New Roman;serif"/>
                  <w:b w:val="false"/>
                  <w:color w:val="0000FF"/>
                  <w:sz w:val="20"/>
                  <w:u w:val="single"/>
                </w:rPr>
                <w:t>30</w:t>
              </w:r>
            </w:hyperlink>
          </w:p>
        </w:tc>
      </w:tr>
      <w:tr>
        <w:trPr/>
        <w:tc>
          <w:tcPr>
            <w:tcW w:w="85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5e1c82de0c41484c87a001ffe0af493e_73">
              <w:r>
                <w:rPr>
                  <w:rStyle w:val="InternetLink"/>
                  <w:rFonts w:ascii="Times New Roman;serif" w:hAnsi="Times New Roman;serif"/>
                  <w:b w:val="false"/>
                  <w:color w:val="0000FF"/>
                  <w:sz w:val="20"/>
                  <w:u w:val="single"/>
                </w:rPr>
                <w:t>12. Derivative Assets and Liabilities</w:t>
              </w:r>
            </w:hyperlink>
          </w:p>
        </w:tc>
        <w:tc>
          <w:tcPr>
            <w:tcW w:w="16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5e1c82de0c41484c87a001ffe0af493e_73">
              <w:r>
                <w:rPr>
                  <w:rStyle w:val="InternetLink"/>
                  <w:rFonts w:ascii="Times New Roman;serif" w:hAnsi="Times New Roman;serif"/>
                  <w:b w:val="false"/>
                  <w:color w:val="0000FF"/>
                  <w:sz w:val="20"/>
                  <w:u w:val="single"/>
                </w:rPr>
                <w:t>32</w:t>
              </w:r>
            </w:hyperlink>
          </w:p>
        </w:tc>
      </w:tr>
      <w:tr>
        <w:trPr/>
        <w:tc>
          <w:tcPr>
            <w:tcW w:w="85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5e1c82de0c41484c87a001ffe0af493e_76">
              <w:r>
                <w:rPr>
                  <w:rStyle w:val="InternetLink"/>
                  <w:rFonts w:ascii="Times New Roman;serif" w:hAnsi="Times New Roman;serif"/>
                  <w:b w:val="false"/>
                  <w:color w:val="0000FF"/>
                  <w:sz w:val="20"/>
                  <w:u w:val="single"/>
                </w:rPr>
                <w:t>13. Reportable Segments</w:t>
              </w:r>
            </w:hyperlink>
          </w:p>
        </w:tc>
        <w:tc>
          <w:tcPr>
            <w:tcW w:w="16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5e1c82de0c41484c87a001ffe0af493e_76">
              <w:r>
                <w:rPr>
                  <w:rStyle w:val="InternetLink"/>
                  <w:rFonts w:ascii="Times New Roman;serif" w:hAnsi="Times New Roman;serif"/>
                  <w:b w:val="false"/>
                  <w:color w:val="0000FF"/>
                  <w:sz w:val="20"/>
                  <w:u w:val="single"/>
                </w:rPr>
                <w:t>34</w:t>
              </w:r>
            </w:hyperlink>
          </w:p>
        </w:tc>
      </w:tr>
      <w:tr>
        <w:trPr/>
        <w:tc>
          <w:tcPr>
            <w:tcW w:w="855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left"/>
              <w:rPr/>
            </w:pPr>
            <w:hyperlink w:anchor="i5e1c82de0c41484c87a001ffe0af493e_85">
              <w:r>
                <w:rPr>
                  <w:rStyle w:val="InternetLink"/>
                  <w:rFonts w:ascii="Times New Roman;serif" w:hAnsi="Times New Roman;serif"/>
                  <w:b w:val="false"/>
                  <w:color w:val="0000FF"/>
                  <w:sz w:val="20"/>
                  <w:u w:val="single"/>
                </w:rPr>
                <w:t>ITEM 2. MANAGEMENT’S DISCUSSION AND ANALYSIS OF FINANCIAL CONDITION AND RESULTS OF OPERATIONS</w:t>
              </w:r>
            </w:hyperlink>
          </w:p>
        </w:tc>
        <w:tc>
          <w:tcPr>
            <w:tcW w:w="16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5e1c82de0c41484c87a001ffe0af493e_85">
              <w:r>
                <w:rPr>
                  <w:rStyle w:val="InternetLink"/>
                  <w:rFonts w:ascii="Times New Roman;serif" w:hAnsi="Times New Roman;serif"/>
                  <w:b w:val="false"/>
                  <w:color w:val="0000FF"/>
                  <w:sz w:val="20"/>
                  <w:u w:val="single"/>
                </w:rPr>
                <w:t>41</w:t>
              </w:r>
            </w:hyperlink>
          </w:p>
        </w:tc>
      </w:tr>
      <w:tr>
        <w:trPr/>
        <w:tc>
          <w:tcPr>
            <w:tcW w:w="85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5e1c82de0c41484c87a001ffe0af493e_88">
              <w:r>
                <w:rPr>
                  <w:rStyle w:val="InternetLink"/>
                  <w:rFonts w:ascii="Times New Roman;serif" w:hAnsi="Times New Roman;serif"/>
                  <w:b w:val="false"/>
                  <w:color w:val="0000FF"/>
                  <w:sz w:val="20"/>
                  <w:u w:val="single"/>
                </w:rPr>
                <w:t>Recent Developments</w:t>
              </w:r>
            </w:hyperlink>
          </w:p>
        </w:tc>
        <w:tc>
          <w:tcPr>
            <w:tcW w:w="16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5e1c82de0c41484c87a001ffe0af493e_88">
              <w:r>
                <w:rPr>
                  <w:rStyle w:val="InternetLink"/>
                  <w:rFonts w:ascii="Times New Roman;serif" w:hAnsi="Times New Roman;serif"/>
                  <w:b w:val="false"/>
                  <w:color w:val="0000FF"/>
                  <w:sz w:val="20"/>
                  <w:u w:val="single"/>
                </w:rPr>
                <w:t>41</w:t>
              </w:r>
            </w:hyperlink>
          </w:p>
        </w:tc>
      </w:tr>
      <w:tr>
        <w:trPr/>
        <w:tc>
          <w:tcPr>
            <w:tcW w:w="85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5e1c82de0c41484c87a001ffe0af493e_91">
              <w:r>
                <w:rPr>
                  <w:rStyle w:val="InternetLink"/>
                  <w:rFonts w:ascii="Times New Roman;serif" w:hAnsi="Times New Roman;serif"/>
                  <w:b w:val="false"/>
                  <w:color w:val="0000FF"/>
                  <w:sz w:val="20"/>
                  <w:u w:val="single"/>
                </w:rPr>
                <w:t>Results of Operations</w:t>
              </w:r>
            </w:hyperlink>
          </w:p>
        </w:tc>
        <w:tc>
          <w:tcPr>
            <w:tcW w:w="16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5e1c82de0c41484c87a001ffe0af493e_91">
              <w:r>
                <w:rPr>
                  <w:rStyle w:val="InternetLink"/>
                  <w:rFonts w:ascii="Times New Roman;serif" w:hAnsi="Times New Roman;serif"/>
                  <w:b w:val="false"/>
                  <w:color w:val="0000FF"/>
                  <w:sz w:val="20"/>
                  <w:u w:val="single"/>
                </w:rPr>
                <w:t>45</w:t>
              </w:r>
            </w:hyperlink>
          </w:p>
        </w:tc>
      </w:tr>
      <w:tr>
        <w:trPr/>
        <w:tc>
          <w:tcPr>
            <w:tcW w:w="85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5e1c82de0c41484c87a001ffe0af493e_94">
              <w:r>
                <w:rPr>
                  <w:rStyle w:val="InternetLink"/>
                  <w:rFonts w:ascii="Times New Roman;serif" w:hAnsi="Times New Roman;serif"/>
                  <w:b w:val="false"/>
                  <w:color w:val="0000FF"/>
                  <w:sz w:val="20"/>
                  <w:u w:val="single"/>
                </w:rPr>
                <w:t>Liquidity and Capital Resources</w:t>
              </w:r>
            </w:hyperlink>
          </w:p>
        </w:tc>
        <w:tc>
          <w:tcPr>
            <w:tcW w:w="16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5e1c82de0c41484c87a001ffe0af493e_94">
              <w:r>
                <w:rPr>
                  <w:rStyle w:val="InternetLink"/>
                  <w:rFonts w:ascii="Times New Roman;serif" w:hAnsi="Times New Roman;serif"/>
                  <w:b w:val="false"/>
                  <w:color w:val="0000FF"/>
                  <w:sz w:val="20"/>
                  <w:u w:val="single"/>
                </w:rPr>
                <w:t>54</w:t>
              </w:r>
            </w:hyperlink>
          </w:p>
        </w:tc>
      </w:tr>
      <w:tr>
        <w:trPr/>
        <w:tc>
          <w:tcPr>
            <w:tcW w:w="85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5e1c82de0c41484c87a001ffe0af493e_97">
              <w:r>
                <w:rPr>
                  <w:rStyle w:val="InternetLink"/>
                  <w:rFonts w:ascii="Times New Roman;serif" w:hAnsi="Times New Roman;serif"/>
                  <w:b w:val="false"/>
                  <w:color w:val="0000FF"/>
                  <w:sz w:val="20"/>
                  <w:u w:val="single"/>
                </w:rPr>
                <w:t>Cash Distributions</w:t>
              </w:r>
            </w:hyperlink>
          </w:p>
        </w:tc>
        <w:tc>
          <w:tcPr>
            <w:tcW w:w="16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5e1c82de0c41484c87a001ffe0af493e_97">
              <w:r>
                <w:rPr>
                  <w:rStyle w:val="InternetLink"/>
                  <w:rFonts w:ascii="Times New Roman;serif" w:hAnsi="Times New Roman;serif"/>
                  <w:b w:val="false"/>
                  <w:color w:val="0000FF"/>
                  <w:sz w:val="20"/>
                  <w:u w:val="single"/>
                </w:rPr>
                <w:t>58</w:t>
              </w:r>
            </w:hyperlink>
          </w:p>
        </w:tc>
      </w:tr>
      <w:tr>
        <w:trPr/>
        <w:tc>
          <w:tcPr>
            <w:tcW w:w="8551" w:type="dxa"/>
            <w:gridSpan w:val="3"/>
            <w:tcBorders/>
            <w:vAlign w:val="center"/>
          </w:tcPr>
          <w:p>
            <w:pPr>
              <w:pStyle w:val="TableContents"/>
              <w:bidi w:val="0"/>
              <w:spacing w:before="0" w:after="283"/>
              <w:jc w:val="left"/>
              <w:rPr>
                <w:sz w:val="4"/>
                <w:szCs w:val="4"/>
              </w:rPr>
            </w:pPr>
            <w:r>
              <w:rPr>
                <w:sz w:val="4"/>
                <w:szCs w:val="4"/>
              </w:rPr>
            </w:r>
          </w:p>
        </w:tc>
        <w:tc>
          <w:tcPr>
            <w:tcW w:w="1654" w:type="dxa"/>
            <w:gridSpan w:val="3"/>
            <w:tcBorders/>
            <w:vAlign w:val="center"/>
          </w:tcPr>
          <w:p>
            <w:pPr>
              <w:pStyle w:val="TableContents"/>
              <w:bidi w:val="0"/>
              <w:spacing w:before="0" w:after="283"/>
              <w:jc w:val="left"/>
              <w:rPr>
                <w:sz w:val="4"/>
                <w:szCs w:val="4"/>
              </w:rPr>
            </w:pPr>
            <w:r>
              <w:rPr>
                <w:sz w:val="4"/>
                <w:szCs w:val="4"/>
              </w:rPr>
            </w:r>
          </w:p>
        </w:tc>
      </w:tr>
      <w:tr>
        <w:trPr/>
        <w:tc>
          <w:tcPr>
            <w:tcW w:w="8551" w:type="dxa"/>
            <w:gridSpan w:val="3"/>
            <w:tcBorders/>
            <w:vAlign w:val="center"/>
          </w:tcPr>
          <w:p>
            <w:pPr>
              <w:pStyle w:val="TableContents"/>
              <w:bidi w:val="0"/>
              <w:spacing w:before="0" w:after="283"/>
              <w:jc w:val="left"/>
              <w:rPr>
                <w:sz w:val="4"/>
                <w:szCs w:val="4"/>
              </w:rPr>
            </w:pPr>
            <w:r>
              <w:rPr>
                <w:sz w:val="4"/>
                <w:szCs w:val="4"/>
              </w:rPr>
            </w:r>
          </w:p>
        </w:tc>
        <w:tc>
          <w:tcPr>
            <w:tcW w:w="1654" w:type="dxa"/>
            <w:gridSpan w:val="3"/>
            <w:tcBorders/>
            <w:vAlign w:val="center"/>
          </w:tcPr>
          <w:p>
            <w:pPr>
              <w:pStyle w:val="TableContents"/>
              <w:bidi w:val="0"/>
              <w:spacing w:before="0" w:after="283"/>
              <w:jc w:val="left"/>
              <w:rPr>
                <w:sz w:val="4"/>
                <w:szCs w:val="4"/>
              </w:rPr>
            </w:pPr>
            <w:r>
              <w:rPr>
                <w:sz w:val="4"/>
                <w:szCs w:val="4"/>
              </w:rPr>
            </w:r>
          </w:p>
        </w:tc>
      </w:tr>
      <w:tr>
        <w:trPr/>
        <w:tc>
          <w:tcPr>
            <w:tcW w:w="85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5e1c82de0c41484c87a001ffe0af493e_103">
              <w:r>
                <w:rPr>
                  <w:rStyle w:val="InternetLink"/>
                  <w:rFonts w:ascii="Times New Roman;serif" w:hAnsi="Times New Roman;serif"/>
                  <w:b w:val="false"/>
                  <w:color w:val="0000FF"/>
                  <w:sz w:val="20"/>
                  <w:u w:val="single"/>
                </w:rPr>
                <w:t>ITEM 3. QUANTITATIVE AND QUALITATIVE DISCLOSURES ABOUT MARKET RISK</w:t>
              </w:r>
            </w:hyperlink>
          </w:p>
        </w:tc>
        <w:tc>
          <w:tcPr>
            <w:tcW w:w="16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5e1c82de0c41484c87a001ffe0af493e_103">
              <w:r>
                <w:rPr>
                  <w:rStyle w:val="InternetLink"/>
                  <w:rFonts w:ascii="Times New Roman;serif" w:hAnsi="Times New Roman;serif"/>
                  <w:b w:val="false"/>
                  <w:color w:val="0000FF"/>
                  <w:sz w:val="20"/>
                  <w:u w:val="single"/>
                </w:rPr>
                <w:t>62</w:t>
              </w:r>
            </w:hyperlink>
          </w:p>
        </w:tc>
      </w:tr>
      <w:tr>
        <w:trPr/>
        <w:tc>
          <w:tcPr>
            <w:tcW w:w="85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5e1c82de0c41484c87a001ffe0af493e_106">
              <w:r>
                <w:rPr>
                  <w:rStyle w:val="InternetLink"/>
                  <w:rFonts w:ascii="Times New Roman;serif" w:hAnsi="Times New Roman;serif"/>
                  <w:b w:val="false"/>
                  <w:color w:val="0000FF"/>
                  <w:sz w:val="20"/>
                  <w:u w:val="single"/>
                </w:rPr>
                <w:t>ITEM 4. CONTROLS AND PROCEDURES</w:t>
              </w:r>
            </w:hyperlink>
          </w:p>
        </w:tc>
        <w:tc>
          <w:tcPr>
            <w:tcW w:w="16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5e1c82de0c41484c87a001ffe0af493e_106">
              <w:r>
                <w:rPr>
                  <w:rStyle w:val="InternetLink"/>
                  <w:rFonts w:ascii="Times New Roman;serif" w:hAnsi="Times New Roman;serif"/>
                  <w:b w:val="false"/>
                  <w:color w:val="0000FF"/>
                  <w:sz w:val="20"/>
                  <w:u w:val="single"/>
                </w:rPr>
                <w:t>62</w:t>
              </w:r>
            </w:hyperlink>
          </w:p>
        </w:tc>
      </w:tr>
      <w:tr>
        <w:trPr/>
        <w:tc>
          <w:tcPr>
            <w:tcW w:w="10205"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5e1c82de0c41484c87a001ffe0af493e_109">
              <w:r>
                <w:rPr>
                  <w:rStyle w:val="InternetLink"/>
                  <w:rFonts w:ascii="Times New Roman;serif" w:hAnsi="Times New Roman;serif"/>
                  <w:b/>
                  <w:color w:val="0000FF"/>
                  <w:sz w:val="20"/>
                  <w:u w:val="single"/>
                </w:rPr>
                <w:t>PART II – OTHER INFORMATION</w:t>
              </w:r>
            </w:hyperlink>
          </w:p>
        </w:tc>
      </w:tr>
      <w:tr>
        <w:trPr/>
        <w:tc>
          <w:tcPr>
            <w:tcW w:w="85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5e1c82de0c41484c87a001ffe0af493e_112">
              <w:r>
                <w:rPr>
                  <w:rStyle w:val="InternetLink"/>
                  <w:rFonts w:ascii="Times New Roman;serif" w:hAnsi="Times New Roman;serif"/>
                  <w:b w:val="false"/>
                  <w:color w:val="0000FF"/>
                  <w:sz w:val="20"/>
                  <w:u w:val="single"/>
                </w:rPr>
                <w:t>ITEM 1. LEGAL PROCEEDINGS</w:t>
              </w:r>
            </w:hyperlink>
          </w:p>
        </w:tc>
        <w:tc>
          <w:tcPr>
            <w:tcW w:w="16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5e1c82de0c41484c87a001ffe0af493e_112">
              <w:r>
                <w:rPr>
                  <w:rStyle w:val="InternetLink"/>
                  <w:rFonts w:ascii="Times New Roman;serif" w:hAnsi="Times New Roman;serif"/>
                  <w:b w:val="false"/>
                  <w:color w:val="0000FF"/>
                  <w:sz w:val="20"/>
                  <w:u w:val="single"/>
                </w:rPr>
                <w:t>64</w:t>
              </w:r>
            </w:hyperlink>
          </w:p>
        </w:tc>
      </w:tr>
      <w:tr>
        <w:trPr/>
        <w:tc>
          <w:tcPr>
            <w:tcW w:w="85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5e1c82de0c41484c87a001ffe0af493e_115">
              <w:r>
                <w:rPr>
                  <w:rStyle w:val="InternetLink"/>
                  <w:rFonts w:ascii="Times New Roman;serif" w:hAnsi="Times New Roman;serif"/>
                  <w:b w:val="false"/>
                  <w:color w:val="0000FF"/>
                  <w:sz w:val="20"/>
                  <w:u w:val="single"/>
                </w:rPr>
                <w:t>ITEM 1A. RISK FACTORS</w:t>
              </w:r>
            </w:hyperlink>
          </w:p>
        </w:tc>
        <w:tc>
          <w:tcPr>
            <w:tcW w:w="16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5e1c82de0c41484c87a001ffe0af493e_115">
              <w:r>
                <w:rPr>
                  <w:rStyle w:val="InternetLink"/>
                  <w:rFonts w:ascii="Times New Roman;serif" w:hAnsi="Times New Roman;serif"/>
                  <w:b w:val="false"/>
                  <w:color w:val="0000FF"/>
                  <w:sz w:val="20"/>
                  <w:u w:val="single"/>
                </w:rPr>
                <w:t>65</w:t>
              </w:r>
            </w:hyperlink>
          </w:p>
        </w:tc>
      </w:tr>
      <w:tr>
        <w:trPr/>
        <w:tc>
          <w:tcPr>
            <w:tcW w:w="8551" w:type="dxa"/>
            <w:gridSpan w:val="3"/>
            <w:tcBorders/>
            <w:vAlign w:val="center"/>
          </w:tcPr>
          <w:p>
            <w:pPr>
              <w:pStyle w:val="TableContents"/>
              <w:bidi w:val="0"/>
              <w:spacing w:before="0" w:after="283"/>
              <w:jc w:val="left"/>
              <w:rPr>
                <w:sz w:val="4"/>
                <w:szCs w:val="4"/>
              </w:rPr>
            </w:pPr>
            <w:r>
              <w:rPr>
                <w:sz w:val="4"/>
                <w:szCs w:val="4"/>
              </w:rPr>
            </w:r>
          </w:p>
        </w:tc>
        <w:tc>
          <w:tcPr>
            <w:tcW w:w="1654" w:type="dxa"/>
            <w:gridSpan w:val="3"/>
            <w:tcBorders/>
            <w:vAlign w:val="center"/>
          </w:tcPr>
          <w:p>
            <w:pPr>
              <w:pStyle w:val="TableContents"/>
              <w:bidi w:val="0"/>
              <w:spacing w:before="0" w:after="283"/>
              <w:jc w:val="left"/>
              <w:rPr>
                <w:sz w:val="4"/>
                <w:szCs w:val="4"/>
              </w:rPr>
            </w:pPr>
            <w:r>
              <w:rPr>
                <w:sz w:val="4"/>
                <w:szCs w:val="4"/>
              </w:rPr>
            </w:r>
          </w:p>
        </w:tc>
      </w:tr>
      <w:tr>
        <w:trPr/>
        <w:tc>
          <w:tcPr>
            <w:tcW w:w="8551" w:type="dxa"/>
            <w:gridSpan w:val="3"/>
            <w:tcBorders/>
            <w:vAlign w:val="center"/>
          </w:tcPr>
          <w:p>
            <w:pPr>
              <w:pStyle w:val="TableContents"/>
              <w:bidi w:val="0"/>
              <w:spacing w:before="0" w:after="283"/>
              <w:jc w:val="left"/>
              <w:rPr>
                <w:sz w:val="4"/>
                <w:szCs w:val="4"/>
              </w:rPr>
            </w:pPr>
            <w:r>
              <w:rPr>
                <w:sz w:val="4"/>
                <w:szCs w:val="4"/>
              </w:rPr>
            </w:r>
          </w:p>
        </w:tc>
        <w:tc>
          <w:tcPr>
            <w:tcW w:w="1654" w:type="dxa"/>
            <w:gridSpan w:val="3"/>
            <w:tcBorders/>
            <w:vAlign w:val="center"/>
          </w:tcPr>
          <w:p>
            <w:pPr>
              <w:pStyle w:val="TableContents"/>
              <w:bidi w:val="0"/>
              <w:spacing w:before="0" w:after="283"/>
              <w:jc w:val="left"/>
              <w:rPr>
                <w:sz w:val="4"/>
                <w:szCs w:val="4"/>
              </w:rPr>
            </w:pPr>
            <w:r>
              <w:rPr>
                <w:sz w:val="4"/>
                <w:szCs w:val="4"/>
              </w:rPr>
            </w:r>
          </w:p>
        </w:tc>
      </w:tr>
      <w:tr>
        <w:trPr/>
        <w:tc>
          <w:tcPr>
            <w:tcW w:w="8551" w:type="dxa"/>
            <w:gridSpan w:val="3"/>
            <w:tcBorders/>
            <w:vAlign w:val="center"/>
          </w:tcPr>
          <w:p>
            <w:pPr>
              <w:pStyle w:val="TableContents"/>
              <w:bidi w:val="0"/>
              <w:spacing w:before="0" w:after="283"/>
              <w:jc w:val="left"/>
              <w:rPr>
                <w:sz w:val="4"/>
                <w:szCs w:val="4"/>
              </w:rPr>
            </w:pPr>
            <w:r>
              <w:rPr>
                <w:sz w:val="4"/>
                <w:szCs w:val="4"/>
              </w:rPr>
            </w:r>
          </w:p>
        </w:tc>
        <w:tc>
          <w:tcPr>
            <w:tcW w:w="1654" w:type="dxa"/>
            <w:gridSpan w:val="3"/>
            <w:tcBorders/>
            <w:vAlign w:val="center"/>
          </w:tcPr>
          <w:p>
            <w:pPr>
              <w:pStyle w:val="TableContents"/>
              <w:bidi w:val="0"/>
              <w:spacing w:before="0" w:after="283"/>
              <w:jc w:val="left"/>
              <w:rPr>
                <w:sz w:val="4"/>
                <w:szCs w:val="4"/>
              </w:rPr>
            </w:pPr>
            <w:r>
              <w:rPr>
                <w:sz w:val="4"/>
                <w:szCs w:val="4"/>
              </w:rPr>
            </w:r>
          </w:p>
        </w:tc>
      </w:tr>
      <w:tr>
        <w:trPr/>
        <w:tc>
          <w:tcPr>
            <w:tcW w:w="8551" w:type="dxa"/>
            <w:gridSpan w:val="3"/>
            <w:tcBorders/>
            <w:vAlign w:val="center"/>
          </w:tcPr>
          <w:p>
            <w:pPr>
              <w:pStyle w:val="TableContents"/>
              <w:bidi w:val="0"/>
              <w:spacing w:before="0" w:after="283"/>
              <w:jc w:val="left"/>
              <w:rPr>
                <w:sz w:val="4"/>
                <w:szCs w:val="4"/>
              </w:rPr>
            </w:pPr>
            <w:r>
              <w:rPr>
                <w:sz w:val="4"/>
                <w:szCs w:val="4"/>
              </w:rPr>
            </w:r>
          </w:p>
        </w:tc>
        <w:tc>
          <w:tcPr>
            <w:tcW w:w="1654" w:type="dxa"/>
            <w:gridSpan w:val="3"/>
            <w:tcBorders/>
            <w:vAlign w:val="center"/>
          </w:tcPr>
          <w:p>
            <w:pPr>
              <w:pStyle w:val="TableContents"/>
              <w:bidi w:val="0"/>
              <w:spacing w:before="0" w:after="283"/>
              <w:jc w:val="left"/>
              <w:rPr>
                <w:sz w:val="4"/>
                <w:szCs w:val="4"/>
              </w:rPr>
            </w:pPr>
            <w:r>
              <w:rPr>
                <w:sz w:val="4"/>
                <w:szCs w:val="4"/>
              </w:rPr>
            </w:r>
          </w:p>
        </w:tc>
      </w:tr>
      <w:tr>
        <w:trPr/>
        <w:tc>
          <w:tcPr>
            <w:tcW w:w="8551" w:type="dxa"/>
            <w:gridSpan w:val="3"/>
            <w:tcBorders/>
            <w:vAlign w:val="center"/>
          </w:tcPr>
          <w:p>
            <w:pPr>
              <w:pStyle w:val="TableContents"/>
              <w:bidi w:val="0"/>
              <w:spacing w:before="0" w:after="283"/>
              <w:jc w:val="left"/>
              <w:rPr>
                <w:sz w:val="4"/>
                <w:szCs w:val="4"/>
              </w:rPr>
            </w:pPr>
            <w:r>
              <w:rPr>
                <w:sz w:val="4"/>
                <w:szCs w:val="4"/>
              </w:rPr>
            </w:r>
          </w:p>
        </w:tc>
        <w:tc>
          <w:tcPr>
            <w:tcW w:w="1654" w:type="dxa"/>
            <w:gridSpan w:val="3"/>
            <w:tcBorders/>
            <w:vAlign w:val="center"/>
          </w:tcPr>
          <w:p>
            <w:pPr>
              <w:pStyle w:val="TableContents"/>
              <w:bidi w:val="0"/>
              <w:spacing w:before="0" w:after="283"/>
              <w:jc w:val="left"/>
              <w:rPr>
                <w:sz w:val="4"/>
                <w:szCs w:val="4"/>
              </w:rPr>
            </w:pPr>
            <w:r>
              <w:rPr>
                <w:sz w:val="4"/>
                <w:szCs w:val="4"/>
              </w:rPr>
            </w:r>
          </w:p>
        </w:tc>
      </w:tr>
      <w:tr>
        <w:trPr/>
        <w:tc>
          <w:tcPr>
            <w:tcW w:w="8551" w:type="dxa"/>
            <w:gridSpan w:val="3"/>
            <w:tcBorders/>
            <w:vAlign w:val="center"/>
          </w:tcPr>
          <w:p>
            <w:pPr>
              <w:pStyle w:val="TableContents"/>
              <w:bidi w:val="0"/>
              <w:spacing w:before="0" w:after="283"/>
              <w:jc w:val="left"/>
              <w:rPr>
                <w:sz w:val="4"/>
                <w:szCs w:val="4"/>
              </w:rPr>
            </w:pPr>
            <w:r>
              <w:rPr>
                <w:sz w:val="4"/>
                <w:szCs w:val="4"/>
              </w:rPr>
            </w:r>
          </w:p>
        </w:tc>
        <w:tc>
          <w:tcPr>
            <w:tcW w:w="1654" w:type="dxa"/>
            <w:gridSpan w:val="3"/>
            <w:tcBorders/>
            <w:vAlign w:val="center"/>
          </w:tcPr>
          <w:p>
            <w:pPr>
              <w:pStyle w:val="TableContents"/>
              <w:bidi w:val="0"/>
              <w:spacing w:before="0" w:after="283"/>
              <w:jc w:val="left"/>
              <w:rPr>
                <w:sz w:val="4"/>
                <w:szCs w:val="4"/>
              </w:rPr>
            </w:pPr>
            <w:r>
              <w:rPr>
                <w:sz w:val="4"/>
                <w:szCs w:val="4"/>
              </w:rPr>
            </w:r>
          </w:p>
        </w:tc>
      </w:tr>
      <w:tr>
        <w:trPr/>
        <w:tc>
          <w:tcPr>
            <w:tcW w:w="8551" w:type="dxa"/>
            <w:gridSpan w:val="3"/>
            <w:tcBorders/>
            <w:vAlign w:val="center"/>
          </w:tcPr>
          <w:p>
            <w:pPr>
              <w:pStyle w:val="TableContents"/>
              <w:bidi w:val="0"/>
              <w:spacing w:before="0" w:after="283"/>
              <w:jc w:val="left"/>
              <w:rPr>
                <w:sz w:val="4"/>
                <w:szCs w:val="4"/>
              </w:rPr>
            </w:pPr>
            <w:r>
              <w:rPr>
                <w:sz w:val="4"/>
                <w:szCs w:val="4"/>
              </w:rPr>
            </w:r>
          </w:p>
        </w:tc>
        <w:tc>
          <w:tcPr>
            <w:tcW w:w="1654" w:type="dxa"/>
            <w:gridSpan w:val="3"/>
            <w:tcBorders/>
            <w:vAlign w:val="center"/>
          </w:tcPr>
          <w:p>
            <w:pPr>
              <w:pStyle w:val="TableContents"/>
              <w:bidi w:val="0"/>
              <w:spacing w:before="0" w:after="283"/>
              <w:jc w:val="left"/>
              <w:rPr>
                <w:sz w:val="4"/>
                <w:szCs w:val="4"/>
              </w:rPr>
            </w:pPr>
            <w:r>
              <w:rPr>
                <w:sz w:val="4"/>
                <w:szCs w:val="4"/>
              </w:rPr>
            </w:r>
          </w:p>
        </w:tc>
      </w:tr>
      <w:tr>
        <w:trPr/>
        <w:tc>
          <w:tcPr>
            <w:tcW w:w="85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5e1c82de0c41484c87a001ffe0af493e_124">
              <w:r>
                <w:rPr>
                  <w:rStyle w:val="InternetLink"/>
                  <w:rFonts w:ascii="Times New Roman;serif" w:hAnsi="Times New Roman;serif"/>
                  <w:b w:val="false"/>
                  <w:color w:val="0000FF"/>
                  <w:sz w:val="20"/>
                  <w:u w:val="single"/>
                </w:rPr>
                <w:t>ITEM 6. EXHIBITS</w:t>
              </w:r>
            </w:hyperlink>
          </w:p>
        </w:tc>
        <w:tc>
          <w:tcPr>
            <w:tcW w:w="16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5e1c82de0c41484c87a001ffe0af493e_124">
              <w:r>
                <w:rPr>
                  <w:rStyle w:val="InternetLink"/>
                  <w:rFonts w:ascii="Times New Roman;serif" w:hAnsi="Times New Roman;serif"/>
                  <w:b w:val="false"/>
                  <w:color w:val="0000FF"/>
                  <w:sz w:val="20"/>
                  <w:u w:val="single"/>
                </w:rPr>
                <w:t>65</w:t>
              </w:r>
            </w:hyperlink>
          </w:p>
        </w:tc>
      </w:tr>
      <w:tr>
        <w:trPr/>
        <w:tc>
          <w:tcPr>
            <w:tcW w:w="85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5e1c82de0c41484c87a001ffe0af493e_127">
              <w:r>
                <w:rPr>
                  <w:rStyle w:val="InternetLink"/>
                  <w:rFonts w:ascii="Times New Roman;serif" w:hAnsi="Times New Roman;serif"/>
                  <w:b w:val="false"/>
                  <w:color w:val="0000FF"/>
                  <w:sz w:val="20"/>
                  <w:u w:val="single"/>
                </w:rPr>
                <w:t>SIGNATURE</w:t>
              </w:r>
            </w:hyperlink>
          </w:p>
        </w:tc>
        <w:tc>
          <w:tcPr>
            <w:tcW w:w="16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5e1c82de0c41484c87a001ffe0af493e_127">
              <w:r>
                <w:rPr>
                  <w:rStyle w:val="InternetLink"/>
                  <w:rFonts w:ascii="Times New Roman;serif" w:hAnsi="Times New Roman;serif"/>
                  <w:b w:val="false"/>
                  <w:color w:val="0000FF"/>
                  <w:sz w:val="20"/>
                  <w:u w:val="single"/>
                </w:rPr>
                <w:t>66</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120" w:after="283"/>
        <w:ind w:left="0" w:right="0" w:hanging="360"/>
        <w:jc w:val="both"/>
        <w:rPr/>
      </w:pPr>
      <w:hyperlink w:anchor="i5e1c82de0c41484c87a001ffe0af493e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Definitions</w:t>
      </w:r>
    </w:p>
    <w:p>
      <w:pPr>
        <w:pStyle w:val="TextBody"/>
        <w:bidi w:val="0"/>
        <w:spacing w:lineRule="auto" w:line="288" w:before="60" w:after="283"/>
        <w:jc w:val="both"/>
        <w:rPr>
          <w:rFonts w:ascii="Times New Roman;serif" w:hAnsi="Times New Roman;serif"/>
          <w:b w:val="false"/>
          <w:color w:val="000000"/>
          <w:sz w:val="20"/>
        </w:rPr>
      </w:pPr>
      <w:r>
        <w:rPr>
          <w:rFonts w:ascii="Times New Roman;serif" w:hAnsi="Times New Roman;serif"/>
          <w:b w:val="false"/>
          <w:color w:val="000000"/>
          <w:sz w:val="20"/>
        </w:rPr>
        <w:t>References to the “Partnership” or “Energy Transfer” refer to Energy Transfer LP. In addition, the following is a list of certain acronyms and terms used throughout this document:</w:t>
      </w:r>
    </w:p>
    <w:tbl>
      <w:tblPr>
        <w:tblW w:w="10205" w:type="dxa"/>
        <w:jc w:val="left"/>
        <w:tblInd w:w="0" w:type="dxa"/>
        <w:tblLayout w:type="fixed"/>
        <w:tblCellMar>
          <w:top w:w="28" w:type="dxa"/>
          <w:left w:w="28" w:type="dxa"/>
          <w:bottom w:w="28" w:type="dxa"/>
          <w:right w:w="28" w:type="dxa"/>
        </w:tblCellMar>
      </w:tblPr>
      <w:tblGrid>
        <w:gridCol w:w="636"/>
        <w:gridCol w:w="484"/>
        <w:gridCol w:w="456"/>
        <w:gridCol w:w="109"/>
        <w:gridCol w:w="109"/>
        <w:gridCol w:w="109"/>
        <w:gridCol w:w="2483"/>
        <w:gridCol w:w="2379"/>
        <w:gridCol w:w="3440"/>
      </w:tblGrid>
      <w:tr>
        <w:trPr/>
        <w:tc>
          <w:tcPr>
            <w:tcW w:w="636"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3" w:type="dxa"/>
            <w:tcBorders/>
            <w:vAlign w:val="center"/>
          </w:tcPr>
          <w:p>
            <w:pPr>
              <w:pStyle w:val="TableContents"/>
              <w:bidi w:val="0"/>
              <w:spacing w:before="0" w:after="283"/>
              <w:jc w:val="left"/>
              <w:rPr>
                <w:sz w:val="4"/>
                <w:szCs w:val="4"/>
              </w:rPr>
            </w:pPr>
            <w:r>
              <w:rPr>
                <w:sz w:val="4"/>
                <w:szCs w:val="4"/>
              </w:rPr>
            </w:r>
          </w:p>
        </w:tc>
        <w:tc>
          <w:tcPr>
            <w:tcW w:w="2379" w:type="dxa"/>
            <w:tcBorders/>
            <w:vAlign w:val="center"/>
          </w:tcPr>
          <w:p>
            <w:pPr>
              <w:pStyle w:val="TableContents"/>
              <w:bidi w:val="0"/>
              <w:spacing w:before="0" w:after="283"/>
              <w:jc w:val="left"/>
              <w:rPr>
                <w:sz w:val="4"/>
                <w:szCs w:val="4"/>
              </w:rPr>
            </w:pPr>
            <w:r>
              <w:rPr>
                <w:sz w:val="4"/>
                <w:szCs w:val="4"/>
              </w:rPr>
            </w:r>
          </w:p>
        </w:tc>
        <w:tc>
          <w:tcPr>
            <w:tcW w:w="3440" w:type="dxa"/>
            <w:tcBorders/>
            <w:vAlign w:val="center"/>
          </w:tcPr>
          <w:p>
            <w:pPr>
              <w:pStyle w:val="TableContents"/>
              <w:bidi w:val="0"/>
              <w:spacing w:before="0" w:after="283"/>
              <w:jc w:val="left"/>
              <w:rPr>
                <w:sz w:val="4"/>
                <w:szCs w:val="4"/>
              </w:rPr>
            </w:pPr>
            <w:r>
              <w:rPr>
                <w:sz w:val="4"/>
                <w:szCs w:val="4"/>
              </w:rPr>
            </w:r>
          </w:p>
        </w:tc>
      </w:tr>
      <w:tr>
        <w:trPr/>
        <w:tc>
          <w:tcPr>
            <w:tcW w:w="15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per day</w:t>
            </w:r>
          </w:p>
        </w:tc>
      </w:tr>
      <w:tr>
        <w:trPr/>
        <w:tc>
          <w:tcPr>
            <w:tcW w:w="1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AOCI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accumulated other comprehensive income</w:t>
            </w:r>
          </w:p>
        </w:tc>
      </w:tr>
      <w:tr>
        <w:trPr/>
        <w:tc>
          <w:tcPr>
            <w:tcW w:w="15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Bakken Pipeline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Refers collectively to Dakota Access and Energy Transfer Crude Oil Pipeline and/or Energy Transfer Crude Oil Company, LLC, a non-wholly owned subsidiary of Energy Transfer</w:t>
            </w:r>
          </w:p>
        </w:tc>
      </w:tr>
      <w:tr>
        <w:trPr/>
        <w:tc>
          <w:tcPr>
            <w:tcW w:w="1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BBtu</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billion British thermal units</w:t>
            </w:r>
          </w:p>
        </w:tc>
      </w:tr>
      <w:tr>
        <w:trPr/>
        <w:tc>
          <w:tcPr>
            <w:tcW w:w="15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Btu</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British thermal unit, an energy measurement used by gas companies to convert the volume of gas used to its heat equivalent, and thus calculate the actual energy content</w:t>
            </w:r>
          </w:p>
        </w:tc>
      </w:tr>
      <w:tr>
        <w:trPr/>
        <w:tc>
          <w:tcPr>
            <w:tcW w:w="1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Citrus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Citrus, LLC, a 50/50 joint venture which owns Florida Gas Transmission Company, LLC, which owns the Florida Gas Transmission Pipeline</w:t>
            </w:r>
          </w:p>
        </w:tc>
      </w:tr>
      <w:tr>
        <w:trPr/>
        <w:tc>
          <w:tcPr>
            <w:tcW w:w="15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Common Unitholders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Holders of Energy Transfer common units which represent limited partner interests in the Partnership</w:t>
            </w:r>
          </w:p>
        </w:tc>
      </w:tr>
      <w:tr>
        <w:trPr/>
        <w:tc>
          <w:tcPr>
            <w:tcW w:w="1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Dakota Access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90"/>
              <w:jc w:val="left"/>
              <w:rPr>
                <w:rFonts w:ascii="Times New Roman;serif" w:hAnsi="Times New Roman;serif"/>
                <w:b w:val="false"/>
                <w:color w:val="000000"/>
                <w:sz w:val="18"/>
              </w:rPr>
            </w:pPr>
            <w:r>
              <w:rPr>
                <w:rFonts w:ascii="Times New Roman;serif" w:hAnsi="Times New Roman;serif"/>
                <w:b w:val="false"/>
                <w:color w:val="000000"/>
                <w:sz w:val="18"/>
              </w:rPr>
              <w:t>Dakota Access, LLC, a non-wholly owned subsidiary of Energy Transfer and/or Dakota Access Pipeline</w:t>
            </w:r>
          </w:p>
        </w:tc>
      </w:tr>
      <w:tr>
        <w:trPr/>
        <w:tc>
          <w:tcPr>
            <w:tcW w:w="15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Energy Transfer Preferred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Collectively, the Series B Preferred Units, Series F Preferred Units, Series G Preferred Units, Series H Preferred Units and Series I Preferred Units </w:t>
            </w:r>
          </w:p>
        </w:tc>
      </w:tr>
      <w:tr>
        <w:trPr/>
        <w:tc>
          <w:tcPr>
            <w:tcW w:w="1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Energy Transfer R&amp;M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Energy Transfer (R&amp;M), LLC (formerly Sunoco (R&amp;M), LLC)</w:t>
            </w:r>
          </w:p>
        </w:tc>
      </w:tr>
      <w:tr>
        <w:trPr/>
        <w:tc>
          <w:tcPr>
            <w:tcW w:w="15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EPA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United States Environmental Protection Agency</w:t>
            </w:r>
          </w:p>
        </w:tc>
      </w:tr>
      <w:tr>
        <w:trPr/>
        <w:tc>
          <w:tcPr>
            <w:tcW w:w="1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ETC Sunoco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ETC Sunoco Holdings LLC (formerly Sunoco, Inc.), a wholly owned subsidiary of Energy Transfer</w:t>
            </w:r>
          </w:p>
        </w:tc>
      </w:tr>
      <w:tr>
        <w:trPr/>
        <w:tc>
          <w:tcPr>
            <w:tcW w:w="15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ETO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Energy Transfer Operating, L.P., formerly a non-wholly owned subsidiary of Energy Transfer until its merger into the Partnership in April 2021</w:t>
            </w:r>
          </w:p>
        </w:tc>
      </w:tr>
      <w:tr>
        <w:trPr/>
        <w:tc>
          <w:tcPr>
            <w:tcW w:w="1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ET-S Permian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ET-S Permian Holdings Company LP, a joint venture between Energy Transfer and Sunoco LP, which owns crude oil and water gathering pipelines and storage assets in the Permian Basin</w:t>
            </w:r>
          </w:p>
        </w:tc>
      </w:tr>
      <w:tr>
        <w:trPr/>
        <w:tc>
          <w:tcPr>
            <w:tcW w:w="15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Exchange Act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Securities Exchange Act of 1934, as amended</w:t>
            </w:r>
          </w:p>
        </w:tc>
      </w:tr>
      <w:tr>
        <w:trPr/>
        <w:tc>
          <w:tcPr>
            <w:tcW w:w="1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Explorer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Explorer Pipeline Company</w:t>
            </w:r>
          </w:p>
        </w:tc>
      </w:tr>
      <w:tr>
        <w:trPr/>
        <w:tc>
          <w:tcPr>
            <w:tcW w:w="15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FERC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United States Federal Energy Regulatory Commission</w:t>
            </w:r>
          </w:p>
        </w:tc>
      </w:tr>
      <w:tr>
        <w:trPr/>
        <w:tc>
          <w:tcPr>
            <w:tcW w:w="1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GAAP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accounting principles generally accepted in the United States of America</w:t>
            </w:r>
          </w:p>
        </w:tc>
      </w:tr>
      <w:tr>
        <w:trPr/>
        <w:tc>
          <w:tcPr>
            <w:tcW w:w="15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General Partner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LE GP, LLC, the general partner of Energy Transfer</w:t>
            </w:r>
          </w:p>
        </w:tc>
      </w:tr>
      <w:tr>
        <w:trPr/>
        <w:tc>
          <w:tcPr>
            <w:tcW w:w="1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IFERC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Inside FERC’s Gas Market Report</w:t>
            </w:r>
          </w:p>
        </w:tc>
      </w:tr>
      <w:tr>
        <w:trPr/>
        <w:tc>
          <w:tcPr>
            <w:tcW w:w="15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J.C. Nolan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collectively, J.C. Nolan Terminal Co., LLC and J.C. Nolan Pipeline Co., LLC, both of which are joint ventures between Energy Transfer and Sunoco LP, which own a diesel fuel storage terminal in Midland, Texas and a 500-mile diesel fuel pipeline</w:t>
            </w:r>
          </w:p>
        </w:tc>
      </w:tr>
      <w:tr>
        <w:trPr/>
        <w:tc>
          <w:tcPr>
            <w:tcW w:w="1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LIFO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last-in, first-out</w:t>
            </w:r>
          </w:p>
        </w:tc>
      </w:tr>
      <w:tr>
        <w:trPr/>
        <w:tc>
          <w:tcPr>
            <w:tcW w:w="15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liquefied natural gas</w:t>
            </w:r>
          </w:p>
        </w:tc>
      </w:tr>
      <w:tr>
        <w:trPr/>
        <w:tc>
          <w:tcPr>
            <w:tcW w:w="1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MBbls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thousand barrels</w:t>
            </w:r>
          </w:p>
        </w:tc>
      </w:tr>
      <w:tr>
        <w:trPr/>
        <w:tc>
          <w:tcPr>
            <w:tcW w:w="15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MEP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Midcontinent Express Pipeline LLC</w:t>
            </w:r>
          </w:p>
        </w:tc>
      </w:tr>
      <w:tr>
        <w:trPr/>
        <w:tc>
          <w:tcPr>
            <w:tcW w:w="1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Mid Valley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Mid Valley Pipeline Company LLC, a wholly owned subsidiary of Energy Transfer</w:t>
            </w:r>
          </w:p>
        </w:tc>
      </w:tr>
      <w:tr>
        <w:trPr/>
        <w:tc>
          <w:tcPr>
            <w:tcW w:w="15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NGA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Natural Gas Act of 1938</w:t>
            </w:r>
          </w:p>
        </w:tc>
      </w:tr>
      <w:tr>
        <w:trPr/>
        <w:tc>
          <w:tcPr>
            <w:tcW w:w="1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NGL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natural gas liquid, such as propane, butane and natural gasoline</w:t>
            </w:r>
          </w:p>
        </w:tc>
      </w:tr>
      <w:tr>
        <w:trPr/>
        <w:tc>
          <w:tcPr>
            <w:tcW w:w="15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NuStar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NuStar Energy L.P.</w:t>
            </w:r>
          </w:p>
        </w:tc>
      </w:tr>
      <w:tr>
        <w:trPr/>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02" w:type="dxa"/>
            <w:gridSpan w:val="3"/>
            <w:tcBorders/>
            <w:vAlign w:val="center"/>
          </w:tcPr>
          <w:p>
            <w:pPr>
              <w:pStyle w:val="TableContents"/>
              <w:bidi w:val="0"/>
              <w:spacing w:before="0" w:after="283"/>
              <w:jc w:val="left"/>
              <w:rPr>
                <w:sz w:val="4"/>
                <w:szCs w:val="4"/>
              </w:rPr>
            </w:pPr>
            <w:r>
              <w:rPr>
                <w:sz w:val="4"/>
                <w:szCs w:val="4"/>
              </w:rPr>
            </w:r>
          </w:p>
        </w:tc>
      </w:tr>
      <w:tr>
        <w:trPr/>
        <w:tc>
          <w:tcPr>
            <w:tcW w:w="1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NYSE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New York Stock Exchange</w:t>
            </w:r>
          </w:p>
        </w:tc>
      </w:tr>
      <w:tr>
        <w:trPr/>
        <w:tc>
          <w:tcPr>
            <w:tcW w:w="15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over-the-counter</w:t>
            </w:r>
          </w:p>
        </w:tc>
      </w:tr>
      <w:tr>
        <w:trPr/>
        <w:tc>
          <w:tcPr>
            <w:tcW w:w="1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Panhandle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Panhandle Eastern Pipe Line and/or Panhandle Eastern Pipe Line Company, LP, a wholly owned subsidiary of Energy Transfer</w:t>
            </w:r>
          </w:p>
        </w:tc>
      </w:tr>
      <w:tr>
        <w:trPr/>
        <w:tc>
          <w:tcPr>
            <w:tcW w:w="15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Parkland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Parkland Corporation</w:t>
            </w:r>
          </w:p>
        </w:tc>
      </w:tr>
      <w:tr>
        <w:trPr/>
        <w:tc>
          <w:tcPr>
            <w:tcW w:w="1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Partnership Agreement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Energy Transfer’s Fourth Amended and Restated Agreement of Limited Partnership, as amended to date</w:t>
            </w:r>
          </w:p>
        </w:tc>
      </w:tr>
      <w:tr>
        <w:trPr/>
        <w:tc>
          <w:tcPr>
            <w:tcW w:w="15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PHMSA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Pipeline and Hazardous Materials Safety Administration</w:t>
            </w:r>
          </w:p>
        </w:tc>
      </w:tr>
      <w:tr>
        <w:trPr/>
        <w:tc>
          <w:tcPr>
            <w:tcW w:w="1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Preferred Unitholders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Unitholders of the Series B Preferred Units, Series F Preferred Units, Series G Preferred Units, Series H Preferred Units and Series I Preferred Units, collectively</w:t>
            </w:r>
          </w:p>
        </w:tc>
      </w:tr>
      <w:tr>
        <w:trPr/>
        <w:tc>
          <w:tcPr>
            <w:tcW w:w="15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Rover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Rover Pipeline and/or Rover Pipeline LLC, a non-wholly owned subsidiary of Energy Transfer </w:t>
            </w:r>
          </w:p>
        </w:tc>
      </w:tr>
      <w:tr>
        <w:trPr/>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02" w:type="dxa"/>
            <w:gridSpan w:val="3"/>
            <w:tcBorders/>
            <w:vAlign w:val="center"/>
          </w:tcPr>
          <w:p>
            <w:pPr>
              <w:pStyle w:val="TableContents"/>
              <w:bidi w:val="0"/>
              <w:spacing w:before="0" w:after="283"/>
              <w:jc w:val="left"/>
              <w:rPr>
                <w:sz w:val="4"/>
                <w:szCs w:val="4"/>
              </w:rPr>
            </w:pPr>
            <w:r>
              <w:rPr>
                <w:sz w:val="4"/>
                <w:szCs w:val="4"/>
              </w:rPr>
            </w:r>
          </w:p>
        </w:tc>
      </w:tr>
      <w:tr>
        <w:trPr/>
        <w:tc>
          <w:tcPr>
            <w:tcW w:w="1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United States Securities and Exchange Commission</w:t>
            </w:r>
          </w:p>
        </w:tc>
      </w:tr>
      <w:tr>
        <w:trPr/>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02" w:type="dxa"/>
            <w:gridSpan w:val="3"/>
            <w:tcBorders/>
            <w:vAlign w:val="center"/>
          </w:tcPr>
          <w:p>
            <w:pPr>
              <w:pStyle w:val="TableContents"/>
              <w:bidi w:val="0"/>
              <w:spacing w:before="0" w:after="283"/>
              <w:jc w:val="left"/>
              <w:rPr>
                <w:sz w:val="4"/>
                <w:szCs w:val="4"/>
              </w:rPr>
            </w:pPr>
            <w:r>
              <w:rPr>
                <w:sz w:val="4"/>
                <w:szCs w:val="4"/>
              </w:rPr>
            </w:r>
          </w:p>
        </w:tc>
      </w:tr>
      <w:tr>
        <w:trPr/>
        <w:tc>
          <w:tcPr>
            <w:tcW w:w="15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Series B Preferred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Series B Fixed-to-Floating Rate Cumulative Redeemable Perpetual Preferred Units</w:t>
            </w:r>
          </w:p>
        </w:tc>
      </w:tr>
      <w:tr>
        <w:trPr/>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02" w:type="dxa"/>
            <w:gridSpan w:val="3"/>
            <w:tcBorders/>
            <w:vAlign w:val="center"/>
          </w:tcPr>
          <w:p>
            <w:pPr>
              <w:pStyle w:val="TableContents"/>
              <w:bidi w:val="0"/>
              <w:spacing w:before="0" w:after="283"/>
              <w:jc w:val="left"/>
              <w:rPr>
                <w:sz w:val="4"/>
                <w:szCs w:val="4"/>
              </w:rPr>
            </w:pPr>
            <w:r>
              <w:rPr>
                <w:sz w:val="4"/>
                <w:szCs w:val="4"/>
              </w:rPr>
            </w:r>
          </w:p>
        </w:tc>
      </w:tr>
      <w:tr>
        <w:trPr/>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02" w:type="dxa"/>
            <w:gridSpan w:val="3"/>
            <w:tcBorders/>
            <w:vAlign w:val="center"/>
          </w:tcPr>
          <w:p>
            <w:pPr>
              <w:pStyle w:val="TableContents"/>
              <w:bidi w:val="0"/>
              <w:spacing w:before="0" w:after="283"/>
              <w:jc w:val="left"/>
              <w:rPr>
                <w:sz w:val="4"/>
                <w:szCs w:val="4"/>
              </w:rPr>
            </w:pPr>
            <w:r>
              <w:rPr>
                <w:sz w:val="4"/>
                <w:szCs w:val="4"/>
              </w:rPr>
            </w:r>
          </w:p>
        </w:tc>
      </w:tr>
      <w:tr>
        <w:trPr/>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02"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Series F Preferred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both"/>
              <w:rPr>
                <w:rFonts w:ascii="Times New Roman;serif" w:hAnsi="Times New Roman;serif"/>
                <w:b w:val="false"/>
                <w:color w:val="000000"/>
                <w:sz w:val="18"/>
              </w:rPr>
            </w:pPr>
            <w:r>
              <w:rPr>
                <w:rFonts w:ascii="Times New Roman;serif" w:hAnsi="Times New Roman;serif"/>
                <w:b w:val="false"/>
                <w:color w:val="000000"/>
                <w:sz w:val="18"/>
              </w:rPr>
              <w:t>Series F Fixed-Rate Reset Cumulative Redeemable Perpetual Preferred Units</w:t>
            </w:r>
          </w:p>
        </w:tc>
      </w:tr>
      <w:tr>
        <w:trPr/>
        <w:tc>
          <w:tcPr>
            <w:tcW w:w="15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Series G Preferred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both"/>
              <w:rPr>
                <w:rFonts w:ascii="Times New Roman;serif" w:hAnsi="Times New Roman;serif"/>
                <w:b w:val="false"/>
                <w:color w:val="000000"/>
                <w:sz w:val="18"/>
              </w:rPr>
            </w:pPr>
            <w:r>
              <w:rPr>
                <w:rFonts w:ascii="Times New Roman;serif" w:hAnsi="Times New Roman;serif"/>
                <w:b w:val="false"/>
                <w:color w:val="000000"/>
                <w:sz w:val="18"/>
              </w:rPr>
              <w:t>Series G Fixed-Rate Reset Cumulative Redeemable Perpetual Preferred Units</w:t>
            </w:r>
          </w:p>
        </w:tc>
      </w:tr>
      <w:tr>
        <w:trPr/>
        <w:tc>
          <w:tcPr>
            <w:tcW w:w="1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Series H Preferred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Series H Fixed-Rate Reset Cumulative Redeemable Perpetual Preferred Units</w:t>
            </w:r>
          </w:p>
        </w:tc>
      </w:tr>
      <w:tr>
        <w:trPr/>
        <w:tc>
          <w:tcPr>
            <w:tcW w:w="15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Series I Preferred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Series I Fixed-Rate Perpetual Preferred Units</w:t>
            </w:r>
          </w:p>
        </w:tc>
      </w:tr>
      <w:tr>
        <w:trPr/>
        <w:tc>
          <w:tcPr>
            <w:tcW w:w="1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Southeast Supply Header, LLC</w:t>
            </w:r>
          </w:p>
        </w:tc>
      </w:tr>
      <w:tr>
        <w:trPr/>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02" w:type="dxa"/>
            <w:gridSpan w:val="3"/>
            <w:tcBorders/>
            <w:vAlign w:val="center"/>
          </w:tcPr>
          <w:p>
            <w:pPr>
              <w:pStyle w:val="TableContents"/>
              <w:bidi w:val="0"/>
              <w:spacing w:before="0" w:after="283"/>
              <w:jc w:val="left"/>
              <w:rPr>
                <w:sz w:val="4"/>
                <w:szCs w:val="4"/>
              </w:rPr>
            </w:pPr>
            <w:r>
              <w:rPr>
                <w:sz w:val="4"/>
                <w:szCs w:val="4"/>
              </w:rPr>
            </w:r>
          </w:p>
        </w:tc>
      </w:tr>
      <w:tr>
        <w:trPr/>
        <w:tc>
          <w:tcPr>
            <w:tcW w:w="15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SPLP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Sunoco Pipeline L.P., a wholly owned subsidiary of Energy Transfer</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120" w:after="283"/>
        <w:ind w:left="0" w:right="0" w:hanging="360"/>
        <w:jc w:val="both"/>
        <w:rPr/>
      </w:pPr>
      <w:hyperlink w:anchor="i5e1c82de0c41484c87a001ffe0af493e_7">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391"/>
        <w:gridCol w:w="344"/>
        <w:gridCol w:w="346"/>
        <w:gridCol w:w="109"/>
        <w:gridCol w:w="109"/>
        <w:gridCol w:w="109"/>
        <w:gridCol w:w="2571"/>
        <w:gridCol w:w="2568"/>
        <w:gridCol w:w="3658"/>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1" w:type="dxa"/>
            <w:tcBorders/>
            <w:vAlign w:val="center"/>
          </w:tcPr>
          <w:p>
            <w:pPr>
              <w:pStyle w:val="TableContents"/>
              <w:bidi w:val="0"/>
              <w:spacing w:before="0" w:after="283"/>
              <w:jc w:val="left"/>
              <w:rPr>
                <w:sz w:val="4"/>
                <w:szCs w:val="4"/>
              </w:rPr>
            </w:pPr>
            <w:r>
              <w:rPr>
                <w:sz w:val="4"/>
                <w:szCs w:val="4"/>
              </w:rPr>
            </w:r>
          </w:p>
        </w:tc>
        <w:tc>
          <w:tcPr>
            <w:tcW w:w="2568" w:type="dxa"/>
            <w:tcBorders/>
            <w:vAlign w:val="center"/>
          </w:tcPr>
          <w:p>
            <w:pPr>
              <w:pStyle w:val="TableContents"/>
              <w:bidi w:val="0"/>
              <w:spacing w:before="0" w:after="283"/>
              <w:jc w:val="left"/>
              <w:rPr>
                <w:sz w:val="4"/>
                <w:szCs w:val="4"/>
              </w:rPr>
            </w:pPr>
            <w:r>
              <w:rPr>
                <w:sz w:val="4"/>
                <w:szCs w:val="4"/>
              </w:rPr>
            </w:r>
          </w:p>
        </w:tc>
        <w:tc>
          <w:tcPr>
            <w:tcW w:w="3658"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SunocoCorp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SunocoCorp LLC (NYSE: SUNC), a subsidiary which owns all of Sunoco LP's outstanding Class D Units</w:t>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TanQuid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TanQuid GmbH &amp; Co. KG</w:t>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Transwestern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Transwestern Pipeline and/or Transwestern Pipeline Company, LLC, a wholly owned subsidiary of Energy Transfer</w:t>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USAC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USA Compression Partners, LP (NYSE: USAC), a publicly traded partnership and consolidated subsidiary of Energy Transfer</w:t>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White Cliffs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White Cliffs Pipeline, L.L.C.</w:t>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97"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120" w:after="283"/>
        <w:ind w:left="0" w:right="0" w:hanging="360"/>
        <w:jc w:val="both"/>
        <w:rPr/>
      </w:pPr>
      <w:hyperlink w:anchor="i5e1c82de0c41484c87a001ffe0af493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center"/>
        <w:rPr>
          <w:rFonts w:ascii="Times New Roman;serif" w:hAnsi="Times New Roman;serif"/>
          <w:b/>
          <w:color w:val="000000"/>
          <w:sz w:val="20"/>
          <w:u w:val="single"/>
        </w:rPr>
      </w:pPr>
      <w:r>
        <w:rPr>
          <w:rFonts w:ascii="Times New Roman;serif" w:hAnsi="Times New Roman;serif"/>
          <w:b/>
          <w:color w:val="000000"/>
          <w:sz w:val="20"/>
          <w:u w:val="single"/>
        </w:rPr>
        <w:t>ENERGY TRANSFER LP AND SUBSIDIARIES</w:t>
      </w:r>
    </w:p>
    <w:p>
      <w:pPr>
        <w:pStyle w:val="TextBody"/>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CONSOLIDATED BALANCE SHEETS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(Dollars in millions)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tbl>
      <w:tblPr>
        <w:tblW w:w="6437" w:type="dxa"/>
        <w:jc w:val="left"/>
        <w:tblInd w:w="0" w:type="dxa"/>
        <w:tblLayout w:type="fixed"/>
        <w:tblCellMar>
          <w:top w:w="28" w:type="dxa"/>
          <w:left w:w="28" w:type="dxa"/>
          <w:bottom w:w="28" w:type="dxa"/>
          <w:right w:w="28" w:type="dxa"/>
        </w:tblCellMar>
      </w:tblPr>
      <w:tblGrid>
        <w:gridCol w:w="1340"/>
        <w:gridCol w:w="1178"/>
        <w:gridCol w:w="1186"/>
        <w:gridCol w:w="211"/>
        <w:gridCol w:w="826"/>
        <w:gridCol w:w="109"/>
        <w:gridCol w:w="109"/>
        <w:gridCol w:w="109"/>
        <w:gridCol w:w="109"/>
        <w:gridCol w:w="223"/>
        <w:gridCol w:w="874"/>
        <w:gridCol w:w="163"/>
      </w:tblGrid>
      <w:tr>
        <w:trPr/>
        <w:tc>
          <w:tcPr>
            <w:tcW w:w="1340"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w:t>
              <w:br/>
              <w:t>2025</w:t>
            </w:r>
          </w:p>
        </w:tc>
      </w:tr>
      <w:tr>
        <w:trPr/>
        <w:tc>
          <w:tcPr>
            <w:tcW w:w="6437" w:type="dxa"/>
            <w:gridSpan w:val="12"/>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20"/>
              </w:rPr>
            </w:pPr>
            <w:r>
              <w:rPr>
                <w:rFonts w:ascii="Times New Roman;serif" w:hAnsi="Times New Roman;serif"/>
                <w:b/>
                <w:color w:val="000000"/>
                <w:sz w:val="20"/>
              </w:rPr>
              <w:t>ASSETS</w:t>
            </w:r>
          </w:p>
        </w:tc>
      </w:tr>
      <w:tr>
        <w:trPr/>
        <w:tc>
          <w:tcPr>
            <w:tcW w:w="37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1,272 </w:t>
            </w:r>
          </w:p>
        </w:tc>
        <w:tc>
          <w:tcPr>
            <w:tcW w:w="16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11,275 </w:t>
            </w:r>
          </w:p>
        </w:tc>
        <w:tc>
          <w:tcPr>
            <w:tcW w:w="16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from related companies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119 </w:t>
            </w:r>
          </w:p>
        </w:tc>
        <w:tc>
          <w:tcPr>
            <w:tcW w:w="16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4,770 </w:t>
            </w:r>
          </w:p>
        </w:tc>
        <w:tc>
          <w:tcPr>
            <w:tcW w:w="16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 receivable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16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16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688 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18,233 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144,675 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141,283 </w:t>
            </w:r>
          </w:p>
        </w:tc>
        <w:tc>
          <w:tcPr>
            <w:tcW w:w="16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depreciation and depletion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(39,141)</w:t>
            </w:r>
          </w:p>
        </w:tc>
        <w:tc>
          <w:tcPr>
            <w:tcW w:w="16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 net</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104,042 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102,142 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 in unconsolidated affiliates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3,589 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 right-of-use assets,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1,841 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370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assets,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2,591 </w:t>
            </w:r>
          </w:p>
        </w:tc>
        <w:tc>
          <w:tcPr>
            <w:tcW w:w="16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7,438 </w:t>
            </w:r>
          </w:p>
        </w:tc>
        <w:tc>
          <w:tcPr>
            <w:tcW w:w="16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5,452 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147,482 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141,286 </w:t>
            </w:r>
          </w:p>
        </w:tc>
        <w:tc>
          <w:tcPr>
            <w:tcW w:w="1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360680"/>
                <wp:effectExtent l="0" t="0" r="0" b="0"/>
                <wp:wrapNone/>
                <wp:docPr id="6" name="Frame5"/>
                <a:graphic xmlns:a="http://schemas.openxmlformats.org/drawingml/2006/main">
                  <a:graphicData uri="http://schemas.microsoft.com/office/word/2010/wordprocessingShape">
                    <wps:wsp>
                      <wps:cNvSpPr txBox="1"/>
                      <wps:spPr>
                        <a:xfrm>
                          <a:off x="0" y="0"/>
                          <a:ext cx="6480175" cy="36068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120" w:after="283"/>
        <w:ind w:left="0" w:right="0" w:hanging="360"/>
        <w:jc w:val="both"/>
        <w:rPr/>
      </w:pPr>
      <w:hyperlink w:anchor="i5e1c82de0c41484c87a001ffe0af493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ENERGY TRANSFER LP AND SUBSIDIARIES</w:t>
      </w:r>
    </w:p>
    <w:p>
      <w:pPr>
        <w:pStyle w:val="TextBody"/>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CONSOLIDATED BALANCE SHEETS (continued)</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(Dollars in millions)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tbl>
      <w:tblPr>
        <w:tblW w:w="6318" w:type="dxa"/>
        <w:jc w:val="left"/>
        <w:tblInd w:w="0" w:type="dxa"/>
        <w:tblLayout w:type="fixed"/>
        <w:tblCellMar>
          <w:top w:w="28" w:type="dxa"/>
          <w:left w:w="28" w:type="dxa"/>
          <w:bottom w:w="28" w:type="dxa"/>
          <w:right w:w="28" w:type="dxa"/>
        </w:tblCellMar>
      </w:tblPr>
      <w:tblGrid>
        <w:gridCol w:w="1297"/>
        <w:gridCol w:w="1142"/>
        <w:gridCol w:w="1146"/>
        <w:gridCol w:w="211"/>
        <w:gridCol w:w="826"/>
        <w:gridCol w:w="109"/>
        <w:gridCol w:w="109"/>
        <w:gridCol w:w="109"/>
        <w:gridCol w:w="109"/>
        <w:gridCol w:w="223"/>
        <w:gridCol w:w="874"/>
        <w:gridCol w:w="163"/>
      </w:tblGrid>
      <w:tr>
        <w:trPr/>
        <w:tc>
          <w:tcPr>
            <w:tcW w:w="1297"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w:t>
              <w:br/>
              <w:t>2025</w:t>
            </w:r>
          </w:p>
        </w:tc>
      </w:tr>
      <w:tr>
        <w:trPr/>
        <w:tc>
          <w:tcPr>
            <w:tcW w:w="6318" w:type="dxa"/>
            <w:gridSpan w:val="12"/>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20"/>
              </w:rPr>
            </w:pPr>
            <w:r>
              <w:rPr>
                <w:rFonts w:ascii="Times New Roman;serif" w:hAnsi="Times New Roman;serif"/>
                <w:b/>
                <w:color w:val="000000"/>
                <w:sz w:val="20"/>
              </w:rPr>
              <w:t>LIABILITIES AND EQUITY</w:t>
            </w:r>
          </w:p>
        </w:tc>
      </w:tr>
      <w:tr>
        <w:trPr/>
        <w:tc>
          <w:tcPr>
            <w:tcW w:w="3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9,469 </w:t>
            </w:r>
          </w:p>
        </w:tc>
        <w:tc>
          <w:tcPr>
            <w:tcW w:w="16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to related companies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16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current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245 </w:t>
            </w:r>
          </w:p>
        </w:tc>
        <w:tc>
          <w:tcPr>
            <w:tcW w:w="16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and other current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5,165 </w:t>
            </w:r>
          </w:p>
        </w:tc>
        <w:tc>
          <w:tcPr>
            <w:tcW w:w="16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maturities of long-term debt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14,955 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 less current maturities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69,317 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68,308 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358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operating lease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1,515 </w:t>
            </w:r>
          </w:p>
        </w:tc>
        <w:tc>
          <w:tcPr>
            <w:tcW w:w="16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5,307 </w:t>
            </w:r>
          </w:p>
        </w:tc>
        <w:tc>
          <w:tcPr>
            <w:tcW w:w="16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1,941 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Redeemable noncontrolling interests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Limited Partners: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Preferred Unitholders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3,356 </w:t>
            </w:r>
          </w:p>
        </w:tc>
        <w:tc>
          <w:tcPr>
            <w:tcW w:w="16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Unitholders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30,930 </w:t>
            </w:r>
          </w:p>
        </w:tc>
        <w:tc>
          <w:tcPr>
            <w:tcW w:w="16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Partner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6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income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16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partners’ capital</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34,366 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Noncontrolling interests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14,644 </w:t>
            </w:r>
          </w:p>
        </w:tc>
        <w:tc>
          <w:tcPr>
            <w:tcW w:w="16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equity</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49,010 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equity</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147,482 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141,286 </w:t>
            </w:r>
          </w:p>
        </w:tc>
        <w:tc>
          <w:tcPr>
            <w:tcW w:w="1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360680"/>
                <wp:effectExtent l="0" t="0" r="0" b="0"/>
                <wp:wrapNone/>
                <wp:docPr id="7" name="Frame6"/>
                <a:graphic xmlns:a="http://schemas.openxmlformats.org/drawingml/2006/main">
                  <a:graphicData uri="http://schemas.microsoft.com/office/word/2010/wordprocessingShape">
                    <wps:wsp>
                      <wps:cNvSpPr txBox="1"/>
                      <wps:spPr>
                        <a:xfrm>
                          <a:off x="0" y="0"/>
                          <a:ext cx="6480175" cy="36068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120" w:after="283"/>
        <w:ind w:left="0" w:right="0" w:hanging="360"/>
        <w:jc w:val="both"/>
        <w:rPr/>
      </w:pPr>
      <w:hyperlink w:anchor="i5e1c82de0c41484c87a001ffe0af493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ENERGY TRANSFER LP AND SUBSIDIARIES</w:t>
      </w:r>
    </w:p>
    <w:p>
      <w:pPr>
        <w:pStyle w:val="TextBody"/>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CONSOLIDATED STATEMENTS OF OPERATIONS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(Dollars in millions, except per unit data)</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tbl>
      <w:tblPr>
        <w:tblW w:w="9025" w:type="dxa"/>
        <w:jc w:val="left"/>
        <w:tblInd w:w="0" w:type="dxa"/>
        <w:tblLayout w:type="fixed"/>
        <w:tblCellMar>
          <w:top w:w="28" w:type="dxa"/>
          <w:left w:w="28" w:type="dxa"/>
          <w:bottom w:w="28" w:type="dxa"/>
          <w:right w:w="28" w:type="dxa"/>
        </w:tblCellMar>
      </w:tblPr>
      <w:tblGrid>
        <w:gridCol w:w="2059"/>
        <w:gridCol w:w="1807"/>
        <w:gridCol w:w="1819"/>
        <w:gridCol w:w="109"/>
        <w:gridCol w:w="109"/>
        <w:gridCol w:w="157"/>
        <w:gridCol w:w="157"/>
        <w:gridCol w:w="304"/>
        <w:gridCol w:w="1039"/>
        <w:gridCol w:w="157"/>
        <w:gridCol w:w="109"/>
        <w:gridCol w:w="109"/>
        <w:gridCol w:w="109"/>
        <w:gridCol w:w="211"/>
        <w:gridCol w:w="616"/>
        <w:gridCol w:w="154"/>
      </w:tblGrid>
      <w:tr>
        <w:trPr/>
        <w:tc>
          <w:tcPr>
            <w:tcW w:w="2059" w:type="dxa"/>
            <w:tcBorders/>
            <w:vAlign w:val="center"/>
          </w:tcPr>
          <w:p>
            <w:pPr>
              <w:pStyle w:val="TableContents"/>
              <w:bidi w:val="0"/>
              <w:spacing w:before="0" w:after="283"/>
              <w:jc w:val="left"/>
              <w:rPr>
                <w:sz w:val="4"/>
                <w:szCs w:val="4"/>
              </w:rPr>
            </w:pPr>
            <w:r>
              <w:rPr>
                <w:sz w:val="4"/>
                <w:szCs w:val="4"/>
              </w:rPr>
            </w:r>
          </w:p>
        </w:tc>
        <w:tc>
          <w:tcPr>
            <w:tcW w:w="1807" w:type="dxa"/>
            <w:tcBorders/>
            <w:vAlign w:val="center"/>
          </w:tcPr>
          <w:p>
            <w:pPr>
              <w:pStyle w:val="TableContents"/>
              <w:bidi w:val="0"/>
              <w:spacing w:before="0" w:after="283"/>
              <w:jc w:val="left"/>
              <w:rPr>
                <w:sz w:val="4"/>
                <w:szCs w:val="4"/>
              </w:rPr>
            </w:pPr>
            <w:r>
              <w:rPr>
                <w:sz w:val="4"/>
                <w:szCs w:val="4"/>
              </w:rPr>
            </w:r>
          </w:p>
        </w:tc>
        <w:tc>
          <w:tcPr>
            <w:tcW w:w="18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4"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br/>
              <w:t>March 31,</w:t>
            </w:r>
          </w:p>
        </w:tc>
        <w:tc>
          <w:tcPr>
            <w:tcW w:w="1308" w:type="dxa"/>
            <w:gridSpan w:val="6"/>
            <w:tcBorders/>
          </w:tcPr>
          <w:p>
            <w:pPr>
              <w:pStyle w:val="TableContents"/>
              <w:bidi w:val="0"/>
              <w:spacing w:before="0" w:after="283"/>
              <w:jc w:val="left"/>
              <w:rPr>
                <w:sz w:val="4"/>
                <w:szCs w:val="4"/>
              </w:rPr>
            </w:pPr>
            <w:r>
              <w:rPr>
                <w:sz w:val="4"/>
                <w:szCs w:val="4"/>
              </w:rPr>
            </w:r>
          </w:p>
        </w:tc>
      </w:tr>
      <w:tr>
        <w:trPr/>
        <w:tc>
          <w:tcPr>
            <w:tcW w:w="5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56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Refined product sales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3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10,272 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4,963 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Crude sales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6,994 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5,449 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NGL sales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3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5,642 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Gathering, transportation and other fees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3,005 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Natural gas sales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3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1,581 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3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27,771 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21,020 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COSTS AND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0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products sold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3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21,149 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15,571 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1,299 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depletion and amortization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3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1,367 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3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costs and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3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24,788 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18,529 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3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2,983 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 of interest capitalized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3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(947)</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(809)</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in earnings of unconsolidated affiliates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5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Losses on extinguishments of debt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3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6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6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5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3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2,111 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3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1,976 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Net income attributable to noncontrolling interests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Net income attributable to redeemable noncontrolling interests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3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PARTNERS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3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1,254 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General Partner’s interest in 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3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Preferred Unitholders’ interest in 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5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Unitholders’ interest in 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1,194 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6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6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5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PER COMMON UNIT: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0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3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0.37 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30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0.35 </w:t>
            </w:r>
          </w:p>
        </w:tc>
        <w:tc>
          <w:tcPr>
            <w:tcW w:w="157"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0.36 </w:t>
            </w:r>
          </w:p>
        </w:tc>
        <w:tc>
          <w:tcPr>
            <w:tcW w:w="15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360680"/>
                <wp:effectExtent l="0" t="0" r="0" b="0"/>
                <wp:wrapNone/>
                <wp:docPr id="8" name="Frame7"/>
                <a:graphic xmlns:a="http://schemas.openxmlformats.org/drawingml/2006/main">
                  <a:graphicData uri="http://schemas.microsoft.com/office/word/2010/wordprocessingShape">
                    <wps:wsp>
                      <wps:cNvSpPr txBox="1"/>
                      <wps:spPr>
                        <a:xfrm>
                          <a:off x="0" y="0"/>
                          <a:ext cx="6480175" cy="36068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120" w:after="283"/>
        <w:ind w:left="0" w:right="0" w:hanging="360"/>
        <w:jc w:val="both"/>
        <w:rPr/>
      </w:pPr>
      <w:hyperlink w:anchor="i5e1c82de0c41484c87a001ffe0af493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ENERGY TRANSFER LP AND SUBSIDIARIES</w:t>
      </w:r>
    </w:p>
    <w:p>
      <w:pPr>
        <w:pStyle w:val="TextBody"/>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CONSOLIDATED STATEMENTS OF COMPREHENSIVE INCOME</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(Dollars in millions)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tbl>
      <w:tblPr>
        <w:tblW w:w="10015" w:type="dxa"/>
        <w:jc w:val="left"/>
        <w:tblInd w:w="0" w:type="dxa"/>
        <w:tblLayout w:type="fixed"/>
        <w:tblCellMar>
          <w:top w:w="28" w:type="dxa"/>
          <w:left w:w="28" w:type="dxa"/>
          <w:bottom w:w="28" w:type="dxa"/>
          <w:right w:w="28" w:type="dxa"/>
        </w:tblCellMar>
      </w:tblPr>
      <w:tblGrid>
        <w:gridCol w:w="2417"/>
        <w:gridCol w:w="2118"/>
        <w:gridCol w:w="2140"/>
        <w:gridCol w:w="109"/>
        <w:gridCol w:w="109"/>
        <w:gridCol w:w="171"/>
        <w:gridCol w:w="171"/>
        <w:gridCol w:w="332"/>
        <w:gridCol w:w="969"/>
        <w:gridCol w:w="171"/>
        <w:gridCol w:w="109"/>
        <w:gridCol w:w="109"/>
        <w:gridCol w:w="109"/>
        <w:gridCol w:w="211"/>
        <w:gridCol w:w="616"/>
        <w:gridCol w:w="154"/>
      </w:tblGrid>
      <w:tr>
        <w:trPr/>
        <w:tc>
          <w:tcPr>
            <w:tcW w:w="2417" w:type="dxa"/>
            <w:tcBorders/>
            <w:vAlign w:val="center"/>
          </w:tcPr>
          <w:p>
            <w:pPr>
              <w:pStyle w:val="TableContents"/>
              <w:bidi w:val="0"/>
              <w:spacing w:before="0" w:after="283"/>
              <w:jc w:val="left"/>
              <w:rPr>
                <w:sz w:val="4"/>
                <w:szCs w:val="4"/>
              </w:rPr>
            </w:pPr>
            <w:r>
              <w:rPr>
                <w:sz w:val="4"/>
                <w:szCs w:val="4"/>
              </w:rPr>
            </w:r>
          </w:p>
        </w:tc>
        <w:tc>
          <w:tcPr>
            <w:tcW w:w="2118" w:type="dxa"/>
            <w:tcBorders/>
            <w:vAlign w:val="center"/>
          </w:tcPr>
          <w:p>
            <w:pPr>
              <w:pStyle w:val="TableContents"/>
              <w:bidi w:val="0"/>
              <w:spacing w:before="0" w:after="283"/>
              <w:jc w:val="left"/>
              <w:rPr>
                <w:sz w:val="4"/>
                <w:szCs w:val="4"/>
              </w:rPr>
            </w:pPr>
            <w:r>
              <w:rPr>
                <w:sz w:val="4"/>
                <w:szCs w:val="4"/>
              </w:rPr>
            </w:r>
          </w:p>
        </w:tc>
        <w:tc>
          <w:tcPr>
            <w:tcW w:w="2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4"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br/>
              <w:t>March 31,</w:t>
            </w:r>
          </w:p>
        </w:tc>
        <w:tc>
          <w:tcPr>
            <w:tcW w:w="1308" w:type="dxa"/>
            <w:gridSpan w:val="6"/>
            <w:tcBorders/>
          </w:tcPr>
          <w:p>
            <w:pPr>
              <w:pStyle w:val="TableContents"/>
              <w:bidi w:val="0"/>
              <w:spacing w:before="0" w:after="283"/>
              <w:jc w:val="left"/>
              <w:rPr>
                <w:sz w:val="4"/>
                <w:szCs w:val="4"/>
              </w:rPr>
            </w:pPr>
            <w:r>
              <w:rPr>
                <w:sz w:val="4"/>
                <w:szCs w:val="4"/>
              </w:rPr>
            </w:r>
          </w:p>
        </w:tc>
      </w:tr>
      <w:tr>
        <w:trPr/>
        <w:tc>
          <w:tcPr>
            <w:tcW w:w="6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4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6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3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1,976 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net of tax: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4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value of available-for-sale securities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3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Actuarial loss related to pension and other postretirement benefit plans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3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3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other comprehensive income from unconsolidated affiliates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3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3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3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1,966 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Comprehensive income attributable to noncontrolling interests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3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715 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Comprehensive income attributable to redeemable noncontrolling interests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3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 attributable to partners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3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1,244 </w:t>
            </w:r>
          </w:p>
        </w:tc>
        <w:tc>
          <w:tcPr>
            <w:tcW w:w="1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360680"/>
                <wp:effectExtent l="0" t="0" r="0" b="0"/>
                <wp:wrapNone/>
                <wp:docPr id="9" name="Frame8"/>
                <a:graphic xmlns:a="http://schemas.openxmlformats.org/drawingml/2006/main">
                  <a:graphicData uri="http://schemas.microsoft.com/office/word/2010/wordprocessingShape">
                    <wps:wsp>
                      <wps:cNvSpPr txBox="1"/>
                      <wps:spPr>
                        <a:xfrm>
                          <a:off x="0" y="0"/>
                          <a:ext cx="6480175" cy="36068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120" w:after="283"/>
        <w:ind w:left="0" w:right="0" w:hanging="360"/>
        <w:jc w:val="both"/>
        <w:rPr/>
      </w:pPr>
      <w:hyperlink w:anchor="i5e1c82de0c41484c87a001ffe0af493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ENERGY TRANSFER LP AND SUBSIDIARIES</w:t>
      </w:r>
    </w:p>
    <w:p>
      <w:pPr>
        <w:pStyle w:val="TextBody"/>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CONSOLIDATED STATEMENTS OF EQUITY</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(Dollars in millions)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tbl>
      <w:tblPr>
        <w:tblW w:w="10205" w:type="dxa"/>
        <w:jc w:val="left"/>
        <w:tblInd w:w="0" w:type="dxa"/>
        <w:tblLayout w:type="fixed"/>
        <w:tblCellMar>
          <w:top w:w="28" w:type="dxa"/>
          <w:left w:w="28" w:type="dxa"/>
          <w:bottom w:w="28" w:type="dxa"/>
          <w:right w:w="28" w:type="dxa"/>
        </w:tblCellMar>
      </w:tblPr>
      <w:tblGrid>
        <w:gridCol w:w="1113"/>
        <w:gridCol w:w="680"/>
        <w:gridCol w:w="686"/>
        <w:gridCol w:w="235"/>
        <w:gridCol w:w="776"/>
        <w:gridCol w:w="130"/>
        <w:gridCol w:w="109"/>
        <w:gridCol w:w="109"/>
        <w:gridCol w:w="109"/>
        <w:gridCol w:w="258"/>
        <w:gridCol w:w="734"/>
        <w:gridCol w:w="145"/>
        <w:gridCol w:w="109"/>
        <w:gridCol w:w="109"/>
        <w:gridCol w:w="109"/>
        <w:gridCol w:w="280"/>
        <w:gridCol w:w="374"/>
        <w:gridCol w:w="158"/>
        <w:gridCol w:w="109"/>
        <w:gridCol w:w="109"/>
        <w:gridCol w:w="109"/>
        <w:gridCol w:w="196"/>
        <w:gridCol w:w="331"/>
        <w:gridCol w:w="109"/>
        <w:gridCol w:w="109"/>
        <w:gridCol w:w="109"/>
        <w:gridCol w:w="109"/>
        <w:gridCol w:w="280"/>
        <w:gridCol w:w="924"/>
        <w:gridCol w:w="157"/>
        <w:gridCol w:w="109"/>
        <w:gridCol w:w="109"/>
        <w:gridCol w:w="109"/>
        <w:gridCol w:w="196"/>
        <w:gridCol w:w="646"/>
        <w:gridCol w:w="162"/>
      </w:tblGrid>
      <w:tr>
        <w:trPr/>
        <w:tc>
          <w:tcPr>
            <w:tcW w:w="1113"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Common Unitholders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Preferred Unitholders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General Partner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AOCI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Noncontrolling 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val="false"/>
                <w:color w:val="000000"/>
                <w:sz w:val="18"/>
              </w:rPr>
            </w:pPr>
            <w:r>
              <w:rPr>
                <w:rFonts w:ascii="Times New Roman;serif" w:hAnsi="Times New Roman;serif"/>
                <w:b w:val="false"/>
                <w:color w:val="000000"/>
                <w:sz w:val="18"/>
              </w:rPr>
              <w:t>Total</w:t>
            </w:r>
          </w:p>
        </w:tc>
      </w:tr>
      <w:tr>
        <w:trPr/>
        <w:tc>
          <w:tcPr>
            <w:tcW w:w="2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December 31, 2025</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30,930 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3,356 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14,644 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49,010 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Distributions to partners</w:t>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(1,140)</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(1,168)</w:t>
            </w:r>
          </w:p>
        </w:tc>
        <w:tc>
          <w:tcPr>
            <w:tcW w:w="162"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Distributions to noncontrolling interests</w:t>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(545)</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(545)</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9"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2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Capital contributions from noncontrolling interests</w:t>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62"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USAC equity issued for acquisition</w:t>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457 </w:t>
            </w:r>
          </w:p>
        </w:tc>
        <w:tc>
          <w:tcPr>
            <w:tcW w:w="162"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loss, net of tax</w:t>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9"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2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net</w:t>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162"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excluding amounts attributable to redeemable noncontrolling interests</w:t>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1,194 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1,969 </w:t>
            </w:r>
          </w:p>
        </w:tc>
        <w:tc>
          <w:tcPr>
            <w:tcW w:w="162"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March 31, 2026</w:t>
            </w:r>
          </w:p>
        </w:tc>
        <w:tc>
          <w:tcPr>
            <w:tcW w:w="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31,004 </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3,388 </w:t>
            </w:r>
          </w:p>
        </w:tc>
        <w:tc>
          <w:tcPr>
            <w:tcW w:w="1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15,275 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49,737 </w:t>
            </w:r>
          </w:p>
        </w:tc>
        <w:tc>
          <w:tcPr>
            <w:tcW w:w="1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479"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r>
      <w:tr>
        <w:trPr/>
        <w:tc>
          <w:tcPr>
            <w:tcW w:w="2479"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r>
      <w:tr>
        <w:trPr/>
        <w:tc>
          <w:tcPr>
            <w:tcW w:w="2479"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r>
      <w:tr>
        <w:trPr/>
        <w:tc>
          <w:tcPr>
            <w:tcW w:w="2479"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r>
      <w:tr>
        <w:trPr/>
        <w:tc>
          <w:tcPr>
            <w:tcW w:w="2479"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r>
      <w:tr>
        <w:trPr/>
        <w:tc>
          <w:tcPr>
            <w:tcW w:w="2479"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r>
      <w:tr>
        <w:trPr/>
        <w:tc>
          <w:tcPr>
            <w:tcW w:w="2479"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r>
      <w:tr>
        <w:trPr/>
        <w:tc>
          <w:tcPr>
            <w:tcW w:w="2479"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r>
      <w:tr>
        <w:trPr/>
        <w:tc>
          <w:tcPr>
            <w:tcW w:w="2479"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r>
      <w:tr>
        <w:trPr/>
        <w:tc>
          <w:tcPr>
            <w:tcW w:w="2479"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r>
      <w:tr>
        <w:trPr/>
        <w:tc>
          <w:tcPr>
            <w:tcW w:w="2479"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r>
      <w:tr>
        <w:trPr/>
        <w:tc>
          <w:tcPr>
            <w:tcW w:w="2479"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r>
      <w:tr>
        <w:trPr/>
        <w:tc>
          <w:tcPr>
            <w:tcW w:w="2479"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r>
      <w:tr>
        <w:trPr/>
        <w:tc>
          <w:tcPr>
            <w:tcW w:w="2479"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r>
      <w:tr>
        <w:trPr/>
        <w:tc>
          <w:tcPr>
            <w:tcW w:w="2479"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r>
      <w:tr>
        <w:trPr/>
        <w:tc>
          <w:tcPr>
            <w:tcW w:w="2479"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r>
      <w:tr>
        <w:trPr/>
        <w:tc>
          <w:tcPr>
            <w:tcW w:w="2479"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r>
      <w:tr>
        <w:trPr/>
        <w:tc>
          <w:tcPr>
            <w:tcW w:w="2479"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r>
      <w:tr>
        <w:trPr/>
        <w:tc>
          <w:tcPr>
            <w:tcW w:w="2479"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r>
      <w:tr>
        <w:trPr/>
        <w:tc>
          <w:tcPr>
            <w:tcW w:w="2479"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r>
      <w:tr>
        <w:trPr/>
        <w:tc>
          <w:tcPr>
            <w:tcW w:w="2479"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280" w:after="283"/>
        <w:jc w:val="both"/>
        <w:rPr/>
      </w:pPr>
      <w:r>
        <w:rPr/>
      </w:r>
    </w:p>
    <w:tbl>
      <w:tblPr>
        <w:tblW w:w="10205" w:type="dxa"/>
        <w:jc w:val="left"/>
        <w:tblInd w:w="0" w:type="dxa"/>
        <w:tblLayout w:type="fixed"/>
        <w:tblCellMar>
          <w:top w:w="28" w:type="dxa"/>
          <w:left w:w="28" w:type="dxa"/>
          <w:bottom w:w="28" w:type="dxa"/>
          <w:right w:w="28" w:type="dxa"/>
        </w:tblCellMar>
      </w:tblPr>
      <w:tblGrid>
        <w:gridCol w:w="1113"/>
        <w:gridCol w:w="680"/>
        <w:gridCol w:w="686"/>
        <w:gridCol w:w="235"/>
        <w:gridCol w:w="776"/>
        <w:gridCol w:w="130"/>
        <w:gridCol w:w="109"/>
        <w:gridCol w:w="109"/>
        <w:gridCol w:w="109"/>
        <w:gridCol w:w="258"/>
        <w:gridCol w:w="734"/>
        <w:gridCol w:w="145"/>
        <w:gridCol w:w="109"/>
        <w:gridCol w:w="109"/>
        <w:gridCol w:w="109"/>
        <w:gridCol w:w="280"/>
        <w:gridCol w:w="374"/>
        <w:gridCol w:w="158"/>
        <w:gridCol w:w="109"/>
        <w:gridCol w:w="109"/>
        <w:gridCol w:w="109"/>
        <w:gridCol w:w="196"/>
        <w:gridCol w:w="331"/>
        <w:gridCol w:w="109"/>
        <w:gridCol w:w="109"/>
        <w:gridCol w:w="109"/>
        <w:gridCol w:w="109"/>
        <w:gridCol w:w="280"/>
        <w:gridCol w:w="924"/>
        <w:gridCol w:w="157"/>
        <w:gridCol w:w="109"/>
        <w:gridCol w:w="109"/>
        <w:gridCol w:w="109"/>
        <w:gridCol w:w="196"/>
        <w:gridCol w:w="646"/>
        <w:gridCol w:w="162"/>
      </w:tblGrid>
      <w:tr>
        <w:trPr/>
        <w:tc>
          <w:tcPr>
            <w:tcW w:w="1113"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Common Unitholders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Preferred Unitholders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General Partner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AOCI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Noncontrolling 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val="false"/>
                <w:color w:val="000000"/>
                <w:sz w:val="18"/>
              </w:rPr>
            </w:pPr>
            <w:r>
              <w:rPr>
                <w:rFonts w:ascii="Times New Roman;serif" w:hAnsi="Times New Roman;serif"/>
                <w:b w:val="false"/>
                <w:color w:val="000000"/>
                <w:sz w:val="18"/>
              </w:rPr>
              <w:t>Total</w:t>
            </w:r>
          </w:p>
        </w:tc>
      </w:tr>
      <w:tr>
        <w:trPr/>
        <w:tc>
          <w:tcPr>
            <w:tcW w:w="2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December 31, 2024</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31,195 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3,852 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10,899 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46,017 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Distributions to partners</w:t>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(1,105)</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(1,133)</w:t>
            </w:r>
          </w:p>
        </w:tc>
        <w:tc>
          <w:tcPr>
            <w:tcW w:w="162"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Distributions to noncontrolling interests</w:t>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(455)</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(455)</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9"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2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Capital contributions from noncontrolling interests</w:t>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62"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loss, net of tax</w:t>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9"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2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net</w:t>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162"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excluding amounts attributable to redeemable noncontrolling interests</w:t>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1,255 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1,707 </w:t>
            </w:r>
          </w:p>
        </w:tc>
        <w:tc>
          <w:tcPr>
            <w:tcW w:w="162"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March 31, 2025</w:t>
            </w:r>
          </w:p>
        </w:tc>
        <w:tc>
          <w:tcPr>
            <w:tcW w:w="2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31,364 </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3,892 </w:t>
            </w:r>
          </w:p>
        </w:tc>
        <w:tc>
          <w:tcPr>
            <w:tcW w:w="1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10,844 </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46,162 </w:t>
            </w:r>
          </w:p>
        </w:tc>
        <w:tc>
          <w:tcPr>
            <w:tcW w:w="1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479"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r>
      <w:tr>
        <w:trPr/>
        <w:tc>
          <w:tcPr>
            <w:tcW w:w="2479"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r>
      <w:tr>
        <w:trPr/>
        <w:tc>
          <w:tcPr>
            <w:tcW w:w="2479"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r>
      <w:tr>
        <w:trPr/>
        <w:tc>
          <w:tcPr>
            <w:tcW w:w="2479"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r>
      <w:tr>
        <w:trPr/>
        <w:tc>
          <w:tcPr>
            <w:tcW w:w="2479"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r>
      <w:tr>
        <w:trPr/>
        <w:tc>
          <w:tcPr>
            <w:tcW w:w="2479"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r>
      <w:tr>
        <w:trPr/>
        <w:tc>
          <w:tcPr>
            <w:tcW w:w="2479"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r>
      <w:tr>
        <w:trPr/>
        <w:tc>
          <w:tcPr>
            <w:tcW w:w="2479"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r>
      <w:tr>
        <w:trPr/>
        <w:tc>
          <w:tcPr>
            <w:tcW w:w="2479"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r>
      <w:tr>
        <w:trPr/>
        <w:tc>
          <w:tcPr>
            <w:tcW w:w="2479"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r>
      <w:tr>
        <w:trPr/>
        <w:tc>
          <w:tcPr>
            <w:tcW w:w="2479"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r>
      <w:tr>
        <w:trPr/>
        <w:tc>
          <w:tcPr>
            <w:tcW w:w="2479"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r>
      <w:tr>
        <w:trPr/>
        <w:tc>
          <w:tcPr>
            <w:tcW w:w="2479"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r>
      <w:tr>
        <w:trPr/>
        <w:tc>
          <w:tcPr>
            <w:tcW w:w="2479"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r>
      <w:tr>
        <w:trPr/>
        <w:tc>
          <w:tcPr>
            <w:tcW w:w="2479"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r>
      <w:tr>
        <w:trPr/>
        <w:tc>
          <w:tcPr>
            <w:tcW w:w="2479"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r>
      <w:tr>
        <w:trPr/>
        <w:tc>
          <w:tcPr>
            <w:tcW w:w="2479"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r>
      <w:tr>
        <w:trPr/>
        <w:tc>
          <w:tcPr>
            <w:tcW w:w="2479"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r>
      <w:tr>
        <w:trPr/>
        <w:tc>
          <w:tcPr>
            <w:tcW w:w="2479"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r>
      <w:tr>
        <w:trPr/>
        <w:tc>
          <w:tcPr>
            <w:tcW w:w="2479"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r>
      <w:tr>
        <w:trPr/>
        <w:tc>
          <w:tcPr>
            <w:tcW w:w="2479"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r>
      <w:tr>
        <w:trPr/>
        <w:tc>
          <w:tcPr>
            <w:tcW w:w="2479"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360680"/>
                <wp:effectExtent l="0" t="0" r="0" b="0"/>
                <wp:wrapNone/>
                <wp:docPr id="10" name="Frame9"/>
                <a:graphic xmlns:a="http://schemas.openxmlformats.org/drawingml/2006/main">
                  <a:graphicData uri="http://schemas.microsoft.com/office/word/2010/wordprocessingShape">
                    <wps:wsp>
                      <wps:cNvSpPr txBox="1"/>
                      <wps:spPr>
                        <a:xfrm>
                          <a:off x="0" y="0"/>
                          <a:ext cx="6480175" cy="36068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120" w:after="283"/>
        <w:ind w:left="0" w:right="0" w:hanging="360"/>
        <w:jc w:val="both"/>
        <w:rPr/>
      </w:pPr>
      <w:hyperlink w:anchor="i5e1c82de0c41484c87a001ffe0af493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ENERGY TRANSFER LP AND SUBSIDIARIES</w:t>
      </w:r>
    </w:p>
    <w:p>
      <w:pPr>
        <w:pStyle w:val="TextBody"/>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CONSOLIDATED STATEMENTS OF CASH FLOWS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(Dollars in millions)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tbl>
      <w:tblPr>
        <w:tblW w:w="9248" w:type="dxa"/>
        <w:jc w:val="left"/>
        <w:tblInd w:w="0" w:type="dxa"/>
        <w:tblLayout w:type="fixed"/>
        <w:tblCellMar>
          <w:top w:w="28" w:type="dxa"/>
          <w:left w:w="28" w:type="dxa"/>
          <w:bottom w:w="28" w:type="dxa"/>
          <w:right w:w="28" w:type="dxa"/>
        </w:tblCellMar>
      </w:tblPr>
      <w:tblGrid>
        <w:gridCol w:w="2537"/>
        <w:gridCol w:w="2227"/>
        <w:gridCol w:w="2240"/>
        <w:gridCol w:w="211"/>
        <w:gridCol w:w="616"/>
        <w:gridCol w:w="109"/>
        <w:gridCol w:w="109"/>
        <w:gridCol w:w="109"/>
        <w:gridCol w:w="109"/>
        <w:gridCol w:w="211"/>
        <w:gridCol w:w="616"/>
        <w:gridCol w:w="154"/>
      </w:tblGrid>
      <w:tr>
        <w:trPr/>
        <w:tc>
          <w:tcPr>
            <w:tcW w:w="2537" w:type="dxa"/>
            <w:tcBorders/>
            <w:vAlign w:val="center"/>
          </w:tcPr>
          <w:p>
            <w:pPr>
              <w:pStyle w:val="TableContents"/>
              <w:bidi w:val="0"/>
              <w:spacing w:before="0" w:after="283"/>
              <w:jc w:val="left"/>
              <w:rPr>
                <w:sz w:val="4"/>
                <w:szCs w:val="4"/>
              </w:rPr>
            </w:pPr>
            <w:r>
              <w:rPr>
                <w:sz w:val="4"/>
                <w:szCs w:val="4"/>
              </w:rPr>
            </w:r>
          </w:p>
        </w:tc>
        <w:tc>
          <w:tcPr>
            <w:tcW w:w="2227" w:type="dxa"/>
            <w:tcBorders/>
            <w:vAlign w:val="center"/>
          </w:tcPr>
          <w:p>
            <w:pPr>
              <w:pStyle w:val="TableContents"/>
              <w:bidi w:val="0"/>
              <w:spacing w:before="0" w:after="283"/>
              <w:jc w:val="left"/>
              <w:rPr>
                <w:sz w:val="4"/>
                <w:szCs w:val="4"/>
              </w:rPr>
            </w:pPr>
            <w:r>
              <w:rPr>
                <w:sz w:val="4"/>
                <w:szCs w:val="4"/>
              </w:rPr>
            </w:r>
          </w:p>
        </w:tc>
        <w:tc>
          <w:tcPr>
            <w:tcW w:w="224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br/>
              <w:t>March 31,</w:t>
            </w:r>
          </w:p>
        </w:tc>
      </w:tr>
      <w:tr>
        <w:trPr/>
        <w:tc>
          <w:tcPr>
            <w:tcW w:w="7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70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ACTIVITIES:</w:t>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1,720 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Reconciliation of net income to net cash provided by operating activities: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depletion and amortization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1,367 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 expense (benefit)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 valuation adjustments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compensation expense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loss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non-cash</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in earnings of unconsolidated affiliates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Losses on extinguishments of debt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Distributions from unconsolidated affiliates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Distributions on unvested awards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change in operating assets and liabilities, net of effects of acquisitions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INVESTING ACTIVITIES:</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J-W Power Company acquisition, net of cash acquired</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TanQuid acquisition, net of cash acquired</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other acquisitions, net of cash acquired</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 excluding allowance for equity funds used during construction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(1,224)</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Contributions in aid of construction costs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Contributions to unconsolidated affiliates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Distributions from unconsolidated affiliates in excess of cumulative earnings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7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net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(1,198)</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ACTIVITIES:</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borrowings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10,592 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Repayments of debt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(10,520)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700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700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700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700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700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700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7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contributions from noncontrolling interests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contributions from redeemable noncontrolling interests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Distributions to partners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(1,133)</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Distributions to noncontrolling interests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Distributions to redeemable noncontrolling interests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Debt issuance costs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7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(1,578)</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change in cash and cash equivalents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beginning of period</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end of period</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360680"/>
                <wp:effectExtent l="0" t="0" r="0" b="0"/>
                <wp:wrapNone/>
                <wp:docPr id="11" name="Frame10"/>
                <a:graphic xmlns:a="http://schemas.openxmlformats.org/drawingml/2006/main">
                  <a:graphicData uri="http://schemas.microsoft.com/office/word/2010/wordprocessingShape">
                    <wps:wsp>
                      <wps:cNvSpPr txBox="1"/>
                      <wps:spPr>
                        <a:xfrm>
                          <a:off x="0" y="0"/>
                          <a:ext cx="6480175" cy="36068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120" w:after="283"/>
        <w:ind w:left="0" w:right="0" w:hanging="360"/>
        <w:jc w:val="both"/>
        <w:rPr/>
      </w:pPr>
      <w:hyperlink w:anchor="i5e1c82de0c41484c87a001ffe0af493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ENERGY TRANSFER LP AND SUBSIDIARIES</w:t>
      </w:r>
    </w:p>
    <w:p>
      <w:pPr>
        <w:pStyle w:val="TextBody"/>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NOTES TO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(Tabular dollar and unit amounts, except per unit data, are in millions)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ind w:left="0" w:right="0" w:hanging="360"/>
        <w:jc w:val="both"/>
        <w:rPr/>
      </w:pPr>
      <w:r>
        <w:rPr>
          <w:rFonts w:ascii="Times New Roman;serif" w:hAnsi="Times New Roman;serif"/>
          <w:b/>
          <w:color w:val="000000"/>
          <w:sz w:val="20"/>
        </w:rPr>
        <w:t>1.</w:t>
      </w:r>
      <w:r>
        <w:rPr>
          <w:rFonts w:ascii="Times New Roman;serif" w:hAnsi="Times New Roman;serif"/>
          <w:b/>
          <w:color w:val="000000"/>
          <w:sz w:val="20"/>
          <w:u w:val="single"/>
        </w:rPr>
        <w:t>ORGANIZATION AND BASIS OF PRESENTATION</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Organization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consolidated financial statements presented herein contain the results of Energy Transfer LP and its subsidiaries (the “Partnership,” “we,” “us,” “our” or “Energy Transfer”). </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Basis of Presentation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unaudited financial information included in this Form 10-Q has been prepared on the same basis as the audited consolidated financial statements included in the Partnership’s Annual Report on Form 10-K for the year ended December 31, 2025, filed with the SEC on February 19, 2026. In the opinion of the Partnership’s management, such financial information reflects all adjustments necessary for a fair presentation of the financial position and the results of operations for such interim periods in accordance with GAAP. All intercompany items and transactions have been eliminated in consolidation. Certain information and disclosures normally included in annual consolidated financial statements prepared in accordance with GAAP have been omitted pursuant to the rules and regulations of the SEC.</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Partnership owns a controlling interest in Sunoco LP. As of March 31, 2026, our interest in Sunoco LP consisted of 100% of the general partner and incentive distribution rights, as well as and 28.5 million common units. In addition, the Partnership controls SunocoCorp Management LLC, which controls SunocoCorp. SunocoCorp’s only cash-generating assets are Sunoco LP’s Class D units.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Partnership owns a controlling interest in USAC. As of March 31, 2026, our interest in USAC consisted of 100% of the general partner interests and 46.1 million common units of USAC.</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operations of certain pipelines and terminals in which we own an undivided interest are proportionately consolidated in the accompanying consolidated financial statements.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Certain prior period amounts have been reclassified to conform to the current period presentation. These reclassifications had no impact on net income or total equity.</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Use of Estimates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unaudited consolidated financial statements have been prepared in conformity with GAAP, which requires the use of estimates and assumptions made by management that affect the reported amounts of assets, liabilities, revenues, expenses and the accrual for and disclosure of contingent assets and liabilities that exist at the date of the consolidated financial statements. Although these estimates are based on management’s available knowledge of current and expected future events, actual results could be different from those estimates.</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Recent Accounting Pronouncements</w:t>
      </w:r>
    </w:p>
    <w:p>
      <w:pPr>
        <w:pStyle w:val="TextBody"/>
        <w:bidi w:val="0"/>
        <w:spacing w:lineRule="auto" w:line="288" w:before="120" w:after="283"/>
        <w:jc w:val="both"/>
        <w:rPr/>
      </w:pPr>
      <w:r>
        <w:rPr>
          <w:rFonts w:ascii="Times New Roman;serif" w:hAnsi="Times New Roman;serif"/>
          <w:b w:val="false"/>
          <w:color w:val="000000"/>
          <w:sz w:val="20"/>
        </w:rPr>
        <w:t xml:space="preserve">In November 2024, the Financial Accounting Standards Board issued Accounting Standards Update (“ASU”) 2024-03, </w:t>
      </w:r>
      <w:r>
        <w:rPr>
          <w:rFonts w:ascii="Times New Roman;serif" w:hAnsi="Times New Roman;serif"/>
          <w:b w:val="false"/>
          <w:i/>
          <w:color w:val="000000"/>
          <w:sz w:val="20"/>
        </w:rPr>
        <w:t>Income Statement–Reporting Comprehensive Income–Expense Disaggregation Disclosures (Subtopic 220-40)</w:t>
      </w:r>
      <w:r>
        <w:rPr>
          <w:rFonts w:ascii="Times New Roman;serif" w:hAnsi="Times New Roman;serif"/>
          <w:b w:val="false"/>
          <w:color w:val="000000"/>
          <w:sz w:val="20"/>
        </w:rPr>
        <w:t>. ASU 2024-03 requires disclosure of specified information about certain costs and expenses in the notes to the consolidated financial statements. ASU 2024-03 is effective for annual periods beginning after December 15, 2026, and interim periods within annual periods beginning after December 15, 2027, with early adoption permitted. ASU 2024-03 is to be applied on a prospective basis, with retrospective application permitted. We are currently evaluating the impact, if any, of ASU 2024-03 on our consolidated financial statements and related 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ind w:left="0" w:right="0" w:hanging="360"/>
        <w:jc w:val="both"/>
        <w:rPr/>
      </w:pPr>
      <w:r>
        <w:rPr>
          <w:rFonts w:ascii="Times New Roman;serif" w:hAnsi="Times New Roman;serif"/>
          <w:b/>
          <w:color w:val="000000"/>
          <w:sz w:val="20"/>
        </w:rPr>
        <w:t>2.</w:t>
      </w:r>
      <w:r>
        <w:rPr>
          <w:rFonts w:ascii="Times New Roman;serif" w:hAnsi="Times New Roman;serif"/>
          <w:b/>
          <w:color w:val="000000"/>
          <w:sz w:val="20"/>
          <w:u w:val="single"/>
        </w:rPr>
        <w:t>ACQUISITIONS</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Sunoco LP</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TanQuid Acquisition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On January 16, 2026, Sunoco LP completed the previously announced acquisition of TanQuid for €206 million ($239 million) and assumed debt with a fair value of €298 million ($346 million). TanQuid owns and operates 15 fuel terminals in Germany and one fuel terminal in Poland. The transaction was funded using cash on hand and amounts available under Sunoco LP’s Credit Facility.</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acquisition was recorded using the acquisition method of accounting which requires, among other things, that assets and liabilities assumed be recognized on the balance sheet at their estimated fair values as of the date of acquisition, with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120" w:after="283"/>
        <w:ind w:left="0" w:right="0" w:hanging="360"/>
        <w:jc w:val="both"/>
        <w:rPr/>
      </w:pPr>
      <w:hyperlink w:anchor="i5e1c82de0c41484c87a001ffe0af493e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any excess purchase price over the fair value of net assets acquired recorded to goodwill. Determining the fair value of acquired assets requires management’s judgment and the utilization of a third-party valuation specialist, if applicable, and involves the use of significant estimates and assumptions. Acquired assets were valued based on a combination of the discounted cash flow, the guideline company and the reproduction and replacement methods.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As of the date these financial statements were issued, Sunoco LP’s management and the third-party valuation specialist continue to evaluate certain assumptions, which could result in a change to the allocation of the fair value among reporting units or between line items on the consolidated balance sheet, potentially impacting deferred tax balances and/or goodwill. The following table summarizes the preliminary allocation of the purchase price among assets acquired and liabilities assumed.</w:t>
      </w:r>
    </w:p>
    <w:tbl>
      <w:tblPr>
        <w:tblW w:w="5429" w:type="dxa"/>
        <w:jc w:val="left"/>
        <w:tblInd w:w="0" w:type="dxa"/>
        <w:tblLayout w:type="fixed"/>
        <w:tblCellMar>
          <w:top w:w="28" w:type="dxa"/>
          <w:left w:w="28" w:type="dxa"/>
          <w:bottom w:w="28" w:type="dxa"/>
          <w:right w:w="28" w:type="dxa"/>
        </w:tblCellMar>
      </w:tblPr>
      <w:tblGrid>
        <w:gridCol w:w="1238"/>
        <w:gridCol w:w="1089"/>
        <w:gridCol w:w="1093"/>
        <w:gridCol w:w="510"/>
        <w:gridCol w:w="1127"/>
        <w:gridCol w:w="372"/>
      </w:tblGrid>
      <w:tr>
        <w:trPr/>
        <w:tc>
          <w:tcPr>
            <w:tcW w:w="1238"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r>
      <w:tr>
        <w:trPr/>
        <w:tc>
          <w:tcPr>
            <w:tcW w:w="3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val="false"/>
                <w:color w:val="000000"/>
                <w:sz w:val="20"/>
              </w:rPr>
            </w:pPr>
            <w:r>
              <w:rPr>
                <w:rFonts w:ascii="Times New Roman;serif" w:hAnsi="Times New Roman;serif"/>
                <w:b w:val="false"/>
                <w:color w:val="000000"/>
                <w:sz w:val="20"/>
              </w:rPr>
              <w:t>As of January 16, 2026</w:t>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5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3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 net</w:t>
            </w:r>
          </w:p>
        </w:tc>
        <w:tc>
          <w:tcPr>
            <w:tcW w:w="1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639 </w:t>
            </w:r>
          </w:p>
        </w:tc>
        <w:tc>
          <w:tcPr>
            <w:tcW w:w="3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vAlign w:val="center"/>
          </w:tcPr>
          <w:p>
            <w:pPr>
              <w:pStyle w:val="TableContents"/>
              <w:bidi w:val="0"/>
              <w:spacing w:before="0" w:after="283"/>
              <w:jc w:val="left"/>
              <w:rPr>
                <w:sz w:val="4"/>
                <w:szCs w:val="4"/>
              </w:rPr>
            </w:pPr>
            <w:r>
              <w:rPr>
                <w:sz w:val="4"/>
                <w:szCs w:val="4"/>
              </w:rPr>
            </w:r>
          </w:p>
        </w:tc>
        <w:tc>
          <w:tcPr>
            <w:tcW w:w="2009"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 right-of-use assets, net</w:t>
            </w:r>
          </w:p>
        </w:tc>
        <w:tc>
          <w:tcPr>
            <w:tcW w:w="16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3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vAlign w:val="center"/>
          </w:tcPr>
          <w:p>
            <w:pPr>
              <w:pStyle w:val="TableContents"/>
              <w:bidi w:val="0"/>
              <w:spacing w:before="0" w:after="283"/>
              <w:jc w:val="left"/>
              <w:rPr>
                <w:sz w:val="4"/>
                <w:szCs w:val="4"/>
              </w:rPr>
            </w:pPr>
            <w:r>
              <w:rPr>
                <w:sz w:val="4"/>
                <w:szCs w:val="4"/>
              </w:rPr>
            </w:r>
          </w:p>
        </w:tc>
        <w:tc>
          <w:tcPr>
            <w:tcW w:w="2009"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assets, net</w:t>
            </w:r>
          </w:p>
        </w:tc>
        <w:tc>
          <w:tcPr>
            <w:tcW w:w="1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3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vAlign w:val="center"/>
          </w:tcPr>
          <w:p>
            <w:pPr>
              <w:pStyle w:val="TableContents"/>
              <w:bidi w:val="0"/>
              <w:spacing w:before="0" w:after="283"/>
              <w:jc w:val="left"/>
              <w:rPr>
                <w:sz w:val="4"/>
                <w:szCs w:val="4"/>
              </w:rPr>
            </w:pPr>
            <w:r>
              <w:rPr>
                <w:sz w:val="4"/>
                <w:szCs w:val="4"/>
              </w:rPr>
            </w:r>
          </w:p>
        </w:tc>
        <w:tc>
          <w:tcPr>
            <w:tcW w:w="2009" w:type="dxa"/>
            <w:gridSpan w:val="3"/>
            <w:tcBorders/>
            <w:vAlign w:val="center"/>
          </w:tcPr>
          <w:p>
            <w:pPr>
              <w:pStyle w:val="TableContents"/>
              <w:bidi w:val="0"/>
              <w:spacing w:before="0" w:after="283"/>
              <w:jc w:val="left"/>
              <w:rPr>
                <w:sz w:val="4"/>
                <w:szCs w:val="4"/>
              </w:rPr>
            </w:pPr>
            <w:r>
              <w:rPr>
                <w:sz w:val="4"/>
                <w:szCs w:val="4"/>
              </w:rPr>
            </w:r>
          </w:p>
        </w:tc>
      </w:tr>
      <w:tr>
        <w:trPr/>
        <w:tc>
          <w:tcPr>
            <w:tcW w:w="3420" w:type="dxa"/>
            <w:gridSpan w:val="3"/>
            <w:tcBorders/>
            <w:vAlign w:val="center"/>
          </w:tcPr>
          <w:p>
            <w:pPr>
              <w:pStyle w:val="TableContents"/>
              <w:bidi w:val="0"/>
              <w:spacing w:before="0" w:after="283"/>
              <w:jc w:val="left"/>
              <w:rPr>
                <w:sz w:val="4"/>
                <w:szCs w:val="4"/>
              </w:rPr>
            </w:pPr>
            <w:r>
              <w:rPr>
                <w:sz w:val="4"/>
                <w:szCs w:val="4"/>
              </w:rPr>
            </w:r>
          </w:p>
        </w:tc>
        <w:tc>
          <w:tcPr>
            <w:tcW w:w="2009"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16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764 </w:t>
            </w:r>
          </w:p>
        </w:tc>
        <w:tc>
          <w:tcPr>
            <w:tcW w:w="3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6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372"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w:t>
            </w:r>
          </w:p>
        </w:tc>
        <w:tc>
          <w:tcPr>
            <w:tcW w:w="1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346 </w:t>
            </w:r>
          </w:p>
        </w:tc>
        <w:tc>
          <w:tcPr>
            <w:tcW w:w="372"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operating lease liabilities</w:t>
            </w:r>
          </w:p>
        </w:tc>
        <w:tc>
          <w:tcPr>
            <w:tcW w:w="16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372"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1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372"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liabilities</w:t>
            </w:r>
          </w:p>
        </w:tc>
        <w:tc>
          <w:tcPr>
            <w:tcW w:w="16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372"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6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525 </w:t>
            </w:r>
          </w:p>
        </w:tc>
        <w:tc>
          <w:tcPr>
            <w:tcW w:w="3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consideration</w:t>
            </w:r>
          </w:p>
        </w:tc>
        <w:tc>
          <w:tcPr>
            <w:tcW w:w="16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239 </w:t>
            </w:r>
          </w:p>
        </w:tc>
        <w:tc>
          <w:tcPr>
            <w:tcW w:w="3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acquired</w:t>
            </w:r>
          </w:p>
        </w:tc>
        <w:tc>
          <w:tcPr>
            <w:tcW w:w="16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3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consideration, net of cash acquired</w:t>
            </w:r>
          </w:p>
        </w:tc>
        <w:tc>
          <w:tcPr>
            <w:tcW w:w="5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194 </w:t>
            </w:r>
          </w:p>
        </w:tc>
        <w:tc>
          <w:tcPr>
            <w:tcW w:w="3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Other Acquisitions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the first quarter of 2026, Sunoco LP completed other acquisitions for total cash considerations of approximately $50 million, plus working capital. These transactions were accounted for as asset acquisitions.</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USAC</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J-W Power Company Acquisition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On January 12, 2026, USAC completed the acquisition of J-W Energy Company (“J-W Energy”) and its subsidiary, J-W Power Company (“J-W Power”), a large privately-held provider of compression services in the United States. USAC purchased all of the issued and outstanding capital stock of J-W Energy from Westerman, Ltd. (the “J-W Power Acquisition”). USAC completed the acquisition for a total consideration of approximately $912 million, subject to customary purchase price adjustments, consisting of (i) approximately $455 million in cash and (ii) approximately 18.2 million newly issued USAC common units, which had a fair value on the J-W Acquisition date of approximately $457 million, subject to customary post-closing price adjustments. Upon consummation of the J-W Power Acquisition, J-W Power and J-W Energy became consolidated subsidiaries of the Partnership.</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J-W Power Acquisition added approximately 0.8 million active horsepower and 1.0 million total horsepower to USAC’s fleet across key regions including the Northeast, Mid-Con, Rockies, Gulf Coast, Bakken and Permian Basin. J</w:t>
        <w:noBreakHyphen/>
        <w:t>W Power also owns and operates specialized manufacturing facilities that support its internal compression requirements and those of third</w:t>
        <w:noBreakHyphen/>
        <w:t>party customers.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acquisition was recorded using the acquisition method of accounting, which requires, among other things, that assets acquired and liabilities assumed be recognized on the balance sheet at their estimated fair values as of the date of acquisition with any excess purchase price over the fair value of net assets acquired recorded to goodwill. Determining the fair value of acquired assets requires management’s judgment and the utilization of a third-party valuation specialist, if applicable, and involves the use of significant estimates and assumptions. Acquired assets were valued based on a combination of the discounted cash flow, the guideline company and the reproduction and replacement methods.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120" w:after="283"/>
        <w:ind w:left="0" w:right="0" w:hanging="360"/>
        <w:jc w:val="both"/>
        <w:rPr/>
      </w:pPr>
      <w:hyperlink w:anchor="i5e1c82de0c41484c87a001ffe0af493e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preliminary allocation of the purchase price among assets acquired and liabilities assumed.</w:t>
      </w:r>
    </w:p>
    <w:tbl>
      <w:tblPr>
        <w:tblW w:w="5429" w:type="dxa"/>
        <w:jc w:val="left"/>
        <w:tblInd w:w="0" w:type="dxa"/>
        <w:tblLayout w:type="fixed"/>
        <w:tblCellMar>
          <w:top w:w="28" w:type="dxa"/>
          <w:left w:w="28" w:type="dxa"/>
          <w:bottom w:w="28" w:type="dxa"/>
          <w:right w:w="28" w:type="dxa"/>
        </w:tblCellMar>
      </w:tblPr>
      <w:tblGrid>
        <w:gridCol w:w="1238"/>
        <w:gridCol w:w="1089"/>
        <w:gridCol w:w="1093"/>
        <w:gridCol w:w="510"/>
        <w:gridCol w:w="1127"/>
        <w:gridCol w:w="372"/>
      </w:tblGrid>
      <w:tr>
        <w:trPr/>
        <w:tc>
          <w:tcPr>
            <w:tcW w:w="1238"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r>
      <w:tr>
        <w:trPr/>
        <w:tc>
          <w:tcPr>
            <w:tcW w:w="3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val="false"/>
                <w:color w:val="000000"/>
                <w:sz w:val="20"/>
              </w:rPr>
            </w:pPr>
            <w:r>
              <w:rPr>
                <w:rFonts w:ascii="Times New Roman;serif" w:hAnsi="Times New Roman;serif"/>
                <w:b w:val="false"/>
                <w:color w:val="000000"/>
                <w:sz w:val="20"/>
              </w:rPr>
              <w:t>As of January 12, 2026</w:t>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5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136 </w:t>
            </w:r>
          </w:p>
        </w:tc>
        <w:tc>
          <w:tcPr>
            <w:tcW w:w="3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 net</w:t>
            </w:r>
          </w:p>
        </w:tc>
        <w:tc>
          <w:tcPr>
            <w:tcW w:w="1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869 </w:t>
            </w:r>
          </w:p>
        </w:tc>
        <w:tc>
          <w:tcPr>
            <w:tcW w:w="3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vAlign w:val="center"/>
          </w:tcPr>
          <w:p>
            <w:pPr>
              <w:pStyle w:val="TableContents"/>
              <w:bidi w:val="0"/>
              <w:spacing w:before="0" w:after="283"/>
              <w:jc w:val="left"/>
              <w:rPr>
                <w:sz w:val="4"/>
                <w:szCs w:val="4"/>
              </w:rPr>
            </w:pPr>
            <w:r>
              <w:rPr>
                <w:sz w:val="4"/>
                <w:szCs w:val="4"/>
              </w:rPr>
            </w:r>
          </w:p>
        </w:tc>
        <w:tc>
          <w:tcPr>
            <w:tcW w:w="2009"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 right-of-use assets, net</w:t>
            </w:r>
          </w:p>
        </w:tc>
        <w:tc>
          <w:tcPr>
            <w:tcW w:w="16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3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 xml:space="preserve">Intangible assets, net </w:t>
            </w:r>
            <w:r>
              <w:rPr>
                <w:rFonts w:ascii="Times New Roman;serif" w:hAnsi="Times New Roman;serif"/>
                <w:b w:val="false"/>
                <w:color w:val="000000"/>
                <w:sz w:val="13"/>
              </w:rPr>
              <w:t>(1)</w:t>
            </w:r>
          </w:p>
        </w:tc>
        <w:tc>
          <w:tcPr>
            <w:tcW w:w="1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372"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assets, net</w:t>
            </w:r>
          </w:p>
        </w:tc>
        <w:tc>
          <w:tcPr>
            <w:tcW w:w="16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3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Goodwill </w:t>
            </w:r>
            <w:r>
              <w:rPr>
                <w:rFonts w:ascii="Times New Roman;serif" w:hAnsi="Times New Roman;serif"/>
                <w:b w:val="false"/>
                <w:color w:val="000000"/>
                <w:sz w:val="12"/>
              </w:rPr>
              <w:t>(2)</w:t>
            </w:r>
          </w:p>
        </w:tc>
        <w:tc>
          <w:tcPr>
            <w:tcW w:w="1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117 </w:t>
            </w:r>
          </w:p>
        </w:tc>
        <w:tc>
          <w:tcPr>
            <w:tcW w:w="372"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16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1,134 </w:t>
            </w:r>
          </w:p>
        </w:tc>
        <w:tc>
          <w:tcPr>
            <w:tcW w:w="3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6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3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vAlign w:val="center"/>
          </w:tcPr>
          <w:p>
            <w:pPr>
              <w:pStyle w:val="TableContents"/>
              <w:bidi w:val="0"/>
              <w:spacing w:before="0" w:after="283"/>
              <w:jc w:val="left"/>
              <w:rPr>
                <w:sz w:val="4"/>
                <w:szCs w:val="4"/>
              </w:rPr>
            </w:pPr>
            <w:r>
              <w:rPr>
                <w:sz w:val="4"/>
                <w:szCs w:val="4"/>
              </w:rPr>
            </w:r>
          </w:p>
        </w:tc>
        <w:tc>
          <w:tcPr>
            <w:tcW w:w="2009"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operating lease liabilities</w:t>
            </w:r>
          </w:p>
        </w:tc>
        <w:tc>
          <w:tcPr>
            <w:tcW w:w="1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372"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liabilities</w:t>
            </w:r>
          </w:p>
        </w:tc>
        <w:tc>
          <w:tcPr>
            <w:tcW w:w="16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186 </w:t>
            </w:r>
          </w:p>
        </w:tc>
        <w:tc>
          <w:tcPr>
            <w:tcW w:w="372"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6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222 </w:t>
            </w:r>
          </w:p>
        </w:tc>
        <w:tc>
          <w:tcPr>
            <w:tcW w:w="3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consideration</w:t>
            </w:r>
          </w:p>
        </w:tc>
        <w:tc>
          <w:tcPr>
            <w:tcW w:w="16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912 </w:t>
            </w:r>
          </w:p>
        </w:tc>
        <w:tc>
          <w:tcPr>
            <w:tcW w:w="3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acquired</w:t>
            </w:r>
          </w:p>
        </w:tc>
        <w:tc>
          <w:tcPr>
            <w:tcW w:w="16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3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consideration, net of cash acquired</w:t>
            </w:r>
          </w:p>
        </w:tc>
        <w:tc>
          <w:tcPr>
            <w:tcW w:w="5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901 </w:t>
            </w:r>
          </w:p>
        </w:tc>
        <w:tc>
          <w:tcPr>
            <w:tcW w:w="3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360"/>
        <w:jc w:val="both"/>
        <w:rPr/>
      </w:pPr>
      <w:r>
        <w:rPr>
          <w:rFonts w:ascii="Times New Roman;serif" w:hAnsi="Times New Roman;serif"/>
          <w:b w:val="false"/>
          <w:color w:val="000000"/>
          <w:sz w:val="12"/>
        </w:rPr>
        <w:t>(1)</w:t>
      </w:r>
      <w:r>
        <w:rPr>
          <w:rFonts w:ascii="Times New Roman;serif" w:hAnsi="Times New Roman;serif"/>
          <w:b w:val="false"/>
          <w:color w:val="000000"/>
          <w:sz w:val="18"/>
        </w:rPr>
        <w:t>Intangible assets, net is comprised of $5.4 million of trade names with a remaining useful life of approximately 3 years.</w:t>
      </w:r>
    </w:p>
    <w:p>
      <w:pPr>
        <w:pStyle w:val="TextBody"/>
        <w:bidi w:val="0"/>
        <w:spacing w:lineRule="auto" w:line="288" w:before="120" w:after="283"/>
        <w:ind w:left="0" w:right="0" w:hanging="360"/>
        <w:jc w:val="both"/>
        <w:rPr/>
      </w:pPr>
      <w:r>
        <w:rPr>
          <w:rFonts w:ascii="Times New Roman;serif" w:hAnsi="Times New Roman;serif"/>
          <w:b w:val="false"/>
          <w:color w:val="000000"/>
          <w:sz w:val="12"/>
        </w:rPr>
        <w:t>(2)</w:t>
      </w:r>
      <w:r>
        <w:rPr>
          <w:rFonts w:ascii="Times New Roman;serif" w:hAnsi="Times New Roman;serif"/>
          <w:b w:val="false"/>
          <w:color w:val="000000"/>
          <w:sz w:val="18"/>
        </w:rPr>
        <w:t>Goodwill recorded is primarily related to the recognition of deferred tax liabilities arising from acquisition date fair value adjustments with the remainder related to expected commercial and operational synergies, and is subject to change based on final purchase price allocations. None of the goodwill recorded as a result of this transaction is deductible for tax purposes.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ind w:left="0" w:right="0" w:hanging="360"/>
        <w:jc w:val="both"/>
        <w:rPr/>
      </w:pPr>
      <w:r>
        <w:rPr>
          <w:rFonts w:ascii="Times New Roman;serif" w:hAnsi="Times New Roman;serif"/>
          <w:b/>
          <w:color w:val="000000"/>
          <w:sz w:val="20"/>
        </w:rPr>
        <w:t>3.</w:t>
      </w:r>
      <w:r>
        <w:rPr>
          <w:rFonts w:ascii="Times New Roman;serif" w:hAnsi="Times New Roman;serif"/>
          <w:b/>
          <w:color w:val="000000"/>
          <w:sz w:val="20"/>
          <w:u w:val="single"/>
        </w:rPr>
        <w:t>CASH AND CASH EQUIVALENTS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Cash and cash equivalents include all cash on hand, demand deposits and investments with original maturities of three months or less. We consider cash equivalents to include short-term, highly liquid investments that are readily convertible to known amounts of cash and that are subject to an insignificant risk of changes in value. The Partnership’s consolidated balance sheets did not include any material amounts of restricted cash as of March 31, 2026 or December 31, 2025.</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place our cash deposits and temporary cash investments with high credit quality financial institutions. At times, our cash and cash equivalents may be uninsured or in deposit accounts that exceed the Federal Deposit Insurance Corporation insurance limit.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net change in operating assets and liabilities, net of effects of acquisitions and divestitures, included in cash flows from operating activities is comprised as follows:</w:t>
      </w:r>
    </w:p>
    <w:tbl>
      <w:tblPr>
        <w:tblW w:w="8513" w:type="dxa"/>
        <w:jc w:val="left"/>
        <w:tblInd w:w="0" w:type="dxa"/>
        <w:tblLayout w:type="fixed"/>
        <w:tblCellMar>
          <w:top w:w="28" w:type="dxa"/>
          <w:left w:w="28" w:type="dxa"/>
          <w:bottom w:w="28" w:type="dxa"/>
          <w:right w:w="28" w:type="dxa"/>
        </w:tblCellMar>
      </w:tblPr>
      <w:tblGrid>
        <w:gridCol w:w="2217"/>
        <w:gridCol w:w="1948"/>
        <w:gridCol w:w="1954"/>
        <w:gridCol w:w="211"/>
        <w:gridCol w:w="691"/>
        <w:gridCol w:w="109"/>
        <w:gridCol w:w="109"/>
        <w:gridCol w:w="109"/>
        <w:gridCol w:w="109"/>
        <w:gridCol w:w="211"/>
        <w:gridCol w:w="691"/>
        <w:gridCol w:w="154"/>
      </w:tblGrid>
      <w:tr>
        <w:trPr/>
        <w:tc>
          <w:tcPr>
            <w:tcW w:w="2217" w:type="dxa"/>
            <w:tcBorders/>
            <w:vAlign w:val="center"/>
          </w:tcPr>
          <w:p>
            <w:pPr>
              <w:pStyle w:val="TableContents"/>
              <w:bidi w:val="0"/>
              <w:spacing w:before="0" w:after="283"/>
              <w:jc w:val="left"/>
              <w:rPr>
                <w:sz w:val="4"/>
                <w:szCs w:val="4"/>
              </w:rPr>
            </w:pPr>
            <w:r>
              <w:rPr>
                <w:sz w:val="4"/>
                <w:szCs w:val="4"/>
              </w:rPr>
            </w:r>
          </w:p>
        </w:tc>
        <w:tc>
          <w:tcPr>
            <w:tcW w:w="1948" w:type="dxa"/>
            <w:tcBorders/>
            <w:vAlign w:val="center"/>
          </w:tcPr>
          <w:p>
            <w:pPr>
              <w:pStyle w:val="TableContents"/>
              <w:bidi w:val="0"/>
              <w:spacing w:before="0" w:after="283"/>
              <w:jc w:val="left"/>
              <w:rPr>
                <w:sz w:val="4"/>
                <w:szCs w:val="4"/>
              </w:rPr>
            </w:pPr>
            <w:r>
              <w:rPr>
                <w:sz w:val="4"/>
                <w:szCs w:val="4"/>
              </w:rPr>
            </w:r>
          </w:p>
        </w:tc>
        <w:tc>
          <w:tcPr>
            <w:tcW w:w="195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br/>
              <w:t>March 31,</w:t>
            </w:r>
          </w:p>
        </w:tc>
      </w:tr>
      <w:tr>
        <w:trPr/>
        <w:tc>
          <w:tcPr>
            <w:tcW w:w="6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6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(1,111)</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from related companies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assets, net</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685 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to related companies</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and other current liabilities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liabilities</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 assets and liabilities, net</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change in operating assets and liabilities, net of effects of acquisitions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120" w:after="283"/>
        <w:ind w:left="0" w:right="0" w:hanging="360"/>
        <w:jc w:val="both"/>
        <w:rPr/>
      </w:pPr>
      <w:hyperlink w:anchor="i5e1c82de0c41484c87a001ffe0af493e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Non-cash investing and financing activities were as follows:</w:t>
      </w:r>
    </w:p>
    <w:tbl>
      <w:tblPr>
        <w:tblW w:w="9504" w:type="dxa"/>
        <w:jc w:val="left"/>
        <w:tblInd w:w="0" w:type="dxa"/>
        <w:tblLayout w:type="fixed"/>
        <w:tblCellMar>
          <w:top w:w="28" w:type="dxa"/>
          <w:left w:w="28" w:type="dxa"/>
          <w:bottom w:w="28" w:type="dxa"/>
          <w:right w:w="28" w:type="dxa"/>
        </w:tblCellMar>
      </w:tblPr>
      <w:tblGrid>
        <w:gridCol w:w="2682"/>
        <w:gridCol w:w="2361"/>
        <w:gridCol w:w="2367"/>
        <w:gridCol w:w="211"/>
        <w:gridCol w:w="616"/>
        <w:gridCol w:w="109"/>
        <w:gridCol w:w="109"/>
        <w:gridCol w:w="109"/>
        <w:gridCol w:w="109"/>
        <w:gridCol w:w="211"/>
        <w:gridCol w:w="466"/>
        <w:gridCol w:w="154"/>
      </w:tblGrid>
      <w:tr>
        <w:trPr/>
        <w:tc>
          <w:tcPr>
            <w:tcW w:w="2682" w:type="dxa"/>
            <w:tcBorders/>
            <w:vAlign w:val="center"/>
          </w:tcPr>
          <w:p>
            <w:pPr>
              <w:pStyle w:val="TableContents"/>
              <w:bidi w:val="0"/>
              <w:spacing w:before="0" w:after="283"/>
              <w:jc w:val="left"/>
              <w:rPr>
                <w:sz w:val="4"/>
                <w:szCs w:val="4"/>
              </w:rPr>
            </w:pPr>
            <w:r>
              <w:rPr>
                <w:sz w:val="4"/>
                <w:szCs w:val="4"/>
              </w:rPr>
            </w:r>
          </w:p>
        </w:tc>
        <w:tc>
          <w:tcPr>
            <w:tcW w:w="2361" w:type="dxa"/>
            <w:tcBorders/>
            <w:vAlign w:val="center"/>
          </w:tcPr>
          <w:p>
            <w:pPr>
              <w:pStyle w:val="TableContents"/>
              <w:bidi w:val="0"/>
              <w:spacing w:before="0" w:after="283"/>
              <w:jc w:val="left"/>
              <w:rPr>
                <w:sz w:val="4"/>
                <w:szCs w:val="4"/>
              </w:rPr>
            </w:pPr>
            <w:r>
              <w:rPr>
                <w:sz w:val="4"/>
                <w:szCs w:val="4"/>
              </w:rPr>
            </w:r>
          </w:p>
        </w:tc>
        <w:tc>
          <w:tcPr>
            <w:tcW w:w="236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br/>
              <w:t>March 31,</w:t>
            </w:r>
          </w:p>
        </w:tc>
      </w:tr>
      <w:tr>
        <w:trPr/>
        <w:tc>
          <w:tcPr>
            <w:tcW w:w="7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7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capital expenditures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74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 assets obtained in exchange for new lease liabilities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Distribution reinvestment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741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741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74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Sunoco LP common units (noncontrolling interest) issued in connection with acquisitions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USAC common units (noncontrolling interest) issued in connection with acquisitions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ind w:left="0" w:right="0" w:hanging="360"/>
        <w:jc w:val="both"/>
        <w:rPr/>
      </w:pPr>
      <w:r>
        <w:rPr>
          <w:rFonts w:ascii="Times New Roman;serif" w:hAnsi="Times New Roman;serif"/>
          <w:b/>
          <w:color w:val="000000"/>
          <w:sz w:val="20"/>
        </w:rPr>
        <w:t>4.</w:t>
      </w:r>
      <w:r>
        <w:rPr>
          <w:rFonts w:ascii="Times New Roman;serif" w:hAnsi="Times New Roman;serif"/>
          <w:b/>
          <w:color w:val="000000"/>
          <w:sz w:val="20"/>
          <w:u w:val="single"/>
        </w:rPr>
        <w:t>INVENTORIES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Inventories consisted of the following:</w:t>
      </w:r>
    </w:p>
    <w:tbl>
      <w:tblPr>
        <w:tblW w:w="5822" w:type="dxa"/>
        <w:jc w:val="left"/>
        <w:tblInd w:w="0" w:type="dxa"/>
        <w:tblLayout w:type="fixed"/>
        <w:tblCellMar>
          <w:top w:w="28" w:type="dxa"/>
          <w:left w:w="28" w:type="dxa"/>
          <w:bottom w:w="28" w:type="dxa"/>
          <w:right w:w="28" w:type="dxa"/>
        </w:tblCellMar>
      </w:tblPr>
      <w:tblGrid>
        <w:gridCol w:w="1194"/>
        <w:gridCol w:w="1051"/>
        <w:gridCol w:w="1055"/>
        <w:gridCol w:w="211"/>
        <w:gridCol w:w="616"/>
        <w:gridCol w:w="109"/>
        <w:gridCol w:w="109"/>
        <w:gridCol w:w="109"/>
        <w:gridCol w:w="109"/>
        <w:gridCol w:w="271"/>
        <w:gridCol w:w="791"/>
        <w:gridCol w:w="197"/>
      </w:tblGrid>
      <w:tr>
        <w:trPr/>
        <w:tc>
          <w:tcPr>
            <w:tcW w:w="1194"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3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val="false"/>
                <w:color w:val="000000"/>
                <w:sz w:val="20"/>
              </w:rPr>
            </w:pPr>
            <w:r>
              <w:rPr>
                <w:rFonts w:ascii="Times New Roman;serif" w:hAnsi="Times New Roman;serif"/>
                <w:b w:val="false"/>
                <w:color w:val="000000"/>
                <w:sz w:val="20"/>
              </w:rPr>
              <w:t>December 31,</w:t>
              <w:br/>
              <w:t>2025</w:t>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Natural gas, NGLs and refined products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3,506 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Crude oil</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286 </w:t>
            </w:r>
          </w:p>
        </w:tc>
        <w:tc>
          <w:tcPr>
            <w:tcW w:w="19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Spare parts and other</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978 </w:t>
            </w:r>
          </w:p>
        </w:tc>
        <w:tc>
          <w:tcPr>
            <w:tcW w:w="19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inventories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4,770 </w:t>
            </w:r>
          </w:p>
        </w:tc>
        <w:tc>
          <w:tcPr>
            <w:tcW w:w="1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Inventories consist principally of natural gas held in storage, NGLs and refined products, crude oil and spare parts, all of which are valued at the lower of cost or net realizable value utilizing the weighted-average cost method, except as described below.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Sunoco LP’s fuel inventories are stated at the lower of cost or market using the LIFO method. As of March 31, 2026 and December 31, 2025, Sunoco LP’s fuel inventory balance included lower of cost or market reserves of $1 million and $472 million, respectively. For the three months ended March 31, 2026 and 2025, the Partnership’s cost of products sold included favorable LIFO inventory valuation adjustments of $444 million and $61 million, respectively, which increased net income.</w:t>
      </w:r>
    </w:p>
    <w:p>
      <w:pPr>
        <w:pStyle w:val="TextBody"/>
        <w:bidi w:val="0"/>
        <w:spacing w:lineRule="auto" w:line="288" w:before="120" w:after="283"/>
        <w:jc w:val="both"/>
        <w:rPr/>
      </w:pPr>
      <w:r>
        <w:rPr>
          <w:rFonts w:ascii="Times New Roman;serif" w:hAnsi="Times New Roman;serif"/>
          <w:b w:val="false"/>
          <w:color w:val="000000"/>
          <w:sz w:val="20"/>
        </w:rPr>
        <w:t>During the three months ended March 31, 2026, Sunoco LP reduced its overall fuel inventories, resulting in a LIFO liquidation. Based on the assumed impact to cost of sales if the liquidated inventories had been replaced, the effect of the LIFO liquidation was an increase of $102 million to pre</w:t>
      </w:r>
      <w:r>
        <w:rPr>
          <w:rFonts w:ascii="Times New Roman;serif" w:hAnsi="Times New Roman;serif"/>
          <w:b w:val="false"/>
          <w:color w:val="000000"/>
          <w:sz w:val="20"/>
          <w:shd w:fill="FFFFFF" w:val="clear"/>
        </w:rPr>
        <w:t xml:space="preserve">-tax income, or </w:t>
      </w:r>
      <w:r>
        <w:rPr>
          <w:rFonts w:ascii="Times New Roman;serif" w:hAnsi="Times New Roman;serif"/>
          <w:b w:val="false"/>
          <w:color w:val="000000"/>
          <w:sz w:val="20"/>
        </w:rPr>
        <w:t>$0.03 per common unit</w:t>
      </w:r>
      <w:r>
        <w:rPr>
          <w:color w:val="000000"/>
          <w:shd w:fill="FFFFFF" w:val="clear"/>
        </w:rPr>
        <w:t xml:space="preserve"> </w:t>
      </w:r>
      <w:r>
        <w:rPr>
          <w:rFonts w:ascii="Times New Roman;serif" w:hAnsi="Times New Roman;serif"/>
          <w:b w:val="false"/>
          <w:color w:val="000000"/>
          <w:sz w:val="20"/>
          <w:shd w:fill="FFFFFF" w:val="clear"/>
        </w:rPr>
        <w:t>(excluding any income tax impact or any assumed changes to distributions). Interim LIFO calculations are based on management’s estimates of expected year-end inventory levels and costs; consequently, these interim estimates are subject to changes during the remainder of the year that could impact the final year-end inventory levels or valuation.</w:t>
      </w:r>
    </w:p>
    <w:p>
      <w:pPr>
        <w:pStyle w:val="TextBody"/>
        <w:bidi w:val="0"/>
        <w:spacing w:lineRule="auto" w:line="288" w:before="120" w:after="283"/>
        <w:jc w:val="both"/>
        <w:rPr/>
      </w:pPr>
      <w:r>
        <w:rPr>
          <w:rFonts w:ascii="Times New Roman;serif" w:hAnsi="Times New Roman;serif"/>
          <w:b w:val="false"/>
          <w:color w:val="000000"/>
          <w:sz w:val="20"/>
        </w:rPr>
        <w:t>Certain of Sunoco LP’s fuel inventories in the Caribbean are stated at the lower of cost or market using the first-in, first-out method, under which the cost of fuel sold consists of older acquisition costs, including transportation and storage costs. These FIFO method inventories totaled</w:t>
      </w:r>
      <w:r>
        <w:rPr>
          <w:color w:val="000000"/>
          <w:shd w:fill="FFFFFF" w:val="clear"/>
        </w:rPr>
        <w:t xml:space="preserve"> </w:t>
      </w:r>
      <w:r>
        <w:rPr>
          <w:rFonts w:ascii="Times New Roman;serif" w:hAnsi="Times New Roman;serif"/>
          <w:b w:val="false"/>
          <w:color w:val="000000"/>
          <w:sz w:val="20"/>
        </w:rPr>
        <w:t>$165 million</w:t>
      </w:r>
      <w:r>
        <w:rPr>
          <w:color w:val="000000"/>
          <w:shd w:fill="FFFFFF" w:val="clear"/>
        </w:rPr>
        <w:t xml:space="preserve"> </w:t>
      </w:r>
      <w:r>
        <w:rPr>
          <w:rFonts w:ascii="Times New Roman;serif" w:hAnsi="Times New Roman;serif"/>
          <w:b w:val="false"/>
          <w:color w:val="000000"/>
          <w:sz w:val="20"/>
          <w:shd w:fill="FFFFFF" w:val="clear"/>
        </w:rPr>
        <w:t xml:space="preserve">and $88 million as of </w:t>
      </w:r>
      <w:r>
        <w:rPr>
          <w:rFonts w:ascii="Times New Roman;serif" w:hAnsi="Times New Roman;serif"/>
          <w:b w:val="false"/>
          <w:color w:val="000000"/>
          <w:sz w:val="20"/>
        </w:rPr>
        <w:t>March 31, 2026 and December 31, 2025,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ind w:left="0" w:right="0" w:hanging="360"/>
        <w:jc w:val="both"/>
        <w:rPr/>
      </w:pPr>
      <w:r>
        <w:rPr>
          <w:rFonts w:ascii="Times New Roman;serif" w:hAnsi="Times New Roman;serif"/>
          <w:b/>
          <w:color w:val="000000"/>
          <w:sz w:val="20"/>
        </w:rPr>
        <w:t>5.</w:t>
      </w:r>
      <w:r>
        <w:rPr>
          <w:rFonts w:ascii="Times New Roman;serif" w:hAnsi="Times New Roman;serif"/>
          <w:b/>
          <w:color w:val="000000"/>
          <w:sz w:val="20"/>
          <w:u w:val="single"/>
        </w:rPr>
        <w:t>FAIR VALUE MEASURES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carrying amounts of cash and cash equivalents, accounts receivable and accounts payable approximate their fair value.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Commodity derivatives, excluding those designated as normal purchases or normal sales, are recognized as assets or liabilities at fair value on our consolidated balance sheets. Fair value is determined using the highest level of observable inputs available, in accordance with the fair value hierarchy.</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Exchange-traded contracts, such as futures, swaps and options, are valued using quoted market prices from exchanges including the New York Mercantile Exchange, Intercontinental Exchange or similar platforms. These are classified as Level 1.</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Over-the-counter (OTC) swaps, options and physical forward contracts that are comparable to actively traded instruments are valued using third-party broker quotes, pricing services or relevant exchange data. This category also includes OTC options valued using an option pricing model based on observable market inputs. These instruments are classified as Level 2.</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120" w:after="283"/>
        <w:ind w:left="0" w:right="0" w:hanging="360"/>
        <w:jc w:val="both"/>
        <w:rPr/>
      </w:pPr>
      <w:hyperlink w:anchor="i5e1c82de0c41484c87a001ffe0af493e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Less liquid instruments, including non-standard term OTC swaps and options, as well as long-dated contracts, are valued using internally developed models based on historical industry practices. These models incorporate forward price curves, volatility assumptions, time value and other relevant economic factors. These are classified as Level 3.</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tables summarize the gross fair value of our financial assets and liabilities measured and recorded at fair value on a recurring basis as of March 31, 2026 and December 31, 2025 based on inputs used to derive their fair values:</w:t>
      </w:r>
    </w:p>
    <w:tbl>
      <w:tblPr>
        <w:tblW w:w="6844" w:type="dxa"/>
        <w:jc w:val="left"/>
        <w:tblInd w:w="0" w:type="dxa"/>
        <w:tblLayout w:type="fixed"/>
        <w:tblCellMar>
          <w:top w:w="28" w:type="dxa"/>
          <w:left w:w="28" w:type="dxa"/>
          <w:bottom w:w="28" w:type="dxa"/>
          <w:right w:w="28" w:type="dxa"/>
        </w:tblCellMar>
      </w:tblPr>
      <w:tblGrid>
        <w:gridCol w:w="892"/>
        <w:gridCol w:w="786"/>
        <w:gridCol w:w="796"/>
        <w:gridCol w:w="297"/>
        <w:gridCol w:w="974"/>
        <w:gridCol w:w="153"/>
        <w:gridCol w:w="109"/>
        <w:gridCol w:w="109"/>
        <w:gridCol w:w="109"/>
        <w:gridCol w:w="251"/>
        <w:gridCol w:w="753"/>
        <w:gridCol w:w="130"/>
        <w:gridCol w:w="130"/>
        <w:gridCol w:w="130"/>
        <w:gridCol w:w="130"/>
        <w:gridCol w:w="251"/>
        <w:gridCol w:w="448"/>
        <w:gridCol w:w="133"/>
        <w:gridCol w:w="109"/>
        <w:gridCol w:w="154"/>
      </w:tblGrid>
      <w:tr>
        <w:trPr/>
        <w:tc>
          <w:tcPr>
            <w:tcW w:w="892"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Fair Value Measurements at</w:t>
              <w:br/>
              <w:t>March 31, 2026</w:t>
            </w:r>
          </w:p>
        </w:tc>
        <w:tc>
          <w:tcPr>
            <w:tcW w:w="263" w:type="dxa"/>
            <w:gridSpan w:val="2"/>
            <w:tcBorders/>
          </w:tcPr>
          <w:p>
            <w:pPr>
              <w:pStyle w:val="TableContents"/>
              <w:bidi w:val="0"/>
              <w:spacing w:before="0" w:after="283"/>
              <w:jc w:val="left"/>
              <w:rPr>
                <w:sz w:val="4"/>
                <w:szCs w:val="4"/>
              </w:rPr>
            </w:pPr>
            <w:r>
              <w:rPr>
                <w:sz w:val="4"/>
                <w:szCs w:val="4"/>
              </w:rPr>
            </w:r>
          </w:p>
        </w:tc>
      </w:tr>
      <w:tr>
        <w:trPr/>
        <w:tc>
          <w:tcPr>
            <w:tcW w:w="2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Fair Value 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Level 1</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Level 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Assets:</w:t>
            </w:r>
          </w:p>
        </w:tc>
        <w:tc>
          <w:tcPr>
            <w:tcW w:w="14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commodity derivatives</w:t>
            </w:r>
          </w:p>
        </w:tc>
        <w:tc>
          <w:tcPr>
            <w:tcW w:w="2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920 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858 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assets</w:t>
            </w:r>
          </w:p>
        </w:tc>
        <w:tc>
          <w:tcPr>
            <w:tcW w:w="12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1,130 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1,068 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w:t>
            </w:r>
          </w:p>
        </w:tc>
        <w:tc>
          <w:tcPr>
            <w:tcW w:w="142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commodity derivatives</w:t>
            </w:r>
          </w:p>
        </w:tc>
        <w:tc>
          <w:tcPr>
            <w:tcW w:w="2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(1,332)</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(1,257)</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2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(1,332)</w:t>
            </w:r>
          </w:p>
        </w:tc>
        <w:tc>
          <w:tcPr>
            <w:tcW w:w="1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(1,257)</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w:t>
            </w:r>
          </w:p>
        </w:tc>
        <w:tc>
          <w:tcPr>
            <w:tcW w:w="1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6845" w:type="dxa"/>
        <w:jc w:val="left"/>
        <w:tblInd w:w="0" w:type="dxa"/>
        <w:tblLayout w:type="fixed"/>
        <w:tblCellMar>
          <w:top w:w="28" w:type="dxa"/>
          <w:left w:w="28" w:type="dxa"/>
          <w:bottom w:w="28" w:type="dxa"/>
          <w:right w:w="28" w:type="dxa"/>
        </w:tblCellMar>
      </w:tblPr>
      <w:tblGrid>
        <w:gridCol w:w="892"/>
        <w:gridCol w:w="786"/>
        <w:gridCol w:w="796"/>
        <w:gridCol w:w="349"/>
        <w:gridCol w:w="896"/>
        <w:gridCol w:w="180"/>
        <w:gridCol w:w="109"/>
        <w:gridCol w:w="109"/>
        <w:gridCol w:w="109"/>
        <w:gridCol w:w="272"/>
        <w:gridCol w:w="621"/>
        <w:gridCol w:w="140"/>
        <w:gridCol w:w="140"/>
        <w:gridCol w:w="140"/>
        <w:gridCol w:w="140"/>
        <w:gridCol w:w="272"/>
        <w:gridCol w:w="485"/>
        <w:gridCol w:w="146"/>
        <w:gridCol w:w="109"/>
        <w:gridCol w:w="154"/>
      </w:tblGrid>
      <w:tr>
        <w:trPr/>
        <w:tc>
          <w:tcPr>
            <w:tcW w:w="892"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Fair Value Measurements at</w:t>
              <w:br/>
              <w:t>December 31, 2025</w:t>
            </w:r>
          </w:p>
        </w:tc>
        <w:tc>
          <w:tcPr>
            <w:tcW w:w="263" w:type="dxa"/>
            <w:gridSpan w:val="2"/>
            <w:tcBorders/>
          </w:tcPr>
          <w:p>
            <w:pPr>
              <w:pStyle w:val="TableContents"/>
              <w:bidi w:val="0"/>
              <w:spacing w:before="0" w:after="283"/>
              <w:jc w:val="left"/>
              <w:rPr>
                <w:sz w:val="4"/>
                <w:szCs w:val="4"/>
              </w:rPr>
            </w:pPr>
            <w:r>
              <w:rPr>
                <w:sz w:val="4"/>
                <w:szCs w:val="4"/>
              </w:rPr>
            </w:r>
          </w:p>
        </w:tc>
      </w:tr>
      <w:tr>
        <w:trPr/>
        <w:tc>
          <w:tcPr>
            <w:tcW w:w="2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Fair Value 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20"/>
              </w:rPr>
              <w:t>Level 1</w:t>
            </w:r>
          </w:p>
        </w:tc>
        <w:tc>
          <w:tcPr>
            <w:tcW w:w="4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Level 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Assets:</w:t>
            </w:r>
          </w:p>
        </w:tc>
        <w:tc>
          <w:tcPr>
            <w:tcW w:w="14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commodity derivatives</w:t>
            </w:r>
          </w:p>
        </w:tc>
        <w:tc>
          <w:tcPr>
            <w:tcW w:w="3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618 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assets</w:t>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3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827 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740 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w:t>
            </w:r>
          </w:p>
        </w:tc>
        <w:tc>
          <w:tcPr>
            <w:tcW w:w="142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commodity derivatives</w:t>
            </w:r>
          </w:p>
        </w:tc>
        <w:tc>
          <w:tcPr>
            <w:tcW w:w="3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3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w:t>
            </w:r>
          </w:p>
        </w:tc>
        <w:tc>
          <w:tcPr>
            <w:tcW w:w="1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w:t>
            </w:r>
          </w:p>
        </w:tc>
        <w:tc>
          <w:tcPr>
            <w:tcW w:w="1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w:t>
            </w:r>
          </w:p>
        </w:tc>
        <w:tc>
          <w:tcPr>
            <w:tcW w:w="1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aggregate estimated fair value and carrying amount of our consolidated debt obligations as of March 31, 2026 were $68.94 billion and $69.34 billion, respectively. As of December 31, 2025, the aggregate fair value and carrying amount of our consolidated debt obligations were $68.55 billion and $68.33 billion, respectively. The fair value of our consolidated debt obligations is a Level 2 valuation based on the respective debt obligations’ observable inputs for similar liabilities.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120" w:after="283"/>
        <w:ind w:left="0" w:right="0" w:hanging="360"/>
        <w:jc w:val="both"/>
        <w:rPr/>
      </w:pPr>
      <w:hyperlink w:anchor="i5e1c82de0c41484c87a001ffe0af493e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hanging="360"/>
        <w:jc w:val="both"/>
        <w:rPr/>
      </w:pPr>
      <w:r>
        <w:rPr>
          <w:rFonts w:ascii="Times New Roman;serif" w:hAnsi="Times New Roman;serif"/>
          <w:b/>
          <w:color w:val="000000"/>
          <w:sz w:val="20"/>
        </w:rPr>
        <w:t>6.</w:t>
      </w:r>
      <w:r>
        <w:rPr>
          <w:rFonts w:ascii="Times New Roman;serif" w:hAnsi="Times New Roman;serif"/>
          <w:b/>
          <w:color w:val="000000"/>
          <w:sz w:val="20"/>
          <w:u w:val="single"/>
        </w:rPr>
        <w:t>NET INCOME PER COMMON UNIT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 reconciliation of income or loss and weighted average units used in computing basic and diluted income per common unit is as follows:</w:t>
      </w:r>
    </w:p>
    <w:tbl>
      <w:tblPr>
        <w:tblW w:w="10205" w:type="dxa"/>
        <w:jc w:val="left"/>
        <w:tblInd w:w="0" w:type="dxa"/>
        <w:tblLayout w:type="fixed"/>
        <w:tblCellMar>
          <w:top w:w="28" w:type="dxa"/>
          <w:left w:w="28" w:type="dxa"/>
          <w:bottom w:w="28" w:type="dxa"/>
          <w:right w:w="28" w:type="dxa"/>
        </w:tblCellMar>
      </w:tblPr>
      <w:tblGrid>
        <w:gridCol w:w="2510"/>
        <w:gridCol w:w="2202"/>
        <w:gridCol w:w="2222"/>
        <w:gridCol w:w="109"/>
        <w:gridCol w:w="109"/>
        <w:gridCol w:w="164"/>
        <w:gridCol w:w="164"/>
        <w:gridCol w:w="319"/>
        <w:gridCol w:w="931"/>
        <w:gridCol w:w="164"/>
        <w:gridCol w:w="109"/>
        <w:gridCol w:w="109"/>
        <w:gridCol w:w="109"/>
        <w:gridCol w:w="211"/>
        <w:gridCol w:w="616"/>
        <w:gridCol w:w="157"/>
      </w:tblGrid>
      <w:tr>
        <w:trPr/>
        <w:tc>
          <w:tcPr>
            <w:tcW w:w="2510" w:type="dxa"/>
            <w:tcBorders/>
            <w:vAlign w:val="center"/>
          </w:tcPr>
          <w:p>
            <w:pPr>
              <w:pStyle w:val="TableContents"/>
              <w:bidi w:val="0"/>
              <w:spacing w:before="0" w:after="283"/>
              <w:jc w:val="left"/>
              <w:rPr>
                <w:sz w:val="4"/>
                <w:szCs w:val="4"/>
              </w:rPr>
            </w:pPr>
            <w:r>
              <w:rPr>
                <w:sz w:val="4"/>
                <w:szCs w:val="4"/>
              </w:rPr>
            </w:r>
          </w:p>
        </w:tc>
        <w:tc>
          <w:tcPr>
            <w:tcW w:w="2202" w:type="dxa"/>
            <w:tcBorders/>
            <w:vAlign w:val="center"/>
          </w:tcPr>
          <w:p>
            <w:pPr>
              <w:pStyle w:val="TableContents"/>
              <w:bidi w:val="0"/>
              <w:spacing w:before="0" w:after="283"/>
              <w:jc w:val="left"/>
              <w:rPr>
                <w:sz w:val="4"/>
                <w:szCs w:val="4"/>
              </w:rPr>
            </w:pPr>
            <w:r>
              <w:rPr>
                <w:sz w:val="4"/>
                <w:szCs w:val="4"/>
              </w:rPr>
            </w:r>
          </w:p>
        </w:tc>
        <w:tc>
          <w:tcPr>
            <w:tcW w:w="22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2"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br/>
              <w:t>March 31,</w:t>
            </w:r>
          </w:p>
        </w:tc>
        <w:tc>
          <w:tcPr>
            <w:tcW w:w="1311" w:type="dxa"/>
            <w:gridSpan w:val="6"/>
            <w:tcBorders/>
          </w:tcPr>
          <w:p>
            <w:pPr>
              <w:pStyle w:val="TableContents"/>
              <w:bidi w:val="0"/>
              <w:spacing w:before="0" w:after="283"/>
              <w:jc w:val="left"/>
              <w:rPr>
                <w:sz w:val="4"/>
                <w:szCs w:val="4"/>
              </w:rPr>
            </w:pPr>
            <w:r>
              <w:rPr>
                <w:sz w:val="4"/>
                <w:szCs w:val="4"/>
              </w:rPr>
            </w:r>
          </w:p>
        </w:tc>
      </w:tr>
      <w:tr>
        <w:trPr/>
        <w:tc>
          <w:tcPr>
            <w:tcW w:w="6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4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6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income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1,976 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1,720 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Net income attributable to noncontrolling interests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715 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384 </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Net income attributable to redeemable noncontrolling interests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2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net of noncontrolling interests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2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1,254 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1,323 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General Partner’s interest in 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2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Preferred Unitholders’ interest in 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4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6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Unitholders’ interest in 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1,194 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1,255 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Income per Common Unit: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41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common units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2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3,440.6 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3,431.4 </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income per common unit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31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0.35 </w:t>
            </w:r>
          </w:p>
        </w:tc>
        <w:tc>
          <w:tcPr>
            <w:tcW w:w="16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0.37 </w:t>
            </w:r>
          </w:p>
        </w:tc>
        <w:tc>
          <w:tcPr>
            <w:tcW w:w="157"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4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6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Income per Common Unit: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41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Unitholders’ interest in 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3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1,194 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 xml:space="preserve">Dilutive effect of equity-based compensation of subsidiaries </w:t>
            </w:r>
            <w:r>
              <w:rPr>
                <w:rFonts w:ascii="Times New Roman;serif" w:hAnsi="Times New Roman;serif"/>
                <w:b w:val="false"/>
                <w:color w:val="000000"/>
                <w:sz w:val="13"/>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2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income attributable to Common Unitholders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3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1,194 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1,255 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common units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250"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3,440.6 </w:t>
            </w:r>
          </w:p>
        </w:tc>
        <w:tc>
          <w:tcPr>
            <w:tcW w:w="16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3,431.4 </w:t>
            </w:r>
          </w:p>
        </w:tc>
        <w:tc>
          <w:tcPr>
            <w:tcW w:w="157"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 xml:space="preserve">Dilutive effect of unvested restricted unit awards </w:t>
            </w:r>
            <w:r>
              <w:rPr>
                <w:rFonts w:ascii="Times New Roman;serif" w:hAnsi="Times New Roman;serif"/>
                <w:b w:val="false"/>
                <w:color w:val="000000"/>
                <w:sz w:val="13"/>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21.5 </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common units, assuming dilutive effect of unvested restricted unit awards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2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3,457.4 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3,452.9 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income per common unit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31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0.35 </w:t>
            </w:r>
          </w:p>
        </w:tc>
        <w:tc>
          <w:tcPr>
            <w:tcW w:w="16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0.36 </w:t>
            </w:r>
          </w:p>
        </w:tc>
        <w:tc>
          <w:tcPr>
            <w:tcW w:w="157"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69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4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360"/>
        <w:jc w:val="both"/>
        <w:rPr/>
      </w:pPr>
      <w:r>
        <w:rPr>
          <w:rFonts w:ascii="Times New Roman;serif" w:hAnsi="Times New Roman;serif"/>
          <w:b w:val="false"/>
          <w:color w:val="000000"/>
          <w:sz w:val="13"/>
        </w:rPr>
        <w:t>(1)</w:t>
      </w:r>
      <w:r>
        <w:rPr>
          <w:rFonts w:ascii="Times New Roman;serif" w:hAnsi="Times New Roman;serif"/>
          <w:b w:val="false"/>
          <w:color w:val="000000"/>
          <w:sz w:val="20"/>
        </w:rPr>
        <w:t>Dilutive effects are excluded from the calculation for periods where the impact would have been antidilutive.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hanging="360"/>
        <w:jc w:val="both"/>
        <w:rPr/>
      </w:pPr>
      <w:r>
        <w:rPr>
          <w:rFonts w:ascii="Times New Roman;serif" w:hAnsi="Times New Roman;serif"/>
          <w:b/>
          <w:color w:val="000000"/>
          <w:sz w:val="20"/>
        </w:rPr>
        <w:t>7.</w:t>
      </w:r>
      <w:r>
        <w:rPr>
          <w:rFonts w:ascii="Times New Roman;serif" w:hAnsi="Times New Roman;serif"/>
          <w:b/>
          <w:color w:val="000000"/>
          <w:sz w:val="20"/>
          <w:u w:val="single"/>
        </w:rPr>
        <w:t>DEBT OBLIGATIONS</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Recent Transactions</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Energy Transfer Notes Issuances and Redemptions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 January 2026, the Partnership issued $1.00 billion aggregate principal amount of 4.55% senior notes due 2031, $1.00 billion aggregate principal amount of 5.35% senior notes due 2036 and $1.00 billion aggregate principal amount of 6.30% senior notes due 2056. The Partnership used the net proceeds to refinance existing indebtedness, including to repay commercial paper and borrowings under its Five-Year Credit Facility.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January 2026, the Partnership redeemed its $1.00 billion aggregate principal amount of 4.75% senior notes due January 2026 using cash on hand and commercial paper borrowings.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February 2026, the Partnership redeemed its $600 million aggregate principal amount of 5.625% senior notes due May 2027 using cash on hand and commercial paper borrowings.</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Sunoco LP Senior Notes Issuances and Redemption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March 2026, Sunoco LP issued $600 million aggregate principal amount of 5.375% senior notes due 2031 and $600 million aggregate principal amount of 5.625% senior notes due 2034. These notes will mature on July 15, 2031 and July 15, 2034, respectively, and interest is payable semi-annually on January 15 and July 15 of each year, commencing on July 15, 2026. Sunoco LP used a portion of the net proceeds from this private offering to redeem in full its $500 million aggregate principal amount of 6.000% senior notes due 2026 and its $600 million aggregate principal amount of 6.000% senior notes due 2027.</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March 2026, Sunoco LP redeemed Parkland’s remaining senior notes.</w:t>
      </w:r>
    </w:p>
    <w:p>
      <w:pPr>
        <w:pStyle w:val="TextBody"/>
        <w:bidi w:val="0"/>
        <w:spacing w:before="12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120" w:after="283"/>
        <w:ind w:left="0" w:right="0" w:hanging="360"/>
        <w:jc w:val="both"/>
        <w:rPr/>
      </w:pPr>
      <w:hyperlink w:anchor="i5e1c82de0c41484c87a001ffe0af493e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Credit Facilities and Commercial Paper</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 xml:space="preserve">Five-Year Credit Facility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Partnership’s revolving credit facility (the “Five-Year Credit Facility”) allows for unsecured borrowings up to $5.00 billion until April 11, 2027, and up to $4.84 billion until April 11, 2029. The Five-Year Credit Facility contains an accordion feature, under which the total aggregate commitment may be increased up to $7.00 billion under certain conditions.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As of March 31, 2026, the Five-Year Credit Facility had $1.49 billion of outstanding borrowings, all of which consisted of commercial paper. The amount available for future borrowings was $3.45 billion, after accounting for outstanding letters of credit in the amount of $61 million. The weighted average interest rate on the total amount outstanding as of March 31, 2026 was 3.95%.</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Sunoco LP Credit Facility</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As of March 31, 2026, Sunoco LP’s credit facility, which matures in June 2030, had $125 million of outstanding borrowings and $151 million in standby letters of credit. The unused availability on Sunoco LP’s revolving credit facility as of March 31, 2026 was $2.22 billion. The weighted average interest rate on the total amount outstanding as of March 31, 2026 was 5.52%. </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Sunoco LP Receivables Financing Agreement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Upon the closing of Sunoco LP’s acquisition of NuStar, the commitments under NuStar’s receivables financing agreement were reduced to zero during a suspension period, for which the period end has not been determined. As of March 31, 2026 this facility had no outstanding borrowings.</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 xml:space="preserve">USAC Credit Facility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As of March 31, 2026, USAC’s credit facility, which matures in August 2030, had $1.25 billion of outstanding borrowings and $2 million outstanding letters of credit. As of March 31, 2026, USAC’s credit facility had $498 million of remaining unused availability. The weighted average interest rate on the total amount outstanding as of March 31, 2026 was 5.66%.</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Compliance with our Covenants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and our subsidiaries were in compliance with all requirements, tests, limitations and covenants related to our debt agreements as of March 31, 2026. For the quarter ended March 31, 2026, the Partnership’s leverage ratio, as calculated pursuant to the covenant related to its Five-Year Credit Facility, was 3.16x.</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ind w:left="0" w:right="0" w:hanging="360"/>
        <w:jc w:val="both"/>
        <w:rPr/>
      </w:pPr>
      <w:r>
        <w:rPr>
          <w:rFonts w:ascii="Times New Roman;serif" w:hAnsi="Times New Roman;serif"/>
          <w:b/>
          <w:color w:val="000000"/>
          <w:sz w:val="20"/>
        </w:rPr>
        <w:t>8.</w:t>
      </w:r>
      <w:r>
        <w:rPr>
          <w:rFonts w:ascii="Times New Roman;serif" w:hAnsi="Times New Roman;serif"/>
          <w:b/>
          <w:color w:val="000000"/>
          <w:sz w:val="20"/>
          <w:u w:val="single"/>
        </w:rPr>
        <w:t>REDEEMABLE NONCONTROLLING INTERESTS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Certain redeemable noncontrolling interests in the Partnership’s subsidiaries were reflected as mezzanine equity on the consolidated balance sheets.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Redeemable noncontrolling interests consisted of the following:</w:t>
      </w:r>
    </w:p>
    <w:tbl>
      <w:tblPr>
        <w:tblW w:w="6040" w:type="dxa"/>
        <w:jc w:val="left"/>
        <w:tblInd w:w="0" w:type="dxa"/>
        <w:tblLayout w:type="fixed"/>
        <w:tblCellMar>
          <w:top w:w="28" w:type="dxa"/>
          <w:left w:w="28" w:type="dxa"/>
          <w:bottom w:w="28" w:type="dxa"/>
          <w:right w:w="28" w:type="dxa"/>
        </w:tblCellMar>
      </w:tblPr>
      <w:tblGrid>
        <w:gridCol w:w="1277"/>
        <w:gridCol w:w="1121"/>
        <w:gridCol w:w="1127"/>
        <w:gridCol w:w="249"/>
        <w:gridCol w:w="551"/>
        <w:gridCol w:w="129"/>
        <w:gridCol w:w="109"/>
        <w:gridCol w:w="109"/>
        <w:gridCol w:w="109"/>
        <w:gridCol w:w="320"/>
        <w:gridCol w:w="705"/>
        <w:gridCol w:w="234"/>
      </w:tblGrid>
      <w:tr>
        <w:trPr/>
        <w:tc>
          <w:tcPr>
            <w:tcW w:w="1277"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w:t>
              <w:br/>
              <w:t>2025</w:t>
            </w:r>
          </w:p>
        </w:tc>
      </w:tr>
      <w:tr>
        <w:trPr/>
        <w:tc>
          <w:tcPr>
            <w:tcW w:w="3525" w:type="dxa"/>
            <w:gridSpan w:val="3"/>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Crestwood Niobrara LLC preferred units</w:t>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225 </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 xml:space="preserve">Other </w:t>
            </w:r>
            <w:r>
              <w:rPr>
                <w:rFonts w:ascii="Times New Roman;serif" w:hAnsi="Times New Roman;serif"/>
                <w:b w:val="false"/>
                <w:color w:val="000000"/>
                <w:sz w:val="13"/>
              </w:rPr>
              <w:t>(1)</w:t>
            </w:r>
          </w:p>
        </w:tc>
        <w:tc>
          <w:tcPr>
            <w:tcW w:w="8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23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redeemable noncontrolling interests</w:t>
            </w:r>
          </w:p>
        </w:tc>
        <w:tc>
          <w:tcPr>
            <w:tcW w:w="2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252 </w:t>
            </w:r>
          </w:p>
        </w:tc>
        <w:tc>
          <w:tcPr>
            <w:tcW w:w="1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250 </w:t>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360"/>
        <w:jc w:val="both"/>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Relates to noncontrolling interest holders in one of the Partnership’s consolidated subsidiaries that have the option to sell their interests to the Partnership.</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120" w:after="283"/>
        <w:ind w:left="0" w:right="0" w:hanging="360"/>
        <w:jc w:val="both"/>
        <w:rPr/>
      </w:pPr>
      <w:hyperlink w:anchor="i5e1c82de0c41484c87a001ffe0af493e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ind w:left="0" w:right="0" w:hanging="360"/>
        <w:jc w:val="both"/>
        <w:rPr/>
      </w:pPr>
      <w:r>
        <w:rPr>
          <w:rFonts w:ascii="Times New Roman;serif" w:hAnsi="Times New Roman;serif"/>
          <w:b/>
          <w:color w:val="000000"/>
          <w:sz w:val="20"/>
        </w:rPr>
        <w:t>9.</w:t>
      </w:r>
      <w:r>
        <w:rPr>
          <w:rFonts w:ascii="Times New Roman;serif" w:hAnsi="Times New Roman;serif"/>
          <w:b/>
          <w:color w:val="000000"/>
          <w:sz w:val="20"/>
          <w:u w:val="single"/>
        </w:rPr>
        <w:t>EQUITY</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Energy Transfer Common Units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Changes in Energy Transfer common units during the three months ended March 31, 2026 were as follows:</w:t>
      </w:r>
    </w:p>
    <w:tbl>
      <w:tblPr>
        <w:tblW w:w="6674" w:type="dxa"/>
        <w:jc w:val="left"/>
        <w:tblInd w:w="0" w:type="dxa"/>
        <w:tblLayout w:type="fixed"/>
        <w:tblCellMar>
          <w:top w:w="28" w:type="dxa"/>
          <w:left w:w="28" w:type="dxa"/>
          <w:bottom w:w="28" w:type="dxa"/>
          <w:right w:w="28" w:type="dxa"/>
        </w:tblCellMar>
      </w:tblPr>
      <w:tblGrid>
        <w:gridCol w:w="1879"/>
        <w:gridCol w:w="1650"/>
        <w:gridCol w:w="1661"/>
        <w:gridCol w:w="434"/>
        <w:gridCol w:w="434"/>
        <w:gridCol w:w="616"/>
      </w:tblGrid>
      <w:tr>
        <w:trPr/>
        <w:tc>
          <w:tcPr>
            <w:tcW w:w="1879" w:type="dxa"/>
            <w:tcBorders/>
            <w:vAlign w:val="center"/>
          </w:tcPr>
          <w:p>
            <w:pPr>
              <w:pStyle w:val="TableContents"/>
              <w:bidi w:val="0"/>
              <w:spacing w:before="0" w:after="283"/>
              <w:jc w:val="left"/>
              <w:rPr>
                <w:sz w:val="4"/>
                <w:szCs w:val="4"/>
              </w:rPr>
            </w:pPr>
            <w:r>
              <w:rPr>
                <w:sz w:val="4"/>
                <w:szCs w:val="4"/>
              </w:rPr>
            </w:r>
          </w:p>
        </w:tc>
        <w:tc>
          <w:tcPr>
            <w:tcW w:w="1650" w:type="dxa"/>
            <w:tcBorders/>
            <w:vAlign w:val="center"/>
          </w:tcPr>
          <w:p>
            <w:pPr>
              <w:pStyle w:val="TableContents"/>
              <w:bidi w:val="0"/>
              <w:spacing w:before="0" w:after="283"/>
              <w:jc w:val="left"/>
              <w:rPr>
                <w:sz w:val="4"/>
                <w:szCs w:val="4"/>
              </w:rPr>
            </w:pPr>
            <w:r>
              <w:rPr>
                <w:sz w:val="4"/>
                <w:szCs w:val="4"/>
              </w:rPr>
            </w:r>
          </w:p>
        </w:tc>
        <w:tc>
          <w:tcPr>
            <w:tcW w:w="1661"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r>
      <w:tr>
        <w:trPr/>
        <w:tc>
          <w:tcPr>
            <w:tcW w:w="5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Number of Units</w:t>
            </w:r>
          </w:p>
        </w:tc>
      </w:tr>
      <w:tr>
        <w:trPr/>
        <w:tc>
          <w:tcPr>
            <w:tcW w:w="5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Number of common units at December 31, 2025</w:t>
            </w:r>
          </w:p>
        </w:tc>
        <w:tc>
          <w:tcPr>
            <w:tcW w:w="8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3,440.0 </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units issued under the distribution reinvestment plan</w:t>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61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units vested under equity incentive plans and other</w:t>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6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Number of common units at March 31, 2026</w:t>
            </w:r>
          </w:p>
        </w:tc>
        <w:tc>
          <w:tcPr>
            <w:tcW w:w="86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3,441.1 </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Energy Transfer Repurchase Program</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March 31, 2026, Energy Transfer did not repurchase any of its common units under its current buyback program. As of March 31, 2026, $880 million remained available to repurchase under the current program.</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Energy Transfer Distribution Reinvestment Program</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March 31, 2026, distributions of $12 million were reinvested under the distribution reinvestment program. As of March 31, 2026, a total of 35.7 million Energy Transfer common units remained available to be issued under currently effective registration statements in connection with the distribution reinvestment program.</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Cash Distributions on Energy Transfer Common Units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Distributions declared and/or paid with respect to Energy Transfer common units subsequent to December 31, 2025 were as follows: </w:t>
      </w:r>
    </w:p>
    <w:tbl>
      <w:tblPr>
        <w:tblW w:w="6836" w:type="dxa"/>
        <w:jc w:val="left"/>
        <w:tblInd w:w="0" w:type="dxa"/>
        <w:tblLayout w:type="fixed"/>
        <w:tblCellMar>
          <w:top w:w="28" w:type="dxa"/>
          <w:left w:w="28" w:type="dxa"/>
          <w:bottom w:w="28" w:type="dxa"/>
          <w:right w:w="28" w:type="dxa"/>
        </w:tblCellMar>
      </w:tblPr>
      <w:tblGrid>
        <w:gridCol w:w="613"/>
        <w:gridCol w:w="539"/>
        <w:gridCol w:w="542"/>
        <w:gridCol w:w="109"/>
        <w:gridCol w:w="109"/>
        <w:gridCol w:w="109"/>
        <w:gridCol w:w="494"/>
        <w:gridCol w:w="494"/>
        <w:gridCol w:w="497"/>
        <w:gridCol w:w="109"/>
        <w:gridCol w:w="109"/>
        <w:gridCol w:w="109"/>
        <w:gridCol w:w="529"/>
        <w:gridCol w:w="529"/>
        <w:gridCol w:w="532"/>
        <w:gridCol w:w="109"/>
        <w:gridCol w:w="109"/>
        <w:gridCol w:w="109"/>
        <w:gridCol w:w="211"/>
        <w:gridCol w:w="721"/>
        <w:gridCol w:w="154"/>
      </w:tblGrid>
      <w:tr>
        <w:trPr/>
        <w:tc>
          <w:tcPr>
            <w:tcW w:w="613"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Quarter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Record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Payment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Rate</w:t>
            </w:r>
          </w:p>
        </w:tc>
      </w:tr>
      <w:tr>
        <w:trPr/>
        <w:tc>
          <w:tcPr>
            <w:tcW w:w="16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6,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19,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0.3350 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March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8,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20,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0.3375 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6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Energy Transfer Preferred Units</w:t>
      </w:r>
    </w:p>
    <w:p>
      <w:pPr>
        <w:pStyle w:val="TextBody"/>
        <w:bidi w:val="0"/>
        <w:spacing w:lineRule="auto" w:line="288" w:before="120" w:after="283"/>
        <w:jc w:val="both"/>
        <w:rPr/>
      </w:pPr>
      <w:r>
        <w:rPr>
          <w:rFonts w:ascii="Times New Roman;serif" w:hAnsi="Times New Roman;serif"/>
          <w:b w:val="false"/>
          <w:color w:val="000000"/>
          <w:sz w:val="20"/>
        </w:rPr>
        <w:t>As of March 31, 2026 and December 31, 2025, Energy Transfer’s outstanding preferred units included 550,000</w:t>
      </w:r>
      <w:r>
        <w:rPr>
          <w:color w:val="000000"/>
        </w:rPr>
        <w:t xml:space="preserve"> </w:t>
      </w:r>
      <w:r>
        <w:rPr>
          <w:rFonts w:ascii="Times New Roman;serif" w:hAnsi="Times New Roman;serif"/>
          <w:b w:val="false"/>
          <w:color w:val="000000"/>
          <w:sz w:val="20"/>
        </w:rPr>
        <w:t>Series B Preferred Units, 1,484,780 Series G Preferred Units, 900,000 Series H Preferred Units and 41,464,179 Series I Preferred Units.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changes in the Energy Transfer Preferred Units:</w:t>
      </w:r>
    </w:p>
    <w:tbl>
      <w:tblPr>
        <w:tblW w:w="7631" w:type="dxa"/>
        <w:jc w:val="left"/>
        <w:tblInd w:w="0" w:type="dxa"/>
        <w:tblLayout w:type="fixed"/>
        <w:tblCellMar>
          <w:top w:w="28" w:type="dxa"/>
          <w:left w:w="28" w:type="dxa"/>
          <w:bottom w:w="28" w:type="dxa"/>
          <w:right w:w="28" w:type="dxa"/>
        </w:tblCellMar>
      </w:tblPr>
      <w:tblGrid>
        <w:gridCol w:w="782"/>
        <w:gridCol w:w="686"/>
        <w:gridCol w:w="692"/>
        <w:gridCol w:w="196"/>
        <w:gridCol w:w="421"/>
        <w:gridCol w:w="109"/>
        <w:gridCol w:w="109"/>
        <w:gridCol w:w="109"/>
        <w:gridCol w:w="109"/>
        <w:gridCol w:w="109"/>
        <w:gridCol w:w="109"/>
        <w:gridCol w:w="196"/>
        <w:gridCol w:w="556"/>
        <w:gridCol w:w="109"/>
        <w:gridCol w:w="109"/>
        <w:gridCol w:w="109"/>
        <w:gridCol w:w="109"/>
        <w:gridCol w:w="196"/>
        <w:gridCol w:w="421"/>
        <w:gridCol w:w="109"/>
        <w:gridCol w:w="109"/>
        <w:gridCol w:w="109"/>
        <w:gridCol w:w="109"/>
        <w:gridCol w:w="196"/>
        <w:gridCol w:w="421"/>
        <w:gridCol w:w="109"/>
        <w:gridCol w:w="109"/>
        <w:gridCol w:w="109"/>
        <w:gridCol w:w="109"/>
        <w:gridCol w:w="196"/>
        <w:gridCol w:w="556"/>
        <w:gridCol w:w="154"/>
      </w:tblGrid>
      <w:tr>
        <w:trPr/>
        <w:tc>
          <w:tcPr>
            <w:tcW w:w="782"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5" w:type="dxa"/>
            <w:gridSpan w:val="1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Preferred Unitholders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6"/>
            <w:tcBorders/>
          </w:tcPr>
          <w:p>
            <w:pPr>
              <w:pStyle w:val="TableContents"/>
              <w:bidi w:val="0"/>
              <w:spacing w:before="0" w:after="283"/>
              <w:jc w:val="left"/>
              <w:rPr>
                <w:sz w:val="4"/>
                <w:szCs w:val="4"/>
              </w:rPr>
            </w:pPr>
            <w:r>
              <w:rPr>
                <w:sz w:val="4"/>
                <w:szCs w:val="4"/>
              </w:rPr>
            </w:r>
          </w:p>
        </w:tc>
      </w:tr>
      <w:tr>
        <w:trPr/>
        <w:tc>
          <w:tcPr>
            <w:tcW w:w="2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Series B</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Series 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Series H</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Series 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Total</w:t>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December 31, 2025</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3,356 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Distributions to partners</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160"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160"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March 31, 2026</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3,388 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160"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160"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160"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160"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160"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160"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160"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160"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160"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bl>
    <w:tbl>
      <w:tblPr>
        <w:tblW w:w="8625" w:type="dxa"/>
        <w:jc w:val="left"/>
        <w:tblInd w:w="0" w:type="dxa"/>
        <w:tblLayout w:type="fixed"/>
        <w:tblCellMar>
          <w:top w:w="28" w:type="dxa"/>
          <w:left w:w="28" w:type="dxa"/>
          <w:bottom w:w="28" w:type="dxa"/>
          <w:right w:w="28" w:type="dxa"/>
        </w:tblCellMar>
      </w:tblPr>
      <w:tblGrid>
        <w:gridCol w:w="782"/>
        <w:gridCol w:w="686"/>
        <w:gridCol w:w="692"/>
        <w:gridCol w:w="196"/>
        <w:gridCol w:w="421"/>
        <w:gridCol w:w="109"/>
        <w:gridCol w:w="109"/>
        <w:gridCol w:w="109"/>
        <w:gridCol w:w="109"/>
        <w:gridCol w:w="239"/>
        <w:gridCol w:w="513"/>
        <w:gridCol w:w="133"/>
        <w:gridCol w:w="109"/>
        <w:gridCol w:w="109"/>
        <w:gridCol w:w="109"/>
        <w:gridCol w:w="196"/>
        <w:gridCol w:w="556"/>
        <w:gridCol w:w="109"/>
        <w:gridCol w:w="109"/>
        <w:gridCol w:w="109"/>
        <w:gridCol w:w="109"/>
        <w:gridCol w:w="196"/>
        <w:gridCol w:w="421"/>
        <w:gridCol w:w="109"/>
        <w:gridCol w:w="109"/>
        <w:gridCol w:w="109"/>
        <w:gridCol w:w="109"/>
        <w:gridCol w:w="196"/>
        <w:gridCol w:w="421"/>
        <w:gridCol w:w="109"/>
        <w:gridCol w:w="109"/>
        <w:gridCol w:w="109"/>
        <w:gridCol w:w="109"/>
        <w:gridCol w:w="196"/>
        <w:gridCol w:w="556"/>
        <w:gridCol w:w="154"/>
      </w:tblGrid>
      <w:tr>
        <w:trPr/>
        <w:tc>
          <w:tcPr>
            <w:tcW w:w="782"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2"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Preferred Unitholders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Series B</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8"/>
              </w:rPr>
              <w:t xml:space="preserve">Series F </w:t>
            </w:r>
            <w:r>
              <w:rPr>
                <w:rFonts w:ascii="Times New Roman;serif" w:hAnsi="Times New Roman;serif"/>
                <w:b w:val="false"/>
                <w:color w:val="000000"/>
                <w:sz w:val="12"/>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Series 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Series H</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Series 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Total</w:t>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December 31, 2024</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496 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3,852 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Distributions to partners</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160"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160"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March 31, 2025</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504 </w:t>
            </w:r>
          </w:p>
        </w:tc>
        <w:tc>
          <w:tcPr>
            <w:tcW w:w="1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3,892 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160"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160"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160"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160"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160"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160"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160"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160"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160"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360"/>
        <w:jc w:val="both"/>
        <w:rPr/>
      </w:pPr>
      <w:r>
        <w:rPr>
          <w:rFonts w:ascii="Times New Roman;serif" w:hAnsi="Times New Roman;serif"/>
          <w:b w:val="false"/>
          <w:color w:val="000000"/>
          <w:sz w:val="13"/>
        </w:rPr>
        <w:t>(1)</w:t>
      </w:r>
      <w:r>
        <w:rPr>
          <w:rFonts w:ascii="Times New Roman;serif" w:hAnsi="Times New Roman;serif"/>
          <w:b w:val="false"/>
          <w:color w:val="000000"/>
          <w:sz w:val="20"/>
        </w:rPr>
        <w:t>The Partnership’s Series F Fixed Rate Reset Cumulative Redeemable Perpetual Preferred Units were redeemed in May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120" w:after="283"/>
        <w:ind w:left="0" w:right="0" w:hanging="360"/>
        <w:jc w:val="both"/>
        <w:rPr/>
      </w:pPr>
      <w:hyperlink w:anchor="i5e1c82de0c41484c87a001ffe0af493e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Cash Distributions on Energy Transfer Preferred Units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Distributions declared on the Energy Transfer Preferred Units were as follows:</w:t>
      </w:r>
    </w:p>
    <w:tbl>
      <w:tblPr>
        <w:tblW w:w="10122" w:type="dxa"/>
        <w:jc w:val="left"/>
        <w:tblInd w:w="0" w:type="dxa"/>
        <w:tblLayout w:type="fixed"/>
        <w:tblCellMar>
          <w:top w:w="28" w:type="dxa"/>
          <w:left w:w="28" w:type="dxa"/>
          <w:bottom w:w="28" w:type="dxa"/>
          <w:right w:w="28" w:type="dxa"/>
        </w:tblCellMar>
      </w:tblPr>
      <w:tblGrid>
        <w:gridCol w:w="548"/>
        <w:gridCol w:w="481"/>
        <w:gridCol w:w="485"/>
        <w:gridCol w:w="109"/>
        <w:gridCol w:w="109"/>
        <w:gridCol w:w="109"/>
        <w:gridCol w:w="444"/>
        <w:gridCol w:w="444"/>
        <w:gridCol w:w="447"/>
        <w:gridCol w:w="109"/>
        <w:gridCol w:w="109"/>
        <w:gridCol w:w="109"/>
        <w:gridCol w:w="474"/>
        <w:gridCol w:w="474"/>
        <w:gridCol w:w="477"/>
        <w:gridCol w:w="109"/>
        <w:gridCol w:w="109"/>
        <w:gridCol w:w="109"/>
        <w:gridCol w:w="196"/>
        <w:gridCol w:w="646"/>
        <w:gridCol w:w="109"/>
        <w:gridCol w:w="109"/>
        <w:gridCol w:w="109"/>
        <w:gridCol w:w="109"/>
        <w:gridCol w:w="252"/>
        <w:gridCol w:w="523"/>
        <w:gridCol w:w="140"/>
        <w:gridCol w:w="109"/>
        <w:gridCol w:w="109"/>
        <w:gridCol w:w="109"/>
        <w:gridCol w:w="252"/>
        <w:gridCol w:w="523"/>
        <w:gridCol w:w="140"/>
        <w:gridCol w:w="109"/>
        <w:gridCol w:w="109"/>
        <w:gridCol w:w="109"/>
        <w:gridCol w:w="196"/>
        <w:gridCol w:w="646"/>
        <w:gridCol w:w="109"/>
        <w:gridCol w:w="154"/>
      </w:tblGrid>
      <w:tr>
        <w:trPr/>
        <w:tc>
          <w:tcPr>
            <w:tcW w:w="548"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Period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Record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Payment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8"/>
              </w:rPr>
              <w:t xml:space="preserve">Series B </w:t>
            </w:r>
            <w:r>
              <w:rPr>
                <w:rFonts w:ascii="Times New Roman;serif" w:hAnsi="Times New Roman;serif"/>
                <w:b w:val="false"/>
                <w:color w:val="000000"/>
                <w:sz w:val="12"/>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8"/>
              </w:rPr>
              <w:t xml:space="preserve">Series G </w:t>
            </w:r>
            <w:r>
              <w:rPr>
                <w:rFonts w:ascii="Times New Roman;serif" w:hAnsi="Times New Roman;serif"/>
                <w:b w:val="false"/>
                <w:color w:val="000000"/>
                <w:sz w:val="12"/>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8"/>
              </w:rPr>
              <w:t xml:space="preserve">Series H </w:t>
            </w:r>
            <w:r>
              <w:rPr>
                <w:rFonts w:ascii="Times New Roman;serif" w:hAnsi="Times New Roman;serif"/>
                <w:b w:val="false"/>
                <w:color w:val="000000"/>
                <w:sz w:val="12"/>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8"/>
              </w:rPr>
              <w:t xml:space="preserve">Series I </w:t>
            </w:r>
            <w:r>
              <w:rPr>
                <w:rFonts w:ascii="Times New Roman;serif" w:hAnsi="Times New Roman;serif"/>
                <w:b w:val="false"/>
                <w:color w:val="000000"/>
                <w:sz w:val="12"/>
              </w:rPr>
              <w:t>(1)</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5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February 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February 15,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33.125 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0.2111 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March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May 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May 15,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35.630 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32.500 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0.2111 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360"/>
        <w:jc w:val="both"/>
        <w:rPr/>
      </w:pPr>
      <w:r>
        <w:rPr>
          <w:rFonts w:ascii="Times New Roman;serif" w:hAnsi="Times New Roman;serif"/>
          <w:b w:val="false"/>
          <w:color w:val="000000"/>
          <w:sz w:val="13"/>
        </w:rPr>
        <w:t>(1)</w:t>
      </w:r>
      <w:r>
        <w:rPr>
          <w:rFonts w:ascii="Times New Roman;serif" w:hAnsi="Times New Roman;serif"/>
          <w:b w:val="false"/>
          <w:color w:val="000000"/>
          <w:sz w:val="20"/>
        </w:rPr>
        <w:t>The record date and payment date shown above apply to all Energy Transfer Preferred Units, except for the Series I Preferred Units. For the period ended December 31, 2025, the cash distribution on Series I Preferred Units was paid on February 17, 2026 to unitholders of record as of the close of business on February 4, 2026. For the period ended March 31, 2026, the cash distribution on Series I Preferred Units will be paid on May 15, 2026 to unitholders of record as of the close of business on May 4, 2026.</w:t>
      </w:r>
    </w:p>
    <w:p>
      <w:pPr>
        <w:pStyle w:val="TextBody"/>
        <w:bidi w:val="0"/>
        <w:spacing w:lineRule="auto" w:line="288" w:before="120" w:after="283"/>
        <w:ind w:left="0" w:right="0" w:hanging="360"/>
        <w:jc w:val="both"/>
        <w:rPr/>
      </w:pPr>
      <w:r>
        <w:rPr>
          <w:rFonts w:ascii="Times New Roman;serif" w:hAnsi="Times New Roman;serif"/>
          <w:b w:val="false"/>
          <w:color w:val="000000"/>
          <w:sz w:val="13"/>
        </w:rPr>
        <w:t>(2)</w:t>
      </w:r>
      <w:r>
        <w:rPr>
          <w:rFonts w:ascii="Times New Roman;serif" w:hAnsi="Times New Roman;serif"/>
          <w:b w:val="false"/>
          <w:color w:val="000000"/>
          <w:sz w:val="20"/>
        </w:rPr>
        <w:t>Series B, Series G and Series H distributions are currently paid on a semi-annual basis. Distributions on the Series B Preferred Units will begin to be paid quarterly on February 15, 2028.</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Noncontrolling Interests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Partnership’s consolidated financial statements include noncontrolling interests in SunocoCorp, Sunoco LP and USAC, as well as other non-wholly owned consolidated joint ventures. The following sections describe cash distributions made by our publicly traded subsidiaries, SunocoCorp, Sunoco LP and USAC, all of which are required to distribute all cash on hand (less appropriate reserves determined by the boards of directors of their respective general partners) subsequent to the end of each quarter.</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SunocoCorp Cash Distributions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Distributions on SunocoCorp’s common units declared and/or paid by SunocoCorp subsequent to December 31, 2025 were as follows:</w:t>
      </w:r>
    </w:p>
    <w:tbl>
      <w:tblPr>
        <w:tblW w:w="5242" w:type="dxa"/>
        <w:jc w:val="left"/>
        <w:tblInd w:w="0" w:type="dxa"/>
        <w:tblLayout w:type="fixed"/>
        <w:tblCellMar>
          <w:top w:w="28" w:type="dxa"/>
          <w:left w:w="28" w:type="dxa"/>
          <w:bottom w:w="28" w:type="dxa"/>
          <w:right w:w="28" w:type="dxa"/>
        </w:tblCellMar>
      </w:tblPr>
      <w:tblGrid>
        <w:gridCol w:w="613"/>
        <w:gridCol w:w="539"/>
        <w:gridCol w:w="542"/>
        <w:gridCol w:w="109"/>
        <w:gridCol w:w="109"/>
        <w:gridCol w:w="109"/>
        <w:gridCol w:w="109"/>
        <w:gridCol w:w="109"/>
        <w:gridCol w:w="529"/>
        <w:gridCol w:w="529"/>
        <w:gridCol w:w="532"/>
        <w:gridCol w:w="109"/>
        <w:gridCol w:w="109"/>
        <w:gridCol w:w="109"/>
        <w:gridCol w:w="211"/>
        <w:gridCol w:w="721"/>
        <w:gridCol w:w="154"/>
      </w:tblGrid>
      <w:tr>
        <w:trPr/>
        <w:tc>
          <w:tcPr>
            <w:tcW w:w="613"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Quarter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Payment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Rate</w:t>
            </w:r>
          </w:p>
        </w:tc>
      </w:tr>
      <w:tr>
        <w:trPr/>
        <w:tc>
          <w:tcPr>
            <w:tcW w:w="16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19,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0.9317 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March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20,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0.9899 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6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Sunoco LP Cash Distributions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Distributions on Sunoco LP’s common units and Class D Units declared and/or paid by Sunoco LP subsequent to December 31, 2025 were as follows:</w:t>
      </w:r>
    </w:p>
    <w:tbl>
      <w:tblPr>
        <w:tblW w:w="5242" w:type="dxa"/>
        <w:jc w:val="left"/>
        <w:tblInd w:w="0" w:type="dxa"/>
        <w:tblLayout w:type="fixed"/>
        <w:tblCellMar>
          <w:top w:w="28" w:type="dxa"/>
          <w:left w:w="28" w:type="dxa"/>
          <w:bottom w:w="28" w:type="dxa"/>
          <w:right w:w="28" w:type="dxa"/>
        </w:tblCellMar>
      </w:tblPr>
      <w:tblGrid>
        <w:gridCol w:w="613"/>
        <w:gridCol w:w="539"/>
        <w:gridCol w:w="542"/>
        <w:gridCol w:w="109"/>
        <w:gridCol w:w="109"/>
        <w:gridCol w:w="109"/>
        <w:gridCol w:w="109"/>
        <w:gridCol w:w="109"/>
        <w:gridCol w:w="529"/>
        <w:gridCol w:w="529"/>
        <w:gridCol w:w="532"/>
        <w:gridCol w:w="109"/>
        <w:gridCol w:w="109"/>
        <w:gridCol w:w="109"/>
        <w:gridCol w:w="211"/>
        <w:gridCol w:w="721"/>
        <w:gridCol w:w="154"/>
      </w:tblGrid>
      <w:tr>
        <w:trPr/>
        <w:tc>
          <w:tcPr>
            <w:tcW w:w="613"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Quarter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Payment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Rate</w:t>
            </w:r>
          </w:p>
        </w:tc>
      </w:tr>
      <w:tr>
        <w:trPr/>
        <w:tc>
          <w:tcPr>
            <w:tcW w:w="16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19,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0.9317 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March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20,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0.9899 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6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Distributions on Sunoco LP’s Series A Preferred Units were as follows:</w:t>
      </w:r>
    </w:p>
    <w:tbl>
      <w:tblPr>
        <w:tblW w:w="4761" w:type="dxa"/>
        <w:jc w:val="left"/>
        <w:tblInd w:w="0" w:type="dxa"/>
        <w:tblLayout w:type="fixed"/>
        <w:tblCellMar>
          <w:top w:w="28" w:type="dxa"/>
          <w:left w:w="28" w:type="dxa"/>
          <w:bottom w:w="28" w:type="dxa"/>
          <w:right w:w="28" w:type="dxa"/>
        </w:tblCellMar>
      </w:tblPr>
      <w:tblGrid>
        <w:gridCol w:w="471"/>
        <w:gridCol w:w="415"/>
        <w:gridCol w:w="418"/>
        <w:gridCol w:w="109"/>
        <w:gridCol w:w="109"/>
        <w:gridCol w:w="109"/>
        <w:gridCol w:w="109"/>
        <w:gridCol w:w="109"/>
        <w:gridCol w:w="464"/>
        <w:gridCol w:w="464"/>
        <w:gridCol w:w="466"/>
        <w:gridCol w:w="109"/>
        <w:gridCol w:w="109"/>
        <w:gridCol w:w="109"/>
        <w:gridCol w:w="211"/>
        <w:gridCol w:w="826"/>
        <w:gridCol w:w="154"/>
      </w:tblGrid>
      <w:tr>
        <w:trPr/>
        <w:tc>
          <w:tcPr>
            <w:tcW w:w="471"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Record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Payment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Rate</w:t>
            </w:r>
          </w:p>
        </w:tc>
      </w:tr>
      <w:tr>
        <w:trPr/>
        <w:tc>
          <w:tcPr>
            <w:tcW w:w="13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March 2,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March 18,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39.3800 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USAC Cash Distributions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Distributions on USAC’s common units declared and/or paid by USAC subsequent to December 31, 2025 were as follows:</w:t>
      </w:r>
    </w:p>
    <w:tbl>
      <w:tblPr>
        <w:tblW w:w="5249" w:type="dxa"/>
        <w:jc w:val="left"/>
        <w:tblInd w:w="0" w:type="dxa"/>
        <w:tblLayout w:type="fixed"/>
        <w:tblCellMar>
          <w:top w:w="28" w:type="dxa"/>
          <w:left w:w="28" w:type="dxa"/>
          <w:bottom w:w="28" w:type="dxa"/>
          <w:right w:w="28" w:type="dxa"/>
        </w:tblCellMar>
      </w:tblPr>
      <w:tblGrid>
        <w:gridCol w:w="613"/>
        <w:gridCol w:w="539"/>
        <w:gridCol w:w="542"/>
        <w:gridCol w:w="109"/>
        <w:gridCol w:w="109"/>
        <w:gridCol w:w="109"/>
        <w:gridCol w:w="109"/>
        <w:gridCol w:w="109"/>
        <w:gridCol w:w="109"/>
        <w:gridCol w:w="109"/>
        <w:gridCol w:w="494"/>
        <w:gridCol w:w="494"/>
        <w:gridCol w:w="496"/>
        <w:gridCol w:w="109"/>
        <w:gridCol w:w="109"/>
        <w:gridCol w:w="109"/>
        <w:gridCol w:w="211"/>
        <w:gridCol w:w="616"/>
        <w:gridCol w:w="154"/>
      </w:tblGrid>
      <w:tr>
        <w:trPr/>
        <w:tc>
          <w:tcPr>
            <w:tcW w:w="613"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Quarter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Payment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Rate</w:t>
            </w:r>
          </w:p>
        </w:tc>
      </w:tr>
      <w:tr>
        <w:trPr/>
        <w:tc>
          <w:tcPr>
            <w:tcW w:w="16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6,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0.525 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March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8,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6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120" w:after="283"/>
        <w:ind w:left="0" w:right="0" w:hanging="360"/>
        <w:jc w:val="both"/>
        <w:rPr/>
      </w:pPr>
      <w:hyperlink w:anchor="i5e1c82de0c41484c87a001ffe0af493e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Accumulated Other Comprehensive Income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components of AOCI, net of tax:</w:t>
      </w:r>
    </w:p>
    <w:tbl>
      <w:tblPr>
        <w:tblW w:w="8156" w:type="dxa"/>
        <w:jc w:val="left"/>
        <w:tblInd w:w="0" w:type="dxa"/>
        <w:tblLayout w:type="fixed"/>
        <w:tblCellMar>
          <w:top w:w="28" w:type="dxa"/>
          <w:left w:w="28" w:type="dxa"/>
          <w:bottom w:w="28" w:type="dxa"/>
          <w:right w:w="28" w:type="dxa"/>
        </w:tblCellMar>
      </w:tblPr>
      <w:tblGrid>
        <w:gridCol w:w="2043"/>
        <w:gridCol w:w="1798"/>
        <w:gridCol w:w="1799"/>
        <w:gridCol w:w="288"/>
        <w:gridCol w:w="493"/>
        <w:gridCol w:w="149"/>
        <w:gridCol w:w="109"/>
        <w:gridCol w:w="109"/>
        <w:gridCol w:w="109"/>
        <w:gridCol w:w="364"/>
        <w:gridCol w:w="626"/>
        <w:gridCol w:w="269"/>
      </w:tblGrid>
      <w:tr>
        <w:trPr/>
        <w:tc>
          <w:tcPr>
            <w:tcW w:w="2043" w:type="dxa"/>
            <w:tcBorders/>
            <w:vAlign w:val="center"/>
          </w:tcPr>
          <w:p>
            <w:pPr>
              <w:pStyle w:val="TableContents"/>
              <w:bidi w:val="0"/>
              <w:spacing w:before="0" w:after="283"/>
              <w:jc w:val="left"/>
              <w:rPr>
                <w:sz w:val="4"/>
                <w:szCs w:val="4"/>
              </w:rPr>
            </w:pPr>
            <w:r>
              <w:rPr>
                <w:sz w:val="4"/>
                <w:szCs w:val="4"/>
              </w:rPr>
            </w:r>
          </w:p>
        </w:tc>
        <w:tc>
          <w:tcPr>
            <w:tcW w:w="1798" w:type="dxa"/>
            <w:tcBorders/>
            <w:vAlign w:val="center"/>
          </w:tcPr>
          <w:p>
            <w:pPr>
              <w:pStyle w:val="TableContents"/>
              <w:bidi w:val="0"/>
              <w:spacing w:before="0" w:after="283"/>
              <w:jc w:val="left"/>
              <w:rPr>
                <w:sz w:val="4"/>
                <w:szCs w:val="4"/>
              </w:rPr>
            </w:pPr>
            <w:r>
              <w:rPr>
                <w:sz w:val="4"/>
                <w:szCs w:val="4"/>
              </w:rPr>
            </w:r>
          </w:p>
        </w:tc>
        <w:tc>
          <w:tcPr>
            <w:tcW w:w="179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r>
      <w:tr>
        <w:trPr/>
        <w:tc>
          <w:tcPr>
            <w:tcW w:w="5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val="false"/>
                <w:color w:val="000000"/>
                <w:sz w:val="20"/>
              </w:rPr>
            </w:pPr>
            <w:r>
              <w:rPr>
                <w:rFonts w:ascii="Times New Roman;serif" w:hAnsi="Times New Roman;serif"/>
                <w:b w:val="false"/>
                <w:color w:val="000000"/>
                <w:sz w:val="20"/>
              </w:rPr>
              <w:t>December 31,</w:t>
              <w:br/>
              <w:t>2025</w:t>
            </w:r>
          </w:p>
        </w:tc>
      </w:tr>
      <w:tr>
        <w:trPr/>
        <w:tc>
          <w:tcPr>
            <w:tcW w:w="5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Available-for-sale securities</w:t>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w:t>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26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Actuarial gains related to pensions and other postretirement benefits</w:t>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26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 in unconsolidated affiliates, net</w:t>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0" w:type="dxa"/>
            <w:gridSpan w:val="3"/>
            <w:tcBorders/>
            <w:vAlign w:val="center"/>
          </w:tcPr>
          <w:p>
            <w:pPr>
              <w:pStyle w:val="TableContents"/>
              <w:bidi w:val="0"/>
              <w:spacing w:before="0" w:after="283"/>
              <w:jc w:val="left"/>
              <w:rPr>
                <w:sz w:val="4"/>
                <w:szCs w:val="4"/>
              </w:rPr>
            </w:pPr>
            <w:r>
              <w:rPr>
                <w:sz w:val="4"/>
                <w:szCs w:val="4"/>
              </w:rPr>
            </w:r>
          </w:p>
        </w:tc>
        <w:tc>
          <w:tcPr>
            <w:tcW w:w="9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r>
        <w:trPr/>
        <w:tc>
          <w:tcPr>
            <w:tcW w:w="5640" w:type="dxa"/>
            <w:gridSpan w:val="3"/>
            <w:tcBorders/>
            <w:vAlign w:val="center"/>
          </w:tcPr>
          <w:p>
            <w:pPr>
              <w:pStyle w:val="TableContents"/>
              <w:bidi w:val="0"/>
              <w:spacing w:before="0" w:after="283"/>
              <w:jc w:val="left"/>
              <w:rPr>
                <w:sz w:val="4"/>
                <w:szCs w:val="4"/>
              </w:rPr>
            </w:pPr>
            <w:r>
              <w:rPr>
                <w:sz w:val="4"/>
                <w:szCs w:val="4"/>
              </w:rPr>
            </w:r>
          </w:p>
        </w:tc>
        <w:tc>
          <w:tcPr>
            <w:tcW w:w="9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r>
        <w:trPr/>
        <w:tc>
          <w:tcPr>
            <w:tcW w:w="5640" w:type="dxa"/>
            <w:gridSpan w:val="3"/>
            <w:tcBorders/>
            <w:vAlign w:val="center"/>
          </w:tcPr>
          <w:p>
            <w:pPr>
              <w:pStyle w:val="TableContents"/>
              <w:bidi w:val="0"/>
              <w:spacing w:before="0" w:after="283"/>
              <w:jc w:val="left"/>
              <w:rPr>
                <w:sz w:val="4"/>
                <w:szCs w:val="4"/>
              </w:rPr>
            </w:pPr>
            <w:r>
              <w:rPr>
                <w:sz w:val="4"/>
                <w:szCs w:val="4"/>
              </w:rPr>
            </w:r>
          </w:p>
        </w:tc>
        <w:tc>
          <w:tcPr>
            <w:tcW w:w="9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5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AOCI included in partners’ capital, net of tax</w:t>
            </w:r>
          </w:p>
        </w:tc>
        <w:tc>
          <w:tcPr>
            <w:tcW w:w="2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1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2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ind w:left="0" w:right="0" w:hanging="360"/>
        <w:jc w:val="both"/>
        <w:rPr/>
      </w:pPr>
      <w:r>
        <w:rPr>
          <w:rFonts w:ascii="Times New Roman;serif" w:hAnsi="Times New Roman;serif"/>
          <w:b/>
          <w:color w:val="000000"/>
          <w:sz w:val="20"/>
        </w:rPr>
        <w:t>10.</w:t>
      </w:r>
      <w:r>
        <w:rPr>
          <w:rFonts w:ascii="Times New Roman;serif" w:hAnsi="Times New Roman;serif"/>
          <w:b/>
          <w:color w:val="000000"/>
          <w:sz w:val="20"/>
          <w:u w:val="single"/>
        </w:rPr>
        <w:t>REGULATORY MATTERS, COMMITMENTS, CONTINGENCIES AND ENVIRONMENTAL LIABILITIES</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FERC Proceedings</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Rover – FERC – Stoneman House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late 2016, FERC Enforcement Staff began a non-public investigation related to Rover’s purchase and removal of a potentially historic home (known as the Stoneman House) while Rover’s application for permission to construct the new 711-mile interstate natural gas pipeline and related facilities was pending. On March 18, 2021, FERC issued an Order to Show Cause and Notice of Proposed Penalty (Docket No. IN19-4-000), ordering Rover to explain why it should not pay a $20 million civil penalty for alleged violations of FERC regulations requiring certificate holders to be forthright in their submissions of information to the FERC. Rover filed its answer and denial to the order on June 21, 2021 and a surreply on September 15, 2021. FERC issued an order on January 20, 2022 setting the matter for hearing before an administrative law judge. The hearing was set to commence on March 6, 2023; as explained below, this FERC proceeding has been stayed.</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On February 1, 2022, Energy Transfer and Rover filed a Complaint for Declaratory Relief in the U. S. District Court for the Northern District of Texas (the “Federal District Court”) seeking an order declaring that FERC must bring its enforcement action in federal district court (instead of before an administrative law judge). Also on February 1, 2022, Energy Transfer and Rover filed an expedited request to stay the proceedings before the FERC administrative law judge pending the outcome of the Federal District Court case. On May 24, 2022, the Federal District Court ordered a stay of the FERC’s enforcement case and the Federal District Court case pending the resolution of two cases pending before the U. S. Supreme Court. Arguments were heard in those cases on November 7, 2022. On April 14, 2023, the United States Supreme Court held against the government in both cases, finding that the federal district courts had jurisdiction to hear those suits and to resolve the parties’ constitutional challenges. The cases were remanded to the federal district courts for further proceedings.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On September 13, 2023, the Federal District Court ordered that the Federal District Court case would be stayed pending the resolution of another case pending before the U. S. Supreme Court and that the FERC enforcement case would remain stayed. On November 13, 2023, the FERC appealed the Federal District Court order to the United States Court of Appeals for the Fifth Circuit. On December 11, 2023, FERC filed a motion to withdraw that appeal, which the Fifth Circuit granted on December 12, 2023. The FERC and the Federal District Court proceedings were stayed pending resolution of the case pending before the U. S. Supreme Court. The Federal District Court set a status conference for December 16, 2025. The parties filed a motion to continue the status conference on December 10, 2025 and on January 20, 2026 to extend the status conference to mid-February 2026. At the Department of Justice’s request, the parties requested that the court extend the status conference again to March 2026 for the purposes of the parties engaging in settlement discussions. The Federal District Court subsequently extended the status conference a fourth time to April 10, 2026. Most recently, the Federal District Court extended the status conference again to May 26, 2026 to permit additional time for settlement discussions. Notwithstanding the foregoing, Energy Transfer and Rover intend to vigorously defend against this claim.</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Rover – FERC – Tuscarawas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 mid-2017, FERC Enforcement Staff began a non-public investigation regarding allegations that diesel fuel may have been included in the drilling mud at the Tuscarawas River horizontal directional drilling (“HDD”) operations. Rover and the Partnership are cooperating with the investigation. In 2019, Enforcement Staff provided Rover with a notice pursuant to Section 1b.19 of the FERC regulations that Enforcement Staff intended to recommend that the FERC pursue an enforcement action against Rover and the Partnership. On December 16, 2021, FERC issued an Order to Show Cause and Notice of Proposed Penalty (Docket No. IN17-4-000), ordering Rover and Energy Transfer to show cause why they should not be found to have violated Section 7(e) of the NGA, Section 157.20 of FERC’s regulations, and the Rover Pipeline Certificate Order, and assessed civil penalties of $40 million.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120" w:after="283"/>
        <w:ind w:left="0" w:right="0" w:hanging="360"/>
        <w:jc w:val="both"/>
        <w:rPr/>
      </w:pPr>
      <w:hyperlink w:anchor="i5e1c82de0c41484c87a001ffe0af493e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Rover and Energy Transfer filed their answer to this order on March 21, 2022, and Enforcement Staff filed a reply on April 20, 2022. Rover and Energy Transfer filed their surreply to this order on May 13, 2022. FERC has taken no further action on the case since that time.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primary contractor (and one of the subcontractors) responsible for the HDD operations of the Tuscarawas River site have agreed to indemnify Rover and the Partnership for any and all losses, including any fines and penalties from government agencies, resulting from their actions in conducting such HDD operations. Given the stage of the proceedings, the Partnership is unable at this time to provide an assessment of the potential outcome or range of potential liability, if any; however, the Partnership believes the indemnity described above will be applicable to the penalty proposed by Enforcement Staff and intends to vigorously defend itself against the subject claims.</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Other FERC Proceedings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By an order issued on January 16, 2019, the FERC initiated a review of Panhandle’s then existing rates pursuant to Section 5 of the NGA to determine whether the rates charged by Panhandle are just and reasonable and set the matter for hearing. On August 30, 2019, Panhandle filed a general rate proceeding under Section 4 of the NGA. The NGA Section 5 and Section 4 proceedings were consolidated by order of the Chief Judge on October 1, 2019. The initial decision by the administrative law judge was issued on March 26, 2021, and on December 16, 2022, the FERC issued its order on the initial decision. On January 17, 2023, Panhandle and the Michigan Public Service Commission each filed a request for rehearing of FERC’s order on the initial decision, which were denied by operation of law as of February 17, 2023. On March 23, 2023, Panhandle appealed these orders to the D. C. Circuit, and the Michigan Public Service Commission also subsequently appealed these orders. On April 25, 2023, the D. C. Circuit consolidated Panhandle’s and Michigan Public Service Commission’s appeals and stayed the consolidated appeal proceeding while the FERC further considered the requests for rehearing of its December 16, 2022 order. On September 25, 2023, the FERC issued its order addressing arguments raised on rehearing and compliance, which denied our requests for rehearing. Panhandle filed its Petition for Review with the D. C. Circuit regarding the September 25, 2023 order. On October 25, 2023, Panhandle filed a limited request for rehearing of the September 25 order addressing arguments raised on rehearing and compliance, which was subsequently denied by operation of law on November 27, 2023. On November 17, 2023, Panhandle provided refunds to shippers and on November 30, 2023, Panhandle submitted a refund report regarding the consolidated rate proceedings, which was protested by several parties. On January 5, 2024, the FERC issued a second order addressing arguments raised on rehearing in which it modified certain discussion from its September 25, 2023 order and sustained its prior conclusions. Panhandle has timely filed its Petition for Review with the D. C. Circuit regarding the January 5, 2024 order. On May 28, 2024, the FERC issued an order rejecting Panhandle’s refund report. On June 27, 2024, Panhandle filed a revised refund report in compliance with the FERC’s May 28, 2024 order rejecting Panhandle’s refund report and a request for rehearing of the FERC’s May 28, 2024 order rejecting Panhandle’s refund report, and provided revised refunds to shippers, or in the case of shippers whose revised refunds are less than the original amounts refunded, notices of upcoming debits. One party protested Panhandle’s revised refund report, and Panhandle submitted a response to the protest on July 24, 2024. By notice issued July 29, 2024, Panhandle’s rehearing request was deemed denied. In an order issued September 9, 2024, FERC addressed arguments raised on rehearing, modified the discussion in the May 28, 2024 order and continued to reach the same result. On September 18, 2024, Panhandle petitioned the D. C. Circuit for review of the September 9, 2024, July 29, 2024, and May 28, 2024 orders. On December 5, 2024, the FERC issued an order rejecting Panhandle’s June 27, 2024, refund report, ordering a corrected refund report and directing the issuance of additional refunds. On January 3, 2025, Panhandle submitted an adjusted refund report as well as a request for rehearing of the FERC’s December 5, 2024 order. The FERC approved the adjusted refund report by letter order dated January 23, 2025. On February 3, 2025, the FERC issued a Notice of Denial of Rehearing by Operation of Law and Providing for Further Consideration. On March 24, 2025, Panhandle petitioned the D. C. Circuit for review of the December 5, 2024 and February 3, 2025 orders. On April 4, 2025, the FERC issued an Order on Rehearing and Clarification. On May 16, 2025, Panhandle petitioned the D.C. Circuit for review of the April 4, 2025 order. On May 19, 2025, the D.C. Circuit consolidated all cases before it and placed the consolidated cases in abeyance pending further order of the D.C. Circuit. On August 12, 2025, the D.C. Circuit issued an order returning all cases to the court’s active docket and issued a briefing schedule. Panhandle filed its initial brief on November 10, 2025, FERC filed its brief on February 9, 2026, intervenors filed their brief on February 23, 2026, and Panhandle filed its reply brief on March 16, 2026.</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Commitments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the normal course of business, Energy Transfer purchases, processes and sells natural gas pursuant to long-term contracts and enters into long-term transportation and storage agreements. Such contracts contain terms that are customary in the industry. Energy Transfer believes that the terms of these agreements are commercially reasonable and will not have a material adverse effect on the Partnership’s financial position or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120" w:after="283"/>
        <w:ind w:left="0" w:right="0" w:hanging="360"/>
        <w:jc w:val="both"/>
        <w:rPr/>
      </w:pPr>
      <w:hyperlink w:anchor="i5e1c82de0c41484c87a001ffe0af493e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Our joint venture agreements require that we fund our proportionate share of capital contributions to our unconsolidated affiliates. Such contributions will depend upon the unconsolidated affiliates’ capital requirements, such as for funding capital projects or repayment of long-term obligations.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have certain non-cancelable rights-of-way (“ROW”) commitments which require fixed payments and either expire upon our chosen abandonment or at various dates in the future. During the three months ended March 31, 2026 and 2025, the Partnership recorded $15 million and $16 million, respectively, of ROW expense, which are included in operating expenses in the consolidated statements of operations.</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Litigation and Contingencies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may, from time to time, be involved in litigation and claims arising out of our operations in the normal course of business. Due to the flammable and combustible nature of natural gas and crude oil, the potential exists for personal injury and/or property damage to occur in connection with their transportation, storage or use. In the ordinary course of business, we are sometimes threatened with or named as a defendant in various lawsuits seeking actual and punitive damages for product liability, personal injury and property damage. We maintain liability insurance with insurers in amounts and with coverage and deductibles management believes are reasonable and prudent, and which are generally accepted in the industry. However, there can be no assurance that the levels of insurance protection currently in effect will continue to be available at reasonable prices or that such levels will remain adequate to protect us from material expenses related to product liability, personal injury or property damage in the future.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or our subsidiaries are parties to various legal proceedings, arbitrations and/or regulatory proceedings incidental to our businesses. For each of these matters, we evaluate the merits of the case, our exposure to the matter, possible legal or settlement strategies, the likelihood of an unfavorable outcome and the availability of insurance coverage. If we determine that an unfavorable outcome of a particular matter is probable and can be estimated, we accrue the contingent obligation, as well as any expected insurance recoverable amounts related to the contingency. As new information becomes available, our estimates may change. The impact of these changes may have a significant effect on our results of operations in a single period.</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As of March 31, 2026 and December 31, 2025, accruals of approximately $268 million and $324 million, respectively, were reflected on our consolidated balance sheets related to contingent obligations that met both the probable and reasonably estimable criteria. In addition, we may recognize additional contingent losses in the future related to (i) contingent matters for which a loss is currently considered reasonably possible but not probable and/or (ii) losses in excess of amounts that have already been accrued for such contingent matters. In some of these cases, we are not able to estimate possible losses or a range of possible losses in excess of amounts accrued. For such matters where additional contingent losses can be reasonably estimated, the range of additional losses is estimated to be up to approximately $58 million.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outcome of these matters cannot be predicted with certainty and there can be no assurance that the outcome of a particular matter will not result in the payment of amounts that have not been accrued for the matter. Furthermore, we may revise accrual amounts or our estimates of reasonably possible losses prior to resolution of a particular contingency based on changes in facts and circumstances or changes in the expected outcome.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following sections include descriptions of certain matters that could impact the Partnership’s financial position, results of operations and/or cash flows in future periods. The following sections also include updates to certain matters that have previously been disclosed, even if those matters are not anticipated to have a potentially significant impact on future periods. In addition to the matters disclosed in the following sections, the Partnership is also involved in multiple other matters that could impact future periods, including other lawsuits and arbitration related to the Partnership’s commercial agreements. With respect to such matters, contingencies that met both the probable and reasonably estimable criteria have been included in the accruals disclosed above, and the range of additional losses disclosed above also reflects any relevant amounts for such matters.</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 xml:space="preserve">Dakota Access Pipeline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On July 27, 2016, the Standing Rock Sioux Tribe (“SRST”) filed a lawsuit in the U. S. District Court for the District of Columbia (“District Court”) challenging permits issued by the United States Army Corps of Engineers (“USACE”) that allowed Dakota Access to cross the Missouri River at Lake Oahe in North Dakota. The case was subsequently amended to challenge an easement issued by the USACE that allowed the pipeline to cross land owned by the USACE adjacent to the Missouri River. Dakota Access and the Cheyenne River Sioux Tribe (“CRST”) intervened. Separate lawsuits filed by the Oglala Sioux Tribe (“OST”) and the Yankton Sioux Tribe (“YST”) were consolidated with this action and several individual tribal members intervened (collectively, with SRST and CRST, the “Tribes”). On March 25, 2020, the D. C. District Court remanded the case back to the USACE for preparation of an Environment Impact Statement (“EIS”). On July 6, 2020, the D. C. District Court vacated the easement and ordered the Dakota Access Pipeline to be shut down and emptied of oil by August 5, 2020. Dakota Access and the USACE appealed to the D. C. Circuit which granted an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120" w:after="283"/>
        <w:ind w:left="0" w:right="0" w:hanging="360"/>
        <w:jc w:val="both"/>
        <w:rPr/>
      </w:pPr>
      <w:hyperlink w:anchor="i5e1c82de0c41484c87a001ffe0af493e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administrative stay of the District Court’s July 6 order and ordered further briefing on whether to fully stay the July 6 order. On August 5, 2020, the D. C. Circuit (1) granted a stay of the portion of the D. C. District Court order that required Dakota Access to shut the pipeline down and empty it of oil, (2) denied a motion to stay the March 25 order pending a decision on the merits by the D. C. Circuit as to whether the USACE would be required to prepare an EIS and (3) denied a motion to stay the D. C. District Court’s order to vacate the easement during this appeal process. The August 5 order also states that the D. C. Circuit expected the USACE to clarify its position with respect to whether the USACE intended to allow the continued operation of the pipeline notwithstanding the vacatur of the easement and that the D. C. District Court may consider additional relief, if necessary.</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On August 10, 2020, the D. C. District Court ordered the USACE to submit a status report by August 31, 2020, clarifying its position with regard to its decision-making process with respect to the continued operation of the pipeline. On August 31, 2020, the USACE submitted a status report that indicated that it considered the presence of the pipeline at the Lake Oahe crossing without an easement to constitute an encroachment on federal land, and that it was still considering whether to exercise its enforcement discretion regarding this encroachment. The Tribes subsequently filed a motion seeking an injunction to stop the operation of the pipeline and both the USACE and Dakota Access filed briefs in opposition of the motion for injunction. The motion for injunction was fully briefed as of January 8, 2021.</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On January 26, 2021, the D. C. Circuit affirmed the D. C. District Court’s March 25, 2020 order requiring an EIS and its July 6, 2020 order vacating the easement. In this same January 26 order, the D. C. Circuit also overturned the D. C. District Court’s July 6, 2020 order that the pipeline shut down and be emptied of oil. Dakota Access filed for rehearing en banc on April 12, 2021, which the D. C. Circuit denied. On September 20, 2021, Dakota Access filed a petition with the U.S. Supreme Court to hear the case. Oppositions were filed by the Solicitor General on December 17, 2021 and the Tribes (December 16, 2021). Dakota Access filed their reply on January 4, 2022. On February 22, 2022, the U.S. Supreme Court declined to hear the case.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D. C. District Court scheduled a status conference for February 10, 2021 to discuss the effects of the D. C. Circuit’s January 26, 2021 order on the pending motion for injunctive relief, as well as the USACE’s expectations as to how it will proceed regarding its enforcement discretion regarding the easement. On May 3, 2021, the USACE advised the D. C. District Court that it had not changed its position with respect to its opposition to the Tribes’ motion for injunction. On May 21, 2021, the D. C. District Court denied the plaintiffs’ request for an injunction. On June 22, 2021, the D. C. District Court terminated the consolidated lawsuits and dismissed all remaining outstanding counts without prejudice.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On September 8, 2023, the USACE published the Draft EIS. Comments on the Draft EIS were due on December 13, 2023. In December 2025, the USACE issued a Final EIS concluding that the USACE’s preferred alternative is that the USACE reissue its easement to DAPL subject to additional easement conditions. The USACE has not yet issued a Record of Decision with DAPL’s easement but is expected to issue in 2026. The pipeline continues to operate. Energy Transfer cannot determine when or how future lawsuits will be resolved or the impact they may have on the Bakken Pipeline; however, Energy Transfer expects that after the law and complete record are fully considered, any such proceeding will be resolved in a manner that will allow the pipeline to continue to operate.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lawsuits and/or regulatory proceedings or actions of this or a similar nature could result in interruptions to construction or operations of current or future projects, delays in completing those projects and/or increased project costs, all of which could have an adverse effect on our business and results of operations. </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Standing Rock Sioux Tribe in Federal Court in District of Columbia</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Dakota Access is the subject of litigation in the D. C. District Court. The Standing Rock Sioux Tribe (“SRST”) sued the United States Army Corps of Engineers (“USACE”) arguing that the USACE’s alleged failure to stop Dakota Access from operating violates numerous laws, including the Mineral Leasing Act, the Government Acquisition and Streamlining Act, NEPA, the Clean Water Act, the National Historic Preservation Act, the Administrative Procedure Act as well as the 1868 Fort Laramie Treaty. The SRST requests a permanent injunction or writ of mandamus that would compel the USACE to shut Dakota Access down pending the completion of the USACE’s Environmental Impact Statement (“EIS”) and decision on whether to grant Dakota Access an easement under the Mineral Leasing Act.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On October 15, 2024, the SRST filed the above referenced complaint. A summons to the USACE was issued on October 17, 2024. Dakota Access, the state of North Dakota and numerous other states have intervened in the lawsuit in support of the USACE.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On January 17, 2025, the USACE, Dakota Access and state intervenors (including North Dakota and thirteen other states) each filed a motion to dismiss all of the claims in the new SRST litigation. Also, on January 17, 2025, the SRST filed a motion for partial summary judgment on certain of their claims. Briefing on the motions to dismiss is complete. The D. C. District Court has held briefing on the motion for partial summary judgment in abeyance pending the D. C. District Court’s decision on the motions to dismiss. On March 28, 2025, the D. C. District Court granted the motions to dismiss. On May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120" w:after="283"/>
        <w:ind w:left="0" w:right="0" w:hanging="360"/>
        <w:jc w:val="both"/>
        <w:rPr/>
      </w:pPr>
      <w:hyperlink w:anchor="i5e1c82de0c41484c87a001ffe0af493e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27, 2025, the SRST appealed the dismissal to the D.C. Circuit. Briefing at the D.C. Circuit is currently underway. Dakota Access intends to vigorously defend against this claim.</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 xml:space="preserve">Williams Antitrust Litigation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On June 28, 2024, Louisiana Energy Gateway LLC, The Williams Companies, Inc., and Williams Fields Services Group, LLC (collectively, “Williams”) filed a Petition for Damages against Energy Transfer and Gulf Run Transmission, LLC (“Gulf Run”) in the 42nd Judicial District Court, Parish of DeSoto, State of Louisiana (“District Court”), alleging that Energy Transfer and/or Gulf Run have monopolized, conspired to monopolize, and/or attempted to monopolize the relevant product and geographic market for the movement of natural gas from the Haynesville Shale in northwestern Louisiana south to natural gas facilities in the Louisiana Gulf Coast (the “Relevant Market”), engaged in acquisitions that have directly enabled and incentivized to substantially lessen competition, and engaged in unfair methods of competition and unfair trade practices.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On September 16, 2024, Energy Transfer and Gulf Run removed the case to the U.S. District Court for the Western District of Louisiana (“Federal Court”). On October 4, 2024, Williams filed a Motion to Remand with the Federal Court, seeking to remand the case back to the District Court. On October 21, 2024, Energy Transfer and Gulf Run filed a consent to remand based on a subsequent change in circumstances. After the case was remanded, on November 18, 2024, Energy Transfer and Gulf Run filed a Peremptory Exception of No Cause, asserting that Williams failed to state a cause of action. The Peremptory Exception was heard on February 10, 2025 and denied. The District Court initially set the case for trial on September 14, 2026, but indicated that trial will be continued to 2027.</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 xml:space="preserve">Mont Belvieu Incident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On June 26, 2016, a hydrocarbon storage well located on another operator’s facility adjacent to Lone Star NGL Mont Belvieu LP’s (“Lone Star,” now known as Energy Transfer Mont Belvieu NGLs LP) facilities in Mont Belvieu, Texas experienced an over-pressurization resulting in a subsurface release. The subsurface release caused a fire at Lone Star’s South Terminal and damage to Lone Star’s storage well operations at its South and North Terminals. Normal operations resumed at the facilities in the fall of 2016, with the exception of one of Lone Star’s storage wells at the North Terminal that has not been returned to service. Lone Star has obtained payment for most of the losses it has submitted to the adjacent operator. Lone Star continues to quantify and seek reimbursement for outstanding losses.</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 xml:space="preserve">MTBE Litigation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ETC Sunoco and Energy Transfer R&amp;M (collectively, “Sunoco Defendants”) are defendants in lawsuits alleging methyl tertiary butyl ether (“MTBE”) contamination of groundwater. The plaintiffs, state-level governmental entities, assert product liability, nuisance, trespass, negligence, violation of environmental laws and/or deceptive business practices claims. The plaintiffs seek to recover compensatory damages, and in some cases also seek natural resource damages, injunctive relief, punitive damages and attorneys’ fees.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As of March 31, 2026, Sunoco Defendants are defendants in two cases: one case initiated by the State of Maryland and one by the Commonwealth of Pennsylvania. The actions brought also named ETO, ETP Holdco Corporation and Sunoco Partners Marketing &amp; Terminals L.P., now known as Energy Transfer Marketing &amp; Terminals L.P, as defendants. ETP Holdco Corporation and Energy Transfer Marketing &amp; Terminals L.P. are wholly owned subsidiaries of Energy Transfer.</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It is reasonably possible that a loss may be realized in the remaining cases; however, we are unable to estimate the possible loss or range of loss in excess of amounts accrued. An adverse determination with respect to one or more of the MTBE cases could have a significant impact on results of operations during the period in which any such adverse determination occurs, but such an adverse determination likely would not have a material adverse effect on the Partnership’s consolidated financial position.</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Unitholder Litigation Regarding Pipeline Construction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Various purported unitholders of Energy Transfer have filed derivative actions against various past and current officers and members of Energy Transfer’s Board of Directors, LE GP, LLC, and Energy Transfer, as a nominal defendant that assert claims for breach of fiduciary duties, unjust enrichment, waste of corporate assets, breach of Energy Transfer’s Partnership Agreement, tortious interference, abuse of control and gross mismanagement related primarily to matters involving the construction of pipelines in Pennsylvania and Ohio. They also seek damages and changes to Energy Transfer’s corporate governance structure. See Bettiol v. LE GP, Case No. 3:19-cv-02890-X (N.D. Tex.); Davidson v. Kelcy L. Warren, Cause No. DC-20-02322 (44th Judicial District of Dallas County, Texas); Harris v. Kelcy L. Warren, Case No. 2:20-cv-00364-GAM (E.D. Pa.); Barry King v. LE GP, Case No. 3:20-cv-00719-X (N.D. Tex.); Inter-Marketing Group USA, Inc. v. LE GP, et al., Case No. 2022-0139-SG (Del. Ch.); Elliot v. LE GP LLC, Case No. 3:22-cv-01527-B (N.D. Tex.); Chapa v. Kelcy L. Warren, et al., Index No. 611307/2022 (N.Y. Sup. Ct.); Elliott v. LE GP et al, Cause No. DC-22-14194 (Dallas County, Tex.); and Charles King v. LE GP, LLC et al, Cause No. DC-22-14159 (Dallas County, Texas). The Barry King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120" w:after="283"/>
        <w:ind w:left="0" w:right="0" w:hanging="360"/>
        <w:jc w:val="both"/>
        <w:rPr/>
      </w:pPr>
      <w:hyperlink w:anchor="i5e1c82de0c41484c87a001ffe0af493e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action that was filed in the U. S. District Court for the Northern District of Texas (Case No. 3:20-cv-00719-X) has been consolidated with the Bettiol action. On August 9, 2022, the Elliot action that was filed in the U. S. District Court for the Northern District of Texas (Case No. 3:22-cv-01527-B) was voluntarily dismissed.</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On June 3, 2022, another purported unitholder of Energy Transfer, Mike Vega, filed suit, purportedly on behalf of a class, against Energy Transfer and Messrs. Warren, Long, McCrea and Whitehurst. See Vega v. Energy Transfer LP et al., Case No. 1:22-cv-4614 (S.D.N.Y.). The action asserts claims for violations of Sections 10(b) and 20(a) of the Exchange Act and Rule 10b-5 promulgated thereunder related primarily to statements made in connection with the construction of Rover. On August 10, 2022, the court appointed the New Mexico State Investment Council and Public Employees Retirement Association of New Mexico (the “New Mexico Funds”) as lead plaintiffs. New Mexico Funds filed an amended complaint on September 30, 2022 and added as additional defendants Energy Transfer directors John W. McReynolds and Matthew S. Ramsey. On November 7, 2022, the court granted the defendants’ motion to transfer and transferred this action to the U. S. District Court for the Northern District of Texas. On January 27, 2023, the defendants filed their motion to dismiss the New Mexico Funds’ amended complaint.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defendants cannot predict the outcome of these lawsuits or any lawsuits that might be filed subsequent to the date of this filing, nor can the defendants predict the amount of time and expense that will be required to resolve these lawsuits. However, the defendants believe that the claims are without merit and intend to vigorously contest them.</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Cline Class Action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On July 7, 2017, Perry Cline filed a class action complaint in the Eastern District of Oklahoma (the “Eastern District Court”) against Sunoco, Inc. (R&amp;M), LLC (now known as Energy Transfer R&amp;M) and Energy Transfer Marketing &amp; Terminals L.P. (collectively, “ETMT”) that alleged ETMT failed to make timely payments of oil and gas proceeds from Oklahoma wells and to pay statutory interest for those untimely payments. On October 3, 2019, the Eastern District Court certified a class to include all persons who received untimely payments from Oklahoma wells on or after July 7, 2012, and who have not already been paid statutory interest on the untimely payments (the “Class”). Excluded from the Class are those entitled to payments of proceeds that qualify as “minimum pay,” prior period adjustments and pass through payments, as well as governmental agencies and publicly traded oil and gas companies.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After a bench trial, on August 17, 2020, Judge John Gibney (sitting from the Eastern District of Virginia) issued an opinion that awarded the Class actual damages of $75 million for late payment interest for identified and unidentified royalty owners and interest-on-interest. This amount was later amended to $81 million to account for interest accrued from trial (the “Order”). Judge Gibney also awarded punitive damages in the amount of $75 million. The Class is also seeking attorneys’ fees.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On August 27, 2020, ETMT filed its Notice of Appeal with the 10th Circuit Court of Appeals (“10th Circuit”) and appealed the entirety of the Order. The matter was fully briefed, and oral argument was set for November 15, 2021. However, on November 1, 2021, the 10th Circuit dismissed the appeal due to jurisdictional concerns with finality of the Order. En banc rehearing of this decision was denied on November 29, 2021. On December 1, 2021, ETMT filed a Petition for Writ of Mandamus to the 10th Circuit to correct the jurisdictional problems and secure final judgment. On February 2, 2022, the 10th Circuit denied the Petition for Writ of Mandamus, citing that there are other avenues for ETMT to obtain adequate relief. On February 10, 2022, ETMT filed a Motion to Modify the Plan of Allocation Order and Issue a Rule 58 Judgment with the trial court, requesting the Eastern District Court to enter a final judgment in compliance with the Rules. ETMT also filed an injunction with the trial court to enjoin all efforts by plaintiffs to execute on any non-final judgment. On March 31, 2022, Judge Gibney denied the Motion to Modify the Plan of Allocation, reiterating his thoughts that the order constitutes a final judgment. Judge Gibney granted the injunction in part (placing a hold on enforcement efforts for 60 days) and denied the injunction in part. The injunction has since been lifted.</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Despite the fact that ETMT has taken the position that the judgment is not final and not subject to execution, the Class engaged in asset discovery and actively tried to collect on the judgment through garnishment proceedings from ETMT’s customers. ETMT unsuccessfully tried to deposit the funds into the Eastern District Court’s Registry. Accordingly, to stop the garnishment proceedings, on December 2, 2022, ETMT wired approximately $161 million to the plaintiff’s approved Plan Administrator, which represented at the time the full amount of the judgment with attorneys’ fees and post-judgment interest. ETMT did so without waiving its ability to pursue its pending appeal or its right to appeal the merits of the judgment. Plaintiff has since dismissed the garnishment actions.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ETMT appealed the denial of the Motion to Modify to the 10th Circuit in an attempt to get a decision on finality. The appeal was fully briefed, and oral argument was held on March 21, 2023. On August 3, 2023, the 10th Circuit ruled in favor of ETMT and found that the Eastern District Court’s plan of allocation (which was part of the final judgment) did not satisfy all finality requirements. The 10th Circuit held that the district court abused its discretion in denying ETMT’s Rule 60(b)(6) Motion to Modify and reversed and remanded for further proceedings. The case was sent back to the trial court so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120" w:after="283"/>
        <w:ind w:left="0" w:right="0" w:hanging="360"/>
        <w:jc w:val="both"/>
        <w:rPr/>
      </w:pPr>
      <w:hyperlink w:anchor="i5e1c82de0c41484c87a001ffe0af493e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that the Eastern District Court could fix the finality requirements with the judgment. Further, ETMT sought and recovered a return of funds deposited with the Plan Administrator; Class Counsel did not oppose this motion.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At a status hearing on September 28, 2023, Class Counsel indicated that it would seek additional interest up until the date that the final judgment is entered. The Eastern District Court asked for briefing on the issue of additional interest and held a hearing on October 17, 2023 to address this issue further and enter a ruling as to whether additional interest should be added to the judgment total. During the hearing, the Eastern District Court ruled that additional interest should be awarded at the 12% statutory rate from the date of the prior improper judgment up until October 17, 2023. However, the Judge tolled the running of interest for the time period during which the Plan Administrator was in possession of ETMT’s funds (between November 2, 2022 and October 10, 2023). Based on this ruling, the Class calculated that approximately $23 million in additional interest should be added to the final judgment. On October 19, 2023, the District Court entered the new final judgment with a corrected Plan of Allocation. Both parties agree that this newly entered judgment fixes the finality concerns and will allow an appeal to the 10th Circuit on the merits. With the inclusion of additional interest, the total amount awarded to the Class is approximately $104 million in actual damages and $75 million in punitive damages. ETMT appealed the entirety of the judgment to the 10th Circuit. Oral argument took place on November 20, 2024. On November 17, 2025, the Tenth Circuit issued its opinion, reversing the issue of punitive damages and affirming the remainder of the district court’s findings and rulings. Specifically, the Tenth Circuit affirmed the district court’s orders granting class certification and denying post-trial class decertification, along with the orders determining the actual damages awarded to the Class, including pre-judgment interest. The Tenth Circuit, however, vacated the $75 million punitive damages award and remanded to the district court to amend the judgment consistent with this opinion.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On February 23, 2026, the District Court judge entered an amended Rule 58 Judgment Order, which removed punitive damages from the judgment. The Amended Judgment awarded plaintiffs $104 million in actual damages. Post judgment interest will also accrue from the date of the prior October 19, 2023 judgment. The parties have also stipulated that attorneys’ fees for class counsel would total $5 million if the judgment is ultimately affirmed on appeal.</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ETMT appealed the February 23, 2026 final judgment to the Tenth Circuit, seeking summary affirmance. The Tenth Circuit granted summary affirmance on March 30, 2026. ETMT intends to appeal this decision to the United States Supreme Court. ETMT cannot predict the outcome of the case, nor can ETMT predict the amount of time and expense that will be required to resolve the appeal. </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Massachusetts Attorney General v. New England Gas Company</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On July 7, 2011, the Massachusetts Attorney General (the “MA AG”) filed a regulatory complaint with the Massachusetts Department of Public Utilities (“DPU”) against New England Gas Company (“NEG”) with respect to certain environmental cost recoveries. NEG was an operating division of Southern Union Company (“SUG”), and the NEG assets were acquired in connection with the merger transaction with Energy Transfer in March 2012. Subsequent to the merger, in 2013, SUG sold the NEG assets to Liberty Utilities (“Liberty,” and together with NEG and SUG, “Respondents”) and retained certain potential liabilities, including the environmental cost recoveries with respect to the pending complaint before the DPU. Specifically, the MA AG seeks a refund to NEG’s ratepayers for approximately $18 million in legal fees associated with SUG environmental response activities. The MA AG requests that the DPU initiate an investigation into NEG’s collection and reconciliation of recoverable environmental costs, namely: (1) the legal fees charged by the Kasowitz, Benson, Torres &amp; Friedman firm and passed through the recovery mechanism since 2005; (2) the legal fees charged by the Bishop, London &amp; Dodds firm and passed through the recovery mechanisms since 2005; and (3) the legal fees passed through the recovery mechanism that the MA AG contends only qualify for a lesser (i.e., 50%) level of recovery. Respondents maintain that, by tariff, these costs are recoverable through rates charged to NEG customers pursuant to the environmental remediation adjustment clause program. After the Respondents answered the complaint and filed a motion to dismiss in 2011, the Hearing Officer deferred decision on the motion to dismiss and issued a stay of discovery pending resolution of a discovery dispute, which it later lifted on June 24, 2013, permitting the case to resume. However, the MA AG failed to take any further steps to prosecute its claims for nearly seven years. The case remained largely dormant until February 2022, when the Hearing Officer denied the motion to dismiss. After receiving input from the parties, the Hearing Officer entered a procedural schedule on March 16, 2022 (which was amended slightly on August 22, 2022). The parties engaged in discovery and the preparation of pre-filed testimony. Respondents submitted their pre-filed testimony on July 11, 2022. The MA AG served three sets of discovery requests on Respondents on September 9, September 12, and September 20, 2022, to which Respondents timely responded. On October 5, 2022, the MA AG requested that the DPU issue a ruling on whether the information that Respondents redacted in their attorneys’ fees invoices is protected by the attorney-client privilege. On the same day, the MA AG also filed a Motion to Stay the Procedural Schedule pending a ruling on the privilege issue. On October 6, 2022, without even affording Respondents the opportunity to respond, the DPU granted the MA AG’s request to stay the procedural schedule. Accordingly, all previous deadlines (including the MA AG’s October 7, 2022, deadline to submit direct pre-filed testimony) are presently stayed. On October 18, 2023, the DPU issued an Order on Attorney General’s Motion to Compel, ruling on issues originally raised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120" w:after="283"/>
        <w:ind w:left="0" w:right="0" w:hanging="360"/>
        <w:jc w:val="both"/>
        <w:rPr/>
      </w:pPr>
      <w:hyperlink w:anchor="i5e1c82de0c41484c87a001ffe0af493e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 motion to compel that the MA AG filed in 2013. The October 18, 2023 Order directed NEG to review its redactions again and, to the extent any invoices are completely redacted or heavily redacted, to provide more lightly redacted versions within 30 days. The October 18, 2023 Order also stated that the DPU will set a new procedural schedule in this matter sometime after NEG complies with the directives in the order, which Respondents have completed as of January 17, 2024. On January 6, 2026, the Hearing Officer issued a memo requesting substantive briefing on the merits of the matter. That schedule required the MA AG to submit its initial brief by March 24, 2026, and that the Respondents submit their initial brief by April 7, 2026, with all briefing to be concluded by April 29, 2026. On March 20, 2026, the Hearing Officer granted an assented motion to extend the briefing schedule setting April 23, 2026 as the deadline for the MA AG’s initial brief, May 22, 2026 as the deadline for the Respondents’ initial brief, and concluding all briefing by July 13, 2026. </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Twin Oaks Pipeline Litigation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On March 27, 2025, Daniel and Katherine La Hart filed a Class Action Complaint against SPLP, Energy Transfer, and Energy Transfer R&amp;M in the Court of Common Pleas of Philadelphia County, captioned Daniel La Hart and Katherine La Hart v. Sunoco Pipeline L.P., Energy Transfer, and Energy Transfer R&amp;M; Case No. 250303655. The action is related to the release of jet fuel (the “Release”) from the 14-inch Twin-Oaks to Newark Pipeline (the “Pipeline”) in Upper Makefield Township, Bucks County, Pennsylvania. Seven individual actions have also been filed in the Court of Common Pleas of Philadelphia County related to the Release. Plaintiffs in these cases assert causes of action for negligence, gross negligence, negligence per se, strict liability/abnormally dangerous/ultrahazardous activity, strict liability failure to warn, public nuisance, private nuisance, trespass, negligent infliction of emotional distress and medical monitoring. Plaintiffs seek compensatory damages, punitive damages, declaratory and injunctive relief, and medical monitoring for their alleged exposure to petroleum constituents at their properties and in groundwater. The putative class is comprised of homeowners in the surrounding area from September 1, 2023 to present.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On June 25, 2025, Defendants filed their preliminary objections to Plaintiffs’ Amended Complaints which included an objection based on improper venue, and on June 27, 2025, Defendants filed a Motion to Transfer the cases to the Court of Common Pleas of Bucks County, Pennsylvania on the grounds of forum non conveniens. On July 9, 2025, Plaintiffs filed a Motion for Preliminary Injunction in the class action, seeking inter alia, to enjoin the operation of the Pipeline, which Defendants opposed on July 21, 2025. In connection with the venue issues raised by these filings, the Court of Common Pleas ordered certain discovery, followed by amended pleadings and/or supplemental briefing. Following this discovery, Plaintiffs filed the current operative complaints on January 15, 2026, which add multiple additional defendants, including Energy Transfer Marketing &amp; Terminals L.P. as well as other defendants who were allegedly shippers of product on the Pipeline and contractors who allegedly worked on the Pipeline. Plaintiffs in the individual actions filed third amended complaints on March 5, 2026, further amending the inclusion of certain contractor and shipper defendants. The Court of Common Pleas has ordered a schedule which provides for additional venue-related discovery and a determination of venue.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Shortly after the original class action complaint was filed, SPLP, Energy Transfer, and Energy Transfer R&amp;M removed the class action to the U.S. District Court for the Eastern District of Pennsylvania (the “E.D. Pa.”) on April 24, 2025. On June 13, 2025, the E.D. Pa. granted Plaintiffs’ motion to remand the case to the Court of Common Pleas of Philadelphia County. Defendants have appealed the remand decision. Following the filing of the second amended class action complaint, the newly-added defendants (including Energy Transfer Marketing &amp; Terminals L.P.) removed the class action to E.D. Pa. on February 20, 2026. Plaintiffs moved to remand on March 23, 2026.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SPLP, Energy Transfer, Energy Transfer R&amp;M and Energy Transfer Marketing &amp; Terminals intend to vigorously defend these claims. </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State of Oklahoma Attorney General – Winter Storm Uri</w:t>
      </w:r>
    </w:p>
    <w:p>
      <w:pPr>
        <w:pStyle w:val="TextBody"/>
        <w:bidi w:val="0"/>
        <w:spacing w:lineRule="auto" w:line="288" w:before="120" w:after="283"/>
        <w:jc w:val="both"/>
        <w:rPr/>
      </w:pPr>
      <w:r>
        <w:rPr>
          <w:rFonts w:ascii="Times New Roman;serif" w:hAnsi="Times New Roman;serif"/>
          <w:b w:val="false"/>
          <w:color w:val="000000"/>
          <w:sz w:val="20"/>
        </w:rPr>
        <w:t xml:space="preserve">On April 10, 2024, the State of Oklahoma, through Attorney General Gentner Drummond, filed a petition on behalf of Grand River Dam Authority against defendants ET Gathering &amp; Processing, LLC, successor by merger to Enable Midstream Partners, LP, Enable Oklahoma Intrastate Transmission, LLC, Enable Gas Transmission, LLC and Enable Energy Resources, LLC arising out of Winter Storm Uri in February 2021. Specifically, plaintiff alleges that defendants violated the Oklahoma Antitrust Reform Act (79 O.S. §201, </w:t>
      </w:r>
      <w:r>
        <w:rPr>
          <w:rFonts w:ascii="Times New Roman;serif" w:hAnsi="Times New Roman;serif"/>
          <w:b w:val="false"/>
          <w:i/>
          <w:color w:val="000000"/>
          <w:sz w:val="20"/>
        </w:rPr>
        <w:t>et. seq.</w:t>
      </w:r>
      <w:r>
        <w:rPr>
          <w:rFonts w:ascii="Times New Roman;serif" w:hAnsi="Times New Roman;serif"/>
          <w:b w:val="false"/>
          <w:color w:val="000000"/>
          <w:sz w:val="20"/>
        </w:rPr>
        <w:t xml:space="preserve">) by acting individually and in concert with each other to unreasonably restrain trade in the natural gas market in Oklahoma during the storm. Plaintiff also alleges causes of action for breach of contract, unjust enrichment, fraud, bad faith, conspiracy and negligence. Plaintiff’s petition seeks actual damages, punitive damages, treble damages and attorneys’ fees and costs. However, the actual amount sought was not specified.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On June 3, 2024, defendants filed a Motion to Dismiss and a Motion to Transfer Venue, along with a Brief in Support. In its Motion to Dismiss, defendants argued that plaintiff’s petition fails to state a claim upon which relief can be granted and also that such claims should be dismissed because collateral estoppel bars plaintiff from bringing allegations inconsistent with earlier agency and judicial findings that the extreme cold weather—not defendants’ conduct—caused the natural gas shortage and resulting high prices during Winter Storm Uri. Defendants also argued that plaintiff’s suit should be dismissed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120" w:after="283"/>
        <w:ind w:left="0" w:right="0" w:hanging="360"/>
        <w:jc w:val="both"/>
        <w:rPr/>
      </w:pPr>
      <w:hyperlink w:anchor="i5e1c82de0c41484c87a001ffe0af493e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for filing suit in the wrong forum or, alternatively, should be transferred to the correct county of venue (Oklahoma County). Plaintiff filed its response brief on July 12, 2024. A hearing on both motions was held on October 15, 2024. On January 16, 2025, the Judge denied all motions, noting (1) that venue is proper in Osage County, Oklahoma; (2) collateral estoppel does not bar recovery; (3) the plaintiffs can plead inconsistent theories of recovery; and (4) the recovery is public in nature and not foreclosed by statute of limitations. The case then proceeded into the discovery phase.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On February 9, 2026, after significant document discovery was conducted between the parties and the deadline for adding new claims passed in the Court’s scheduling order, Plaintiff filed a motion to consolidate this action with two other pending actions, including State of Oklahoma ex rel. Gentner Drummond, Attorney General of Oklahoma vs. Symmetry Energy Solutions, LLC (Case No. CJ-2024-78) and State of Oklahoma ex rel. Gentner Drummond, Attorney General of Oklahoma vs. Symmetry Energy Solutions, LLC, ETC Marketing Ltd., et. al. (Case No. CJ-2025-06) (discussed below), both also pending in the District Court of Osage County, but which are in vastly different procedural stages with different parties and claims. Plaintiff also filed a motion for leave to amend its petition to assert new causes of action against Enable in the pending suit with the aim to consolidate the new claims with the two other pending actions. Enable opposed both the motion for consolidation and motion for leave to amend.</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On March 19, 2026, the Court granted the State of Oklahoma’s Motion to Consolidate the three pending actions. The Court also granted the State’s Motion to Amend its Petition in part, allowing the State the opportunity to amend to add claims under the Oklahoma Antitrust Reform Act, unjust enrichment, and civil conspiracy. However, the Court denied the State the ability to amend to add a claim under the Oklahoma Consumer Protection Act. The Court ruled that the Enable case will now move at the pace of the slower docket control order in the other cases. Defendants cannot predict the ultimate outcome of this litigation but will vigorously defend against these claims.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a separate matter filed on January 9, 2025, the State of Oklahoma through Gentner Drummond, Attorney General of Oklahoma (“Plaintiff”), filed a petition against ETC Marketing Ltd. and ETC Marketing Inc. (collectively, “ETCM”) and other natural gas marketers in Case No. CJ-25-06 in the District Court of Osage County, Oklahoma, arising out of Winter Storm Uri in February 2021. The Oklahoma Attorney General brought this action on behalf of its state agencies, political subdivisions and the people of the State of Oklahoma. Specifically, Plaintiff alleges that the defendants violated the Oklahoma Antitrust Reform Act (79 O.S. §201, et. seq.) by acting individually and in concert with each other to unreasonably restrain trade in the natural gas market in Oklahoma during the storm. Plaintiff also alleges causes of action for unjust enrichment and violation of the Oklahoma Consumer Protection Act. Plaintiff’s petition seeks damages in excess of $75,000, including actual damages, punitive damages, treble damages, and attorneys’ fees and costs. However, the actual amount sought was not specified.</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On March 17, 2025, all defendants (including ETCM) jointly filed a motion to dismiss and brief in support. In the joint motion to dismiss, defendants asserted that FERC’s exclusive jurisdiction preempts all the Attorney General’s state-law claims and, alternatively, that the petition does not state a claim under Oklahoma antitrust law. Further, the motion argues that the Oklahoma Consumer Protection Act claims are time-barred and inconsistent with the statute, and that the unjust enrichment claims are barred by Oklahoma law. Finally, the motion alleges that the Attorney General’s unjust enrichment claims fail as a matter of law because defendants sold natural gas pursuant to valid contracts and the individual consumers were not direct purchasers of natural gas from defendants. On August 19, 2025, the court denied the motion without holding oral argument. The case will now proceed into the discovery phase. The above-referenced Enable case filed by the Oklahoma Attorney General will now be consolidated into this action.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Defendants cannot predict the ultimate outcome of this litigation but will vigorously defend against these claims.</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Tax Contingencies</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Rover Ad Valorem Taxes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Rover appealed the Ohio Department of Taxation (the “Department”)’s final determination of the 2019 Ohio true value of the Rover pipeline to the Ohio Board of Tax Appeals (the “BTA”) on September 11, 2020. On March 7, 2024, the BTA remanded the matter to the Department to redetermine the Ohio true value of the Rover pipeline consistent with the opinion of the appraiser the Department engaged for purposes of the BTA hearing. Rover appealed the BTA’s order to the Ohio Supreme Court on April 5, 2024, and the court affirmed the BTA’s order on August 13, 2025.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Rover timely petitioned the Department's preliminary assessments of its 2020, 2021, 2022, 2023, 2024, and 2025 Ohio true values, and these petitions remain pending. If it becomes probable that the Ohio Tax Commissioner’s preliminary assessments for tax years 2020 through 2025 are ultimately upheld, then Rover would recognize an additional Ohio public utility personal property tax liability for tax years 2020 through 2025 up to approximately $345 million, including interest. Rover intends to pursue all available legal remedies for the 2020 through 2025 tax years, and Rover cannot predict the outcome of these matters at this time.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120" w:after="283"/>
        <w:ind w:left="0" w:right="0" w:hanging="360"/>
        <w:jc w:val="both"/>
        <w:rPr/>
      </w:pPr>
      <w:hyperlink w:anchor="i5e1c82de0c41484c87a001ffe0af493e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On November 10, 2025, Rover filed a complaint against the Ohio Tax Commissioner in the Court of Common Pleas, Franklin County, Ohio. Rover is seeking a declaration that the Tax Commissioner’s 2019 valuation approach, if applied to Rover’s subsequent tax years, would violate certain protections afforded to Rover under the U.S. Constitution and the Ohio Constitution. The Tax Commissioner filed a motion to dismiss on December 8, 2025, and the motion was denied on March 24, 2026. This matter remains pending, and Rover cannot predict the outcome of this matter at this time.</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Sunoco LP New York Motor Fuel Excise Tax Audit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New York State issued a motor fuel excise tax assessment to Sunoco, LLC, a wholly owned subsidiary of Sunoco LP, in the amount of approximately $20 million, exclusive of penalties and interest, for the periods of March 2017 through May 2020. Sunoco, LLC filed an appeal with the New York State Division of Tax Appeals challenging the assessment. Sunoco, LLC cannot predict the outcome of this matter at this time.</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USAC Federal Income Tax Audit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On April 13, 2026, USAC settled and closed the IRS’ examination of its U.S. federal income tax returns for the years 2019 and 2020. </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Environmental Matters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Our operations are subject to extensive federal, tribal, state and local environmental and safety laws and regulations that require expenditures to ensure compliance, including related to air emissions and wastewater discharges, at operating facilities and for remediation at current and former facilities as well as waste disposal sites. Historically, our environmental compliance costs have not had a material adverse effect on our results of operations but there can be no assurance that such costs will not be material in the future or that such future compliance with existing, amended or new legal requirements will not have a material adverse effect on our business and operating results. Costs of planning, designing, constructing and operating pipelines, plants and other facilities must incorporate compliance with environmental laws and regulations and safety standards. Failure to comply with these laws and regulations may result in the assessment of administrative, civil and criminal penalties, the imposition of investigatory, remedial and corrective action obligations, natural resource damages, the issuance of injunctions in affected areas and the filing of federally authorized citizen suits. Contingent losses related to all significant known environmental matters have been accrued and/or separately disclosed. However, we may revise accrual amounts prior to resolution of a particular contingency based on changes in facts and circumstances or changes in the expected outcome.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Environmental exposures and liabilities are difficult to assess and estimate due to unknown factors such as the magnitude of possible contamination, the timing and extent of remediation, the determination of our liability in proportion to other parties, improvements in cleanup technologies and the extent to which environmental laws and regulations may change in the future. Although environmental costs may have a significant impact on our results of operations for any single period, we believe that such costs will not have a material adverse effect on our financial position.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Based on information available at this time and reviews undertaken to identify potential exposure, we believe the amount reserved for environmental matters is adequate to cover the potential exposure for cleanup costs.</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 xml:space="preserve">Environmental Remediation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Our subsidiaries are responsible for environmental remediation at certain sites, including the following:</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Certain of our interstate pipelines conduct soil and groundwater remediation related to contamination from past uses of polychlorinated biphenyls (“PCBs”). PCB assessments are ongoing and, in some cases, our subsidiaries could be contractually responsible for contamination caused by other parties.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Certain gathering and processing systems are responsible for soil and groundwater remediation related to releases of hydrocarbons.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Legacy sites related to Sunoco, Inc. that are subject to environmental assessments, including formerly owned terminals and other logistics assets, retail sites that the Partnership no longer operates, closed and/or sold refineries and other formerly owned sites.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The Partnership is potentially subject to joint and several liability for the costs of remediation at sites at which it has been identified as a potentially responsible party (“PRP”). As of March 31, 2026, the Partnership had been named as a PRP at approximately 31 identified or potentially identifiable “Superfund” sites under federal and/or comparable state law. The Partnership is usually one of a number of companies identified as a PRP at a site. The Partnership has reviewed the nature and extent of its involvement at each site and other relevant circumstances and, based upon the Partnership’s purported nexus to the sites, believes that its potential liability associated with such sites will not be significant.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120" w:after="283"/>
        <w:ind w:left="0" w:right="0" w:hanging="360"/>
        <w:jc w:val="both"/>
        <w:rPr/>
      </w:pPr>
      <w:hyperlink w:anchor="i5e1c82de0c41484c87a001ffe0af493e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To the extent estimable, expected remediation costs are included in the amounts recorded for environmental matters in our consolidated balance sheets. In some circumstances, future costs cannot be reasonably estimated because remediation activities are undertaken as claims are made by customers and former customers. To the extent that an environmental remediation obligation is recorded by a subsidiary that applies regulatory accounting policies, amounts that are expected to be recoverable through tariffs or rates are recorded as regulatory assets on our consolidated balance sheets.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reflects the amounts of accrued liabilities recorded in our consolidated balance sheets related to environmental matters that are considered to be probable and reasonably estimable. Currently, we are not able to estimate possible losses or a range of possible losses in excess of amounts accrued. Except for matters discussed above, we do not have any material environmental matters assessed as reasonably possible that would require disclosure in our consolidated financial statements.</w:t>
      </w:r>
    </w:p>
    <w:tbl>
      <w:tblPr>
        <w:tblW w:w="5124" w:type="dxa"/>
        <w:jc w:val="left"/>
        <w:tblInd w:w="0" w:type="dxa"/>
        <w:tblLayout w:type="fixed"/>
        <w:tblCellMar>
          <w:top w:w="28" w:type="dxa"/>
          <w:left w:w="28" w:type="dxa"/>
          <w:bottom w:w="28" w:type="dxa"/>
          <w:right w:w="28" w:type="dxa"/>
        </w:tblCellMar>
      </w:tblPr>
      <w:tblGrid>
        <w:gridCol w:w="941"/>
        <w:gridCol w:w="827"/>
        <w:gridCol w:w="841"/>
        <w:gridCol w:w="249"/>
        <w:gridCol w:w="551"/>
        <w:gridCol w:w="129"/>
        <w:gridCol w:w="109"/>
        <w:gridCol w:w="109"/>
        <w:gridCol w:w="109"/>
        <w:gridCol w:w="320"/>
        <w:gridCol w:w="705"/>
        <w:gridCol w:w="234"/>
      </w:tblGrid>
      <w:tr>
        <w:trPr/>
        <w:tc>
          <w:tcPr>
            <w:tcW w:w="941"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r>
      <w:tr>
        <w:trPr/>
        <w:tc>
          <w:tcPr>
            <w:tcW w:w="2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w:t>
              <w:br/>
              <w:t>2025</w:t>
            </w:r>
          </w:p>
        </w:tc>
      </w:tr>
      <w:tr>
        <w:trPr/>
        <w:tc>
          <w:tcPr>
            <w:tcW w:w="2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w:t>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w:t>
            </w:r>
          </w:p>
        </w:tc>
        <w:tc>
          <w:tcPr>
            <w:tcW w:w="8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354 </w:t>
            </w:r>
          </w:p>
        </w:tc>
        <w:tc>
          <w:tcPr>
            <w:tcW w:w="23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environmental liabilities</w:t>
            </w:r>
          </w:p>
        </w:tc>
        <w:tc>
          <w:tcPr>
            <w:tcW w:w="2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477 </w:t>
            </w:r>
          </w:p>
        </w:tc>
        <w:tc>
          <w:tcPr>
            <w:tcW w:w="1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416 </w:t>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have established a wholly owned captive insurance company to bear certain risks associated with environmental obligations related to certain sites that are no longer operating. The premiums paid to the captive insurance company include estimates for environmental claims that have been incurred but not reported, based on an actuarially determined fully developed claims expense estimate. In such cases, we accrue losses attributable to unasserted claims based on the discounted estimates that are used to develop the premiums paid to the captive insurance company.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March 31, 2026 and 2025, the Partnership recorded $6 million and $2 million, respectively, of expenditures related to environmental cleanup programs.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Our pipeline operations are subject to regulation by the United States Department of Transportation under PHMSA, pursuant to which PHMSA has established requirements relating to the design, installation, testing, construction, operation, replacement and management of pipeline facilities. Moreover, PHMSA, through the Office of Pipeline Safety, has promulgated a rule requiring pipeline operators to develop integrity management programs to comprehensively evaluate their pipelines, and take measures to protect pipeline segments located in what the rule refers to as “high consequence areas.” Activities under these integrity management programs involve the performance of internal pipeline inspections, pressure testing or other effective means to assess the integrity of these regulated pipeline segments, and the regulations require prompt action to address integrity issues raised by the assessment and analysis. Integrity testing and assessment of all of these assets will continue, and the results of such testing and assessment could cause us to incur future capital and operating expenditures for repairs or upgrades deemed necessary to ensure the continued safe and reliable operation of our pipelines; however, no estimate can be made at this time of the likely range of such expenditures.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Our operations are also subject to the requirements of the Federal Occupational Safety and Health Act (“OSHA”) and comparable state laws that regulate the protection of the health and safety of employees. In addition, the Occupational Safety and Health Administration’s hazardous communication standard requires that information be maintained about hazardous materials used or produced in our operations and that this information be provided to employees, state and local government authorities and citizens. We believe that our past costs for OSHA required activities, including general industry standards, record keeping requirements and monitoring of occupational exposure to regulated substances have not had a material adverse effect on our results of operations; however, there is no assurance that such costs will not be material in the future.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ind w:left="0" w:right="0" w:hanging="360"/>
        <w:jc w:val="both"/>
        <w:rPr/>
      </w:pPr>
      <w:r>
        <w:rPr>
          <w:rFonts w:ascii="Times New Roman;serif" w:hAnsi="Times New Roman;serif"/>
          <w:b/>
          <w:color w:val="000000"/>
          <w:sz w:val="20"/>
        </w:rPr>
        <w:t>11.</w:t>
      </w:r>
      <w:r>
        <w:rPr>
          <w:rFonts w:ascii="Times New Roman;serif" w:hAnsi="Times New Roman;serif"/>
          <w:b/>
          <w:color w:val="000000"/>
          <w:sz w:val="20"/>
          <w:u w:val="single"/>
        </w:rPr>
        <w:t>REVENUE</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Disaggregation of Revenue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Partnership’s consolidated financial statements reflect eight reportable segments, which also represent the level at which the Partnership aggregates revenue for disclosure purposes. Note 13 depicts the disaggregation of revenue by segment.</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Contract Balances with Customers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Partnership satisfies its obligations by transferring goods or services in exchange for consideration from customers. The timing of performance may differ from the timing the associated consideration is paid to or received from the customer, thus resulting in the recognition of a contract asset or a contract liability.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120" w:after="283"/>
        <w:ind w:left="0" w:right="0" w:hanging="360"/>
        <w:jc w:val="both"/>
        <w:rPr/>
      </w:pPr>
      <w:hyperlink w:anchor="i5e1c82de0c41484c87a001ffe0af493e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Partnership recognizes a contract asset when making upfront consideration payments to certain customers or when providing services to customers prior to the time at which the Partnership is contractually allowed to bill for such services.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Partnership recognizes a contract liability if the customer’s payment of consideration precedes the Partnership’s fulfillment of the performance obligations. Certain contracts contain provisions requiring customers to pay a fixed minimum fee, but allow customers to apply such fees against services to be provided at a future point in time. These amounts are reflected as deferred revenue until the customer applies the deficiency fees to services provided or becomes unable to use the fees as payment for future services due to expiration of the contractual period the fees can be applied or physical inability of the customer to utilize the fees due to capacity constraints. Additionally, Sunoco LP maintains some franchise agreements requiring dealers to make one-time upfront payments for long-term license agreements. Sunoco LP recognizes a contract liability when the upfront payment is received and recognizes revenue over the term of the license.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tables summarize the consolidated activity of our contract liabilities:</w:t>
      </w:r>
    </w:p>
    <w:tbl>
      <w:tblPr>
        <w:tblW w:w="4184" w:type="dxa"/>
        <w:jc w:val="left"/>
        <w:tblInd w:w="0" w:type="dxa"/>
        <w:tblLayout w:type="fixed"/>
        <w:tblCellMar>
          <w:top w:w="28" w:type="dxa"/>
          <w:left w:w="28" w:type="dxa"/>
          <w:bottom w:w="28" w:type="dxa"/>
          <w:right w:w="28" w:type="dxa"/>
        </w:tblCellMar>
      </w:tblPr>
      <w:tblGrid>
        <w:gridCol w:w="885"/>
        <w:gridCol w:w="778"/>
        <w:gridCol w:w="781"/>
        <w:gridCol w:w="440"/>
        <w:gridCol w:w="975"/>
        <w:gridCol w:w="325"/>
      </w:tblGrid>
      <w:tr>
        <w:trPr/>
        <w:tc>
          <w:tcPr>
            <w:tcW w:w="885"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r>
      <w:tr>
        <w:trPr/>
        <w:tc>
          <w:tcPr>
            <w:tcW w:w="2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Contract Liabilities</w:t>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December 31, 2025</w:t>
            </w:r>
          </w:p>
        </w:tc>
        <w:tc>
          <w:tcPr>
            <w:tcW w:w="4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745 </w:t>
            </w:r>
          </w:p>
        </w:tc>
        <w:tc>
          <w:tcPr>
            <w:tcW w:w="3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Additions</w:t>
            </w:r>
          </w:p>
        </w:tc>
        <w:tc>
          <w:tcPr>
            <w:tcW w:w="14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385 </w:t>
            </w:r>
          </w:p>
        </w:tc>
        <w:tc>
          <w:tcPr>
            <w:tcW w:w="32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 recognized</w:t>
            </w:r>
          </w:p>
        </w:tc>
        <w:tc>
          <w:tcPr>
            <w:tcW w:w="14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w:t>
            </w:r>
          </w:p>
        </w:tc>
        <w:tc>
          <w:tcPr>
            <w:tcW w:w="3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vAlign w:val="center"/>
          </w:tcPr>
          <w:p>
            <w:pPr>
              <w:pStyle w:val="TableContents"/>
              <w:bidi w:val="0"/>
              <w:spacing w:before="0" w:after="283"/>
              <w:jc w:val="left"/>
              <w:rPr>
                <w:sz w:val="4"/>
                <w:szCs w:val="4"/>
              </w:rPr>
            </w:pPr>
            <w:r>
              <w:rPr>
                <w:sz w:val="4"/>
                <w:szCs w:val="4"/>
              </w:rPr>
            </w:r>
          </w:p>
        </w:tc>
        <w:tc>
          <w:tcPr>
            <w:tcW w:w="1740" w:type="dxa"/>
            <w:gridSpan w:val="3"/>
            <w:tcBorders/>
            <w:vAlign w:val="center"/>
          </w:tcPr>
          <w:p>
            <w:pPr>
              <w:pStyle w:val="TableContents"/>
              <w:bidi w:val="0"/>
              <w:spacing w:before="0" w:after="283"/>
              <w:jc w:val="left"/>
              <w:rPr>
                <w:sz w:val="4"/>
                <w:szCs w:val="4"/>
              </w:rPr>
            </w:pPr>
            <w:r>
              <w:rPr>
                <w:sz w:val="4"/>
                <w:szCs w:val="4"/>
              </w:rPr>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March 31, 2026</w:t>
            </w:r>
          </w:p>
        </w:tc>
        <w:tc>
          <w:tcPr>
            <w:tcW w:w="4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739 </w:t>
            </w:r>
          </w:p>
        </w:tc>
        <w:tc>
          <w:tcPr>
            <w:tcW w:w="3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December 31, 2024</w:t>
            </w:r>
          </w:p>
        </w:tc>
        <w:tc>
          <w:tcPr>
            <w:tcW w:w="4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759 </w:t>
            </w:r>
          </w:p>
        </w:tc>
        <w:tc>
          <w:tcPr>
            <w:tcW w:w="32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Additions</w:t>
            </w:r>
          </w:p>
        </w:tc>
        <w:tc>
          <w:tcPr>
            <w:tcW w:w="14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298 </w:t>
            </w:r>
          </w:p>
        </w:tc>
        <w:tc>
          <w:tcPr>
            <w:tcW w:w="32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 recognized</w:t>
            </w:r>
          </w:p>
        </w:tc>
        <w:tc>
          <w:tcPr>
            <w:tcW w:w="14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w:t>
            </w:r>
          </w:p>
        </w:tc>
        <w:tc>
          <w:tcPr>
            <w:tcW w:w="3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vAlign w:val="center"/>
          </w:tcPr>
          <w:p>
            <w:pPr>
              <w:pStyle w:val="TableContents"/>
              <w:bidi w:val="0"/>
              <w:spacing w:before="0" w:after="283"/>
              <w:jc w:val="left"/>
              <w:rPr>
                <w:sz w:val="4"/>
                <w:szCs w:val="4"/>
              </w:rPr>
            </w:pPr>
            <w:r>
              <w:rPr>
                <w:sz w:val="4"/>
                <w:szCs w:val="4"/>
              </w:rPr>
            </w:r>
          </w:p>
        </w:tc>
        <w:tc>
          <w:tcPr>
            <w:tcW w:w="1740" w:type="dxa"/>
            <w:gridSpan w:val="3"/>
            <w:tcBorders/>
            <w:vAlign w:val="center"/>
          </w:tcPr>
          <w:p>
            <w:pPr>
              <w:pStyle w:val="TableContents"/>
              <w:bidi w:val="0"/>
              <w:spacing w:before="0" w:after="283"/>
              <w:jc w:val="left"/>
              <w:rPr>
                <w:sz w:val="4"/>
                <w:szCs w:val="4"/>
              </w:rPr>
            </w:pPr>
            <w:r>
              <w:rPr>
                <w:sz w:val="4"/>
                <w:szCs w:val="4"/>
              </w:rPr>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March 31, 2025</w:t>
            </w:r>
          </w:p>
        </w:tc>
        <w:tc>
          <w:tcPr>
            <w:tcW w:w="4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674 </w:t>
            </w:r>
          </w:p>
        </w:tc>
        <w:tc>
          <w:tcPr>
            <w:tcW w:w="3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balances of Sunoco LP’s contract assets and contract liabilities were as follows:</w:t>
      </w:r>
    </w:p>
    <w:tbl>
      <w:tblPr>
        <w:tblW w:w="6962" w:type="dxa"/>
        <w:jc w:val="left"/>
        <w:tblInd w:w="0" w:type="dxa"/>
        <w:tblLayout w:type="fixed"/>
        <w:tblCellMar>
          <w:top w:w="28" w:type="dxa"/>
          <w:left w:w="28" w:type="dxa"/>
          <w:bottom w:w="28" w:type="dxa"/>
          <w:right w:w="28" w:type="dxa"/>
        </w:tblCellMar>
      </w:tblPr>
      <w:tblGrid>
        <w:gridCol w:w="1530"/>
        <w:gridCol w:w="1346"/>
        <w:gridCol w:w="1353"/>
        <w:gridCol w:w="249"/>
        <w:gridCol w:w="551"/>
        <w:gridCol w:w="129"/>
        <w:gridCol w:w="109"/>
        <w:gridCol w:w="109"/>
        <w:gridCol w:w="109"/>
        <w:gridCol w:w="325"/>
        <w:gridCol w:w="720"/>
        <w:gridCol w:w="169"/>
        <w:gridCol w:w="109"/>
        <w:gridCol w:w="154"/>
      </w:tblGrid>
      <w:tr>
        <w:trPr/>
        <w:tc>
          <w:tcPr>
            <w:tcW w:w="1530" w:type="dxa"/>
            <w:tcBorders/>
            <w:vAlign w:val="center"/>
          </w:tcPr>
          <w:p>
            <w:pPr>
              <w:pStyle w:val="TableContents"/>
              <w:bidi w:val="0"/>
              <w:spacing w:before="0" w:after="283"/>
              <w:jc w:val="left"/>
              <w:rPr>
                <w:sz w:val="4"/>
                <w:szCs w:val="4"/>
              </w:rPr>
            </w:pPr>
            <w:r>
              <w:rPr>
                <w:sz w:val="4"/>
                <w:szCs w:val="4"/>
              </w:rPr>
            </w:r>
          </w:p>
        </w:tc>
        <w:tc>
          <w:tcPr>
            <w:tcW w:w="1346"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w:t>
              <w:b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29" w:type="dxa"/>
            <w:gridSpan w:val="3"/>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assets</w:t>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from contracts with customers</w:t>
            </w:r>
          </w:p>
        </w:tc>
        <w:tc>
          <w:tcPr>
            <w:tcW w:w="8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3,006 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1,686 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liabilities</w:t>
            </w:r>
          </w:p>
        </w:tc>
        <w:tc>
          <w:tcPr>
            <w:tcW w:w="8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Performance Obligations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At contract inception, the Partnership assesses the goods and services promised in its contracts with customers and identifies a performance obligation for each promise to transfer a good or service (or bundle of goods or services) that is distinct. To identify the performance obligations, the Partnership considers all the goods or services promised in the contract, whether explicitly stated or implied based on customary business practices. For a contract that has more than one performance obligation, the Partnership allocates the total contract consideration it expects to be entitled to, to each distinct performance obligation based on a standalone selling price basis. Revenue is recognized when (or as) the performance obligations are satisfied, that is, when the customer obtains control of the good or service. Certain of our contracts contain variable components, which, when combined with the fixed component, are considered a single performance obligation. For these types of contacts, only the fixed components of the contracts are included in the following table.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As of March 31, 2026, the aggregate amount of transaction price allocated to unsatisfied (or partially satisfied) performance obligations was $33.75 billion. The Partnership expects to recognize this amount as revenue within the time bands illustrated in the following table:</w:t>
      </w:r>
    </w:p>
    <w:tbl>
      <w:tblPr>
        <w:tblW w:w="10205" w:type="dxa"/>
        <w:jc w:val="left"/>
        <w:tblInd w:w="0" w:type="dxa"/>
        <w:tblLayout w:type="fixed"/>
        <w:tblCellMar>
          <w:top w:w="28" w:type="dxa"/>
          <w:left w:w="28" w:type="dxa"/>
          <w:bottom w:w="28" w:type="dxa"/>
          <w:right w:w="28" w:type="dxa"/>
        </w:tblCellMar>
      </w:tblPr>
      <w:tblGrid>
        <w:gridCol w:w="1294"/>
        <w:gridCol w:w="1137"/>
        <w:gridCol w:w="1140"/>
        <w:gridCol w:w="109"/>
        <w:gridCol w:w="109"/>
        <w:gridCol w:w="109"/>
        <w:gridCol w:w="224"/>
        <w:gridCol w:w="656"/>
        <w:gridCol w:w="116"/>
        <w:gridCol w:w="109"/>
        <w:gridCol w:w="109"/>
        <w:gridCol w:w="109"/>
        <w:gridCol w:w="211"/>
        <w:gridCol w:w="616"/>
        <w:gridCol w:w="109"/>
        <w:gridCol w:w="109"/>
        <w:gridCol w:w="109"/>
        <w:gridCol w:w="109"/>
        <w:gridCol w:w="211"/>
        <w:gridCol w:w="616"/>
        <w:gridCol w:w="109"/>
        <w:gridCol w:w="109"/>
        <w:gridCol w:w="109"/>
        <w:gridCol w:w="109"/>
        <w:gridCol w:w="211"/>
        <w:gridCol w:w="721"/>
        <w:gridCol w:w="109"/>
        <w:gridCol w:w="109"/>
        <w:gridCol w:w="109"/>
        <w:gridCol w:w="109"/>
        <w:gridCol w:w="211"/>
        <w:gridCol w:w="721"/>
        <w:gridCol w:w="158"/>
      </w:tblGrid>
      <w:tr>
        <w:trPr/>
        <w:tc>
          <w:tcPr>
            <w:tcW w:w="1294"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Years Ending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(remainder)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Thereafter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val="false"/>
                <w:color w:val="000000"/>
                <w:sz w:val="20"/>
              </w:rPr>
            </w:pPr>
            <w:r>
              <w:rPr>
                <w:rFonts w:ascii="Times New Roman;serif" w:hAnsi="Times New Roman;serif"/>
                <w:b w:val="false"/>
                <w:color w:val="000000"/>
                <w:sz w:val="20"/>
              </w:rPr>
              <w:t>Total</w:t>
            </w:r>
          </w:p>
        </w:tc>
      </w:tr>
      <w:tr>
        <w:trPr/>
        <w:tc>
          <w:tcPr>
            <w:tcW w:w="3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 expected to be recognized on contracts with customers existing as of March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6,170 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33,754 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120" w:after="283"/>
        <w:ind w:left="0" w:right="0" w:hanging="360"/>
        <w:jc w:val="both"/>
        <w:rPr/>
      </w:pPr>
      <w:hyperlink w:anchor="i5e1c82de0c41484c87a001ffe0af493e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hanging="360"/>
        <w:jc w:val="both"/>
        <w:rPr/>
      </w:pPr>
      <w:r>
        <w:rPr>
          <w:rFonts w:ascii="Times New Roman;serif" w:hAnsi="Times New Roman;serif"/>
          <w:b/>
          <w:color w:val="000000"/>
          <w:sz w:val="20"/>
        </w:rPr>
        <w:t>12.</w:t>
      </w:r>
      <w:r>
        <w:rPr>
          <w:rFonts w:ascii="Times New Roman;serif" w:hAnsi="Times New Roman;serif"/>
          <w:b/>
          <w:color w:val="000000"/>
          <w:sz w:val="20"/>
          <w:u w:val="single"/>
        </w:rPr>
        <w:t>DERIVATIVE ASSETS AND LIABILITIES</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Commodity Price Risk</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are exposed to market risks related to the volatility of commodity prices. To manage the impact of volatility from these prices, we utilize various exchange-traded and OTC commodity financial instrument contracts. These contracts consist primarily of futures, swaps and options and are recorded at fair value in our consolidated balance sheets.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use futures and basis swaps, designated as fair value hedges, to hedge our natural gas inventory stored in our Bammel storage facility. At hedge inception, we lock in a margin by purchasing gas in the spot market or off-peak season and entering into a financial contract. Changes in the spreads between the forward natural gas prices and the physical inventory spot price result in unrealized gains or losses until the underlying physical gas is withdrawn and the related designated derivatives are settled. Once the gas is withdrawn and the designated derivatives are settled, the previously unrealized gains or losses associated with these positions are realized.</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use futures, swaps and options to hedge the sales price of natural gas we retain for fees in our intrastate transportation and storage segment and operational gas sales in our interstate transportation and storage segment. These contracts are not designated as hedges for accounting purposes.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use NGL and crude derivative swap contracts to hedge forecasted sales of NGL and condensate equity volumes we retain for fees in our midstream segment whereby our subsidiaries generally gather and process natural gas on behalf of producers, sell the resulting residue gas and NGL volumes at market prices and remit to producers an agreed upon percentage of the proceeds based on an index price for the residue gas and NGL. These contracts are not designated as hedges for accounting purposes.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utilize swaps, futures and other derivative instruments to mitigate the risk associated with market movements in the price of natural gas, refined products and NGLs to manage our storage facilities and the purchase and sale of purity NGL. These contracts are not designated as hedges for accounting purposes.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use futures and swaps to achieve ratable pricing of crude oil purchases, to convert certain expected refined product sales to fixed or floating prices, to lock in margins for certain refined products and to lock in the price of a portion of natural gas purchases or sales. These contracts are not designated as hedges for accounting purposes.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use financial commodity derivatives to take advantage of market opportunities in our trading activities which complement our intrastate transportation and storage segment’s operations and are netted in cost of products sold in our consolidated statements of operations. We also have trading and marketing activities related to power and natural gas in our all other segment which are also netted in cost of products sold. As a result of our trading activities and the use of derivative financial instruments in our intrastate transportation and storage segment, the degree of earnings volatility that can occur may be significant, favorably or unfavorably, from period to period. We attempt to manage this volatility through the use of daily position and profit and loss reports provided to our risk oversight committee, which includes members of senior management, and the limits and authorizations set forth in our commodity risk management policy.</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details our outstanding commodity-related derivatives:</w:t>
      </w:r>
    </w:p>
    <w:tbl>
      <w:tblPr>
        <w:tblW w:w="9271" w:type="dxa"/>
        <w:jc w:val="left"/>
        <w:tblInd w:w="0" w:type="dxa"/>
        <w:tblLayout w:type="fixed"/>
        <w:tblCellMar>
          <w:top w:w="28" w:type="dxa"/>
          <w:left w:w="28" w:type="dxa"/>
          <w:bottom w:w="28" w:type="dxa"/>
          <w:right w:w="28" w:type="dxa"/>
        </w:tblCellMar>
      </w:tblPr>
      <w:tblGrid>
        <w:gridCol w:w="1277"/>
        <w:gridCol w:w="1121"/>
        <w:gridCol w:w="1127"/>
        <w:gridCol w:w="449"/>
        <w:gridCol w:w="451"/>
        <w:gridCol w:w="276"/>
        <w:gridCol w:w="155"/>
        <w:gridCol w:w="155"/>
        <w:gridCol w:w="155"/>
        <w:gridCol w:w="334"/>
        <w:gridCol w:w="334"/>
        <w:gridCol w:w="336"/>
        <w:gridCol w:w="109"/>
        <w:gridCol w:w="109"/>
        <w:gridCol w:w="109"/>
        <w:gridCol w:w="449"/>
        <w:gridCol w:w="451"/>
        <w:gridCol w:w="276"/>
        <w:gridCol w:w="183"/>
        <w:gridCol w:w="183"/>
        <w:gridCol w:w="183"/>
        <w:gridCol w:w="307"/>
        <w:gridCol w:w="307"/>
        <w:gridCol w:w="435"/>
      </w:tblGrid>
      <w:tr>
        <w:trPr/>
        <w:tc>
          <w:tcPr>
            <w:tcW w:w="1277"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2025</w:t>
            </w:r>
          </w:p>
        </w:tc>
      </w:tr>
      <w:tr>
        <w:trPr/>
        <w:tc>
          <w:tcPr>
            <w:tcW w:w="3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Notional</w:t>
              <w:br/>
              <w:t>Volume</w:t>
            </w:r>
          </w:p>
        </w:tc>
        <w:tc>
          <w:tcPr>
            <w:tcW w:w="4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Maturity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Notional</w:t>
              <w:br/>
              <w:t>Volume</w:t>
            </w:r>
          </w:p>
        </w:tc>
        <w:tc>
          <w:tcPr>
            <w:tcW w:w="5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Maturity</w:t>
            </w:r>
          </w:p>
        </w:tc>
      </w:tr>
      <w:tr>
        <w:trPr/>
        <w:tc>
          <w:tcPr>
            <w:tcW w:w="352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color w:val="000000"/>
                <w:sz w:val="20"/>
              </w:rPr>
            </w:pPr>
            <w:r>
              <w:rPr>
                <w:rFonts w:ascii="Times New Roman;serif" w:hAnsi="Times New Roman;serif"/>
                <w:b/>
                <w:color w:val="000000"/>
                <w:sz w:val="20"/>
              </w:rPr>
              <w:t>Mark-to-Market Derivatives</w:t>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Natural Gas (BBtu)</w:t>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(91,648)</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(233,645)</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2026-2028</w:t>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Power (Megawatt)</w:t>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(712,768)</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(461,896)</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2026-2029</w:t>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Crude, NGL and refined products (MBbls)</w:t>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(24,019)</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(59,247)</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2026-2029</w:t>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various</w:t>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2026-2042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various</w:t>
            </w:r>
          </w:p>
        </w:tc>
        <w:tc>
          <w:tcPr>
            <w:tcW w:w="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2026-2042</w:t>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color w:val="000000"/>
                <w:sz w:val="20"/>
              </w:rPr>
            </w:pPr>
            <w:r>
              <w:rPr>
                <w:rFonts w:ascii="Times New Roman;serif" w:hAnsi="Times New Roman;serif"/>
                <w:b/>
                <w:color w:val="000000"/>
                <w:sz w:val="20"/>
              </w:rPr>
              <w:t>Fair Value Hedging Derivatives</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Natural Gas (BBtu)</w:t>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(63,435)</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(100,346)</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r>
    </w:tbl>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Credit Risk</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Credit risk refers to the risk that a counterparty may default on its contractual obligations, resulting in a loss to the Partnership. Credit policies have been approved and implemented to govern the Partnership’s portfolio of counterparties with the objective of mitigating credit losses. These policies establish guidelines, controls and limits to manage credit risk within approved tolerances by mandating an appropriate evaluation of the financial condition of existing and potential counterparties, monitoring agency credit ratings, and by implementing credit practices that limit exposure according to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120" w:after="283"/>
        <w:ind w:left="0" w:right="0" w:hanging="360"/>
        <w:jc w:val="both"/>
        <w:rPr/>
      </w:pPr>
      <w:hyperlink w:anchor="i5e1c82de0c41484c87a001ffe0af493e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risk profiles of the counterparties. Furthermore, the Partnership may, at times, require collateral under certain circumstances to mitigate credit risk, as necessary. The Partnership also uses industry standard commercial agreements which allow for the netting of exposures associated with transactions executed under a single commercial agreement. Additionally, we utilize master netting agreements to offset credit exposure across multiple commercial agreements with a single counterparty or affiliated group of counterparties.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Our natural gas transportation and midstream revenues are derived significantly from companies that engage in exploration and production activities. In addition to oil and gas producers, the Partnership’s counterparties consist of a diverse portfolio of customers across the energy industry, including petrochemical companies, commercial and industrial end-users, municipalities, gas and electric utilities, midstream companies and independent power generators. Our overall exposure may be affected positively or negatively by macroeconomic or regulatory changes that impact our counterparties to one extent or another. Currently, management does not anticipate a material adverse effect in our financial position or results of operations as a consequence of counterparty non-performance.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Partnership has maintenance margin deposits with certain counterparties in the OTC market, primarily with independent system operators and with clearing brokers. Payments on margin deposits are required when the value of a derivative exceeds our pre-established credit limit with the counterparty. Margin deposits are returned to us on or about the settlement date for non-exchange traded derivatives, and we exchange margin calls on a daily basis for exchange traded transactions. Since the margin calls are made daily with the exchange brokers, the fair value of the financial derivative instruments is deemed current and netted in deposits paid to vendors within other current assets in the consolidated balance sheets.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For financial instruments, failure of a counterparty to perform on a contract could result in our inability to realize amounts that have been recorded on our consolidated balance sheets and recognized in net income or other comprehensive income.</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Derivative Summary</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a summary of our derivative assets and liabilities:</w:t>
      </w:r>
    </w:p>
    <w:tbl>
      <w:tblPr>
        <w:tblW w:w="9995" w:type="dxa"/>
        <w:jc w:val="left"/>
        <w:tblInd w:w="0" w:type="dxa"/>
        <w:tblLayout w:type="fixed"/>
        <w:tblCellMar>
          <w:top w:w="28" w:type="dxa"/>
          <w:left w:w="28" w:type="dxa"/>
          <w:bottom w:w="28" w:type="dxa"/>
          <w:right w:w="28" w:type="dxa"/>
        </w:tblCellMar>
      </w:tblPr>
      <w:tblGrid>
        <w:gridCol w:w="1549"/>
        <w:gridCol w:w="1360"/>
        <w:gridCol w:w="1365"/>
        <w:gridCol w:w="109"/>
        <w:gridCol w:w="109"/>
        <w:gridCol w:w="109"/>
        <w:gridCol w:w="249"/>
        <w:gridCol w:w="551"/>
        <w:gridCol w:w="129"/>
        <w:gridCol w:w="109"/>
        <w:gridCol w:w="109"/>
        <w:gridCol w:w="109"/>
        <w:gridCol w:w="325"/>
        <w:gridCol w:w="720"/>
        <w:gridCol w:w="169"/>
        <w:gridCol w:w="109"/>
        <w:gridCol w:w="109"/>
        <w:gridCol w:w="109"/>
        <w:gridCol w:w="211"/>
        <w:gridCol w:w="691"/>
        <w:gridCol w:w="109"/>
        <w:gridCol w:w="109"/>
        <w:gridCol w:w="109"/>
        <w:gridCol w:w="109"/>
        <w:gridCol w:w="313"/>
        <w:gridCol w:w="716"/>
        <w:gridCol w:w="230"/>
      </w:tblGrid>
      <w:tr>
        <w:trPr/>
        <w:tc>
          <w:tcPr>
            <w:tcW w:w="1549" w:type="dxa"/>
            <w:tcBorders/>
            <w:vAlign w:val="center"/>
          </w:tcPr>
          <w:p>
            <w:pPr>
              <w:pStyle w:val="TableContents"/>
              <w:bidi w:val="0"/>
              <w:spacing w:before="0" w:after="283"/>
              <w:jc w:val="left"/>
              <w:rPr>
                <w:sz w:val="4"/>
                <w:szCs w:val="4"/>
              </w:rPr>
            </w:pPr>
            <w:r>
              <w:rPr>
                <w:sz w:val="4"/>
                <w:szCs w:val="4"/>
              </w:rPr>
            </w:r>
          </w:p>
        </w:tc>
        <w:tc>
          <w:tcPr>
            <w:tcW w:w="1360" w:type="dxa"/>
            <w:tcBorders/>
            <w:vAlign w:val="center"/>
          </w:tcPr>
          <w:p>
            <w:pPr>
              <w:pStyle w:val="TableContents"/>
              <w:bidi w:val="0"/>
              <w:spacing w:before="0" w:after="283"/>
              <w:jc w:val="left"/>
              <w:rPr>
                <w:sz w:val="4"/>
                <w:szCs w:val="4"/>
              </w:rPr>
            </w:pPr>
            <w:r>
              <w:rPr>
                <w:sz w:val="4"/>
                <w:szCs w:val="4"/>
              </w:rPr>
            </w:r>
          </w:p>
        </w:tc>
        <w:tc>
          <w:tcPr>
            <w:tcW w:w="13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r>
      <w:tr>
        <w:trPr/>
        <w:tc>
          <w:tcPr>
            <w:tcW w:w="4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4"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Fair Value of Derivative Instruments</w:t>
            </w:r>
          </w:p>
        </w:tc>
      </w:tr>
      <w:tr>
        <w:trPr/>
        <w:tc>
          <w:tcPr>
            <w:tcW w:w="4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Asset Derivatives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Liability Derivatives</w:t>
            </w:r>
          </w:p>
        </w:tc>
      </w:tr>
      <w:tr>
        <w:trPr/>
        <w:tc>
          <w:tcPr>
            <w:tcW w:w="4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31,</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31,</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w:t>
              <w:br/>
              <w:t>2025</w:t>
            </w:r>
          </w:p>
        </w:tc>
      </w:tr>
      <w:tr>
        <w:trPr/>
        <w:tc>
          <w:tcPr>
            <w:tcW w:w="4274"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Derivatives designated as hedging instruments: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Commodity derivatives – margin deposits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2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Derivatives not designated as hedging instruments: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Commodity derivatives – margin deposits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751 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Commodity derivatives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890 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587 </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w:t>
            </w:r>
          </w:p>
        </w:tc>
        <w:tc>
          <w:tcPr>
            <w:tcW w:w="2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Total derivatives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920 </w:t>
            </w:r>
          </w:p>
        </w:tc>
        <w:tc>
          <w:tcPr>
            <w:tcW w:w="1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618 </w:t>
            </w:r>
          </w:p>
        </w:tc>
        <w:tc>
          <w:tcPr>
            <w:tcW w:w="1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w:t>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120" w:after="283"/>
        <w:ind w:left="0" w:right="0" w:hanging="360"/>
        <w:jc w:val="both"/>
        <w:rPr/>
      </w:pPr>
      <w:hyperlink w:anchor="i5e1c82de0c41484c87a001ffe0af493e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fair value of our recognized derivative assets and liabilities on a gross basis and amounts offset on the consolidated balance sheets that are subject to enforceable master netting arrangements or similar arrangements:</w:t>
      </w:r>
    </w:p>
    <w:tbl>
      <w:tblPr>
        <w:tblW w:w="10205" w:type="dxa"/>
        <w:jc w:val="left"/>
        <w:tblInd w:w="0" w:type="dxa"/>
        <w:tblLayout w:type="fixed"/>
        <w:tblCellMar>
          <w:top w:w="28" w:type="dxa"/>
          <w:left w:w="28" w:type="dxa"/>
          <w:bottom w:w="28" w:type="dxa"/>
          <w:right w:w="28" w:type="dxa"/>
        </w:tblCellMar>
      </w:tblPr>
      <w:tblGrid>
        <w:gridCol w:w="926"/>
        <w:gridCol w:w="722"/>
        <w:gridCol w:w="725"/>
        <w:gridCol w:w="120"/>
        <w:gridCol w:w="120"/>
        <w:gridCol w:w="120"/>
        <w:gridCol w:w="695"/>
        <w:gridCol w:w="695"/>
        <w:gridCol w:w="698"/>
        <w:gridCol w:w="109"/>
        <w:gridCol w:w="109"/>
        <w:gridCol w:w="109"/>
        <w:gridCol w:w="237"/>
        <w:gridCol w:w="525"/>
        <w:gridCol w:w="123"/>
        <w:gridCol w:w="109"/>
        <w:gridCol w:w="109"/>
        <w:gridCol w:w="109"/>
        <w:gridCol w:w="301"/>
        <w:gridCol w:w="666"/>
        <w:gridCol w:w="156"/>
        <w:gridCol w:w="109"/>
        <w:gridCol w:w="109"/>
        <w:gridCol w:w="109"/>
        <w:gridCol w:w="222"/>
        <w:gridCol w:w="553"/>
        <w:gridCol w:w="114"/>
        <w:gridCol w:w="109"/>
        <w:gridCol w:w="109"/>
        <w:gridCol w:w="109"/>
        <w:gridCol w:w="332"/>
        <w:gridCol w:w="593"/>
        <w:gridCol w:w="254"/>
      </w:tblGrid>
      <w:tr>
        <w:trPr/>
        <w:tc>
          <w:tcPr>
            <w:tcW w:w="926"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r>
      <w:tr>
        <w:trPr/>
        <w:tc>
          <w:tcPr>
            <w:tcW w:w="2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Asset Derivatives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Liability Derivatives</w:t>
            </w:r>
          </w:p>
        </w:tc>
      </w:tr>
      <w:tr>
        <w:trPr/>
        <w:tc>
          <w:tcPr>
            <w:tcW w:w="2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Balance Sheet 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2C2C2C"/>
                <w:sz w:val="20"/>
              </w:rPr>
            </w:pPr>
            <w:r>
              <w:rPr>
                <w:rFonts w:ascii="Times New Roman;serif" w:hAnsi="Times New Roman;serif"/>
                <w:b w:val="false"/>
                <w:color w:val="2C2C2C"/>
                <w:sz w:val="20"/>
              </w:rPr>
              <w:t>March 31,</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2C2C2C"/>
                <w:sz w:val="20"/>
              </w:rPr>
            </w:pPr>
            <w:r>
              <w:rPr>
                <w:rFonts w:ascii="Times New Roman;serif" w:hAnsi="Times New Roman;serif"/>
                <w:b w:val="false"/>
                <w:color w:val="2C2C2C"/>
                <w:sz w:val="20"/>
              </w:rPr>
              <w:t>March 31,</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w:t>
              <w:br/>
              <w:t>2025</w:t>
            </w:r>
          </w:p>
        </w:tc>
      </w:tr>
      <w:tr>
        <w:trPr/>
        <w:tc>
          <w:tcPr>
            <w:tcW w:w="4821" w:type="dxa"/>
            <w:gridSpan w:val="9"/>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Derivatives in offsetting agreements: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OTC contracts</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Derivative assets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Broker cleared derivative contracts</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Other current assets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781 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(1,175)</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1" w:type="dxa"/>
            <w:gridSpan w:val="9"/>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Total gross derivatives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920 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618 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(1,332)</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w:t>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1" w:type="dxa"/>
            <w:gridSpan w:val="9"/>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Offsetting agreements: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Counterparty netting</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Derivative assets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Counterparty netting</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Other current assets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(744)</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1" w:type="dxa"/>
            <w:gridSpan w:val="9"/>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Total net derivatives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1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2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disclose the non-exchange traded financial derivative instruments as derivative assets and liabilities on our consolidated balance sheets at fair value with amounts classified as either current or long-term depending on the anticipated settlement date.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location and amounts recognized in our consolidated statements of operations with respect to our derivative financial instruments:</w:t>
      </w:r>
    </w:p>
    <w:tbl>
      <w:tblPr>
        <w:tblW w:w="10205" w:type="dxa"/>
        <w:jc w:val="left"/>
        <w:tblInd w:w="0" w:type="dxa"/>
        <w:tblLayout w:type="fixed"/>
        <w:tblCellMar>
          <w:top w:w="28" w:type="dxa"/>
          <w:left w:w="28" w:type="dxa"/>
          <w:bottom w:w="28" w:type="dxa"/>
          <w:right w:w="28" w:type="dxa"/>
        </w:tblCellMar>
      </w:tblPr>
      <w:tblGrid>
        <w:gridCol w:w="1056"/>
        <w:gridCol w:w="838"/>
        <w:gridCol w:w="841"/>
        <w:gridCol w:w="1056"/>
        <w:gridCol w:w="1056"/>
        <w:gridCol w:w="1059"/>
        <w:gridCol w:w="109"/>
        <w:gridCol w:w="109"/>
        <w:gridCol w:w="109"/>
        <w:gridCol w:w="109"/>
        <w:gridCol w:w="109"/>
        <w:gridCol w:w="109"/>
        <w:gridCol w:w="109"/>
        <w:gridCol w:w="381"/>
        <w:gridCol w:w="948"/>
        <w:gridCol w:w="196"/>
        <w:gridCol w:w="196"/>
        <w:gridCol w:w="196"/>
        <w:gridCol w:w="196"/>
        <w:gridCol w:w="381"/>
        <w:gridCol w:w="758"/>
        <w:gridCol w:w="284"/>
      </w:tblGrid>
      <w:tr>
        <w:trPr/>
        <w:tc>
          <w:tcPr>
            <w:tcW w:w="1056"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r>
      <w:tr>
        <w:trPr/>
        <w:tc>
          <w:tcPr>
            <w:tcW w:w="2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Location of Gain (Loss) Recognized on Income on Derivatives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6"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Amount of Gain (Loss) Recognized in Income on Derivatives</w:t>
            </w:r>
          </w:p>
        </w:tc>
      </w:tr>
      <w:tr>
        <w:trPr/>
        <w:tc>
          <w:tcPr>
            <w:tcW w:w="2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3" w:type="dxa"/>
            <w:gridSpan w:val="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br/>
              <w:t>March 31,</w:t>
            </w:r>
          </w:p>
        </w:tc>
        <w:tc>
          <w:tcPr>
            <w:tcW w:w="2011" w:type="dxa"/>
            <w:gridSpan w:val="6"/>
            <w:tcBorders/>
          </w:tcPr>
          <w:p>
            <w:pPr>
              <w:pStyle w:val="TableContents"/>
              <w:bidi w:val="0"/>
              <w:spacing w:before="0" w:after="283"/>
              <w:jc w:val="left"/>
              <w:rPr>
                <w:sz w:val="4"/>
                <w:szCs w:val="4"/>
              </w:rPr>
            </w:pPr>
            <w:r>
              <w:rPr>
                <w:sz w:val="4"/>
                <w:szCs w:val="4"/>
              </w:rPr>
            </w:r>
          </w:p>
        </w:tc>
      </w:tr>
      <w:tr>
        <w:trPr/>
        <w:tc>
          <w:tcPr>
            <w:tcW w:w="590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5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273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Derivatives not designated as hedging instruments:</w:t>
            </w:r>
          </w:p>
        </w:tc>
        <w:tc>
          <w:tcPr>
            <w:tcW w:w="3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5" w:type="dxa"/>
            <w:gridSpan w:val="3"/>
            <w:tcBorders/>
            <w:vAlign w:val="center"/>
          </w:tcPr>
          <w:p>
            <w:pPr>
              <w:pStyle w:val="TableContents"/>
              <w:bidi w:val="0"/>
              <w:spacing w:before="0" w:after="283"/>
              <w:jc w:val="left"/>
              <w:rPr>
                <w:sz w:val="4"/>
                <w:szCs w:val="4"/>
              </w:rPr>
            </w:pPr>
            <w:r>
              <w:rPr>
                <w:sz w:val="4"/>
                <w:szCs w:val="4"/>
              </w:rPr>
            </w:r>
          </w:p>
        </w:tc>
        <w:tc>
          <w:tcPr>
            <w:tcW w:w="3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5" w:type="dxa"/>
            <w:gridSpan w:val="3"/>
            <w:tcBorders/>
            <w:vAlign w:val="center"/>
          </w:tcPr>
          <w:p>
            <w:pPr>
              <w:pStyle w:val="TableContents"/>
              <w:bidi w:val="0"/>
              <w:spacing w:before="0" w:after="283"/>
              <w:jc w:val="left"/>
              <w:rPr>
                <w:sz w:val="4"/>
                <w:szCs w:val="4"/>
              </w:rPr>
            </w:pPr>
            <w:r>
              <w:rPr>
                <w:sz w:val="4"/>
                <w:szCs w:val="4"/>
              </w:rPr>
            </w:r>
          </w:p>
        </w:tc>
        <w:tc>
          <w:tcPr>
            <w:tcW w:w="588" w:type="dxa"/>
            <w:gridSpan w:val="3"/>
            <w:tcBorders/>
            <w:vAlign w:val="center"/>
          </w:tcPr>
          <w:p>
            <w:pPr>
              <w:pStyle w:val="TableContents"/>
              <w:bidi w:val="0"/>
              <w:spacing w:before="0" w:after="283"/>
              <w:jc w:val="left"/>
              <w:rPr>
                <w:sz w:val="4"/>
                <w:szCs w:val="4"/>
              </w:rPr>
            </w:pPr>
            <w:r>
              <w:rPr>
                <w:sz w:val="4"/>
                <w:szCs w:val="4"/>
              </w:rPr>
            </w:r>
          </w:p>
        </w:tc>
        <w:tc>
          <w:tcPr>
            <w:tcW w:w="1423" w:type="dxa"/>
            <w:gridSpan w:val="3"/>
            <w:tcBorders/>
            <w:vAlign w:val="center"/>
          </w:tcPr>
          <w:p>
            <w:pPr>
              <w:pStyle w:val="TableContents"/>
              <w:bidi w:val="0"/>
              <w:spacing w:before="0" w:after="283"/>
              <w:jc w:val="left"/>
              <w:rPr>
                <w:sz w:val="4"/>
                <w:szCs w:val="4"/>
              </w:rPr>
            </w:pPr>
            <w:r>
              <w:rPr>
                <w:sz w:val="4"/>
                <w:szCs w:val="4"/>
              </w:rPr>
            </w:r>
          </w:p>
        </w:tc>
      </w:tr>
      <w:tr>
        <w:trPr/>
        <w:tc>
          <w:tcPr>
            <w:tcW w:w="2735" w:type="dxa"/>
            <w:gridSpan w:val="3"/>
            <w:tcBorders/>
            <w:vAlign w:val="center"/>
          </w:tcPr>
          <w:p>
            <w:pPr>
              <w:pStyle w:val="TableContents"/>
              <w:bidi w:val="0"/>
              <w:spacing w:before="0" w:after="283"/>
              <w:jc w:val="left"/>
              <w:rPr>
                <w:sz w:val="4"/>
                <w:szCs w:val="4"/>
              </w:rPr>
            </w:pPr>
            <w:r>
              <w:rPr>
                <w:sz w:val="4"/>
                <w:szCs w:val="4"/>
              </w:rPr>
            </w:r>
          </w:p>
        </w:tc>
        <w:tc>
          <w:tcPr>
            <w:tcW w:w="3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5" w:type="dxa"/>
            <w:gridSpan w:val="3"/>
            <w:tcBorders/>
            <w:vAlign w:val="center"/>
          </w:tcPr>
          <w:p>
            <w:pPr>
              <w:pStyle w:val="TableContents"/>
              <w:bidi w:val="0"/>
              <w:spacing w:before="0" w:after="283"/>
              <w:jc w:val="left"/>
              <w:rPr>
                <w:sz w:val="4"/>
                <w:szCs w:val="4"/>
              </w:rPr>
            </w:pPr>
            <w:r>
              <w:rPr>
                <w:sz w:val="4"/>
                <w:szCs w:val="4"/>
              </w:rPr>
            </w:r>
          </w:p>
        </w:tc>
        <w:tc>
          <w:tcPr>
            <w:tcW w:w="588" w:type="dxa"/>
            <w:gridSpan w:val="3"/>
            <w:tcBorders/>
            <w:vAlign w:val="center"/>
          </w:tcPr>
          <w:p>
            <w:pPr>
              <w:pStyle w:val="TableContents"/>
              <w:bidi w:val="0"/>
              <w:spacing w:before="0" w:after="283"/>
              <w:jc w:val="left"/>
              <w:rPr>
                <w:sz w:val="4"/>
                <w:szCs w:val="4"/>
              </w:rPr>
            </w:pPr>
            <w:r>
              <w:rPr>
                <w:sz w:val="4"/>
                <w:szCs w:val="4"/>
              </w:rPr>
            </w:r>
          </w:p>
        </w:tc>
        <w:tc>
          <w:tcPr>
            <w:tcW w:w="1423"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2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Commodity derivatives</w:t>
            </w:r>
          </w:p>
        </w:tc>
        <w:tc>
          <w:tcPr>
            <w:tcW w:w="3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products sold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2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5" w:type="dxa"/>
            <w:gridSpan w:val="3"/>
            <w:tcBorders/>
            <w:vAlign w:val="center"/>
          </w:tcPr>
          <w:p>
            <w:pPr>
              <w:pStyle w:val="TableContents"/>
              <w:bidi w:val="0"/>
              <w:spacing w:before="0" w:after="283"/>
              <w:jc w:val="left"/>
              <w:rPr>
                <w:sz w:val="4"/>
                <w:szCs w:val="4"/>
              </w:rPr>
            </w:pPr>
            <w:r>
              <w:rPr>
                <w:sz w:val="4"/>
                <w:szCs w:val="4"/>
              </w:rPr>
            </w:r>
          </w:p>
        </w:tc>
        <w:tc>
          <w:tcPr>
            <w:tcW w:w="3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5" w:type="dxa"/>
            <w:gridSpan w:val="3"/>
            <w:tcBorders/>
            <w:vAlign w:val="center"/>
          </w:tcPr>
          <w:p>
            <w:pPr>
              <w:pStyle w:val="TableContents"/>
              <w:bidi w:val="0"/>
              <w:spacing w:before="0" w:after="283"/>
              <w:jc w:val="left"/>
              <w:rPr>
                <w:sz w:val="4"/>
                <w:szCs w:val="4"/>
              </w:rPr>
            </w:pPr>
            <w:r>
              <w:rPr>
                <w:sz w:val="4"/>
                <w:szCs w:val="4"/>
              </w:rPr>
            </w:r>
          </w:p>
        </w:tc>
        <w:tc>
          <w:tcPr>
            <w:tcW w:w="588" w:type="dxa"/>
            <w:gridSpan w:val="3"/>
            <w:tcBorders/>
            <w:vAlign w:val="center"/>
          </w:tcPr>
          <w:p>
            <w:pPr>
              <w:pStyle w:val="TableContents"/>
              <w:bidi w:val="0"/>
              <w:spacing w:before="0" w:after="283"/>
              <w:jc w:val="left"/>
              <w:rPr>
                <w:sz w:val="4"/>
                <w:szCs w:val="4"/>
              </w:rPr>
            </w:pPr>
            <w:r>
              <w:rPr>
                <w:sz w:val="4"/>
                <w:szCs w:val="4"/>
              </w:rPr>
            </w:r>
          </w:p>
        </w:tc>
        <w:tc>
          <w:tcPr>
            <w:tcW w:w="1423" w:type="dxa"/>
            <w:gridSpan w:val="3"/>
            <w:tcBorders/>
            <w:vAlign w:val="center"/>
          </w:tcPr>
          <w:p>
            <w:pPr>
              <w:pStyle w:val="TableContents"/>
              <w:bidi w:val="0"/>
              <w:spacing w:before="0" w:after="283"/>
              <w:jc w:val="left"/>
              <w:rPr>
                <w:sz w:val="4"/>
                <w:szCs w:val="4"/>
              </w:rPr>
            </w:pPr>
            <w:r>
              <w:rPr>
                <w:sz w:val="4"/>
                <w:szCs w:val="4"/>
              </w:rPr>
            </w:r>
          </w:p>
        </w:tc>
      </w:tr>
      <w:tr>
        <w:trPr/>
        <w:tc>
          <w:tcPr>
            <w:tcW w:w="2735" w:type="dxa"/>
            <w:gridSpan w:val="3"/>
            <w:tcBorders/>
            <w:vAlign w:val="center"/>
          </w:tcPr>
          <w:p>
            <w:pPr>
              <w:pStyle w:val="TableContents"/>
              <w:bidi w:val="0"/>
              <w:spacing w:before="0" w:after="283"/>
              <w:jc w:val="left"/>
              <w:rPr>
                <w:sz w:val="4"/>
                <w:szCs w:val="4"/>
              </w:rPr>
            </w:pPr>
            <w:r>
              <w:rPr>
                <w:sz w:val="4"/>
                <w:szCs w:val="4"/>
              </w:rPr>
            </w:r>
          </w:p>
        </w:tc>
        <w:tc>
          <w:tcPr>
            <w:tcW w:w="3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5" w:type="dxa"/>
            <w:gridSpan w:val="3"/>
            <w:tcBorders/>
            <w:vAlign w:val="center"/>
          </w:tcPr>
          <w:p>
            <w:pPr>
              <w:pStyle w:val="TableContents"/>
              <w:bidi w:val="0"/>
              <w:spacing w:before="0" w:after="283"/>
              <w:jc w:val="left"/>
              <w:rPr>
                <w:sz w:val="4"/>
                <w:szCs w:val="4"/>
              </w:rPr>
            </w:pPr>
            <w:r>
              <w:rPr>
                <w:sz w:val="4"/>
                <w:szCs w:val="4"/>
              </w:rPr>
            </w:r>
          </w:p>
        </w:tc>
        <w:tc>
          <w:tcPr>
            <w:tcW w:w="588" w:type="dxa"/>
            <w:gridSpan w:val="3"/>
            <w:tcBorders/>
            <w:vAlign w:val="center"/>
          </w:tcPr>
          <w:p>
            <w:pPr>
              <w:pStyle w:val="TableContents"/>
              <w:bidi w:val="0"/>
              <w:spacing w:before="0" w:after="283"/>
              <w:jc w:val="left"/>
              <w:rPr>
                <w:sz w:val="4"/>
                <w:szCs w:val="4"/>
              </w:rPr>
            </w:pPr>
            <w:r>
              <w:rPr>
                <w:sz w:val="4"/>
                <w:szCs w:val="4"/>
              </w:rPr>
            </w:r>
          </w:p>
        </w:tc>
        <w:tc>
          <w:tcPr>
            <w:tcW w:w="1423" w:type="dxa"/>
            <w:gridSpan w:val="3"/>
            <w:tcBorders/>
            <w:vAlign w:val="center"/>
          </w:tcPr>
          <w:p>
            <w:pPr>
              <w:pStyle w:val="TableContents"/>
              <w:bidi w:val="0"/>
              <w:spacing w:before="0" w:after="283"/>
              <w:jc w:val="left"/>
              <w:rPr>
                <w:sz w:val="4"/>
                <w:szCs w:val="4"/>
              </w:rPr>
            </w:pPr>
            <w:r>
              <w:rPr>
                <w:sz w:val="4"/>
                <w:szCs w:val="4"/>
              </w:rPr>
            </w:r>
          </w:p>
        </w:tc>
      </w:tr>
      <w:tr>
        <w:trPr/>
        <w:tc>
          <w:tcPr>
            <w:tcW w:w="273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2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ind w:left="0" w:right="0" w:hanging="360"/>
        <w:jc w:val="both"/>
        <w:rPr/>
      </w:pPr>
      <w:r>
        <w:rPr>
          <w:rFonts w:ascii="Times New Roman;serif" w:hAnsi="Times New Roman;serif"/>
          <w:b/>
          <w:color w:val="000000"/>
          <w:sz w:val="20"/>
        </w:rPr>
        <w:t>13.</w:t>
      </w:r>
      <w:r>
        <w:rPr>
          <w:rFonts w:ascii="Times New Roman;serif" w:hAnsi="Times New Roman;serif"/>
          <w:b/>
          <w:color w:val="000000"/>
          <w:sz w:val="20"/>
          <w:u w:val="single"/>
        </w:rPr>
        <w:t>REPORTABLE SEGMENTS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Our reportable segments, which conduct their business primarily in the United States, are as follows: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intrastate transportation and storage;</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interstate transportation and storage;</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midstream;</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NGL and refined products transportation and services;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crude oil transportation and services;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investment in Sunoco LP;</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investment in USAC; and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all other.</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Consolidated revenues and expenses reflect the elimination of all material intercompany transactions.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Revenues from our intrastate transportation and storage segment are primarily reflected in natural gas sales and gathering, transportation and other fees. Revenues from our interstate transportation and storage segment are primarily reflected in gathering, transportation and other fees. Revenues from our midstream segment are primarily reflected in natural gas sales, NGL sales and gathering, transportation and other fees. Revenues from our NGL and refined products transportation and services segment are primarily reflected in NGL sales and gathering, transportation and other fees. Revenues from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120" w:after="283"/>
        <w:ind w:left="0" w:right="0" w:hanging="360"/>
        <w:jc w:val="both"/>
        <w:rPr/>
      </w:pPr>
      <w:hyperlink w:anchor="i5e1c82de0c41484c87a001ffe0af493e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crude oil transportation and services segment are primarily reflected in crude sales. Revenues from our investment in Sunoco LP segment are primarily reflected in refined product sales and, subsequent to Sunoco LP’s acquisition of NuStar in May 2024, also in gathering, transportation and other fees. Revenues from our investment in USAC segment are primarily reflected in gathering, transportation and other fees. Revenues from our all other segment are primarily reflected in natural gas sales and gathering, transportation and other fees. Revenues from our all other segment are primarily reflected in natural gas sales.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We report Segment Adjusted EBITDA (defined below) as the measure of segment performance reviewed by our chief operating decision maker (“CODM”). The role of the CODM is held by the Partnership’s co-chief executive officers (“co-CEOs”). Both of the co-CEOs fulfill specific functions that impact the allocation of resources and assessment of performance among our reportable segments, including the approval of budgets and the evaluation of growth projects and acquisitions. The Partnership’s co-CEOs receive and review the same information with respect to the Partnership’s segment operating results.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co-CEOs use Segment Adjusted EBITDA to allocate resources (including employees, property, and financial or capital resources) for each segment predominantly in the annual budget and forecasting process. The co-CEOs also use Segment Adjusted EBITDA to assess the performance for each segment and in the compensation of certain employees. The co-CEOs consider forecast-to-actual variances on a monthly basis when making decisions about allocating capital and personnel to the segments. Assets by segment are not a measure used to assess our performance by the co-CEOs and thus are not reported in our disclosures.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We define Segment Adjusted EBITDA as total Partnership earnings before interest, taxes, depreciation, depletion, amortization and other non-cash items, such as non-cash compensation expense, gains and losses on disposals of assets, the allowance for equity funds used during construction, unrealized gains and losses on commodity risk management activities, inventory valuation adjustments, non-cash impairment charges, losses on extinguishments of debt, certain foreign currency transaction gains and losses and other non-operating income or expense items, as well as certain non-recurring gains and losses. Inventory valuation adjustments that are excluded from the calculation of Adjusted EBITDA represent only the changes in lower of cost or market reserves on inventory that is carried at LIFO. These amounts are unrealized valuation adjustments applied to Sunoco LP’s fuel volumes remaining in inventory at the end of the period.</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Segment Adjusted EBITDA and consolidated Adjusted EBITDA reflect amounts for unconsolidated affiliates based on the same recognition and measurement methods used to record equity in earnings of unconsolidated affiliates. Adjusted EBITDA related to unconsolidated affiliates excludes the same items with respect to the unconsolidated affiliate as those excluded from the calculation of Segment Adjusted EBITDA and consolidated Adjusted EBITDA, such as interest, taxes, depreciation, depletion, amortization and other non-cash items. Although these amounts are excluded from Adjusted EBITDA related to unconsolidated affiliates, such exclusion should not be understood to imply that we have control over the operations and resulting revenues and expenses of such affiliates. We do not control our unconsolidated affiliates; therefore, we do not control the earnings or cash flows of such affiliates. The use of Segment Adjusted EBITDA or Adjusted EBITDA related to unconsolidated affiliates as an analytical tool should be limited accordingly.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120" w:after="283"/>
        <w:ind w:left="0" w:right="0" w:hanging="360"/>
        <w:jc w:val="both"/>
        <w:rPr/>
      </w:pPr>
      <w:hyperlink w:anchor="i5e1c82de0c41484c87a001ffe0af493e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tables present financial information by segment:</w:t>
      </w:r>
    </w:p>
    <w:tbl>
      <w:tblPr>
        <w:tblW w:w="7945" w:type="dxa"/>
        <w:jc w:val="left"/>
        <w:tblInd w:w="0" w:type="dxa"/>
        <w:tblLayout w:type="fixed"/>
        <w:tblCellMar>
          <w:top w:w="28" w:type="dxa"/>
          <w:left w:w="28" w:type="dxa"/>
          <w:bottom w:w="28" w:type="dxa"/>
          <w:right w:w="28" w:type="dxa"/>
        </w:tblCellMar>
      </w:tblPr>
      <w:tblGrid>
        <w:gridCol w:w="1631"/>
        <w:gridCol w:w="1427"/>
        <w:gridCol w:w="1442"/>
        <w:gridCol w:w="109"/>
        <w:gridCol w:w="109"/>
        <w:gridCol w:w="157"/>
        <w:gridCol w:w="157"/>
        <w:gridCol w:w="304"/>
        <w:gridCol w:w="1039"/>
        <w:gridCol w:w="157"/>
        <w:gridCol w:w="109"/>
        <w:gridCol w:w="109"/>
        <w:gridCol w:w="109"/>
        <w:gridCol w:w="211"/>
        <w:gridCol w:w="721"/>
        <w:gridCol w:w="154"/>
      </w:tblGrid>
      <w:tr>
        <w:trPr/>
        <w:tc>
          <w:tcPr>
            <w:tcW w:w="1631" w:type="dxa"/>
            <w:tcBorders/>
            <w:vAlign w:val="center"/>
          </w:tcPr>
          <w:p>
            <w:pPr>
              <w:pStyle w:val="TableContents"/>
              <w:bidi w:val="0"/>
              <w:spacing w:before="0" w:after="283"/>
              <w:jc w:val="left"/>
              <w:rPr>
                <w:sz w:val="4"/>
                <w:szCs w:val="4"/>
              </w:rPr>
            </w:pPr>
            <w:r>
              <w:rPr>
                <w:sz w:val="4"/>
                <w:szCs w:val="4"/>
              </w:rPr>
            </w:r>
          </w:p>
        </w:tc>
        <w:tc>
          <w:tcPr>
            <w:tcW w:w="1427" w:type="dxa"/>
            <w:tcBorders/>
            <w:vAlign w:val="center"/>
          </w:tcPr>
          <w:p>
            <w:pPr>
              <w:pStyle w:val="TableContents"/>
              <w:bidi w:val="0"/>
              <w:spacing w:before="0" w:after="283"/>
              <w:jc w:val="left"/>
              <w:rPr>
                <w:sz w:val="4"/>
                <w:szCs w:val="4"/>
              </w:rPr>
            </w:pPr>
            <w:r>
              <w:rPr>
                <w:sz w:val="4"/>
                <w:szCs w:val="4"/>
              </w:rPr>
            </w:r>
          </w:p>
        </w:tc>
        <w:tc>
          <w:tcPr>
            <w:tcW w:w="14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4"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br/>
              <w:t>March 31,</w:t>
            </w:r>
          </w:p>
        </w:tc>
        <w:tc>
          <w:tcPr>
            <w:tcW w:w="1413" w:type="dxa"/>
            <w:gridSpan w:val="6"/>
            <w:tcBorders/>
          </w:tcPr>
          <w:p>
            <w:pPr>
              <w:pStyle w:val="TableContents"/>
              <w:bidi w:val="0"/>
              <w:spacing w:before="0" w:after="283"/>
              <w:jc w:val="left"/>
              <w:rPr>
                <w:sz w:val="4"/>
                <w:szCs w:val="4"/>
              </w:rPr>
            </w:pPr>
            <w:r>
              <w:rPr>
                <w:sz w:val="4"/>
                <w:szCs w:val="4"/>
              </w:rPr>
            </w:r>
          </w:p>
        </w:tc>
      </w:tr>
      <w:tr>
        <w:trPr/>
        <w:tc>
          <w:tcPr>
            <w:tcW w:w="4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45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Intrastate transportation and storage: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 from external customers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3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1,147 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Intersegment 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3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1,156 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Interstate transportation and storage: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 from external customers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3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613 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Intersegment 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3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Midstream:</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 from external customers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3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884 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Intersegment 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3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3,044 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NGL and refined products transportation and services: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 from external customers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3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6,034 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Intersegment 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3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6,673 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6,909 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Crude oil transportation and services: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 from external customers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3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7,751 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6,205 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Intersegment 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3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7,758 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6,208 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in Sunoco LP:</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 from external customers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3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10,689 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5,177 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Intersegment 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3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10,690 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in USAC: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 from external customers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3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Intersegment 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3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 other: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 from external customers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3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730 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Intersegment 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3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1,054 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Eliminations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(3,569)</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(4,087)</w:t>
            </w:r>
          </w:p>
        </w:tc>
        <w:tc>
          <w:tcPr>
            <w:tcW w:w="154"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3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27,771 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21,020 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120" w:after="283"/>
        <w:ind w:left="0" w:right="0" w:hanging="360"/>
        <w:jc w:val="both"/>
        <w:rPr/>
      </w:pPr>
      <w:hyperlink w:anchor="i5e1c82de0c41484c87a001ffe0af493e_7">
        <w:r>
          <w:rPr>
            <w:rStyle w:val="InternetLink"/>
            <w:rFonts w:ascii="Times New Roman;serif" w:hAnsi="Times New Roman;serif"/>
            <w:b w:val="false"/>
            <w:color w:val="0000FF"/>
            <w:sz w:val="20"/>
            <w:u w:val="single"/>
          </w:rPr>
          <w:t>Table of Contents</w:t>
        </w:r>
      </w:hyperlink>
    </w:p>
    <w:tbl>
      <w:tblPr>
        <w:tblW w:w="6893" w:type="dxa"/>
        <w:jc w:val="left"/>
        <w:tblInd w:w="0" w:type="dxa"/>
        <w:tblLayout w:type="fixed"/>
        <w:tblCellMar>
          <w:top w:w="28" w:type="dxa"/>
          <w:left w:w="28" w:type="dxa"/>
          <w:bottom w:w="28" w:type="dxa"/>
          <w:right w:w="28" w:type="dxa"/>
        </w:tblCellMar>
      </w:tblPr>
      <w:tblGrid>
        <w:gridCol w:w="1606"/>
        <w:gridCol w:w="1413"/>
        <w:gridCol w:w="1420"/>
        <w:gridCol w:w="211"/>
        <w:gridCol w:w="721"/>
        <w:gridCol w:w="109"/>
        <w:gridCol w:w="109"/>
        <w:gridCol w:w="109"/>
        <w:gridCol w:w="109"/>
        <w:gridCol w:w="211"/>
        <w:gridCol w:w="721"/>
        <w:gridCol w:w="154"/>
      </w:tblGrid>
      <w:tr>
        <w:trPr/>
        <w:tc>
          <w:tcPr>
            <w:tcW w:w="1606" w:type="dxa"/>
            <w:tcBorders/>
            <w:vAlign w:val="center"/>
          </w:tcPr>
          <w:p>
            <w:pPr>
              <w:pStyle w:val="TableContents"/>
              <w:bidi w:val="0"/>
              <w:spacing w:before="0" w:after="283"/>
              <w:jc w:val="left"/>
              <w:rPr>
                <w:sz w:val="4"/>
                <w:szCs w:val="4"/>
              </w:rPr>
            </w:pPr>
            <w:r>
              <w:rPr>
                <w:sz w:val="4"/>
                <w:szCs w:val="4"/>
              </w:rPr>
            </w:r>
          </w:p>
        </w:tc>
        <w:tc>
          <w:tcPr>
            <w:tcW w:w="1413" w:type="dxa"/>
            <w:tcBorders/>
            <w:vAlign w:val="center"/>
          </w:tcPr>
          <w:p>
            <w:pPr>
              <w:pStyle w:val="TableContents"/>
              <w:bidi w:val="0"/>
              <w:spacing w:before="0" w:after="283"/>
              <w:jc w:val="left"/>
              <w:rPr>
                <w:sz w:val="4"/>
                <w:szCs w:val="4"/>
              </w:rPr>
            </w:pPr>
            <w:r>
              <w:rPr>
                <w:sz w:val="4"/>
                <w:szCs w:val="4"/>
              </w:rPr>
            </w:r>
          </w:p>
        </w:tc>
        <w:tc>
          <w:tcPr>
            <w:tcW w:w="142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br/>
              <w:t>March 31,</w:t>
            </w:r>
          </w:p>
        </w:tc>
      </w:tr>
      <w:tr>
        <w:trPr/>
        <w:tc>
          <w:tcPr>
            <w:tcW w:w="4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products sold:</w:t>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Intrastate transportation and storage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964 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Interstate transportation and storage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Midstream</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2,260 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NGL and refined products transportation and services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5,641 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Crude oil transportation and services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5,214 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in Sunoco LP</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4,526 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in USAC</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 other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995 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Eliminations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(4,069)</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 of products sold</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21,149 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15,571 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883"/>
        <w:gridCol w:w="2535"/>
        <w:gridCol w:w="2541"/>
        <w:gridCol w:w="211"/>
        <w:gridCol w:w="616"/>
        <w:gridCol w:w="109"/>
        <w:gridCol w:w="109"/>
        <w:gridCol w:w="109"/>
        <w:gridCol w:w="109"/>
        <w:gridCol w:w="211"/>
        <w:gridCol w:w="616"/>
        <w:gridCol w:w="156"/>
      </w:tblGrid>
      <w:tr>
        <w:trPr/>
        <w:tc>
          <w:tcPr>
            <w:tcW w:w="2883" w:type="dxa"/>
            <w:tcBorders/>
            <w:vAlign w:val="center"/>
          </w:tcPr>
          <w:p>
            <w:pPr>
              <w:pStyle w:val="TableContents"/>
              <w:bidi w:val="0"/>
              <w:spacing w:before="0" w:after="283"/>
              <w:jc w:val="left"/>
              <w:rPr>
                <w:sz w:val="4"/>
                <w:szCs w:val="4"/>
              </w:rPr>
            </w:pPr>
            <w:r>
              <w:rPr>
                <w:sz w:val="4"/>
                <w:szCs w:val="4"/>
              </w:rPr>
            </w:r>
          </w:p>
        </w:tc>
        <w:tc>
          <w:tcPr>
            <w:tcW w:w="2535" w:type="dxa"/>
            <w:tcBorders/>
            <w:vAlign w:val="center"/>
          </w:tcPr>
          <w:p>
            <w:pPr>
              <w:pStyle w:val="TableContents"/>
              <w:bidi w:val="0"/>
              <w:spacing w:before="0" w:after="283"/>
              <w:jc w:val="left"/>
              <w:rPr>
                <w:sz w:val="4"/>
                <w:szCs w:val="4"/>
              </w:rPr>
            </w:pPr>
            <w:r>
              <w:rPr>
                <w:sz w:val="4"/>
                <w:szCs w:val="4"/>
              </w:rPr>
            </w:r>
          </w:p>
        </w:tc>
        <w:tc>
          <w:tcPr>
            <w:tcW w:w="25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br/>
              <w:t>March 31,</w:t>
            </w:r>
          </w:p>
        </w:tc>
      </w:tr>
      <w:tr>
        <w:trPr/>
        <w:tc>
          <w:tcPr>
            <w:tcW w:w="7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79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 excluding non-cash compensation, amortization, accretion and other non-cash expenses:</w:t>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Intrastate transportation and storage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Interstate transportation and storage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Midstream</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NGL and refined products transportation and services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Crude oil transportation and services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in Sunoco LP</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in USAC</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 other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Eliminations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 excluding non-cash compensation, amortization, accretion and other non-cash expenses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1,284 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6683" w:type="dxa"/>
        <w:jc w:val="left"/>
        <w:tblInd w:w="0" w:type="dxa"/>
        <w:tblLayout w:type="fixed"/>
        <w:tblCellMar>
          <w:top w:w="28" w:type="dxa"/>
          <w:left w:w="28" w:type="dxa"/>
          <w:bottom w:w="28" w:type="dxa"/>
          <w:right w:w="28" w:type="dxa"/>
        </w:tblCellMar>
      </w:tblPr>
      <w:tblGrid>
        <w:gridCol w:w="1606"/>
        <w:gridCol w:w="1413"/>
        <w:gridCol w:w="1420"/>
        <w:gridCol w:w="211"/>
        <w:gridCol w:w="616"/>
        <w:gridCol w:w="109"/>
        <w:gridCol w:w="109"/>
        <w:gridCol w:w="109"/>
        <w:gridCol w:w="109"/>
        <w:gridCol w:w="211"/>
        <w:gridCol w:w="616"/>
        <w:gridCol w:w="154"/>
      </w:tblGrid>
      <w:tr>
        <w:trPr/>
        <w:tc>
          <w:tcPr>
            <w:tcW w:w="1606" w:type="dxa"/>
            <w:tcBorders/>
            <w:vAlign w:val="center"/>
          </w:tcPr>
          <w:p>
            <w:pPr>
              <w:pStyle w:val="TableContents"/>
              <w:bidi w:val="0"/>
              <w:spacing w:before="0" w:after="283"/>
              <w:jc w:val="left"/>
              <w:rPr>
                <w:sz w:val="4"/>
                <w:szCs w:val="4"/>
              </w:rPr>
            </w:pPr>
            <w:r>
              <w:rPr>
                <w:sz w:val="4"/>
                <w:szCs w:val="4"/>
              </w:rPr>
            </w:r>
          </w:p>
        </w:tc>
        <w:tc>
          <w:tcPr>
            <w:tcW w:w="1413" w:type="dxa"/>
            <w:tcBorders/>
            <w:vAlign w:val="center"/>
          </w:tcPr>
          <w:p>
            <w:pPr>
              <w:pStyle w:val="TableContents"/>
              <w:bidi w:val="0"/>
              <w:spacing w:before="0" w:after="283"/>
              <w:jc w:val="left"/>
              <w:rPr>
                <w:sz w:val="4"/>
                <w:szCs w:val="4"/>
              </w:rPr>
            </w:pPr>
            <w:r>
              <w:rPr>
                <w:sz w:val="4"/>
                <w:szCs w:val="4"/>
              </w:rPr>
            </w:r>
          </w:p>
        </w:tc>
        <w:tc>
          <w:tcPr>
            <w:tcW w:w="142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br/>
              <w:t>March 31,</w:t>
            </w:r>
          </w:p>
        </w:tc>
      </w:tr>
      <w:tr>
        <w:trPr/>
        <w:tc>
          <w:tcPr>
            <w:tcW w:w="4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depletion and amortization:</w:t>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Intrastate transportation and storage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Interstate transportation and storage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Midstream</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NGL and refined products transportation and services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Crude oil transportation and services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in Sunoco LP</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in USAC</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 other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depreciation, depletion and amortization</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120" w:after="283"/>
        <w:ind w:left="0" w:right="0" w:hanging="360"/>
        <w:jc w:val="both"/>
        <w:rPr/>
      </w:pPr>
      <w:hyperlink w:anchor="i5e1c82de0c41484c87a001ffe0af493e_7">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994"/>
        <w:gridCol w:w="2629"/>
        <w:gridCol w:w="2636"/>
        <w:gridCol w:w="211"/>
        <w:gridCol w:w="466"/>
        <w:gridCol w:w="109"/>
        <w:gridCol w:w="109"/>
        <w:gridCol w:w="109"/>
        <w:gridCol w:w="109"/>
        <w:gridCol w:w="211"/>
        <w:gridCol w:w="466"/>
        <w:gridCol w:w="156"/>
      </w:tblGrid>
      <w:tr>
        <w:trPr/>
        <w:tc>
          <w:tcPr>
            <w:tcW w:w="2994" w:type="dxa"/>
            <w:tcBorders/>
            <w:vAlign w:val="center"/>
          </w:tcPr>
          <w:p>
            <w:pPr>
              <w:pStyle w:val="TableContents"/>
              <w:bidi w:val="0"/>
              <w:spacing w:before="0" w:after="283"/>
              <w:jc w:val="left"/>
              <w:rPr>
                <w:sz w:val="4"/>
                <w:szCs w:val="4"/>
              </w:rPr>
            </w:pPr>
            <w:r>
              <w:rPr>
                <w:sz w:val="4"/>
                <w:szCs w:val="4"/>
              </w:rPr>
            </w:r>
          </w:p>
        </w:tc>
        <w:tc>
          <w:tcPr>
            <w:tcW w:w="2629" w:type="dxa"/>
            <w:tcBorders/>
            <w:vAlign w:val="center"/>
          </w:tcPr>
          <w:p>
            <w:pPr>
              <w:pStyle w:val="TableContents"/>
              <w:bidi w:val="0"/>
              <w:spacing w:before="0" w:after="283"/>
              <w:jc w:val="left"/>
              <w:rPr>
                <w:sz w:val="4"/>
                <w:szCs w:val="4"/>
              </w:rPr>
            </w:pPr>
            <w:r>
              <w:rPr>
                <w:sz w:val="4"/>
                <w:szCs w:val="4"/>
              </w:rPr>
            </w:r>
          </w:p>
        </w:tc>
        <w:tc>
          <w:tcPr>
            <w:tcW w:w="26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br/>
              <w:t>March 31,</w:t>
            </w:r>
          </w:p>
        </w:tc>
      </w:tr>
      <w:tr>
        <w:trPr/>
        <w:tc>
          <w:tcPr>
            <w:tcW w:w="8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8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 excluding non-cash compensation and accretion expenses:</w:t>
            </w:r>
          </w:p>
        </w:tc>
        <w:tc>
          <w:tcPr>
            <w:tcW w:w="7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8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Intrastate transportation and storage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8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Interstate transportation and storage</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8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Midstream</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8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NGL and refined products transportation and services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8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Crude oil transportation and services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8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in Sunoco LP</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8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in USAC</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8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 other</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8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selling, general and administrative expenses, excluding non-cash compensation and accretion expenses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6296" w:type="dxa"/>
        <w:jc w:val="left"/>
        <w:tblInd w:w="0" w:type="dxa"/>
        <w:tblLayout w:type="fixed"/>
        <w:tblCellMar>
          <w:top w:w="28" w:type="dxa"/>
          <w:left w:w="28" w:type="dxa"/>
          <w:bottom w:w="28" w:type="dxa"/>
          <w:right w:w="28" w:type="dxa"/>
        </w:tblCellMar>
      </w:tblPr>
      <w:tblGrid>
        <w:gridCol w:w="1608"/>
        <w:gridCol w:w="1412"/>
        <w:gridCol w:w="1419"/>
        <w:gridCol w:w="213"/>
        <w:gridCol w:w="471"/>
        <w:gridCol w:w="110"/>
        <w:gridCol w:w="110"/>
        <w:gridCol w:w="110"/>
        <w:gridCol w:w="110"/>
        <w:gridCol w:w="213"/>
        <w:gridCol w:w="365"/>
        <w:gridCol w:w="155"/>
      </w:tblGrid>
      <w:tr>
        <w:trPr/>
        <w:tc>
          <w:tcPr>
            <w:tcW w:w="1608" w:type="dxa"/>
            <w:tcBorders/>
            <w:vAlign w:val="center"/>
          </w:tcPr>
          <w:p>
            <w:pPr>
              <w:pStyle w:val="TableContents"/>
              <w:bidi w:val="0"/>
              <w:spacing w:before="0" w:after="283"/>
              <w:jc w:val="left"/>
              <w:rPr>
                <w:sz w:val="4"/>
                <w:szCs w:val="4"/>
              </w:rPr>
            </w:pPr>
            <w:r>
              <w:rPr>
                <w:sz w:val="4"/>
                <w:szCs w:val="4"/>
              </w:rPr>
            </w:r>
          </w:p>
        </w:tc>
        <w:tc>
          <w:tcPr>
            <w:tcW w:w="1412" w:type="dxa"/>
            <w:tcBorders/>
            <w:vAlign w:val="center"/>
          </w:tcPr>
          <w:p>
            <w:pPr>
              <w:pStyle w:val="TableContents"/>
              <w:bidi w:val="0"/>
              <w:spacing w:before="0" w:after="283"/>
              <w:jc w:val="left"/>
              <w:rPr>
                <w:sz w:val="4"/>
                <w:szCs w:val="4"/>
              </w:rPr>
            </w:pPr>
            <w:r>
              <w:rPr>
                <w:sz w:val="4"/>
                <w:szCs w:val="4"/>
              </w:rPr>
            </w:r>
          </w:p>
        </w:tc>
        <w:tc>
          <w:tcPr>
            <w:tcW w:w="141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br/>
              <w:t>March 31,</w:t>
            </w:r>
          </w:p>
        </w:tc>
      </w:tr>
      <w:tr>
        <w:trPr/>
        <w:tc>
          <w:tcPr>
            <w:tcW w:w="4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4439"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 xml:space="preserve">Equity in earnings of unconsolidated affiliates </w:t>
            </w:r>
            <w:r>
              <w:rPr>
                <w:rFonts w:ascii="Times New Roman;serif" w:hAnsi="Times New Roman;serif"/>
                <w:b w:val="false"/>
                <w:color w:val="000000"/>
                <w:sz w:val="13"/>
              </w:rPr>
              <w:t xml:space="preserve">(1) </w:t>
            </w:r>
            <w:r>
              <w:rPr>
                <w:rFonts w:ascii="Times New Roman;serif" w:hAnsi="Times New Roman;serif"/>
                <w:b w:val="false"/>
                <w:color w:val="000000"/>
                <w:sz w:val="20"/>
              </w:rPr>
              <w:t>:</w:t>
            </w:r>
          </w:p>
        </w:tc>
        <w:tc>
          <w:tcPr>
            <w:tcW w:w="7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Intrastate transportation and storage</w:t>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Interstate transportation and storage</w:t>
            </w:r>
          </w:p>
        </w:tc>
        <w:tc>
          <w:tcPr>
            <w:tcW w:w="6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Midstream</w:t>
            </w:r>
          </w:p>
        </w:tc>
        <w:tc>
          <w:tcPr>
            <w:tcW w:w="6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NGL and refined products transportation and services</w:t>
            </w:r>
          </w:p>
        </w:tc>
        <w:tc>
          <w:tcPr>
            <w:tcW w:w="6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Crude oil transportation and services</w:t>
            </w:r>
          </w:p>
        </w:tc>
        <w:tc>
          <w:tcPr>
            <w:tcW w:w="6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 other</w:t>
            </w:r>
          </w:p>
        </w:tc>
        <w:tc>
          <w:tcPr>
            <w:tcW w:w="6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equity in earnings of unconsolidated affiliates</w:t>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360"/>
        <w:jc w:val="both"/>
        <w:rPr/>
      </w:pPr>
      <w:r>
        <w:rPr>
          <w:rFonts w:ascii="Times New Roman;serif" w:hAnsi="Times New Roman;serif"/>
          <w:b w:val="false"/>
          <w:color w:val="000000"/>
          <w:sz w:val="13"/>
        </w:rPr>
        <w:t>(1)</w:t>
      </w:r>
      <w:r>
        <w:rPr>
          <w:rFonts w:ascii="Times New Roman;serif" w:hAnsi="Times New Roman;serif"/>
          <w:b w:val="false"/>
          <w:color w:val="000000"/>
          <w:sz w:val="20"/>
        </w:rPr>
        <w:t>Amounts reflected above exclude Sunoco LP’s earnings from the ET-S Permian and J.C. Nolan joint ventures, which are eliminated in consolidation.</w:t>
      </w:r>
    </w:p>
    <w:tbl>
      <w:tblPr>
        <w:tblW w:w="6383" w:type="dxa"/>
        <w:jc w:val="left"/>
        <w:tblInd w:w="0" w:type="dxa"/>
        <w:tblLayout w:type="fixed"/>
        <w:tblCellMar>
          <w:top w:w="28" w:type="dxa"/>
          <w:left w:w="28" w:type="dxa"/>
          <w:bottom w:w="28" w:type="dxa"/>
          <w:right w:w="28" w:type="dxa"/>
        </w:tblCellMar>
      </w:tblPr>
      <w:tblGrid>
        <w:gridCol w:w="1607"/>
        <w:gridCol w:w="1409"/>
        <w:gridCol w:w="1423"/>
        <w:gridCol w:w="211"/>
        <w:gridCol w:w="466"/>
        <w:gridCol w:w="109"/>
        <w:gridCol w:w="109"/>
        <w:gridCol w:w="109"/>
        <w:gridCol w:w="109"/>
        <w:gridCol w:w="211"/>
        <w:gridCol w:w="466"/>
        <w:gridCol w:w="154"/>
      </w:tblGrid>
      <w:tr>
        <w:trPr/>
        <w:tc>
          <w:tcPr>
            <w:tcW w:w="1607" w:type="dxa"/>
            <w:tcBorders/>
            <w:vAlign w:val="center"/>
          </w:tcPr>
          <w:p>
            <w:pPr>
              <w:pStyle w:val="TableContents"/>
              <w:bidi w:val="0"/>
              <w:spacing w:before="0" w:after="283"/>
              <w:jc w:val="left"/>
              <w:rPr>
                <w:sz w:val="4"/>
                <w:szCs w:val="4"/>
              </w:rPr>
            </w:pPr>
            <w:r>
              <w:rPr>
                <w:sz w:val="4"/>
                <w:szCs w:val="4"/>
              </w:rPr>
            </w:r>
          </w:p>
        </w:tc>
        <w:tc>
          <w:tcPr>
            <w:tcW w:w="1409" w:type="dxa"/>
            <w:tcBorders/>
            <w:vAlign w:val="center"/>
          </w:tcPr>
          <w:p>
            <w:pPr>
              <w:pStyle w:val="TableContents"/>
              <w:bidi w:val="0"/>
              <w:spacing w:before="0" w:after="283"/>
              <w:jc w:val="left"/>
              <w:rPr>
                <w:sz w:val="4"/>
                <w:szCs w:val="4"/>
              </w:rPr>
            </w:pPr>
            <w:r>
              <w:rPr>
                <w:sz w:val="4"/>
                <w:szCs w:val="4"/>
              </w:rPr>
            </w:r>
          </w:p>
        </w:tc>
        <w:tc>
          <w:tcPr>
            <w:tcW w:w="14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br/>
              <w:t>March 31,</w:t>
            </w:r>
          </w:p>
        </w:tc>
      </w:tr>
      <w:tr>
        <w:trPr/>
        <w:tc>
          <w:tcPr>
            <w:tcW w:w="4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4439"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 xml:space="preserve">Other income (expense) </w:t>
            </w:r>
            <w:r>
              <w:rPr>
                <w:rFonts w:ascii="Times New Roman;serif" w:hAnsi="Times New Roman;serif"/>
                <w:b w:val="false"/>
                <w:color w:val="000000"/>
                <w:sz w:val="13"/>
              </w:rPr>
              <w:t xml:space="preserve">(1) </w:t>
            </w:r>
            <w:r>
              <w:rPr>
                <w:rFonts w:ascii="Times New Roman;serif" w:hAnsi="Times New Roman;serif"/>
                <w:b w:val="false"/>
                <w:color w:val="000000"/>
                <w:sz w:val="20"/>
              </w:rPr>
              <w:t>:</w:t>
            </w:r>
          </w:p>
        </w:tc>
        <w:tc>
          <w:tcPr>
            <w:tcW w:w="7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Intrastate transportation and storage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Interstate transportation and storage</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Midstream</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NGL and refined products transportation and services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Crude oil transportation and services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in Sunoco LP</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in USAC</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 other</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Eliminations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income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360"/>
        <w:jc w:val="both"/>
        <w:rPr/>
      </w:pPr>
      <w:r>
        <w:rPr>
          <w:rFonts w:ascii="Times New Roman;serif" w:hAnsi="Times New Roman;serif"/>
          <w:b w:val="false"/>
          <w:color w:val="000000"/>
          <w:sz w:val="13"/>
        </w:rPr>
        <w:t>(1)</w:t>
      </w:r>
      <w:r>
        <w:rPr>
          <w:rFonts w:ascii="Times New Roman;serif" w:hAnsi="Times New Roman;serif"/>
          <w:b w:val="false"/>
          <w:color w:val="000000"/>
          <w:sz w:val="20"/>
        </w:rPr>
        <w:t>Other income and expense include, if applicable to a segment, Adjusted EBITDA related to unconsolidated affiliates, unrealized gains and losses on commodity risk management activities and other items. For the investment in Sunoco LP segment, this also includes inventory valuation adjustments.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120" w:after="283"/>
        <w:ind w:left="0" w:right="0" w:hanging="360"/>
        <w:jc w:val="both"/>
        <w:rPr/>
      </w:pPr>
      <w:hyperlink w:anchor="i5e1c82de0c41484c87a001ffe0af493e_7">
        <w:r>
          <w:rPr>
            <w:rStyle w:val="InternetLink"/>
            <w:rFonts w:ascii="Times New Roman;serif" w:hAnsi="Times New Roman;serif"/>
            <w:b w:val="false"/>
            <w:color w:val="0000FF"/>
            <w:sz w:val="20"/>
            <w:u w:val="single"/>
          </w:rPr>
          <w:t>Table of Contents</w:t>
        </w:r>
      </w:hyperlink>
    </w:p>
    <w:tbl>
      <w:tblPr>
        <w:tblW w:w="6684" w:type="dxa"/>
        <w:jc w:val="left"/>
        <w:tblInd w:w="0" w:type="dxa"/>
        <w:tblLayout w:type="fixed"/>
        <w:tblCellMar>
          <w:top w:w="28" w:type="dxa"/>
          <w:left w:w="28" w:type="dxa"/>
          <w:bottom w:w="28" w:type="dxa"/>
          <w:right w:w="28" w:type="dxa"/>
        </w:tblCellMar>
      </w:tblPr>
      <w:tblGrid>
        <w:gridCol w:w="1610"/>
        <w:gridCol w:w="1412"/>
        <w:gridCol w:w="1418"/>
        <w:gridCol w:w="211"/>
        <w:gridCol w:w="616"/>
        <w:gridCol w:w="109"/>
        <w:gridCol w:w="109"/>
        <w:gridCol w:w="109"/>
        <w:gridCol w:w="109"/>
        <w:gridCol w:w="211"/>
        <w:gridCol w:w="616"/>
        <w:gridCol w:w="154"/>
      </w:tblGrid>
      <w:tr>
        <w:trPr/>
        <w:tc>
          <w:tcPr>
            <w:tcW w:w="1610" w:type="dxa"/>
            <w:tcBorders/>
            <w:vAlign w:val="center"/>
          </w:tcPr>
          <w:p>
            <w:pPr>
              <w:pStyle w:val="TableContents"/>
              <w:bidi w:val="0"/>
              <w:spacing w:before="0" w:after="283"/>
              <w:jc w:val="left"/>
              <w:rPr>
                <w:sz w:val="4"/>
                <w:szCs w:val="4"/>
              </w:rPr>
            </w:pPr>
            <w:r>
              <w:rPr>
                <w:sz w:val="4"/>
                <w:szCs w:val="4"/>
              </w:rPr>
            </w:r>
          </w:p>
        </w:tc>
        <w:tc>
          <w:tcPr>
            <w:tcW w:w="1412" w:type="dxa"/>
            <w:tcBorders/>
            <w:vAlign w:val="center"/>
          </w:tcPr>
          <w:p>
            <w:pPr>
              <w:pStyle w:val="TableContents"/>
              <w:bidi w:val="0"/>
              <w:spacing w:before="0" w:after="283"/>
              <w:jc w:val="left"/>
              <w:rPr>
                <w:sz w:val="4"/>
                <w:szCs w:val="4"/>
              </w:rPr>
            </w:pPr>
            <w:r>
              <w:rPr>
                <w:sz w:val="4"/>
                <w:szCs w:val="4"/>
              </w:rPr>
            </w:r>
          </w:p>
        </w:tc>
        <w:tc>
          <w:tcPr>
            <w:tcW w:w="141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br/>
              <w:t>March 31,</w:t>
            </w:r>
          </w:p>
        </w:tc>
      </w:tr>
      <w:tr>
        <w:trPr/>
        <w:tc>
          <w:tcPr>
            <w:tcW w:w="4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444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 xml:space="preserve">Additions to property, plant and equipment </w:t>
            </w:r>
            <w:r>
              <w:rPr>
                <w:rFonts w:ascii="Times New Roman;serif" w:hAnsi="Times New Roman;serif"/>
                <w:b w:val="false"/>
                <w:color w:val="000000"/>
                <w:sz w:val="13"/>
              </w:rPr>
              <w:t>(1)</w:t>
            </w:r>
            <w:r>
              <w:rPr>
                <w:rFonts w:ascii="Times New Roman;serif" w:hAnsi="Times New Roman;serif"/>
                <w:b w:val="false"/>
                <w:color w:val="000000"/>
                <w:sz w:val="20"/>
              </w:rPr>
              <w:t>:</w:t>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Intrastate transportation and storage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Interstate transportation and storage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Midstream</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NGL and refined products transportation and services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Crude oil transportation and services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in Sunoco LP</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in USAC</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 other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additions to property, plant and equipment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360"/>
        <w:jc w:val="both"/>
        <w:rPr/>
      </w:pPr>
      <w:r>
        <w:rPr>
          <w:rFonts w:ascii="Times New Roman;serif" w:hAnsi="Times New Roman;serif"/>
          <w:b w:val="false"/>
          <w:color w:val="000000"/>
          <w:sz w:val="13"/>
        </w:rPr>
        <w:t>(1)</w:t>
      </w:r>
      <w:r>
        <w:rPr>
          <w:rFonts w:ascii="Times New Roman;serif" w:hAnsi="Times New Roman;serif"/>
          <w:b w:val="false"/>
          <w:color w:val="000000"/>
          <w:sz w:val="20"/>
        </w:rPr>
        <w:t>Amounts are presented on the accrual basis, net of contributions in aid of constructions costs. Amounts exclude acquisitions and include only the Partnership’s proportionate share of capital expenditures related to joint ventures.</w:t>
      </w:r>
    </w:p>
    <w:tbl>
      <w:tblPr>
        <w:tblW w:w="6962" w:type="dxa"/>
        <w:jc w:val="left"/>
        <w:tblInd w:w="0" w:type="dxa"/>
        <w:tblLayout w:type="fixed"/>
        <w:tblCellMar>
          <w:top w:w="28" w:type="dxa"/>
          <w:left w:w="28" w:type="dxa"/>
          <w:bottom w:w="28" w:type="dxa"/>
          <w:right w:w="28" w:type="dxa"/>
        </w:tblCellMar>
      </w:tblPr>
      <w:tblGrid>
        <w:gridCol w:w="1609"/>
        <w:gridCol w:w="1412"/>
        <w:gridCol w:w="1419"/>
        <w:gridCol w:w="211"/>
        <w:gridCol w:w="616"/>
        <w:gridCol w:w="109"/>
        <w:gridCol w:w="109"/>
        <w:gridCol w:w="109"/>
        <w:gridCol w:w="109"/>
        <w:gridCol w:w="271"/>
        <w:gridCol w:w="791"/>
        <w:gridCol w:w="197"/>
      </w:tblGrid>
      <w:tr>
        <w:trPr/>
        <w:tc>
          <w:tcPr>
            <w:tcW w:w="1609" w:type="dxa"/>
            <w:tcBorders/>
            <w:vAlign w:val="center"/>
          </w:tcPr>
          <w:p>
            <w:pPr>
              <w:pStyle w:val="TableContents"/>
              <w:bidi w:val="0"/>
              <w:spacing w:before="0" w:after="283"/>
              <w:jc w:val="left"/>
              <w:rPr>
                <w:sz w:val="4"/>
                <w:szCs w:val="4"/>
              </w:rPr>
            </w:pPr>
            <w:r>
              <w:rPr>
                <w:sz w:val="4"/>
                <w:szCs w:val="4"/>
              </w:rPr>
            </w:r>
          </w:p>
        </w:tc>
        <w:tc>
          <w:tcPr>
            <w:tcW w:w="1412" w:type="dxa"/>
            <w:tcBorders/>
            <w:vAlign w:val="center"/>
          </w:tcPr>
          <w:p>
            <w:pPr>
              <w:pStyle w:val="TableContents"/>
              <w:bidi w:val="0"/>
              <w:spacing w:before="0" w:after="283"/>
              <w:jc w:val="left"/>
              <w:rPr>
                <w:sz w:val="4"/>
                <w:szCs w:val="4"/>
              </w:rPr>
            </w:pPr>
            <w:r>
              <w:rPr>
                <w:sz w:val="4"/>
                <w:szCs w:val="4"/>
              </w:rPr>
            </w:r>
          </w:p>
        </w:tc>
        <w:tc>
          <w:tcPr>
            <w:tcW w:w="141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4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w:t>
              <w:br/>
              <w:t>2025</w:t>
            </w:r>
          </w:p>
        </w:tc>
      </w:tr>
      <w:tr>
        <w:trPr/>
        <w:tc>
          <w:tcPr>
            <w:tcW w:w="444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 xml:space="preserve">Investments in unconsolidated affiliates </w:t>
            </w:r>
            <w:r>
              <w:rPr>
                <w:rFonts w:ascii="Times New Roman;serif" w:hAnsi="Times New Roman;serif"/>
                <w:b w:val="false"/>
                <w:color w:val="000000"/>
                <w:sz w:val="13"/>
              </w:rPr>
              <w:t>(1)</w:t>
            </w:r>
            <w:r>
              <w:rPr>
                <w:rFonts w:ascii="Times New Roman;serif" w:hAnsi="Times New Roman;serif"/>
                <w:b w:val="false"/>
                <w:color w:val="000000"/>
                <w:sz w:val="20"/>
              </w:rPr>
              <w:t>:</w:t>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Intrastate transportation and storage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151 </w:t>
            </w:r>
          </w:p>
        </w:tc>
        <w:tc>
          <w:tcPr>
            <w:tcW w:w="19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Interstate transportation and storage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2,353 </w:t>
            </w:r>
          </w:p>
        </w:tc>
        <w:tc>
          <w:tcPr>
            <w:tcW w:w="19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Midstream</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19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NGL and refined products transportation and services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362 </w:t>
            </w:r>
          </w:p>
        </w:tc>
        <w:tc>
          <w:tcPr>
            <w:tcW w:w="19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Crude oil transportation and services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190 </w:t>
            </w:r>
          </w:p>
        </w:tc>
        <w:tc>
          <w:tcPr>
            <w:tcW w:w="19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in Sunoco LP</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342 </w:t>
            </w:r>
          </w:p>
        </w:tc>
        <w:tc>
          <w:tcPr>
            <w:tcW w:w="19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 other</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19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investments in unconsolidated affiliates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3,589 </w:t>
            </w:r>
          </w:p>
        </w:tc>
        <w:tc>
          <w:tcPr>
            <w:tcW w:w="1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360"/>
        <w:jc w:val="both"/>
        <w:rPr/>
      </w:pPr>
      <w:r>
        <w:rPr>
          <w:rFonts w:ascii="Times New Roman;serif" w:hAnsi="Times New Roman;serif"/>
          <w:b w:val="false"/>
          <w:color w:val="000000"/>
          <w:sz w:val="13"/>
        </w:rPr>
        <w:t>(1)</w:t>
      </w:r>
      <w:r>
        <w:rPr>
          <w:rFonts w:ascii="Times New Roman;serif" w:hAnsi="Times New Roman;serif"/>
          <w:b w:val="false"/>
          <w:color w:val="000000"/>
          <w:sz w:val="20"/>
        </w:rPr>
        <w:t>Amounts reflected above exclude Sunoco LP’s investments in the ET-S Permian and J.C. Nolan joint ventures, which are eliminated in consolidation.</w:t>
      </w:r>
    </w:p>
    <w:tbl>
      <w:tblPr>
        <w:tblW w:w="7779" w:type="dxa"/>
        <w:jc w:val="left"/>
        <w:tblInd w:w="0" w:type="dxa"/>
        <w:tblLayout w:type="fixed"/>
        <w:tblCellMar>
          <w:top w:w="28" w:type="dxa"/>
          <w:left w:w="28" w:type="dxa"/>
          <w:bottom w:w="28" w:type="dxa"/>
          <w:right w:w="28" w:type="dxa"/>
        </w:tblCellMar>
      </w:tblPr>
      <w:tblGrid>
        <w:gridCol w:w="1607"/>
        <w:gridCol w:w="1411"/>
        <w:gridCol w:w="1421"/>
        <w:gridCol w:w="109"/>
        <w:gridCol w:w="109"/>
        <w:gridCol w:w="171"/>
        <w:gridCol w:w="171"/>
        <w:gridCol w:w="332"/>
        <w:gridCol w:w="969"/>
        <w:gridCol w:w="171"/>
        <w:gridCol w:w="109"/>
        <w:gridCol w:w="109"/>
        <w:gridCol w:w="109"/>
        <w:gridCol w:w="211"/>
        <w:gridCol w:w="616"/>
        <w:gridCol w:w="154"/>
      </w:tblGrid>
      <w:tr>
        <w:trPr/>
        <w:tc>
          <w:tcPr>
            <w:tcW w:w="1607"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c>
          <w:tcPr>
            <w:tcW w:w="1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4"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br/>
              <w:t>March 31,</w:t>
            </w:r>
          </w:p>
        </w:tc>
        <w:tc>
          <w:tcPr>
            <w:tcW w:w="1308" w:type="dxa"/>
            <w:gridSpan w:val="6"/>
            <w:tcBorders/>
          </w:tcPr>
          <w:p>
            <w:pPr>
              <w:pStyle w:val="TableContents"/>
              <w:bidi w:val="0"/>
              <w:spacing w:before="0" w:after="283"/>
              <w:jc w:val="left"/>
              <w:rPr>
                <w:sz w:val="4"/>
                <w:szCs w:val="4"/>
              </w:rPr>
            </w:pPr>
            <w:r>
              <w:rPr>
                <w:sz w:val="4"/>
                <w:szCs w:val="4"/>
              </w:rPr>
            </w:r>
          </w:p>
        </w:tc>
      </w:tr>
      <w:tr>
        <w:trPr/>
        <w:tc>
          <w:tcPr>
            <w:tcW w:w="4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4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Adjusted EBITDA: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4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Intrastate transportation and storage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3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Interstate transportation and storage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3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519 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Midstream</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3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887 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925 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NGL and refined products transportation and services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3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1,163 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978 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Crude oil transportation and services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3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869 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742 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in Sunoco LP</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3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858 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in USAC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3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 other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3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 (consolidated)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3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4,937 </w:t>
            </w:r>
          </w:p>
        </w:tc>
        <w:tc>
          <w:tcPr>
            <w:tcW w:w="1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120" w:after="283"/>
        <w:ind w:left="0" w:right="0" w:hanging="360"/>
        <w:jc w:val="both"/>
        <w:rPr/>
      </w:pPr>
      <w:hyperlink w:anchor="i5e1c82de0c41484c87a001ffe0af493e_7">
        <w:r>
          <w:rPr>
            <w:rStyle w:val="InternetLink"/>
            <w:rFonts w:ascii="Times New Roman;serif" w:hAnsi="Times New Roman;serif"/>
            <w:b w:val="false"/>
            <w:color w:val="0000FF"/>
            <w:sz w:val="20"/>
            <w:u w:val="single"/>
          </w:rPr>
          <w:t>Table of Contents</w:t>
        </w:r>
      </w:hyperlink>
    </w:p>
    <w:tbl>
      <w:tblPr>
        <w:tblW w:w="8319" w:type="dxa"/>
        <w:jc w:val="left"/>
        <w:tblInd w:w="0" w:type="dxa"/>
        <w:tblLayout w:type="fixed"/>
        <w:tblCellMar>
          <w:top w:w="28" w:type="dxa"/>
          <w:left w:w="28" w:type="dxa"/>
          <w:bottom w:w="28" w:type="dxa"/>
          <w:right w:w="28" w:type="dxa"/>
        </w:tblCellMar>
      </w:tblPr>
      <w:tblGrid>
        <w:gridCol w:w="1804"/>
        <w:gridCol w:w="1584"/>
        <w:gridCol w:w="1591"/>
        <w:gridCol w:w="109"/>
        <w:gridCol w:w="109"/>
        <w:gridCol w:w="171"/>
        <w:gridCol w:w="171"/>
        <w:gridCol w:w="332"/>
        <w:gridCol w:w="969"/>
        <w:gridCol w:w="171"/>
        <w:gridCol w:w="109"/>
        <w:gridCol w:w="109"/>
        <w:gridCol w:w="109"/>
        <w:gridCol w:w="211"/>
        <w:gridCol w:w="616"/>
        <w:gridCol w:w="154"/>
      </w:tblGrid>
      <w:tr>
        <w:trPr/>
        <w:tc>
          <w:tcPr>
            <w:tcW w:w="1804" w:type="dxa"/>
            <w:tcBorders/>
            <w:vAlign w:val="center"/>
          </w:tcPr>
          <w:p>
            <w:pPr>
              <w:pStyle w:val="TableContents"/>
              <w:bidi w:val="0"/>
              <w:spacing w:before="0" w:after="283"/>
              <w:jc w:val="left"/>
              <w:rPr>
                <w:sz w:val="4"/>
                <w:szCs w:val="4"/>
              </w:rPr>
            </w:pPr>
            <w:r>
              <w:rPr>
                <w:sz w:val="4"/>
                <w:szCs w:val="4"/>
              </w:rPr>
            </w:r>
          </w:p>
        </w:tc>
        <w:tc>
          <w:tcPr>
            <w:tcW w:w="1584" w:type="dxa"/>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4"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br/>
              <w:t>March 31,</w:t>
            </w:r>
          </w:p>
        </w:tc>
        <w:tc>
          <w:tcPr>
            <w:tcW w:w="1308" w:type="dxa"/>
            <w:gridSpan w:val="6"/>
            <w:tcBorders/>
          </w:tcPr>
          <w:p>
            <w:pPr>
              <w:pStyle w:val="TableContents"/>
              <w:bidi w:val="0"/>
              <w:spacing w:before="0" w:after="283"/>
              <w:jc w:val="left"/>
              <w:rPr>
                <w:sz w:val="4"/>
                <w:szCs w:val="4"/>
              </w:rPr>
            </w:pPr>
            <w:r>
              <w:rPr>
                <w:sz w:val="4"/>
                <w:szCs w:val="4"/>
              </w:rPr>
            </w:r>
          </w:p>
        </w:tc>
      </w:tr>
      <w:tr>
        <w:trPr/>
        <w:tc>
          <w:tcPr>
            <w:tcW w:w="4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4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49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Reconciliation of net income to Adjusted EBITDA: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4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3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1,976 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1,720 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depletion and amortization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3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1,583 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1,367 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 of interest capitalized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3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947 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809 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3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3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4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4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compensation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3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losses on commodity risk management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3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536 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 valuation adjustments (Sunoco LP)</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3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Losses on extinguishments of debt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3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 related to unconsolidated affiliates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3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in earnings of unconsolidated affiliates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3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4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97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4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4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3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 (consolidated)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3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4,937 </w:t>
            </w:r>
          </w:p>
        </w:tc>
        <w:tc>
          <w:tcPr>
            <w:tcW w:w="1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120" w:after="283"/>
        <w:ind w:left="0" w:right="0" w:hanging="360"/>
        <w:jc w:val="both"/>
        <w:rPr/>
      </w:pPr>
      <w:hyperlink w:anchor="i5e1c82de0c41484c87a001ffe0af493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AND RESULTS OF OPERATIONS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(Tabular dollar and unit amounts, except per unit data, are in millions)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following is a discussion of our historical consolidated financial condition and results of operations, and should be read in conjunction with (i) our historical consolidated financial statements and accompanying notes thereto included elsewhere in this Quarterly Report on Form 10-Q; and (ii) the consolidated financial statements and management’s discussion and analysis of financial condition and results of operations included in the Partnership’s Annual Report on Form 10-K for the year ended December 31, 2025 filed with the SEC on February 19, 2026. This discussion includes forward-looking statements that are subject to risk and uncertainties. Actual results may differ substantially from the statements we make in this section due to a number of factors that are discussed in “Part I – Item 1A. Risk Factors” of our Annual Report on Form 10-K for the year ended December 31, 2025 filed with the SEC on February 19, 2026. Additional information on forward-looking statements is discussed in “Forward-Looking Statements.”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Unless the context requires otherwise, references to “we,” “us,” “our,” the “Partnership” and “Energy Transfer” mean Energy Transfer LP and its consolidated subsidiaries.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RECENT DEVELOPMENTS</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Acquisitions</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TanQuid Acquisition by Sunoco LP</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On January 16, 2026, Sunoco LP completed the previously announced acquisition of TanQuid for €206 million ($239 million) and assumed debt with a fair value of €298 million ($346 million ). TanQuid owns and operates 15 fuel terminals in Germany and one fuel terminal in Poland. The transaction was funded using cash on hand and amounts available under Sunoco LP’s Credit Facility.</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Other Sunoco LP Acquisitions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the first quarter of 2026, Sunoco LP completed other acquisitions for total cash considerations of approximately $50 million, plus working capital. These transactions were accounted for as asset acquisitions.</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J-W Power Company Acquisition by USAC</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On January 12, 2026, USAC completed the acquisition of J-W Energy Company (“J-W Energy”) and its subsidiary, J-W Power Company (“J-W Power”), a large privately-held provider of compression services in the United States. USAC purchased all of the issued and outstanding capital stock of J-W Energy from Westerman, Ltd. (the “J-W Power Acquisition”). USAC completed the acquisition for a total consideration of approximately $912 million, subject to customary purchase price adjustments, consisting of (i) approximately $455 million in cash and (ii) approximately 18.2 million newly issued USAC common units, which had a fair value on the J-W Acquisition date of approximately $457 million, subject to customary post-closing price adjustments. Upon consummation of the J-W Power Acquisition, J-W Power and J-W Energy became consolidated subsidiaries of the Partnership.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J-W Power Acquisition added approximately 0.8 million active horsepower and 1.0 million total horsepower to USAC’s fleet across key regions including the Northeast, Mid-Con, Rockies, Gulf Coast, Bakken and Permian Basin. J</w:t>
        <w:noBreakHyphen/>
        <w:t>W Power also owns and operates specialized manufacturing facilities that support its internal compression requirements and those of third</w:t>
        <w:noBreakHyphen/>
        <w:t>party customers.</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Quarterly Cash Distribution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April 2026, Energy Transfer announced a quarterly distribution of $0.3375 per unit ($1.35 annualized) on Energy Transfer common units for the quarter ended March 31, 2026.</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Regulatory Update</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Interstate Natural Gas Transportation Regulation</w:t>
      </w:r>
    </w:p>
    <w:p>
      <w:pPr>
        <w:pStyle w:val="TextBody"/>
        <w:bidi w:val="0"/>
        <w:spacing w:lineRule="auto" w:line="288" w:before="120" w:after="283"/>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Rate Regulation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Effective January 2018, the 2017 Tax Cuts and Jobs Act (the “Tax Act”) changed several provisions of the federal tax code, including a reduction in the maximum corporate tax rate. On March 15, 2018, in a set of related proposals, the FERC addressed treatment of federal income tax allowances in regulated entity rates. The FERC issued a Revised Policy Statement on Treatment of Income Taxes (“Revised Policy Statement”) stating that it will no longer permit master limited partnerships to recover an income tax allowance in their cost-of-service rates. The FERC issued the Revised Policy Statement in response to a remand from the United States Court of Appeals for the District of Columbia Circuit in United Airlines v. FERC, in which the court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120" w:after="283"/>
        <w:ind w:left="0" w:right="0" w:hanging="360"/>
        <w:jc w:val="both"/>
        <w:rPr/>
      </w:pPr>
      <w:hyperlink w:anchor="i5e1c82de0c41484c87a001ffe0af493e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determined that the FERC had not justified its conclusion that a pipeline organized as a master limited partnership would not “double recover” its taxes under the current policy by both including an income-tax allowance in its cost of service and earning a return on equity calculated using the discounted cash flow methodology. On July 18, 2018, the FERC clarified that a pipeline organized as a master limited partnership will not be precluded in a future proceeding from arguing and providing evidentiary support that it is entitled to an income tax allowance and demonstrating that its recovery of an income tax allowance does not result in a double-recovery of investors’ income tax costs. On July 31, 2020, the United States Court of Appeals for the District of Columbia Circuit issued an opinion upholding the FERC’s decision denying a separate master limited partnership recovery of an income tax allowance and its decision not to require the master limited partnership to refund accumulated deferred income tax balances. In light of the rehearing order’s clarification regarding an individual entity’s ability to argue in support of recovery of an income tax allowance and the court’s subsequent opinion upholding denial of an income tax allowance to a master limited partnership, the impact of the FERC’s policy on the treatment of income taxes on the rates we can charge for FERC-regulated transportation services is unknown at this time.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Even without application of the FERC’s rate making-related policy statements and rulemakings, the FERC or our shippers may challenge the cost-of-service rates we charge. The FERC’s establishment of a just and reasonable rate is based on many components, including ROE and tax-related components, but also other pipeline costs that will continue to affect FERC’s determination of just and reasonable cost-of-service rates. Moreover, we receive revenues from our pipelines based on a variety of rate structures, including cost-of-service rates, negotiated rates, discounted rates and market-based rates. Many of our interstate pipelines, such as Tiger Pipeline, Midcontinent Express Pipeline and Fayetteville Express Pipeline, have negotiated market rates that were agreed to by customers in connection with long-term contracts entered into to support the construction of the pipelines. Other systems, such as Florida Gas Transmission Pipeline, Transwestern and Panhandle, have a mix of tariff rate, discount rate and negotiated rate agreements. The revenues we receive from natural gas transportation services we provide pursuant to cost-of-service based rates may decrease in the future as a result of changes to FERC policies, combined with the reduced corporate federal income tax rate established in the Tax Act. The extent of any revenue reduction related to our cost-of-service rates, if any, will depend on a detailed review of all of our cost-of-service components and the outcomes of any challenges to our rates by the FERC or our shippers.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On July 18, 2018, the FERC issued a final rule establishing procedures to evaluate rates charged by the FERC-jurisdictional gas pipelines in light of the Tax Act and the FERC’s Revised Policy Statement. By an order issued on January 16, 2019, the FERC initiated a review of Panhandle’s then existing rates pursuant to Section 5 of the NGA to determine whether the rates charged by Panhandle are just and reasonable and set the matter for hearing. On August 30, 2019, Panhandle filed a general rate proceeding under Section 4 of the NGA. The NGA Section 5 and Section 4 proceedings were consolidated by order of the Chief Judge on October 1, 2019. The initial decision by the administrative law judge was issued on March 26, 2021, and on December 16, 2022, the FERC issued its order on the initial decision. On January 17, 2023, Panhandle and the Michigan Public Service Commission each filed a request for rehearing of FERC’s order on the initial decision, which were denied by operation of law as of February 17, 2023. On March 23, 2023, Panhandle appealed these orders to the D. C. Circuit, and the Michigan Public Service Commission also subsequently appealed these orders. On April 25, 2023, the D. C. Circuit consolidated Panhandle’s and Michigan Public Service Commission’s appeals and stayed the consolidated appeal proceeding while the FERC further considered the requests for rehearing of its December 16, 2022 order. On September 25, 2023, the FERC issued its order addressing arguments raised on rehearing and compliance, which denied our requests for rehearing. Panhandle filed its Petition for Review with the D. C. Circuit regarding the September 25, 2023 order. On October 25, 2023, Panhandle filed a limited request for rehearing of the September 25 order addressing arguments raised on rehearing and compliance, which was subsequently denied by operation of law on November 27, 2023. On November 17, 2023, Panhandle provided refunds to shippers and on November 30, 2023, Panhandle submitted a refund report regarding the consolidated rate proceedings, which was protested by several parties. On January 5, 2024, the FERC issued a second order addressing arguments raised on rehearing in which it modified certain discussion from its September 25, 2023 order and sustained its prior conclusions. Panhandle has timely filed its Petition for Review with the D. C. Circuit regarding the January 5, 2024 order. On May 28, 2024, the FERC issued an order rejecting Panhandle’s refund report. On June 27, 2024, Panhandle filed a revised refund report in compliance with the FERC’s May 28, 2024 order rejecting Panhandle’s refund report and a request for rehearing of the FERC’s May 28, 2024 order rejecting Panhandle’s refund report, and provided revised refunds to shippers, or in the case of shippers whose revised refunds are less than the original amounts refunded, notices of upcoming debits. One party protested Panhandle’s revised refund report, and Panhandle submitted a response to the protest on July 24, 2024. By notice issued July 29, 2024, Panhandle’s rehearing request was deemed denied. In an order issued September 9, 2024, FERC addressed arguments raised on rehearing, modified the discussion in the May 28, 2024 order and continued to reach the same result. On September 18, 2024, Panhandle petitioned the D. C. Circuit for review of the September 9, 2024, July 29, 2024, and May 28, 2024 orders. On December 5, 2024, the FERC issued an order rejecting Panhandle’s June 27, 2024, refund report, ordering a corrected refund report and directing the issuance of additional refunds. On January 3, 2025, Panhandle submitted an adjusted refund report as well as a request for rehearing of the FERC’s December 5, 2024 order. The FERC approved the adjusted refund report by letter order dated January 23, 2025. On February 3, 2025, the FERC issued a Notice of Denial of Rehearing by Operation of Law and Providing for Further Consideration. On March 24, 2025, Panhandle petitioned the D. C. Circuit for review of the December 5,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120" w:after="283"/>
        <w:ind w:left="0" w:right="0" w:hanging="360"/>
        <w:jc w:val="both"/>
        <w:rPr/>
      </w:pPr>
      <w:hyperlink w:anchor="i5e1c82de0c41484c87a001ffe0af493e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2024 and February 3, 2025 orders. On April 4, 2025, the FERC issued an Order on Rehearing and Clarification. On May 16, 2025, Panhandle petitioned the D.C. Circuit for review of the April 4, 2025 order. On May 19, 2025, the D.C. Circuit consolidated all cases before it and placed the consolidated cases in abeyance pending further order of the D.C. Circuit. On August 12, 2025, the D.C. Circuit issued an order returning all cases to the court’s active docket and issued a briefing schedule. Panhandle filed its initial brief on November 10, 2025, FERC filed its brief on February 9, 2026, intervenors filed their brief on February 23, 2026, and Panhandle filed its reply brief on March 16, 2026.</w:t>
      </w:r>
    </w:p>
    <w:p>
      <w:pPr>
        <w:pStyle w:val="TextBody"/>
        <w:bidi w:val="0"/>
        <w:spacing w:lineRule="auto" w:line="288" w:before="120" w:after="283"/>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Pipeline Certification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FERC issued a Notice of Inquiry (“NOI”) on April 19, 2018, thereby initiating a review of its policies on certification of natural gas pipelines, including an examination of its long-standing Policy Statement on Certification of New Interstate Natural Gas Pipeline Facilities, issued in 1999, that is used to determine whether to grant certificates for new pipeline projects. On February 18, 2021, the FERC issued another NOI (“2021 NOI”), reopening its review of the 1999 Policy Statement. Comments on the 2021 NOI were due on May 26, 2021; we filed comments in the FERC proceeding. In September 2021, FERC issued a Notice of Technical Conference on Greenhouse Gas Mitigation related to natural gas infrastructure projects authorized under Sections 3 and 7 of the Natural Gas Act of 1938. A technical conference was held on November 19, 2021, and post-technical conference comments were submitted to the FERC on January 7, 2022.</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On February 18, 2022, the FERC issued two new policy statements: (1) an Updated Policy Statement on the Certification of New Interstate Natural Gas Facilities (“2022 Certificate Policy Statement”) and (2) a Policy Statement on the Consideration of Greenhouse Gas Emissions in Natural Gas Infrastructure Project Reviews (“GHG Policy Statement”), to be effective that same day. On March 24, 2022, the FERC issued an order designating the 2022 Certificate Policy Statement and the GHG Policy Statement as draft policy statements, and requested further comments. The FERC stated that it will not apply the now draft policy statements to pending applications or applications to be filed at FERC until it issues any final guidance on these topics. Comments on the 2022 Certificate Policy Statement and GHG Policy Statement were due on April 25, 2022, and reply comments were due on May 25, 2022. On January 24, 2025, the FERC issued an order withdrawing the draft GHG Policy Statement and terminating the proceeding. On September 12, 2025, the FERC issued an order withdrawing the draft 2022 Certificate Policy Statement and terminating the proceeding.</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Interstate Common Carrier Regulation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Liquids pipelines transporting in interstate commerce are regulated by FERC as common carriers under the Interstate Commerce Act (“ICA”). Under the ICA, the FERC utilizes an indexing rate methodology which, as currently in effect, allows common carriers to change their rates within prescribed ceiling levels that are tied to changes in the Producer Price Index for Finished Goods, or PPI-FG. Many existing pipelines utilize the FERC liquids index to change transportation rates annually. The indexing methodology is applicable to existing rates, with the exclusion of market-based rates. The FERC’s indexing methodology is subject to review every five years.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 December 2020, FERC issued an order setting the indexed rate at PPI-FG plus 0.78% during the five-year period commencing July 1, 2021 and ending June 30, 2026. The FERC received requests for rehearing of its December 17, 2020 order and on January 20, 2022, granted rehearing and modified the oil index. Specifically, for the five-year period commencing July 1, 2021 and ending June 30, 2026, FERC-regulated liquids pipelines charging indexed rates were permitted to adjust their indexed ceilings annually by PPI-FG minus 0.21%. FERC directed liquids pipelines to recompute their ceiling levels for July 1, 2021 through June 30, 2022, as well as the ceiling levels for the period July 1, 2022 through June 30, 2023, based on the new index level. Where an oil pipeline’s filed rates exceeded its ceiling levels, FERC ordered such oil pipelines to reduce the rate to bring it into compliance with the recomputed ceiling level to be effective March 1, 2022. Some parties sought rehearing of the January 20, 2022 order with FERC, which was denied by FERC on May 6, 2022. Certain parties appealed the January 20 and May 6 orders. On July 26, 2024, the D.C. Circuit ruled in LEPA v. FERC that FERC violated the Administrative Procedure Act because the January 20, 2022 order modified the index without following notice and comment. As a result, the D.C. Circuit vacated the January 20, 2022 order and on September 17, 2024, the Commission reinstated the index level established by its original December 17, 2020 order, directed pipelines to file an informational filing to show their recomputed ceiling levels reflecting the reinstated index level and stated that pipelines could file to prospectively increase their indexed rates to their recomputed levels. On October 17, 2024, FERC issued a Supplemental Notice of Proposed Rulemaking (“Supplemental NOPR”) that proposed a reduction to the then- effective index by one percent.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On November 20, 2025, FERC withdrew the Supplemental NOPR and confirmed that the PPI-FG-0.78% index established in its December 17, 2020 order will remain in effect through June 30, 2026. On the same day, FERC issued an Order Denying Rehearing of the Reinstatement Order and Granting Remedial Relief (“Remedial Relief Order”), which granted remedial relief to liquids pipelines for the period of March 1, 2022 to September 17, 2024 (the “Locked-In Period”), when the lower index was effective under the order vacated by the D.C. Circuit in LEPA v. FERC, but only if such pipelines charged the maximum rate allowed under the applicable index ceiling during the relevant time period. Parties have since filed requests for clarification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88" w:before="120" w:after="283"/>
        <w:ind w:left="0" w:right="0" w:hanging="360"/>
        <w:jc w:val="both"/>
        <w:rPr/>
      </w:pPr>
      <w:hyperlink w:anchor="i5e1c82de0c41484c87a001ffe0af493e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rehearing, as well as court appeals, to determine whether pipelines may recover rate differences in other scenarios. Those requests and appeals remain pending.</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Also on November 20, 2025, the FERC issued a Notice of Proposed Rulemaking on the 2026 Five-Year Oil Pipeline Index (“2026 Index NOPR”), proposing to use the Producer Price Index for Finished Goods (PPI-FG) minus 1.42% as the index level beginning July 1, 2026 to June 30, 2031. The NOPR proceeded through the standard notice-and-comment process, with comments submitted in late 2025 and early 2026, and remains pending final Commission action.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On December 18, 2025, the Commission issued an Order Denying Petition for Emergency Relief (“Emergency Relief Order Denial”), which denied a petition requesting emergency relief from invoices issued by a liquid pipeline company to recover amounts of indexed rates for the Locked-In Period and explained that, consistent with the Remedial Relief Order, pipelines that charged the maximum rates permitted under the Commission’s now-vacated January 20, 2022 rehearing order during the Locked-In Period may invoice shippers to recover the amounts that would have been chargeable under the December 17, 2020 order.</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January 2026, multiple shippers have filed petitions for review at the D.C. Circuit challenging FERC’s November 20, 2025 orders, including, the (i) Remedial Relief Order, (ii) Order Terminating Supplemental NOPR, and (iii) Emergency Relief Order Denial. These appeals are pending.</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Separately, on December 15, 2022, the FERC issued a Proposed Policy Statement on Oil Pipeline Affiliate Committed Service, which addresses whether a contract for committed transportation service complies with the ICA where the only shipper to obtain the committed service is an affiliate of the regulated entity. If adopted, the proposed policy statement would create a rebuttable presumption that affiliate contracts are unduly discriminatory and not just and reasonable in certain circumstances and require a pipeline to produce additional evidentiary support for affiliate contracts rates and terms. This follows a trend of increased scrutiny by FERC on affiliated contracts across all industries regulated by the FERC. The FERC has taken no further action on the proposed policy statement.</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Air Quality Standards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2023, the EPA finalized its Good Neighbor Plan (the “Plan”) which seeks to reduce nitrogen oxide pollution from power plants and other industrial facilities from 23 upwind states which the EPA determined is contributing to National Ambient Air Quality Standards (NAAQS) nonattainment and interfering with maintenance of the 2015 ozone NAAQS in downwind states. As part of the Plan, the EPA announced that it would be issuing prescriptive emission standards for several sectors, including certain new and existing internal combustion engines of a certain size used in pipeline transportation of natural gas. The EPA’s final rule was to become effective on August 4, 2023, and the prescribed emission standards were scheduled to be effective in 2026. However, on March 12, 2025, the EPA announced plans to end the Plan.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Operators and industry groups have challenged the Plan in the D.C. Circuit, as well as the legal predicates to the individual upwind states’ inclusion in the Plan in the regional circuits. The effectiveness of the rule is currently stayed in the nine states within the Partnership’s footprint, by nature of judicial stays of the legal predicate to the Plan, by judicial stay of the Plan itself by the U.S. Supreme Court, or by the administrative stay issued by the EPA in October 2024. On June 18, 2025, the U.S. Supreme Court ruled that the regional circuits are the appropriate venue for the proceedings. On July 30, 2025, the Court of Appeals for the Tenth Circuit placed the case in abeyance pending the EPA’s reconsideration of its disapproval of upwind states’ state implementation plans addressing their Plan obligations. Proceedings challenging the Plan in the D.C. Circuit were also placed in abeyance on May 2, 2025 pending the EPA’s reconsideration of the Plan. The EPA is preparing a proposed rulemaking as part of the reconsideration process, and on January 27, 2026, the EPA announced its proposal to approve state implementation plans for eight states, including those in which we operate, which would resolve those states’ obligations under the Good Neighbor Plan. We cannot predict with any certainty the substance of any later proposed rule or the potential impacts on the Partnership.</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Partnership currently estimates that the existing final rule would require retrofitting or replacement of approximately 192 engines in its interstate and intrastate natural gas transportation and storage operations. The Partnership is involved in challenging application of the Plan in the nine states impacted within its footprint. Compliance with the Plan (if implementation is not stayed or otherwise delayed) will still require substantial capital expenditures which could adversely affect our business in future periods. However, at this time, we are still assessing the potential costs of this rule and, given uncertainties resulting from the multiple legal challenges filed against the Plan in various states, in the D.C. Circuit and the U.S. Supreme Court, we cannot predict with any certainty what the final costs of compliance for the Plan for the Partnership ultimately may be.</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OECD Pillar Two Global Minimum Tax</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acquisition of Parkland brings the Partnership into scope for Pillar Two global minimum tax. Several jurisdictions in which we now operate have enacted legislation implementing the Organization for Economic Co-operation and Development ("OECD") Pillar Two global minimum tax framework. These rules generally impose a 15% minimum top-up tax on the profits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88" w:before="120" w:after="283"/>
        <w:ind w:left="0" w:right="0" w:hanging="360"/>
        <w:jc w:val="both"/>
        <w:rPr/>
      </w:pPr>
      <w:hyperlink w:anchor="i5e1c82de0c41484c87a001ffe0af493e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of large multinational enterprises. Sunoco estimates its Pillar Two global minimum tax expense to be immaterial in 2026 and has not accrued any current tax expense related to Pillar Two in the quarter.</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On January 5, 2026, the OECD released new guidance that provides relief for U.S. parented multinationals and establishes a side-by-side framework for the U.S. tax system to coexist with Pillar Two global minimum tax. Effective for fiscal years beginning on or after January 1, 2026, U.S. parented multinationals would be exempt from the main charging provisions of Pillar Two. Sunoco will continue to estimate and potentially accrue Pillar Two global minimum tax until the relevant jurisdictions in which Sunoco operates enact the side-by-side framework in to law.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We report Segment Adjusted EBITDA and consolidated Adjusted EBITDA as measures of segment performance. We define Segment Adjusted EBITDA and consolidated Adjusted EBITDA as total partnership earnings before interest, taxes, depreciation, depletion, amortization and other non-cash items, such as non-cash compensation expense, gains and losses on disposals of assets, the allowance for equity funds used during construction, unrealized gains and losses on commodity risk management activities, inventory valuation adjustments, non-cash impairment charges, losses on extinguishments of debt and other non-operating income or expense items, as well as certain non-recurring gains and losses. Inventory valuation adjustments that are excluded from the calculation of Adjusted EBITDA represent only the changes in lower of cost or market reserves on inventory that is carried at LIFO. These amounts are unrealized valuation adjustments applied to Sunoco LP’s fuel volumes remaining in inventory at the end of the period.</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Segment Adjusted EBITDA and consolidated Adjusted EBITDA reflect amounts for unconsolidated affiliates based on the same recognition and measurement methods used to record equity in earnings of unconsolidated affiliates. Adjusted EBITDA related to unconsolidated affiliates excludes the same items with respect to the unconsolidated affiliate as those excluded from the calculation of Segment Adjusted EBITDA and consolidated Adjusted EBITDA, such as interest, taxes, depreciation, depletion, amortization and other non-cash items. Although these amounts are excluded from Adjusted EBITDA related to unconsolidated affiliates, such exclusion should not be understood to imply that we have control over the operations and resulting revenues and expenses of such affiliates. We do not control our unconsolidated affiliates; therefore, we do not control the earnings or cash flows of such affiliates. The use of Segment Adjusted EBITDA or Adjusted EBITDA related to unconsolidated affiliates as an analytical tool should be limited accordingly.</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Segment Adjusted EBITDA, as reported for each segment in the following table, is analyzed for each segment in the section titled “Segment Operating Results.” Adjusted EBITDA is a non-GAAP measure used by industry analysts, investors, lenders and rating agencies to assess the financial performance and the operating results of the Partnership’s fundamental business activities and should not be considered in isolation or as a substitution for net income, income from operations, cash flows from operating activities or other GAAP measures.</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Consolidated Results</w:t>
      </w:r>
    </w:p>
    <w:tbl>
      <w:tblPr>
        <w:tblW w:w="9110" w:type="dxa"/>
        <w:jc w:val="left"/>
        <w:tblInd w:w="0" w:type="dxa"/>
        <w:tblLayout w:type="fixed"/>
        <w:tblCellMar>
          <w:top w:w="28" w:type="dxa"/>
          <w:left w:w="28" w:type="dxa"/>
          <w:bottom w:w="28" w:type="dxa"/>
          <w:right w:w="28" w:type="dxa"/>
        </w:tblCellMar>
      </w:tblPr>
      <w:tblGrid>
        <w:gridCol w:w="1607"/>
        <w:gridCol w:w="1411"/>
        <w:gridCol w:w="1421"/>
        <w:gridCol w:w="109"/>
        <w:gridCol w:w="109"/>
        <w:gridCol w:w="109"/>
        <w:gridCol w:w="109"/>
        <w:gridCol w:w="171"/>
        <w:gridCol w:w="171"/>
        <w:gridCol w:w="332"/>
        <w:gridCol w:w="969"/>
        <w:gridCol w:w="171"/>
        <w:gridCol w:w="109"/>
        <w:gridCol w:w="109"/>
        <w:gridCol w:w="109"/>
        <w:gridCol w:w="211"/>
        <w:gridCol w:w="616"/>
        <w:gridCol w:w="109"/>
        <w:gridCol w:w="109"/>
        <w:gridCol w:w="109"/>
        <w:gridCol w:w="109"/>
        <w:gridCol w:w="211"/>
        <w:gridCol w:w="466"/>
        <w:gridCol w:w="154"/>
      </w:tblGrid>
      <w:tr>
        <w:trPr/>
        <w:tc>
          <w:tcPr>
            <w:tcW w:w="1607"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c>
          <w:tcPr>
            <w:tcW w:w="1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4"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b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6"/>
            <w:tcBorders/>
          </w:tcPr>
          <w:p>
            <w:pPr>
              <w:pStyle w:val="TableContents"/>
              <w:bidi w:val="0"/>
              <w:spacing w:before="0" w:after="283"/>
              <w:jc w:val="left"/>
              <w:rPr>
                <w:sz w:val="4"/>
                <w:szCs w:val="4"/>
              </w:rPr>
            </w:pPr>
            <w:r>
              <w:rPr>
                <w:sz w:val="4"/>
                <w:szCs w:val="4"/>
              </w:rPr>
            </w:r>
          </w:p>
        </w:tc>
      </w:tr>
      <w:tr>
        <w:trPr/>
        <w:tc>
          <w:tcPr>
            <w:tcW w:w="4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4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val="false"/>
                <w:color w:val="000000"/>
                <w:sz w:val="20"/>
              </w:rPr>
            </w:pPr>
            <w:r>
              <w:rPr>
                <w:rFonts w:ascii="Times New Roman;serif" w:hAnsi="Times New Roman;serif"/>
                <w:b w:val="false"/>
                <w:color w:val="000000"/>
                <w:sz w:val="20"/>
              </w:rPr>
              <w:t>Change</w:t>
            </w:r>
          </w:p>
        </w:tc>
      </w:tr>
      <w:tr>
        <w:trPr/>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Adjusted EBITDA: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4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Intrastate transportation and storage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3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Interstate transportation and storage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3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519 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Midstream</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3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887 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NGL and refined products transportation and services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3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1,163 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Crude oil transportation and services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3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869 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in Sunoco LP</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3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858 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in USAC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3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 other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3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 (consolidated)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3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4,937 </w:t>
            </w:r>
          </w:p>
        </w:tc>
        <w:tc>
          <w:tcPr>
            <w:tcW w:w="1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88" w:before="120" w:after="283"/>
        <w:ind w:left="0" w:right="0" w:hanging="360"/>
        <w:jc w:val="both"/>
        <w:rPr/>
      </w:pPr>
      <w:hyperlink w:anchor="i5e1c82de0c41484c87a001ffe0af493e_7">
        <w:r>
          <w:rPr>
            <w:rStyle w:val="InternetLink"/>
            <w:rFonts w:ascii="Times New Roman;serif" w:hAnsi="Times New Roman;serif"/>
            <w:b w:val="false"/>
            <w:color w:val="0000FF"/>
            <w:sz w:val="20"/>
            <w:u w:val="single"/>
          </w:rPr>
          <w:t>Table of Contents</w:t>
        </w:r>
      </w:hyperlink>
    </w:p>
    <w:tbl>
      <w:tblPr>
        <w:tblW w:w="9650" w:type="dxa"/>
        <w:jc w:val="left"/>
        <w:tblInd w:w="0" w:type="dxa"/>
        <w:tblLayout w:type="fixed"/>
        <w:tblCellMar>
          <w:top w:w="28" w:type="dxa"/>
          <w:left w:w="28" w:type="dxa"/>
          <w:bottom w:w="28" w:type="dxa"/>
          <w:right w:w="28" w:type="dxa"/>
        </w:tblCellMar>
      </w:tblPr>
      <w:tblGrid>
        <w:gridCol w:w="1804"/>
        <w:gridCol w:w="1584"/>
        <w:gridCol w:w="1591"/>
        <w:gridCol w:w="109"/>
        <w:gridCol w:w="109"/>
        <w:gridCol w:w="109"/>
        <w:gridCol w:w="109"/>
        <w:gridCol w:w="171"/>
        <w:gridCol w:w="171"/>
        <w:gridCol w:w="332"/>
        <w:gridCol w:w="969"/>
        <w:gridCol w:w="171"/>
        <w:gridCol w:w="109"/>
        <w:gridCol w:w="109"/>
        <w:gridCol w:w="109"/>
        <w:gridCol w:w="211"/>
        <w:gridCol w:w="616"/>
        <w:gridCol w:w="109"/>
        <w:gridCol w:w="109"/>
        <w:gridCol w:w="109"/>
        <w:gridCol w:w="109"/>
        <w:gridCol w:w="211"/>
        <w:gridCol w:w="466"/>
        <w:gridCol w:w="154"/>
      </w:tblGrid>
      <w:tr>
        <w:trPr/>
        <w:tc>
          <w:tcPr>
            <w:tcW w:w="1804" w:type="dxa"/>
            <w:tcBorders/>
            <w:vAlign w:val="center"/>
          </w:tcPr>
          <w:p>
            <w:pPr>
              <w:pStyle w:val="TableContents"/>
              <w:bidi w:val="0"/>
              <w:spacing w:before="0" w:after="283"/>
              <w:jc w:val="left"/>
              <w:rPr>
                <w:sz w:val="4"/>
                <w:szCs w:val="4"/>
              </w:rPr>
            </w:pPr>
            <w:r>
              <w:rPr>
                <w:sz w:val="4"/>
                <w:szCs w:val="4"/>
              </w:rPr>
            </w:r>
          </w:p>
        </w:tc>
        <w:tc>
          <w:tcPr>
            <w:tcW w:w="1584" w:type="dxa"/>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4"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b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6"/>
            <w:tcBorders/>
          </w:tcPr>
          <w:p>
            <w:pPr>
              <w:pStyle w:val="TableContents"/>
              <w:bidi w:val="0"/>
              <w:spacing w:before="0" w:after="283"/>
              <w:jc w:val="left"/>
              <w:rPr>
                <w:sz w:val="4"/>
                <w:szCs w:val="4"/>
              </w:rPr>
            </w:pPr>
            <w:r>
              <w:rPr>
                <w:sz w:val="4"/>
                <w:szCs w:val="4"/>
              </w:rPr>
            </w:r>
          </w:p>
        </w:tc>
      </w:tr>
      <w:tr>
        <w:trPr/>
        <w:tc>
          <w:tcPr>
            <w:tcW w:w="4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4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val="false"/>
                <w:color w:val="000000"/>
                <w:sz w:val="20"/>
              </w:rPr>
            </w:pPr>
            <w:r>
              <w:rPr>
                <w:rFonts w:ascii="Times New Roman;serif" w:hAnsi="Times New Roman;serif"/>
                <w:b w:val="false"/>
                <w:color w:val="000000"/>
                <w:sz w:val="20"/>
              </w:rPr>
              <w:t>Change</w:t>
            </w:r>
          </w:p>
        </w:tc>
      </w:tr>
      <w:tr>
        <w:trPr/>
        <w:tc>
          <w:tcPr>
            <w:tcW w:w="49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Reconciliation of net income to Adjusted EBITDA: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4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3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1,976 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depletion and amortization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3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1,583 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 of interest capitalized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3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947 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3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3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4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4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compensation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3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losses on commodity risk management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3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536 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 valuation adjustments (Sunoco LP)</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3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Losses on extinguishments of debt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3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 related to unconsolidated affiliates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3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in earnings of unconsolidated affiliates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3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4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497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4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4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3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 (consolidated)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3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4,937 </w:t>
            </w:r>
          </w:p>
        </w:tc>
        <w:tc>
          <w:tcPr>
            <w:tcW w:w="1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pPr>
      <w:r>
        <w:rPr>
          <w:rFonts w:ascii="Times New Roman;serif" w:hAnsi="Times New Roman;serif"/>
          <w:b w:val="false"/>
          <w:i/>
          <w:color w:val="000000"/>
          <w:sz w:val="20"/>
        </w:rPr>
        <w:t xml:space="preserve">Net Income. </w:t>
      </w:r>
      <w:r>
        <w:rPr>
          <w:rFonts w:ascii="Times New Roman;serif" w:hAnsi="Times New Roman;serif"/>
          <w:b w:val="false"/>
          <w:color w:val="000000"/>
          <w:sz w:val="20"/>
        </w:rPr>
        <w:t>For the three months ended March 31, 2026 compared to the same period last year, net income increased by $256 million, or approximately 15%, primarily due to higher segment margin from multiple segments. The most significant increases were in (i) our intrastate transportation and storage segment, where segment margin was favorably impacted by wider price spreads and favorable impacts from optimization, (ii) our NGL and refined products transportation and storage segment, where segment margin benefited from favorable market prices and higher throughput, and (iii) our investment in Sunoco LP segment, where segment margin included increases resulting from recent acquisitions and strategic transactions. The increase in segment margin was partially offset by increases in operating expenses, selling, general and administrative expenses, depreciation, depletion and amortization and interest expense. These changes are discussed in more detail below and in “Segment Operating Results.”</w:t>
      </w:r>
    </w:p>
    <w:p>
      <w:pPr>
        <w:pStyle w:val="TextBody"/>
        <w:bidi w:val="0"/>
        <w:spacing w:lineRule="auto" w:line="288" w:before="120" w:after="283"/>
        <w:jc w:val="both"/>
        <w:rPr/>
      </w:pPr>
      <w:r>
        <w:rPr>
          <w:rFonts w:ascii="Times New Roman;serif" w:hAnsi="Times New Roman;serif"/>
          <w:b w:val="false"/>
          <w:i/>
          <w:color w:val="000000"/>
          <w:sz w:val="20"/>
        </w:rPr>
        <w:t>Adjusted EBITDA (consolidated).</w:t>
      </w:r>
      <w:r>
        <w:rPr>
          <w:color w:val="000000"/>
        </w:rPr>
        <w:t xml:space="preserve"> </w:t>
      </w:r>
      <w:r>
        <w:rPr>
          <w:rFonts w:ascii="Times New Roman;serif" w:hAnsi="Times New Roman;serif"/>
          <w:b w:val="false"/>
          <w:color w:val="000000"/>
          <w:sz w:val="20"/>
        </w:rPr>
        <w:t>For the three months ended March 31, 2026 compared to the same period last year, Adjusted EBITDA increased by $839 million, or approximately 20%, primarily due to increases in our NGL and refined products transportation and services segment and our investment in Sunoco LP segment.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Additional information on changes impacting net income and Adjusted EBITDA is available below and in “Segment Operating Results.”</w:t>
      </w:r>
    </w:p>
    <w:p>
      <w:pPr>
        <w:pStyle w:val="TextBody"/>
        <w:bidi w:val="0"/>
        <w:spacing w:lineRule="auto" w:line="288" w:before="120" w:after="283"/>
        <w:jc w:val="both"/>
        <w:rPr/>
      </w:pPr>
      <w:r>
        <w:rPr>
          <w:rFonts w:ascii="Times New Roman;serif" w:hAnsi="Times New Roman;serif"/>
          <w:b w:val="false"/>
          <w:i/>
          <w:color w:val="000000"/>
          <w:sz w:val="20"/>
        </w:rPr>
        <w:t>Depreciation, Depletion and Amortization.</w:t>
      </w:r>
      <w:r>
        <w:rPr>
          <w:color w:val="000000"/>
        </w:rPr>
        <w:t xml:space="preserve"> </w:t>
      </w:r>
      <w:r>
        <w:rPr>
          <w:rFonts w:ascii="Times New Roman;serif" w:hAnsi="Times New Roman;serif"/>
          <w:b w:val="false"/>
          <w:color w:val="000000"/>
          <w:sz w:val="20"/>
        </w:rPr>
        <w:t>Depreciation, depletion and amortization increased for the three months ended March 31, 2026 compared to the same period last year primarily due to additional depreciation and amortization from assets recently placed in service and recent acquisitions.</w:t>
      </w:r>
    </w:p>
    <w:p>
      <w:pPr>
        <w:pStyle w:val="TextBody"/>
        <w:bidi w:val="0"/>
        <w:spacing w:lineRule="auto" w:line="288" w:before="120" w:after="283"/>
        <w:jc w:val="both"/>
        <w:rPr/>
      </w:pPr>
      <w:r>
        <w:rPr>
          <w:rFonts w:ascii="Times New Roman;serif" w:hAnsi="Times New Roman;serif"/>
          <w:b w:val="false"/>
          <w:i/>
          <w:color w:val="000000"/>
          <w:sz w:val="20"/>
        </w:rPr>
        <w:t xml:space="preserve">Interest Expense, Net of Interest Capitalized. </w:t>
      </w:r>
      <w:r>
        <w:rPr>
          <w:rFonts w:ascii="Times New Roman;serif" w:hAnsi="Times New Roman;serif"/>
          <w:b w:val="false"/>
          <w:color w:val="000000"/>
          <w:sz w:val="20"/>
        </w:rPr>
        <w:t>Interest expense, net of interest capitalized, increased for the three months ended March 31, 2026 compared to the same period last year primarily due to an increase in aggregate debt balances following the acquisition of Parkland and the refinancing of certain preferred units with long-term debt.</w:t>
      </w:r>
    </w:p>
    <w:p>
      <w:pPr>
        <w:pStyle w:val="TextBody"/>
        <w:bidi w:val="0"/>
        <w:spacing w:lineRule="auto" w:line="288" w:before="120" w:after="283"/>
        <w:jc w:val="both"/>
        <w:rPr/>
      </w:pPr>
      <w:r>
        <w:rPr>
          <w:rFonts w:ascii="Times New Roman;serif" w:hAnsi="Times New Roman;serif"/>
          <w:b w:val="false"/>
          <w:i/>
          <w:color w:val="000000"/>
          <w:sz w:val="20"/>
        </w:rPr>
        <w:t>Income Tax Expense.</w:t>
      </w:r>
      <w:r>
        <w:rPr>
          <w:color w:val="000000"/>
        </w:rPr>
        <w:t xml:space="preserve"> </w:t>
      </w:r>
      <w:r>
        <w:rPr>
          <w:rFonts w:ascii="Times New Roman;serif" w:hAnsi="Times New Roman;serif"/>
          <w:b w:val="false"/>
          <w:color w:val="000000"/>
          <w:sz w:val="20"/>
        </w:rPr>
        <w:t>For the three months ended March 31, 2026 compared to the same period last year, income tax expense increased primarily due to a favorable state tax rate change in the prior period and increased corporate earnings in the current period from recent acquisitions.</w:t>
      </w:r>
    </w:p>
    <w:p>
      <w:pPr>
        <w:pStyle w:val="TextBody"/>
        <w:bidi w:val="0"/>
        <w:spacing w:lineRule="auto" w:line="288" w:before="120" w:after="283"/>
        <w:jc w:val="both"/>
        <w:rPr/>
      </w:pPr>
      <w:r>
        <w:rPr>
          <w:rFonts w:ascii="Times New Roman;serif" w:hAnsi="Times New Roman;serif"/>
          <w:b w:val="false"/>
          <w:i/>
          <w:color w:val="212529"/>
          <w:sz w:val="20"/>
        </w:rPr>
        <w:t xml:space="preserve">Impairment Loss. </w:t>
      </w:r>
      <w:r>
        <w:rPr>
          <w:rFonts w:ascii="Times New Roman;serif" w:hAnsi="Times New Roman;serif"/>
          <w:b w:val="false"/>
          <w:color w:val="000000"/>
          <w:sz w:val="20"/>
        </w:rPr>
        <w:t>For the three months ended March 31, 2025, the impairment loss was related to USAC’s evaluation of the future deployment of its idle fleet under current market conditions.</w:t>
      </w:r>
    </w:p>
    <w:p>
      <w:pPr>
        <w:pStyle w:val="TextBody"/>
        <w:bidi w:val="0"/>
        <w:spacing w:lineRule="auto" w:line="288" w:before="120" w:after="283"/>
        <w:jc w:val="both"/>
        <w:rPr/>
      </w:pPr>
      <w:r>
        <w:rPr>
          <w:rFonts w:ascii="Times New Roman;serif" w:hAnsi="Times New Roman;serif"/>
          <w:b w:val="false"/>
          <w:i/>
          <w:color w:val="000000"/>
          <w:sz w:val="20"/>
        </w:rPr>
        <w:t xml:space="preserve">Unrealized Losses on Commodity Risk Management Activities. </w:t>
      </w:r>
      <w:r>
        <w:rPr>
          <w:rFonts w:ascii="Times New Roman;serif" w:hAnsi="Times New Roman;serif"/>
          <w:b w:val="false"/>
          <w:color w:val="000000"/>
          <w:sz w:val="20"/>
        </w:rPr>
        <w:t>The unrealized losses on our commodity risk management activities include changes in fair value of commodity derivatives and the hedged inventory included in designated fair value hedging relationships. Information on the unrealized gain and loss within each segment is included in “Segment Operating Results,” and additional information on the commodity-related derivatives, including notional volumes, maturities and fair values, is available in “Item 3. Quantitative and Qualitative Disclosures About Market Risk” and in Note 12 to our consolidated financial statements included in “Item 1. Financial Statements.”</w:t>
      </w:r>
    </w:p>
    <w:p>
      <w:pPr>
        <w:pStyle w:val="TextBody"/>
        <w:bidi w:val="0"/>
        <w:spacing w:lineRule="auto" w:line="288" w:before="120" w:after="283"/>
        <w:jc w:val="both"/>
        <w:rPr/>
      </w:pPr>
      <w:r>
        <w:rPr>
          <w:rFonts w:ascii="Times New Roman;serif" w:hAnsi="Times New Roman;serif"/>
          <w:b w:val="false"/>
          <w:i/>
          <w:color w:val="000000"/>
          <w:sz w:val="20"/>
        </w:rPr>
        <w:t>Inventory Valuation Adjustments.</w:t>
      </w:r>
      <w:r>
        <w:rPr>
          <w:color w:val="000000"/>
        </w:rPr>
        <w:t xml:space="preserve"> </w:t>
      </w:r>
      <w:r>
        <w:rPr>
          <w:rFonts w:ascii="Times New Roman;serif" w:hAnsi="Times New Roman;serif"/>
          <w:b w:val="false"/>
          <w:color w:val="000000"/>
          <w:sz w:val="20"/>
        </w:rPr>
        <w:t xml:space="preserve">Inventory valuation adjustments represent changes in lower of cost or market reserves using the LIFO method on Sunoco LP’s inventory. These amounts are unrealized valuation adjustments applied to fuel volumes remaining in inventory at the end of the period. For the three months ended March 31, 2026 and 2025, the Partnership’s cost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88" w:before="120" w:after="283"/>
        <w:ind w:left="0" w:right="0" w:hanging="360"/>
        <w:jc w:val="both"/>
        <w:rPr/>
      </w:pPr>
      <w:hyperlink w:anchor="i5e1c82de0c41484c87a001ffe0af493e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products sold included Sunoco LP’s favorable LIFO inventory valuation adjustments of $444 million and $61 million, respectively, which increased net income.</w:t>
      </w:r>
    </w:p>
    <w:p>
      <w:pPr>
        <w:pStyle w:val="TextBody"/>
        <w:bidi w:val="0"/>
        <w:spacing w:lineRule="auto" w:line="288" w:before="120" w:after="283"/>
        <w:jc w:val="both"/>
        <w:rPr/>
      </w:pPr>
      <w:r>
        <w:rPr>
          <w:rFonts w:ascii="Times New Roman;serif" w:hAnsi="Times New Roman;serif"/>
          <w:b w:val="false"/>
          <w:i/>
          <w:color w:val="000000"/>
          <w:sz w:val="20"/>
        </w:rPr>
        <w:t xml:space="preserve">Losses on Extinguishments of Debt. </w:t>
      </w:r>
      <w:r>
        <w:rPr>
          <w:rFonts w:ascii="Times New Roman;serif" w:hAnsi="Times New Roman;serif"/>
          <w:b w:val="false"/>
          <w:color w:val="000000"/>
          <w:sz w:val="20"/>
        </w:rPr>
        <w:t>For the three months ended March 31, 2025, loss on extinguishment of debt was due to Sunoco LP's redemption of senior notes.</w:t>
      </w:r>
    </w:p>
    <w:p>
      <w:pPr>
        <w:pStyle w:val="TextBody"/>
        <w:bidi w:val="0"/>
        <w:spacing w:lineRule="auto" w:line="288" w:before="120" w:after="283"/>
        <w:jc w:val="both"/>
        <w:rPr/>
      </w:pPr>
      <w:r>
        <w:rPr>
          <w:rFonts w:ascii="Times New Roman;serif" w:hAnsi="Times New Roman;serif"/>
          <w:b w:val="false"/>
          <w:i/>
          <w:color w:val="000000"/>
          <w:sz w:val="20"/>
        </w:rPr>
        <w:t xml:space="preserve">Adjusted EBITDA Related to Unconsolidated Affiliates </w:t>
      </w:r>
      <w:r>
        <w:rPr>
          <w:rFonts w:ascii="Times New Roman;serif" w:hAnsi="Times New Roman;serif"/>
          <w:b w:val="false"/>
          <w:color w:val="000000"/>
          <w:sz w:val="20"/>
        </w:rPr>
        <w:t>and</w:t>
      </w:r>
      <w:r>
        <w:rPr>
          <w:color w:val="000000"/>
        </w:rPr>
        <w:t xml:space="preserve"> </w:t>
      </w:r>
      <w:r>
        <w:rPr>
          <w:rFonts w:ascii="Times New Roman;serif" w:hAnsi="Times New Roman;serif"/>
          <w:b w:val="false"/>
          <w:i/>
          <w:color w:val="000000"/>
          <w:sz w:val="20"/>
        </w:rPr>
        <w:t>Equity in Earnings of Unconsolidated Affiliates.</w:t>
      </w:r>
      <w:r>
        <w:rPr>
          <w:color w:val="000000"/>
        </w:rPr>
        <w:t xml:space="preserve"> </w:t>
      </w:r>
      <w:r>
        <w:rPr>
          <w:rFonts w:ascii="Times New Roman;serif" w:hAnsi="Times New Roman;serif"/>
          <w:b w:val="false"/>
          <w:color w:val="000000"/>
          <w:sz w:val="20"/>
        </w:rPr>
        <w:t>See additional information in “Supplemental Information on Unconsolidated Affiliates” and “Segment Operating Results.”</w:t>
      </w:r>
    </w:p>
    <w:p>
      <w:pPr>
        <w:pStyle w:val="TextBody"/>
        <w:bidi w:val="0"/>
        <w:spacing w:lineRule="auto" w:line="288" w:before="120" w:after="283"/>
        <w:jc w:val="both"/>
        <w:rPr/>
      </w:pPr>
      <w:r>
        <w:rPr>
          <w:rFonts w:ascii="Times New Roman;serif" w:hAnsi="Times New Roman;serif"/>
          <w:b w:val="false"/>
          <w:i/>
          <w:color w:val="000000"/>
          <w:sz w:val="20"/>
        </w:rPr>
        <w:t>Other, net.</w:t>
      </w:r>
      <w:r>
        <w:rPr>
          <w:color w:val="000000"/>
        </w:rPr>
        <w:t xml:space="preserve"> </w:t>
      </w:r>
      <w:r>
        <w:rPr>
          <w:rFonts w:ascii="Times New Roman;serif" w:hAnsi="Times New Roman;serif"/>
          <w:b w:val="false"/>
          <w:color w:val="000000"/>
          <w:sz w:val="20"/>
        </w:rPr>
        <w:t>Other, net primarily includes the amortization of regulatory assets and other income and expense amounts.</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Supplemental Information on Unconsolidated Affiliates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financial information related to unconsolidated affiliates:</w:t>
      </w:r>
    </w:p>
    <w:tbl>
      <w:tblPr>
        <w:tblW w:w="9440" w:type="dxa"/>
        <w:jc w:val="left"/>
        <w:tblInd w:w="0" w:type="dxa"/>
        <w:tblLayout w:type="fixed"/>
        <w:tblCellMar>
          <w:top w:w="28" w:type="dxa"/>
          <w:left w:w="28" w:type="dxa"/>
          <w:bottom w:w="28" w:type="dxa"/>
          <w:right w:w="28" w:type="dxa"/>
        </w:tblCellMar>
      </w:tblPr>
      <w:tblGrid>
        <w:gridCol w:w="1792"/>
        <w:gridCol w:w="1577"/>
        <w:gridCol w:w="1580"/>
        <w:gridCol w:w="109"/>
        <w:gridCol w:w="109"/>
        <w:gridCol w:w="109"/>
        <w:gridCol w:w="109"/>
        <w:gridCol w:w="197"/>
        <w:gridCol w:w="197"/>
        <w:gridCol w:w="381"/>
        <w:gridCol w:w="842"/>
        <w:gridCol w:w="197"/>
        <w:gridCol w:w="109"/>
        <w:gridCol w:w="109"/>
        <w:gridCol w:w="109"/>
        <w:gridCol w:w="211"/>
        <w:gridCol w:w="466"/>
        <w:gridCol w:w="109"/>
        <w:gridCol w:w="109"/>
        <w:gridCol w:w="109"/>
        <w:gridCol w:w="109"/>
        <w:gridCol w:w="211"/>
        <w:gridCol w:w="436"/>
        <w:gridCol w:w="154"/>
      </w:tblGrid>
      <w:tr>
        <w:trPr/>
        <w:tc>
          <w:tcPr>
            <w:tcW w:w="1792" w:type="dxa"/>
            <w:tcBorders/>
            <w:vAlign w:val="center"/>
          </w:tcPr>
          <w:p>
            <w:pPr>
              <w:pStyle w:val="TableContents"/>
              <w:bidi w:val="0"/>
              <w:spacing w:before="0" w:after="283"/>
              <w:jc w:val="left"/>
              <w:rPr>
                <w:sz w:val="4"/>
                <w:szCs w:val="4"/>
              </w:rPr>
            </w:pPr>
            <w:r>
              <w:rPr>
                <w:sz w:val="4"/>
                <w:szCs w:val="4"/>
              </w:rPr>
            </w:r>
          </w:p>
        </w:tc>
        <w:tc>
          <w:tcPr>
            <w:tcW w:w="1577" w:type="dxa"/>
            <w:tcBorders/>
            <w:vAlign w:val="center"/>
          </w:tcPr>
          <w:p>
            <w:pPr>
              <w:pStyle w:val="TableContents"/>
              <w:bidi w:val="0"/>
              <w:spacing w:before="0" w:after="283"/>
              <w:jc w:val="left"/>
              <w:rPr>
                <w:sz w:val="4"/>
                <w:szCs w:val="4"/>
              </w:rPr>
            </w:pPr>
            <w:r>
              <w:rPr>
                <w:sz w:val="4"/>
                <w:szCs w:val="4"/>
              </w:rPr>
            </w:r>
          </w:p>
        </w:tc>
        <w:tc>
          <w:tcPr>
            <w:tcW w:w="15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4"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b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6"/>
            <w:tcBorders/>
          </w:tcPr>
          <w:p>
            <w:pPr>
              <w:pStyle w:val="TableContents"/>
              <w:bidi w:val="0"/>
              <w:spacing w:before="0" w:after="283"/>
              <w:jc w:val="left"/>
              <w:rPr>
                <w:sz w:val="4"/>
                <w:szCs w:val="4"/>
              </w:rPr>
            </w:pPr>
            <w:r>
              <w:rPr>
                <w:sz w:val="4"/>
                <w:szCs w:val="4"/>
              </w:rPr>
            </w:r>
          </w:p>
        </w:tc>
      </w:tr>
      <w:tr>
        <w:trPr/>
        <w:tc>
          <w:tcPr>
            <w:tcW w:w="4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4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val="false"/>
                <w:color w:val="000000"/>
                <w:sz w:val="20"/>
              </w:rPr>
            </w:pPr>
            <w:r>
              <w:rPr>
                <w:rFonts w:ascii="Times New Roman;serif" w:hAnsi="Times New Roman;serif"/>
                <w:b w:val="false"/>
                <w:color w:val="000000"/>
                <w:sz w:val="20"/>
              </w:rPr>
              <w:t>Change</w:t>
            </w:r>
          </w:p>
        </w:tc>
      </w:tr>
      <w:tr>
        <w:trPr/>
        <w:tc>
          <w:tcPr>
            <w:tcW w:w="4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in earnings of unconsolidated affiliates: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4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Citrus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3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MEP</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2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White Cliffs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2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Explorer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2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SESH</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2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2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equity in earnings of unconsolidated affiliates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3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42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 xml:space="preserve">Adjusted EBITDA related to unconsolidated affiliates </w:t>
            </w:r>
            <w:r>
              <w:rPr>
                <w:rFonts w:ascii="Times New Roman;serif" w:hAnsi="Times New Roman;serif"/>
                <w:b w:val="false"/>
                <w:color w:val="000000"/>
                <w:sz w:val="13"/>
              </w:rPr>
              <w:t>(1)</w:t>
            </w: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Citrus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3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MEP</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2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White Cliffs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2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Explorer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2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SESH</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2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2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Adjusted EBITDA related to unconsolidated affiliates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3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42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double" w:sz="8" w:space="0" w:color="000000"/>
            </w:tcBorders>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Distributions received from unconsolidated affiliates: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Citrus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3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MEP</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2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White Cliffs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2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Explorer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2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SESH</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2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2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distributions received from unconsolidated affiliates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3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1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360"/>
        <w:jc w:val="both"/>
        <w:rPr/>
      </w:pPr>
      <w:r>
        <w:rPr>
          <w:rFonts w:ascii="Times New Roman;serif" w:hAnsi="Times New Roman;serif"/>
          <w:b w:val="false"/>
          <w:color w:val="000000"/>
          <w:sz w:val="13"/>
        </w:rPr>
        <w:t>(1)</w:t>
      </w:r>
      <w:r>
        <w:rPr>
          <w:rFonts w:ascii="Times New Roman;serif" w:hAnsi="Times New Roman;serif"/>
          <w:b w:val="false"/>
          <w:color w:val="000000"/>
          <w:sz w:val="20"/>
        </w:rPr>
        <w:t>These amounts represent our proportionate share of the Adjusted EBITDA of our unconsolidated affiliates and are based on our equity in earnings or losses of our unconsolidated affiliates adjusted for our proportionate share of the unconsolidated affiliates’ interest, depreciation, depletion, amortization, non-cash items and taxes.</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Segment Operating Results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We evaluate segment performance based on Segment Adjusted EBITDA, which we believe is an important performance measure of the core profitability of our operations. This measure represents the basis of our internal financial reporting and is one of the performance measures used by senior management in deciding how to allocate capital resources among business segments.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288" w:before="120" w:after="283"/>
        <w:ind w:left="0" w:right="0" w:hanging="360"/>
        <w:jc w:val="both"/>
        <w:rPr/>
      </w:pPr>
      <w:hyperlink w:anchor="i5e1c82de0c41484c87a001ffe0af493e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tables identify the components of Segment Adjusted EBITDA, which is calculated as follows: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i/>
          <w:color w:val="000000"/>
          <w:sz w:val="20"/>
        </w:rPr>
        <w:t xml:space="preserve">Segment margin, operating expenses </w:t>
      </w:r>
      <w:r>
        <w:rPr>
          <w:rFonts w:ascii="Times New Roman;serif" w:hAnsi="Times New Roman;serif"/>
          <w:b w:val="false"/>
          <w:color w:val="000000"/>
          <w:sz w:val="20"/>
        </w:rPr>
        <w:t>and</w:t>
      </w:r>
      <w:r>
        <w:rPr>
          <w:color w:val="000000"/>
        </w:rPr>
        <w:t xml:space="preserve"> </w:t>
      </w:r>
      <w:r>
        <w:rPr>
          <w:rFonts w:ascii="Times New Roman;serif" w:hAnsi="Times New Roman;serif"/>
          <w:b w:val="false"/>
          <w:i/>
          <w:color w:val="000000"/>
          <w:sz w:val="20"/>
        </w:rPr>
        <w:t>selling, general and administrative expenses</w:t>
      </w:r>
      <w:r>
        <w:rPr>
          <w:rFonts w:ascii="Times New Roman;serif" w:hAnsi="Times New Roman;serif"/>
          <w:b w:val="false"/>
          <w:color w:val="000000"/>
          <w:sz w:val="20"/>
        </w:rPr>
        <w:t>. These amounts represent the amounts included in our consolidated financial statements that are attributable to each segment.</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i/>
          <w:color w:val="000000"/>
          <w:sz w:val="20"/>
        </w:rPr>
        <w:t>Unrealized gain or loss on commodity risk management activities and inventory valuation adjustments</w:t>
      </w:r>
      <w:r>
        <w:rPr>
          <w:rFonts w:ascii="Times New Roman;serif" w:hAnsi="Times New Roman;serif"/>
          <w:b w:val="false"/>
          <w:color w:val="000000"/>
          <w:sz w:val="20"/>
        </w:rPr>
        <w:t>. These are the unrealized amounts that are included in cost of products sold to calculate segment margin. These amounts are not included in Segment Adjusted EBITDA; therefore, the unrealized loss is added back and the unrealized gain is subtracted to calculate the segment measure.</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i/>
          <w:color w:val="000000"/>
          <w:sz w:val="20"/>
        </w:rPr>
        <w:t>Non-cash compensation expense</w:t>
      </w:r>
      <w:r>
        <w:rPr>
          <w:rFonts w:ascii="Times New Roman;serif" w:hAnsi="Times New Roman;serif"/>
          <w:b w:val="false"/>
          <w:color w:val="000000"/>
          <w:sz w:val="20"/>
        </w:rPr>
        <w:t>. These amounts represent the total non-cash compensation recorded in operating expenses and selling, general and administrative expenses. This expense is not included in Segment Adjusted EBITDA and therefore is added back to calculate the segment measure.</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i/>
          <w:color w:val="000000"/>
          <w:sz w:val="20"/>
        </w:rPr>
        <w:t>Adjusted EBITDA related to unconsolidated affiliates</w:t>
      </w:r>
      <w:r>
        <w:rPr>
          <w:rFonts w:ascii="Times New Roman;serif" w:hAnsi="Times New Roman;serif"/>
          <w:b w:val="false"/>
          <w:color w:val="000000"/>
          <w:sz w:val="20"/>
        </w:rPr>
        <w:t>. Adjusted EBITDA related to unconsolidated affiliates excludes the same items with respect to the unconsolidated affiliate as those excluded from the calculation of Segment Adjusted EBITDA, such as interest, taxes, depreciation, depletion, amortization and other non-cash items. Although these amounts are excluded from Adjusted EBITDA related to unconsolidated affiliates, such exclusion should not be understood to imply that we have control over the operations and resulting revenues and expenses of such affiliates. We do not control our unconsolidated affiliates; therefore, we do not control the earnings or cash flows of such affiliates.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analysis of segment operating results includes a measure of segment margin. Segment margin is a non-GAAP financial measure and is presented herein to assist in the analysis of segment operating results and particularly to facilitate an understanding of the impacts that changes in sales revenues have on the segment performance measure of Segment Adjusted EBITDA. Segment margin is similar to the GAAP measure of gross margin, except that segment margin excludes charges for depreciation, depletion and amortization. Among the GAAP measures reported by the Partnership, the most directly comparable measure to segment margin is Segment Adjusted EBITDA; a reconciliation of segment margin to Segment Adjusted EBITDA is included in the following tables for each segment where segment margin is presented.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addition, for certain segments, the following sections include information on the components of segment margin by sales type, which components are included in order to provide additional disaggregated information to facilitate the analysis of segment margin and Segment Adjusted EBITDA. For example, these components include transportation margin, storage margin and other margin. These components of segment margin are calculated consistent with the calculation of segment margin; therefore, these components also exclude charges for depreciation, depletion and amortization.</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Intrastate Transportation and Storage</w:t>
      </w:r>
    </w:p>
    <w:tbl>
      <w:tblPr>
        <w:tblW w:w="10205" w:type="dxa"/>
        <w:jc w:val="left"/>
        <w:tblInd w:w="0" w:type="dxa"/>
        <w:tblLayout w:type="fixed"/>
        <w:tblCellMar>
          <w:top w:w="28" w:type="dxa"/>
          <w:left w:w="28" w:type="dxa"/>
          <w:bottom w:w="28" w:type="dxa"/>
          <w:right w:w="28" w:type="dxa"/>
        </w:tblCellMar>
      </w:tblPr>
      <w:tblGrid>
        <w:gridCol w:w="2105"/>
        <w:gridCol w:w="1764"/>
        <w:gridCol w:w="1777"/>
        <w:gridCol w:w="109"/>
        <w:gridCol w:w="109"/>
        <w:gridCol w:w="109"/>
        <w:gridCol w:w="109"/>
        <w:gridCol w:w="154"/>
        <w:gridCol w:w="154"/>
        <w:gridCol w:w="298"/>
        <w:gridCol w:w="872"/>
        <w:gridCol w:w="154"/>
        <w:gridCol w:w="109"/>
        <w:gridCol w:w="109"/>
        <w:gridCol w:w="109"/>
        <w:gridCol w:w="211"/>
        <w:gridCol w:w="616"/>
        <w:gridCol w:w="109"/>
        <w:gridCol w:w="109"/>
        <w:gridCol w:w="109"/>
        <w:gridCol w:w="109"/>
        <w:gridCol w:w="211"/>
        <w:gridCol w:w="532"/>
        <w:gridCol w:w="158"/>
      </w:tblGrid>
      <w:tr>
        <w:trPr/>
        <w:tc>
          <w:tcPr>
            <w:tcW w:w="2105" w:type="dxa"/>
            <w:tcBorders/>
            <w:vAlign w:val="center"/>
          </w:tcPr>
          <w:p>
            <w:pPr>
              <w:pStyle w:val="TableContents"/>
              <w:bidi w:val="0"/>
              <w:spacing w:before="0" w:after="283"/>
              <w:jc w:val="left"/>
              <w:rPr>
                <w:sz w:val="4"/>
                <w:szCs w:val="4"/>
              </w:rPr>
            </w:pPr>
            <w:r>
              <w:rPr>
                <w:sz w:val="4"/>
                <w:szCs w:val="4"/>
              </w:rPr>
            </w:r>
          </w:p>
        </w:tc>
        <w:tc>
          <w:tcPr>
            <w:tcW w:w="1764" w:type="dxa"/>
            <w:tcBorders/>
            <w:vAlign w:val="center"/>
          </w:tcPr>
          <w:p>
            <w:pPr>
              <w:pStyle w:val="TableContents"/>
              <w:bidi w:val="0"/>
              <w:spacing w:before="0" w:after="283"/>
              <w:jc w:val="left"/>
              <w:rPr>
                <w:sz w:val="4"/>
                <w:szCs w:val="4"/>
              </w:rPr>
            </w:pPr>
            <w:r>
              <w:rPr>
                <w:sz w:val="4"/>
                <w:szCs w:val="4"/>
              </w:rPr>
            </w:r>
          </w:p>
        </w:tc>
        <w:tc>
          <w:tcPr>
            <w:tcW w:w="17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2"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br/>
              <w:t>March 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28" w:type="dxa"/>
            <w:gridSpan w:val="6"/>
            <w:tcBorders/>
          </w:tcPr>
          <w:p>
            <w:pPr>
              <w:pStyle w:val="TableContents"/>
              <w:bidi w:val="0"/>
              <w:spacing w:before="0" w:after="283"/>
              <w:jc w:val="left"/>
              <w:rPr>
                <w:sz w:val="4"/>
                <w:szCs w:val="4"/>
              </w:rPr>
            </w:pPr>
            <w:r>
              <w:rPr>
                <w:sz w:val="4"/>
                <w:szCs w:val="4"/>
              </w:rPr>
            </w:r>
          </w:p>
        </w:tc>
      </w:tr>
      <w:tr>
        <w:trPr/>
        <w:tc>
          <w:tcPr>
            <w:tcW w:w="5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3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Change</w:t>
            </w:r>
          </w:p>
        </w:tc>
      </w:tr>
      <w:tr>
        <w:trPr/>
        <w:tc>
          <w:tcPr>
            <w:tcW w:w="564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Natural gas transported (BBtu/d)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1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13,782 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6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Withdrawals from storage natural gas inventory (BBtu)</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11,453 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Cost of products sold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Segment margin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1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6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losses on commodity risk management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Operating expenses, excluding non-cash compensation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 excluding non-cash compensation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Adjusted EBITDA related to unconsolidated affiliates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Segment Adjusted EBITDA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93 </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pPr>
      <w:r>
        <w:rPr>
          <w:rFonts w:ascii="Times New Roman;serif" w:hAnsi="Times New Roman;serif"/>
          <w:b w:val="false"/>
          <w:i/>
          <w:color w:val="000000"/>
          <w:sz w:val="20"/>
        </w:rPr>
        <w:t>Volumes</w:t>
      </w:r>
      <w:r>
        <w:rPr>
          <w:rFonts w:ascii="Times New Roman;serif" w:hAnsi="Times New Roman;serif"/>
          <w:b w:val="false"/>
          <w:color w:val="000000"/>
          <w:sz w:val="20"/>
        </w:rPr>
        <w:t>. For the three months ended March 31, 2026 compared to the same period last year, transported volumes of gas on our Texas intrastate pipelines decreased primarily due to lower third-party utilization of firm capacity. Transported volumes reported above exclude volumes attributable to purchases and sales of gas for our pipelines’ own accounts and the optimization of any unused capacity.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lineRule="auto" w:line="288" w:before="120" w:after="283"/>
        <w:ind w:left="0" w:right="0" w:hanging="360"/>
        <w:jc w:val="both"/>
        <w:rPr/>
      </w:pPr>
      <w:hyperlink w:anchor="i5e1c82de0c41484c87a001ffe0af493e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jc w:val="both"/>
        <w:rPr/>
      </w:pPr>
      <w:r>
        <w:rPr>
          <w:rFonts w:ascii="Times New Roman;serif" w:hAnsi="Times New Roman;serif"/>
          <w:b w:val="false"/>
          <w:i/>
          <w:color w:val="000000"/>
          <w:sz w:val="20"/>
        </w:rPr>
        <w:t>Segment Margin.</w:t>
      </w:r>
      <w:r>
        <w:rPr>
          <w:color w:val="000000"/>
        </w:rPr>
        <w:t xml:space="preserve"> </w:t>
      </w:r>
      <w:r>
        <w:rPr>
          <w:rFonts w:ascii="Times New Roman;serif" w:hAnsi="Times New Roman;serif"/>
          <w:b w:val="false"/>
          <w:color w:val="000000"/>
          <w:sz w:val="20"/>
        </w:rPr>
        <w:t>The components of our intrastate transportation and storage segment margin were as follows:</w:t>
      </w:r>
    </w:p>
    <w:tbl>
      <w:tblPr>
        <w:tblW w:w="10205" w:type="dxa"/>
        <w:jc w:val="left"/>
        <w:tblInd w:w="0" w:type="dxa"/>
        <w:tblLayout w:type="fixed"/>
        <w:tblCellMar>
          <w:top w:w="28" w:type="dxa"/>
          <w:left w:w="28" w:type="dxa"/>
          <w:bottom w:w="28" w:type="dxa"/>
          <w:right w:w="28" w:type="dxa"/>
        </w:tblCellMar>
      </w:tblPr>
      <w:tblGrid>
        <w:gridCol w:w="2149"/>
        <w:gridCol w:w="1883"/>
        <w:gridCol w:w="1894"/>
        <w:gridCol w:w="109"/>
        <w:gridCol w:w="109"/>
        <w:gridCol w:w="109"/>
        <w:gridCol w:w="109"/>
        <w:gridCol w:w="170"/>
        <w:gridCol w:w="170"/>
        <w:gridCol w:w="329"/>
        <w:gridCol w:w="728"/>
        <w:gridCol w:w="170"/>
        <w:gridCol w:w="109"/>
        <w:gridCol w:w="109"/>
        <w:gridCol w:w="109"/>
        <w:gridCol w:w="211"/>
        <w:gridCol w:w="466"/>
        <w:gridCol w:w="109"/>
        <w:gridCol w:w="109"/>
        <w:gridCol w:w="109"/>
        <w:gridCol w:w="109"/>
        <w:gridCol w:w="211"/>
        <w:gridCol w:w="466"/>
        <w:gridCol w:w="159"/>
      </w:tblGrid>
      <w:tr>
        <w:trPr/>
        <w:tc>
          <w:tcPr>
            <w:tcW w:w="2149" w:type="dxa"/>
            <w:tcBorders/>
            <w:vAlign w:val="center"/>
          </w:tcPr>
          <w:p>
            <w:pPr>
              <w:pStyle w:val="TableContents"/>
              <w:bidi w:val="0"/>
              <w:spacing w:before="0" w:after="283"/>
              <w:jc w:val="left"/>
              <w:rPr>
                <w:sz w:val="4"/>
                <w:szCs w:val="4"/>
              </w:rPr>
            </w:pPr>
            <w:r>
              <w:rPr>
                <w:sz w:val="4"/>
                <w:szCs w:val="4"/>
              </w:rPr>
            </w:r>
          </w:p>
        </w:tc>
        <w:tc>
          <w:tcPr>
            <w:tcW w:w="1883" w:type="dxa"/>
            <w:tcBorders/>
            <w:vAlign w:val="center"/>
          </w:tcPr>
          <w:p>
            <w:pPr>
              <w:pStyle w:val="TableContents"/>
              <w:bidi w:val="0"/>
              <w:spacing w:before="0" w:after="283"/>
              <w:jc w:val="left"/>
              <w:rPr>
                <w:sz w:val="4"/>
                <w:szCs w:val="4"/>
              </w:rPr>
            </w:pPr>
            <w:r>
              <w:rPr>
                <w:sz w:val="4"/>
                <w:szCs w:val="4"/>
              </w:rPr>
            </w:r>
          </w:p>
        </w:tc>
        <w:tc>
          <w:tcPr>
            <w:tcW w:w="18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9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7" w:type="dxa"/>
            <w:gridSpan w:val="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b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63" w:type="dxa"/>
            <w:gridSpan w:val="6"/>
            <w:tcBorders/>
          </w:tcPr>
          <w:p>
            <w:pPr>
              <w:pStyle w:val="TableContents"/>
              <w:bidi w:val="0"/>
              <w:spacing w:before="0" w:after="283"/>
              <w:jc w:val="left"/>
              <w:rPr>
                <w:sz w:val="4"/>
                <w:szCs w:val="4"/>
              </w:rPr>
            </w:pPr>
            <w:r>
              <w:rPr>
                <w:sz w:val="4"/>
                <w:szCs w:val="4"/>
              </w:rPr>
            </w:r>
          </w:p>
        </w:tc>
      </w:tr>
      <w:tr>
        <w:trPr/>
        <w:tc>
          <w:tcPr>
            <w:tcW w:w="59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2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Change</w:t>
            </w:r>
          </w:p>
        </w:tc>
      </w:tr>
      <w:tr>
        <w:trPr/>
        <w:tc>
          <w:tcPr>
            <w:tcW w:w="592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Transportation fees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3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Natural gas sales and other (excluding unrealized gains and losses)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15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9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Retained fuel (excluding unrealized gains and losses)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5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9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Storage margin (excluding unrealized gains and losses and fair value inventory adjustments)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15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9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losses on commodity risk management activities and fair value inventory adjustments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Total segment margin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3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446 </w:t>
            </w:r>
          </w:p>
        </w:tc>
        <w:tc>
          <w:tcPr>
            <w:tcW w:w="1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116 </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pPr>
      <w:r>
        <w:rPr>
          <w:rFonts w:ascii="Times New Roman;serif" w:hAnsi="Times New Roman;serif"/>
          <w:b w:val="false"/>
          <w:i/>
          <w:color w:val="000000"/>
          <w:sz w:val="20"/>
        </w:rPr>
        <w:t xml:space="preserve">Segment Adjusted EBITDA. </w:t>
      </w:r>
      <w:r>
        <w:rPr>
          <w:rFonts w:ascii="Times New Roman;serif" w:hAnsi="Times New Roman;serif"/>
          <w:b w:val="false"/>
          <w:color w:val="000000"/>
          <w:sz w:val="20"/>
        </w:rPr>
        <w:t>For the three months ended March 31, 2026 compared to the same period last year, Segment Adjusted EBITDA related to our intrastate transportation and storage segment increased due to the net impact of the following:</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an increase of $54 million in realized natural gas sales and other primarily due to wider basis differentials;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an increase of $41 million in storage margin due to favorable impacts from increased price volatility;</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an increase of $6 million in transportation fees primarily due to higher reservation revenues on long-term third-party contracts; and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an increase of $2 million in retained fuel margin due to favorable gas pricing; partially offset by</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an increase of $8 million in operating expenses primarily due to a $3 million increase in corporate allocations, a $2 million increase in maintenance, and a $1 million increase in employee costs.</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Interstate Transportation and Storage</w:t>
      </w:r>
    </w:p>
    <w:tbl>
      <w:tblPr>
        <w:tblW w:w="10205" w:type="dxa"/>
        <w:jc w:val="left"/>
        <w:tblInd w:w="0" w:type="dxa"/>
        <w:tblLayout w:type="fixed"/>
        <w:tblCellMar>
          <w:top w:w="28" w:type="dxa"/>
          <w:left w:w="28" w:type="dxa"/>
          <w:bottom w:w="28" w:type="dxa"/>
          <w:right w:w="28" w:type="dxa"/>
        </w:tblCellMar>
      </w:tblPr>
      <w:tblGrid>
        <w:gridCol w:w="2285"/>
        <w:gridCol w:w="1878"/>
        <w:gridCol w:w="1885"/>
        <w:gridCol w:w="109"/>
        <w:gridCol w:w="109"/>
        <w:gridCol w:w="109"/>
        <w:gridCol w:w="109"/>
        <w:gridCol w:w="158"/>
        <w:gridCol w:w="158"/>
        <w:gridCol w:w="326"/>
        <w:gridCol w:w="678"/>
        <w:gridCol w:w="158"/>
        <w:gridCol w:w="109"/>
        <w:gridCol w:w="109"/>
        <w:gridCol w:w="109"/>
        <w:gridCol w:w="224"/>
        <w:gridCol w:w="497"/>
        <w:gridCol w:w="109"/>
        <w:gridCol w:w="109"/>
        <w:gridCol w:w="109"/>
        <w:gridCol w:w="109"/>
        <w:gridCol w:w="219"/>
        <w:gridCol w:w="376"/>
        <w:gridCol w:w="164"/>
      </w:tblGrid>
      <w:tr>
        <w:trPr/>
        <w:tc>
          <w:tcPr>
            <w:tcW w:w="2285" w:type="dxa"/>
            <w:tcBorders/>
            <w:vAlign w:val="center"/>
          </w:tcPr>
          <w:p>
            <w:pPr>
              <w:pStyle w:val="TableContents"/>
              <w:bidi w:val="0"/>
              <w:spacing w:before="0" w:after="283"/>
              <w:jc w:val="left"/>
              <w:rPr>
                <w:sz w:val="4"/>
                <w:szCs w:val="4"/>
              </w:rPr>
            </w:pPr>
            <w:r>
              <w:rPr>
                <w:sz w:val="4"/>
                <w:szCs w:val="4"/>
              </w:rPr>
            </w:r>
          </w:p>
        </w:tc>
        <w:tc>
          <w:tcPr>
            <w:tcW w:w="1878" w:type="dxa"/>
            <w:tcBorders/>
            <w:vAlign w:val="center"/>
          </w:tcPr>
          <w:p>
            <w:pPr>
              <w:pStyle w:val="TableContents"/>
              <w:bidi w:val="0"/>
              <w:spacing w:before="0" w:after="283"/>
              <w:jc w:val="left"/>
              <w:rPr>
                <w:sz w:val="4"/>
                <w:szCs w:val="4"/>
              </w:rPr>
            </w:pPr>
            <w:r>
              <w:rPr>
                <w:sz w:val="4"/>
                <w:szCs w:val="4"/>
              </w:rPr>
            </w:r>
          </w:p>
        </w:tc>
        <w:tc>
          <w:tcPr>
            <w:tcW w:w="18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60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8"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b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6"/>
            <w:tcBorders/>
          </w:tcPr>
          <w:p>
            <w:pPr>
              <w:pStyle w:val="TableContents"/>
              <w:bidi w:val="0"/>
              <w:spacing w:before="0" w:after="283"/>
              <w:jc w:val="left"/>
              <w:rPr>
                <w:sz w:val="4"/>
                <w:szCs w:val="4"/>
              </w:rPr>
            </w:pPr>
            <w:r>
              <w:rPr>
                <w:sz w:val="4"/>
                <w:szCs w:val="4"/>
              </w:rPr>
            </w:r>
          </w:p>
        </w:tc>
      </w:tr>
      <w:tr>
        <w:trPr/>
        <w:tc>
          <w:tcPr>
            <w:tcW w:w="60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1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val="false"/>
                <w:color w:val="000000"/>
                <w:sz w:val="20"/>
              </w:rPr>
            </w:pPr>
            <w:r>
              <w:rPr>
                <w:rFonts w:ascii="Times New Roman;serif" w:hAnsi="Times New Roman;serif"/>
                <w:b w:val="false"/>
                <w:color w:val="000000"/>
                <w:sz w:val="20"/>
              </w:rPr>
              <w:t>Change</w:t>
            </w:r>
          </w:p>
        </w:tc>
      </w:tr>
      <w:tr>
        <w:trPr/>
        <w:tc>
          <w:tcPr>
            <w:tcW w:w="60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Natural gas transported (BBtu/d)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18,120 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0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Natural gas sold (BBtu/d)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6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0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3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6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0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products sold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6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0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margin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631 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0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 excluding non-cash compensation, amortization and accretion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16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0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 excluding non-cash compensation, amortization and accretion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6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0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 related to unconsolidated affiliates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9" w:type="dxa"/>
            <w:gridSpan w:val="3"/>
            <w:tcBorders/>
            <w:vAlign w:val="center"/>
          </w:tcPr>
          <w:p>
            <w:pPr>
              <w:pStyle w:val="TableContents"/>
              <w:bidi w:val="0"/>
              <w:spacing w:before="0" w:after="283"/>
              <w:jc w:val="left"/>
              <w:rPr>
                <w:sz w:val="4"/>
                <w:szCs w:val="4"/>
              </w:rPr>
            </w:pPr>
            <w:r>
              <w:rPr>
                <w:sz w:val="4"/>
                <w:szCs w:val="4"/>
              </w:rPr>
            </w:r>
          </w:p>
        </w:tc>
      </w:tr>
      <w:tr>
        <w:trPr/>
        <w:tc>
          <w:tcPr>
            <w:tcW w:w="60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9"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60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Adjusted EBITDA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3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519 </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pPr>
      <w:r>
        <w:rPr>
          <w:rFonts w:ascii="Times New Roman;serif" w:hAnsi="Times New Roman;serif"/>
          <w:b w:val="false"/>
          <w:i/>
          <w:color w:val="000000"/>
          <w:sz w:val="20"/>
        </w:rPr>
        <w:t>Volumes.</w:t>
      </w:r>
      <w:r>
        <w:rPr>
          <w:color w:val="000000"/>
        </w:rPr>
        <w:t xml:space="preserve"> </w:t>
      </w:r>
      <w:r>
        <w:rPr>
          <w:rFonts w:ascii="Times New Roman;serif" w:hAnsi="Times New Roman;serif"/>
          <w:b w:val="false"/>
          <w:color w:val="000000"/>
          <w:sz w:val="20"/>
        </w:rPr>
        <w:t>For the three months ended March 31, 2026 compared to the same period last year, transported volumes decreased primarily due to lower utilization on several of our interstate pipeline systems due to lower demand.</w:t>
      </w:r>
    </w:p>
    <w:p>
      <w:pPr>
        <w:pStyle w:val="TextBody"/>
        <w:bidi w:val="0"/>
        <w:spacing w:lineRule="auto" w:line="288" w:before="120" w:after="283"/>
        <w:jc w:val="both"/>
        <w:rPr/>
      </w:pPr>
      <w:r>
        <w:rPr>
          <w:rFonts w:ascii="Times New Roman;serif" w:hAnsi="Times New Roman;serif"/>
          <w:b w:val="false"/>
          <w:i/>
          <w:color w:val="000000"/>
          <w:sz w:val="20"/>
        </w:rPr>
        <w:t xml:space="preserve">Segment Adjusted EBITDA. </w:t>
      </w:r>
      <w:r>
        <w:rPr>
          <w:rFonts w:ascii="Times New Roman;serif" w:hAnsi="Times New Roman;serif"/>
          <w:b w:val="false"/>
          <w:color w:val="000000"/>
          <w:sz w:val="20"/>
        </w:rPr>
        <w:t>For the three months ended March 31, 2026 compared to the same period last year, Segment Adjusted EBITDA related to our interstate transportation and storage segment increased due to the net impact of the following:</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an increase of $12 million in segment margin primarily due to a $23 million increase in transportation revenue from several of our interstate pipeline systems due to higher contracted volumes at higher rates, partially offset by a $6 million decrease in storage and parking revenue, and a $3 million decrease in operational gas sales;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 decrease of $7 million in selling, general and administration expenses primarily due to a $3 million decrease related to corporate allocations and an aggregate $5 million decrease in insurance expense, professional fees and excise taxes; and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an increase of $14 million in Adjusted EBITDA related to unconsolidated affiliates primarily due to a $7 million increase from our Citrus joint venture, a $5 million increase from our Midcontinent Express Pipeline joint venture and a $2 million increase from our Southeast Supply Header joint venture; partially offset by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lineRule="auto" w:line="288" w:before="120" w:after="283"/>
        <w:ind w:left="0" w:right="0" w:hanging="360"/>
        <w:jc w:val="both"/>
        <w:rPr/>
      </w:pPr>
      <w:hyperlink w:anchor="i5e1c82de0c41484c87a001ffe0af493e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an increase of $26 million in operating expenses primarily due to a $10 million increase in transportation expense, a $5 million environmental claim settlement and an aggregate $10 million increase in various other items, including maintenance projects and employee costs.</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 xml:space="preserve">Midstream </w:t>
      </w:r>
    </w:p>
    <w:tbl>
      <w:tblPr>
        <w:tblW w:w="10205" w:type="dxa"/>
        <w:jc w:val="left"/>
        <w:tblInd w:w="0" w:type="dxa"/>
        <w:tblLayout w:type="fixed"/>
        <w:tblCellMar>
          <w:top w:w="28" w:type="dxa"/>
          <w:left w:w="28" w:type="dxa"/>
          <w:bottom w:w="28" w:type="dxa"/>
          <w:right w:w="28" w:type="dxa"/>
        </w:tblCellMar>
      </w:tblPr>
      <w:tblGrid>
        <w:gridCol w:w="2140"/>
        <w:gridCol w:w="1753"/>
        <w:gridCol w:w="1760"/>
        <w:gridCol w:w="109"/>
        <w:gridCol w:w="109"/>
        <w:gridCol w:w="109"/>
        <w:gridCol w:w="109"/>
        <w:gridCol w:w="154"/>
        <w:gridCol w:w="154"/>
        <w:gridCol w:w="299"/>
        <w:gridCol w:w="872"/>
        <w:gridCol w:w="154"/>
        <w:gridCol w:w="109"/>
        <w:gridCol w:w="109"/>
        <w:gridCol w:w="109"/>
        <w:gridCol w:w="211"/>
        <w:gridCol w:w="616"/>
        <w:gridCol w:w="109"/>
        <w:gridCol w:w="109"/>
        <w:gridCol w:w="109"/>
        <w:gridCol w:w="109"/>
        <w:gridCol w:w="211"/>
        <w:gridCol w:w="524"/>
        <w:gridCol w:w="158"/>
      </w:tblGrid>
      <w:tr>
        <w:trPr/>
        <w:tc>
          <w:tcPr>
            <w:tcW w:w="2140" w:type="dxa"/>
            <w:tcBorders/>
            <w:vAlign w:val="center"/>
          </w:tcPr>
          <w:p>
            <w:pPr>
              <w:pStyle w:val="TableContents"/>
              <w:bidi w:val="0"/>
              <w:spacing w:before="0" w:after="283"/>
              <w:jc w:val="left"/>
              <w:rPr>
                <w:sz w:val="4"/>
                <w:szCs w:val="4"/>
              </w:rPr>
            </w:pPr>
            <w:r>
              <w:rPr>
                <w:sz w:val="4"/>
                <w:szCs w:val="4"/>
              </w:rPr>
            </w:r>
          </w:p>
        </w:tc>
        <w:tc>
          <w:tcPr>
            <w:tcW w:w="1753" w:type="dxa"/>
            <w:tcBorders/>
            <w:vAlign w:val="center"/>
          </w:tcPr>
          <w:p>
            <w:pPr>
              <w:pStyle w:val="TableContents"/>
              <w:bidi w:val="0"/>
              <w:spacing w:before="0" w:after="283"/>
              <w:jc w:val="left"/>
              <w:rPr>
                <w:sz w:val="4"/>
                <w:szCs w:val="4"/>
              </w:rPr>
            </w:pPr>
            <w:r>
              <w:rPr>
                <w:sz w:val="4"/>
                <w:szCs w:val="4"/>
              </w:rPr>
            </w:r>
          </w:p>
        </w:tc>
        <w:tc>
          <w:tcPr>
            <w:tcW w:w="17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6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3"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b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6"/>
            <w:tcBorders/>
          </w:tcPr>
          <w:p>
            <w:pPr>
              <w:pStyle w:val="TableContents"/>
              <w:bidi w:val="0"/>
              <w:spacing w:before="0" w:after="283"/>
              <w:jc w:val="left"/>
              <w:rPr>
                <w:sz w:val="4"/>
                <w:szCs w:val="4"/>
              </w:rPr>
            </w:pPr>
            <w:r>
              <w:rPr>
                <w:sz w:val="4"/>
                <w:szCs w:val="4"/>
              </w:rPr>
            </w:r>
          </w:p>
        </w:tc>
      </w:tr>
      <w:tr>
        <w:trPr/>
        <w:tc>
          <w:tcPr>
            <w:tcW w:w="56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3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Change</w:t>
            </w:r>
          </w:p>
        </w:tc>
      </w:tr>
      <w:tr>
        <w:trPr/>
        <w:tc>
          <w:tcPr>
            <w:tcW w:w="565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Gathered volumes (BBtu/d)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1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21,680 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1,269 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NGLs produced (MBbls/d)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Equity NGLs (MBbls/d)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1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(612)</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Cost of products sold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1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Segment margin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1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3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3" w:type="dxa"/>
            <w:gridSpan w:val="3"/>
            <w:tcBorders/>
            <w:vAlign w:val="center"/>
          </w:tcPr>
          <w:p>
            <w:pPr>
              <w:pStyle w:val="TableContents"/>
              <w:bidi w:val="0"/>
              <w:spacing w:before="0" w:after="283"/>
              <w:jc w:val="left"/>
              <w:rPr>
                <w:sz w:val="4"/>
                <w:szCs w:val="4"/>
              </w:rPr>
            </w:pPr>
            <w:r>
              <w:rPr>
                <w:sz w:val="4"/>
                <w:szCs w:val="4"/>
              </w:rPr>
            </w:r>
          </w:p>
        </w:tc>
      </w:tr>
      <w:tr>
        <w:trPr/>
        <w:tc>
          <w:tcPr>
            <w:tcW w:w="565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Operating expenses, excluding non-cash compensation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1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 excluding non-cash compensation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Adjusted EBITDA related to unconsolidated affiliates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1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Segment Adjusted EBITDA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pPr>
      <w:r>
        <w:rPr>
          <w:rFonts w:ascii="Times New Roman;serif" w:hAnsi="Times New Roman;serif"/>
          <w:b w:val="false"/>
          <w:i/>
          <w:color w:val="000000"/>
          <w:sz w:val="20"/>
        </w:rPr>
        <w:t>Volumes.</w:t>
      </w:r>
      <w:r>
        <w:rPr>
          <w:color w:val="000000"/>
        </w:rPr>
        <w:t xml:space="preserve"> </w:t>
      </w:r>
      <w:r>
        <w:rPr>
          <w:rFonts w:ascii="Times New Roman;serif" w:hAnsi="Times New Roman;serif"/>
          <w:b w:val="false"/>
          <w:color w:val="000000"/>
          <w:sz w:val="20"/>
        </w:rPr>
        <w:t>For the three months ended March 31, 2026 compared to the same period last year, volumes increased from dry gas gathering in the Northeast and Ark-La-Tex regions as well as increased processing volumes from new and upgraded plants in the Permian region. NGL production increased primarily due to increased Permian plant utilization.</w:t>
      </w:r>
    </w:p>
    <w:p>
      <w:pPr>
        <w:pStyle w:val="TextBody"/>
        <w:bidi w:val="0"/>
        <w:spacing w:lineRule="auto" w:line="288" w:before="120" w:after="283"/>
        <w:jc w:val="both"/>
        <w:rPr/>
      </w:pPr>
      <w:r>
        <w:rPr>
          <w:rFonts w:ascii="Times New Roman;serif" w:hAnsi="Times New Roman;serif"/>
          <w:b w:val="false"/>
          <w:i/>
          <w:color w:val="000000"/>
          <w:sz w:val="20"/>
        </w:rPr>
        <w:t xml:space="preserve">Segment Adjusted EBITDA. </w:t>
      </w:r>
      <w:r>
        <w:rPr>
          <w:rFonts w:ascii="Times New Roman;serif" w:hAnsi="Times New Roman;serif"/>
          <w:b w:val="false"/>
          <w:color w:val="000000"/>
          <w:sz w:val="20"/>
        </w:rPr>
        <w:t>For the three months ended March 31, 2026 compared to the same period last year, Segment Adjusted EBITDA related to our midstream segment decreased due to the net impact of the following:</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a decrease of $26 million in segment margin primarily due to a $160 million decrease attributable to the non-recurring recognition of certain amounts associated with Winter Storm Uri in the prior period and a $25 million decrease due to lower NGL prices of $22 million and lower natural gas prices of $3 million, partially offset by an $85 million increase due to higher gathered and processed volumes across most regions, a $39 million increase due to an intercompany imbalance that is completely offset within our NGL and Refined Products Transportation and Services segment, and a $14 million increase due to reduced third party NGL Transportation and Fractionation costs from our Oklahoma processing facilities; and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an increase of $25 million in operating expenses primarily due to a $15 million increase in employee costs and a $10 million increase in Permian equipment rentals, partially offset by a $7 million decrease in Permian maintenance and repairs; partially offset by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an increase of $11 million in other income due to the recognition of proceeds from a business interruption claim; and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 decrease of $2 million in selling, general, and administrative expenses primarily due to lower corporate allocations.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lineRule="auto" w:line="288" w:before="120" w:after="283"/>
        <w:ind w:left="0" w:right="0" w:hanging="360"/>
        <w:jc w:val="both"/>
        <w:rPr/>
      </w:pPr>
      <w:hyperlink w:anchor="i5e1c82de0c41484c87a001ffe0af493e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NGL and Refined Products Transportation and Services</w:t>
      </w:r>
    </w:p>
    <w:tbl>
      <w:tblPr>
        <w:tblW w:w="10205" w:type="dxa"/>
        <w:jc w:val="left"/>
        <w:tblInd w:w="0" w:type="dxa"/>
        <w:tblLayout w:type="fixed"/>
        <w:tblCellMar>
          <w:top w:w="28" w:type="dxa"/>
          <w:left w:w="28" w:type="dxa"/>
          <w:bottom w:w="28" w:type="dxa"/>
          <w:right w:w="28" w:type="dxa"/>
        </w:tblCellMar>
      </w:tblPr>
      <w:tblGrid>
        <w:gridCol w:w="2072"/>
        <w:gridCol w:w="1789"/>
        <w:gridCol w:w="1798"/>
        <w:gridCol w:w="109"/>
        <w:gridCol w:w="109"/>
        <w:gridCol w:w="109"/>
        <w:gridCol w:w="109"/>
        <w:gridCol w:w="153"/>
        <w:gridCol w:w="153"/>
        <w:gridCol w:w="298"/>
        <w:gridCol w:w="870"/>
        <w:gridCol w:w="153"/>
        <w:gridCol w:w="109"/>
        <w:gridCol w:w="109"/>
        <w:gridCol w:w="109"/>
        <w:gridCol w:w="211"/>
        <w:gridCol w:w="616"/>
        <w:gridCol w:w="109"/>
        <w:gridCol w:w="109"/>
        <w:gridCol w:w="109"/>
        <w:gridCol w:w="109"/>
        <w:gridCol w:w="211"/>
        <w:gridCol w:w="524"/>
        <w:gridCol w:w="158"/>
      </w:tblGrid>
      <w:tr>
        <w:trPr/>
        <w:tc>
          <w:tcPr>
            <w:tcW w:w="2072" w:type="dxa"/>
            <w:tcBorders/>
            <w:vAlign w:val="center"/>
          </w:tcPr>
          <w:p>
            <w:pPr>
              <w:pStyle w:val="TableContents"/>
              <w:bidi w:val="0"/>
              <w:spacing w:before="0" w:after="283"/>
              <w:jc w:val="left"/>
              <w:rPr>
                <w:sz w:val="4"/>
                <w:szCs w:val="4"/>
              </w:rPr>
            </w:pPr>
            <w:r>
              <w:rPr>
                <w:sz w:val="4"/>
                <w:szCs w:val="4"/>
              </w:rPr>
            </w:r>
          </w:p>
        </w:tc>
        <w:tc>
          <w:tcPr>
            <w:tcW w:w="1789" w:type="dxa"/>
            <w:tcBorders/>
            <w:vAlign w:val="center"/>
          </w:tcPr>
          <w:p>
            <w:pPr>
              <w:pStyle w:val="TableContents"/>
              <w:bidi w:val="0"/>
              <w:spacing w:before="0" w:after="283"/>
              <w:jc w:val="left"/>
              <w:rPr>
                <w:sz w:val="4"/>
                <w:szCs w:val="4"/>
              </w:rPr>
            </w:pPr>
            <w:r>
              <w:rPr>
                <w:sz w:val="4"/>
                <w:szCs w:val="4"/>
              </w:rPr>
            </w:r>
          </w:p>
        </w:tc>
        <w:tc>
          <w:tcPr>
            <w:tcW w:w="17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7"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b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6"/>
            <w:tcBorders/>
          </w:tcPr>
          <w:p>
            <w:pPr>
              <w:pStyle w:val="TableContents"/>
              <w:bidi w:val="0"/>
              <w:spacing w:before="0" w:after="283"/>
              <w:jc w:val="left"/>
              <w:rPr>
                <w:sz w:val="4"/>
                <w:szCs w:val="4"/>
              </w:rPr>
            </w:pPr>
            <w:r>
              <w:rPr>
                <w:sz w:val="4"/>
                <w:szCs w:val="4"/>
              </w:rPr>
            </w:r>
          </w:p>
        </w:tc>
      </w:tr>
      <w:tr>
        <w:trPr/>
        <w:tc>
          <w:tcPr>
            <w:tcW w:w="5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val="false"/>
                <w:color w:val="000000"/>
                <w:sz w:val="20"/>
              </w:rPr>
            </w:pPr>
            <w:r>
              <w:rPr>
                <w:rFonts w:ascii="Times New Roman;serif" w:hAnsi="Times New Roman;serif"/>
                <w:b w:val="false"/>
                <w:color w:val="000000"/>
                <w:sz w:val="20"/>
              </w:rPr>
              <w:t>Change</w:t>
            </w:r>
          </w:p>
        </w:tc>
      </w:tr>
      <w:tr>
        <w:trPr/>
        <w:tc>
          <w:tcPr>
            <w:tcW w:w="5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NGL transportation volumes (MBbls/d)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1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2,428 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Refined products transportation volumes (MBbls/d)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587 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NGL and refined products terminal volumes (MBbls/d)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1,725 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272 </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NGL fractionation volumes (MBbls/d)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1,206 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117 </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6,673 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products sold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5,484 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margin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1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1,189 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(gains) losses on commodity risk management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314 </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 excluding non-cash compensation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 excluding non-cash compensation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 related to unconsolidated affiliates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3" w:type="dxa"/>
            <w:gridSpan w:val="3"/>
            <w:tcBorders/>
            <w:vAlign w:val="center"/>
          </w:tcPr>
          <w:p>
            <w:pPr>
              <w:pStyle w:val="TableContents"/>
              <w:bidi w:val="0"/>
              <w:spacing w:before="0" w:after="283"/>
              <w:jc w:val="left"/>
              <w:rPr>
                <w:sz w:val="4"/>
                <w:szCs w:val="4"/>
              </w:rPr>
            </w:pPr>
            <w:r>
              <w:rPr>
                <w:sz w:val="4"/>
                <w:szCs w:val="4"/>
              </w:rPr>
            </w:r>
          </w:p>
        </w:tc>
      </w:tr>
      <w:tr>
        <w:trPr/>
        <w:tc>
          <w:tcPr>
            <w:tcW w:w="5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Adjusted EBITDA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1,163 </w:t>
            </w:r>
          </w:p>
        </w:tc>
        <w:tc>
          <w:tcPr>
            <w:tcW w:w="1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185 </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pPr>
      <w:r>
        <w:rPr>
          <w:rFonts w:ascii="Times New Roman;serif" w:hAnsi="Times New Roman;serif"/>
          <w:b w:val="false"/>
          <w:i/>
          <w:color w:val="000000"/>
          <w:sz w:val="20"/>
        </w:rPr>
        <w:t>Volumes.</w:t>
      </w:r>
      <w:r>
        <w:rPr>
          <w:color w:val="000000"/>
        </w:rPr>
        <w:t xml:space="preserve"> </w:t>
      </w:r>
      <w:r>
        <w:rPr>
          <w:rFonts w:ascii="Times New Roman;serif" w:hAnsi="Times New Roman;serif"/>
          <w:b w:val="false"/>
          <w:color w:val="000000"/>
          <w:sz w:val="20"/>
        </w:rPr>
        <w:t>For the three months ended March 31, 2026 compared to the same period last year, NGL transportation, fractionation, and terminal throughput volumes increased due to higher volumes from the Permian region, as well as increased NGL exports.</w:t>
      </w:r>
    </w:p>
    <w:p>
      <w:pPr>
        <w:pStyle w:val="TextBody"/>
        <w:bidi w:val="0"/>
        <w:spacing w:lineRule="auto" w:line="288" w:before="180" w:after="283"/>
        <w:jc w:val="both"/>
        <w:rPr/>
      </w:pPr>
      <w:r>
        <w:rPr>
          <w:rFonts w:ascii="Times New Roman;serif" w:hAnsi="Times New Roman;serif"/>
          <w:b w:val="false"/>
          <w:i/>
          <w:color w:val="000000"/>
          <w:sz w:val="20"/>
        </w:rPr>
        <w:t>Segment Margin.</w:t>
      </w:r>
      <w:r>
        <w:rPr>
          <w:color w:val="000000"/>
        </w:rPr>
        <w:t xml:space="preserve"> </w:t>
      </w:r>
      <w:r>
        <w:rPr>
          <w:rFonts w:ascii="Times New Roman;serif" w:hAnsi="Times New Roman;serif"/>
          <w:b w:val="false"/>
          <w:color w:val="000000"/>
          <w:sz w:val="20"/>
        </w:rPr>
        <w:t>The components of our NGL and refined products transportation and services segment margin were as follows:</w:t>
      </w:r>
    </w:p>
    <w:tbl>
      <w:tblPr>
        <w:tblW w:w="10205" w:type="dxa"/>
        <w:jc w:val="left"/>
        <w:tblInd w:w="0" w:type="dxa"/>
        <w:tblLayout w:type="fixed"/>
        <w:tblCellMar>
          <w:top w:w="28" w:type="dxa"/>
          <w:left w:w="28" w:type="dxa"/>
          <w:bottom w:w="28" w:type="dxa"/>
          <w:right w:w="28" w:type="dxa"/>
        </w:tblCellMar>
      </w:tblPr>
      <w:tblGrid>
        <w:gridCol w:w="2014"/>
        <w:gridCol w:w="1773"/>
        <w:gridCol w:w="1777"/>
        <w:gridCol w:w="109"/>
        <w:gridCol w:w="109"/>
        <w:gridCol w:w="109"/>
        <w:gridCol w:w="109"/>
        <w:gridCol w:w="170"/>
        <w:gridCol w:w="170"/>
        <w:gridCol w:w="331"/>
        <w:gridCol w:w="967"/>
        <w:gridCol w:w="170"/>
        <w:gridCol w:w="109"/>
        <w:gridCol w:w="109"/>
        <w:gridCol w:w="109"/>
        <w:gridCol w:w="211"/>
        <w:gridCol w:w="616"/>
        <w:gridCol w:w="109"/>
        <w:gridCol w:w="109"/>
        <w:gridCol w:w="109"/>
        <w:gridCol w:w="109"/>
        <w:gridCol w:w="211"/>
        <w:gridCol w:w="435"/>
        <w:gridCol w:w="161"/>
      </w:tblGrid>
      <w:tr>
        <w:trPr/>
        <w:tc>
          <w:tcPr>
            <w:tcW w:w="2014" w:type="dxa"/>
            <w:tcBorders/>
            <w:vAlign w:val="center"/>
          </w:tcPr>
          <w:p>
            <w:pPr>
              <w:pStyle w:val="TableContents"/>
              <w:bidi w:val="0"/>
              <w:spacing w:before="0" w:after="283"/>
              <w:jc w:val="left"/>
              <w:rPr>
                <w:sz w:val="4"/>
                <w:szCs w:val="4"/>
              </w:rPr>
            </w:pPr>
            <w:r>
              <w:rPr>
                <w:sz w:val="4"/>
                <w:szCs w:val="4"/>
              </w:rPr>
            </w:r>
          </w:p>
        </w:tc>
        <w:tc>
          <w:tcPr>
            <w:tcW w:w="1773" w:type="dxa"/>
            <w:tcBorders/>
            <w:vAlign w:val="center"/>
          </w:tcPr>
          <w:p>
            <w:pPr>
              <w:pStyle w:val="TableContents"/>
              <w:bidi w:val="0"/>
              <w:spacing w:before="0" w:after="283"/>
              <w:jc w:val="left"/>
              <w:rPr>
                <w:sz w:val="4"/>
                <w:szCs w:val="4"/>
              </w:rPr>
            </w:pPr>
            <w:r>
              <w:rPr>
                <w:sz w:val="4"/>
                <w:szCs w:val="4"/>
              </w:rPr>
            </w:r>
          </w:p>
        </w:tc>
        <w:tc>
          <w:tcPr>
            <w:tcW w:w="17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8"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b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6"/>
            <w:tcBorders/>
          </w:tcPr>
          <w:p>
            <w:pPr>
              <w:pStyle w:val="TableContents"/>
              <w:bidi w:val="0"/>
              <w:spacing w:before="0" w:after="283"/>
              <w:jc w:val="left"/>
              <w:rPr>
                <w:sz w:val="4"/>
                <w:szCs w:val="4"/>
              </w:rPr>
            </w:pPr>
            <w:r>
              <w:rPr>
                <w:sz w:val="4"/>
                <w:szCs w:val="4"/>
              </w:rPr>
            </w:r>
          </w:p>
        </w:tc>
      </w:tr>
      <w:tr>
        <w:trPr/>
        <w:tc>
          <w:tcPr>
            <w:tcW w:w="5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4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val="false"/>
                <w:color w:val="000000"/>
                <w:sz w:val="20"/>
              </w:rPr>
            </w:pPr>
            <w:r>
              <w:rPr>
                <w:rFonts w:ascii="Times New Roman;serif" w:hAnsi="Times New Roman;serif"/>
                <w:b w:val="false"/>
                <w:color w:val="000000"/>
                <w:sz w:val="20"/>
              </w:rPr>
              <w:t>Change</w:t>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Transportation margin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621 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Fractionators and refinery services margin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2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16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Terminal services margin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2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6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Storage margin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2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6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Marketing margin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2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141 </w:t>
            </w:r>
          </w:p>
        </w:tc>
        <w:tc>
          <w:tcPr>
            <w:tcW w:w="16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gains (losses) on commodity risk management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2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w:t>
            </w:r>
          </w:p>
        </w:tc>
        <w:tc>
          <w:tcPr>
            <w:tcW w:w="16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segment margin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3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1,189 </w:t>
            </w:r>
          </w:p>
        </w:tc>
        <w:tc>
          <w:tcPr>
            <w:tcW w:w="1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pPr>
      <w:r>
        <w:rPr>
          <w:rFonts w:ascii="Times New Roman;serif" w:hAnsi="Times New Roman;serif"/>
          <w:b w:val="false"/>
          <w:i/>
          <w:color w:val="000000"/>
          <w:sz w:val="20"/>
        </w:rPr>
        <w:t xml:space="preserve">Segment Adjusted EBITDA. </w:t>
      </w:r>
      <w:r>
        <w:rPr>
          <w:rFonts w:ascii="Times New Roman;serif" w:hAnsi="Times New Roman;serif"/>
          <w:b w:val="false"/>
          <w:color w:val="000000"/>
          <w:sz w:val="20"/>
        </w:rPr>
        <w:t>For the three months ended March 31, 2026 compared to the same period last year, Segment Adjusted EBITDA related to our NGL and refined products transportation and services segment increased due to the net impact of the following:</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an increase of $141 million in marketing margin (excluding unrealized gains and losses on commodity risk management activities) primarily due to the realization of $65 million in hedge-related gains during the first quarter of 2026 which offset losses realized during the fourth quarter of 2025. We also realized an increase of $51 million from higher premiums from the sale of propane and butane for export and for domestic supply, and a $26 million increase due to a negative inventory valuation adjustment in the prior period; </w:t>
      </w:r>
    </w:p>
    <w:p>
      <w:pPr>
        <w:pStyle w:val="TextBody"/>
        <w:bidi w:val="0"/>
        <w:spacing w:lineRule="auto" w:line="288" w:before="120" w:after="283"/>
        <w:ind w:left="0" w:right="0" w:hanging="360"/>
        <w:jc w:val="both"/>
        <w:rPr/>
      </w:pPr>
      <w:r>
        <w:rPr>
          <w:color w:val="000000"/>
          <w:shd w:fill="FFFFFF" w:val="clear"/>
        </w:rPr>
        <w:t>•</w:t>
      </w:r>
      <w:r>
        <w:rPr>
          <w:rFonts w:ascii="Times New Roman;serif" w:hAnsi="Times New Roman;serif"/>
          <w:b w:val="false"/>
          <w:color w:val="000000"/>
          <w:sz w:val="20"/>
          <w:shd w:fill="FFFFFF" w:val="clear"/>
        </w:rPr>
        <w:t xml:space="preserve">an increase of </w:t>
      </w:r>
      <w:r>
        <w:rPr>
          <w:rFonts w:ascii="Times New Roman;serif" w:hAnsi="Times New Roman;serif"/>
          <w:b w:val="false"/>
          <w:color w:val="000000"/>
          <w:sz w:val="20"/>
        </w:rPr>
        <w:t>$60 million</w:t>
      </w:r>
      <w:r>
        <w:rPr>
          <w:color w:val="000000"/>
          <w:shd w:fill="FFFFFF" w:val="clear"/>
        </w:rPr>
        <w:t xml:space="preserve"> </w:t>
      </w:r>
      <w:r>
        <w:rPr>
          <w:rFonts w:ascii="Times New Roman;serif" w:hAnsi="Times New Roman;serif"/>
          <w:b w:val="false"/>
          <w:color w:val="000000"/>
          <w:sz w:val="20"/>
          <w:shd w:fill="FFFFFF" w:val="clear"/>
        </w:rPr>
        <w:t>in fractionators and refinery services margin primarily due to higher throughput;</w:t>
      </w:r>
    </w:p>
    <w:p>
      <w:pPr>
        <w:pStyle w:val="TextBody"/>
        <w:bidi w:val="0"/>
        <w:spacing w:lineRule="auto" w:line="288" w:before="120" w:after="283"/>
        <w:ind w:left="0" w:right="0" w:hanging="360"/>
        <w:jc w:val="both"/>
        <w:rPr/>
      </w:pPr>
      <w:r>
        <w:rPr>
          <w:color w:val="000000"/>
          <w:shd w:fill="FFFFFF" w:val="clear"/>
        </w:rPr>
        <w:t>•</w:t>
      </w:r>
      <w:r>
        <w:rPr>
          <w:rFonts w:ascii="Times New Roman;serif" w:hAnsi="Times New Roman;serif"/>
          <w:b w:val="false"/>
          <w:color w:val="000000"/>
          <w:sz w:val="20"/>
        </w:rPr>
        <w:t>an increase of $27 million in terminal services margin primarily due to a $17 million increase in fees from loading volumes for export at our Nederland and Marcus Hook terminals and a $9 million increase from higher throughput and storage at our refined product terminals; and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shd w:fill="FFFFFF" w:val="clear"/>
        </w:rPr>
        <w:t xml:space="preserve">an increase of </w:t>
      </w:r>
      <w:r>
        <w:rPr>
          <w:rFonts w:ascii="Times New Roman;serif" w:hAnsi="Times New Roman;serif"/>
          <w:b w:val="false"/>
          <w:color w:val="000000"/>
          <w:sz w:val="20"/>
        </w:rPr>
        <w:t xml:space="preserve">$8 million </w:t>
      </w:r>
      <w:r>
        <w:rPr>
          <w:rFonts w:ascii="Times New Roman;serif" w:hAnsi="Times New Roman;serif"/>
          <w:b w:val="false"/>
          <w:color w:val="000000"/>
          <w:sz w:val="20"/>
          <w:shd w:fill="FFFFFF" w:val="clear"/>
        </w:rPr>
        <w:t xml:space="preserve">in storage margin primarily due to an increase in fees generated from export volumes, as well as increases related to blending activity due to a more favorable pricing environment; </w:t>
      </w:r>
      <w:r>
        <w:rPr>
          <w:rFonts w:ascii="Times New Roman;serif" w:hAnsi="Times New Roman;serif"/>
          <w:b w:val="false"/>
          <w:color w:val="000000"/>
          <w:sz w:val="20"/>
        </w:rPr>
        <w:t xml:space="preserve">partially offset by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a decrease of $1 million in transportation margin due to a $39 million intercompany imbalance that is completely offset within our Midstream segment, partially offset by a $38 million increase related to higher throughput;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lineRule="auto" w:line="288" w:before="120" w:after="283"/>
        <w:ind w:left="0" w:right="0" w:hanging="360"/>
        <w:jc w:val="both"/>
        <w:rPr/>
      </w:pPr>
      <w:hyperlink w:anchor="i5e1c82de0c41484c87a001ffe0af493e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shd w:fill="FFFFFF" w:val="clear"/>
        </w:rPr>
        <w:t xml:space="preserve">an increase of </w:t>
      </w:r>
      <w:r>
        <w:rPr>
          <w:rFonts w:ascii="Times New Roman;serif" w:hAnsi="Times New Roman;serif"/>
          <w:b w:val="false"/>
          <w:color w:val="000000"/>
          <w:sz w:val="20"/>
        </w:rPr>
        <w:t>$51 million</w:t>
      </w:r>
      <w:r>
        <w:rPr>
          <w:color w:val="000000"/>
          <w:shd w:fill="FFFFFF" w:val="clear"/>
        </w:rPr>
        <w:t xml:space="preserve"> </w:t>
      </w:r>
      <w:r>
        <w:rPr>
          <w:rFonts w:ascii="Times New Roman;serif" w:hAnsi="Times New Roman;serif"/>
          <w:b w:val="false"/>
          <w:color w:val="000000"/>
          <w:sz w:val="20"/>
          <w:shd w:fill="FFFFFF" w:val="clear"/>
        </w:rPr>
        <w:t>in operating expenses primarily due to a $28 million increase in costs driven by higher volumes across our system, a $9 million in one-time investigation and remediation costs, a $5 million increase in employee costs, and increases totaling $7 million from various other operating expenses.</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 xml:space="preserve">Crude Oil Transportation and Services </w:t>
      </w:r>
    </w:p>
    <w:tbl>
      <w:tblPr>
        <w:tblW w:w="10205" w:type="dxa"/>
        <w:jc w:val="left"/>
        <w:tblInd w:w="0" w:type="dxa"/>
        <w:tblLayout w:type="fixed"/>
        <w:tblCellMar>
          <w:top w:w="28" w:type="dxa"/>
          <w:left w:w="28" w:type="dxa"/>
          <w:bottom w:w="28" w:type="dxa"/>
          <w:right w:w="28" w:type="dxa"/>
        </w:tblCellMar>
      </w:tblPr>
      <w:tblGrid>
        <w:gridCol w:w="2009"/>
        <w:gridCol w:w="1730"/>
        <w:gridCol w:w="1739"/>
        <w:gridCol w:w="109"/>
        <w:gridCol w:w="109"/>
        <w:gridCol w:w="109"/>
        <w:gridCol w:w="109"/>
        <w:gridCol w:w="151"/>
        <w:gridCol w:w="151"/>
        <w:gridCol w:w="294"/>
        <w:gridCol w:w="859"/>
        <w:gridCol w:w="151"/>
        <w:gridCol w:w="109"/>
        <w:gridCol w:w="109"/>
        <w:gridCol w:w="109"/>
        <w:gridCol w:w="211"/>
        <w:gridCol w:w="616"/>
        <w:gridCol w:w="109"/>
        <w:gridCol w:w="109"/>
        <w:gridCol w:w="109"/>
        <w:gridCol w:w="109"/>
        <w:gridCol w:w="211"/>
        <w:gridCol w:w="616"/>
        <w:gridCol w:w="109"/>
        <w:gridCol w:w="159"/>
      </w:tblGrid>
      <w:tr>
        <w:trPr/>
        <w:tc>
          <w:tcPr>
            <w:tcW w:w="2009" w:type="dxa"/>
            <w:tcBorders/>
            <w:vAlign w:val="center"/>
          </w:tcPr>
          <w:p>
            <w:pPr>
              <w:pStyle w:val="TableContents"/>
              <w:bidi w:val="0"/>
              <w:spacing w:before="0" w:after="283"/>
              <w:jc w:val="left"/>
              <w:rPr>
                <w:sz w:val="4"/>
                <w:szCs w:val="4"/>
              </w:rPr>
            </w:pPr>
            <w:r>
              <w:rPr>
                <w:sz w:val="4"/>
                <w:szCs w:val="4"/>
              </w:rPr>
            </w:r>
          </w:p>
        </w:tc>
        <w:tc>
          <w:tcPr>
            <w:tcW w:w="1730" w:type="dxa"/>
            <w:tcBorders/>
            <w:vAlign w:val="center"/>
          </w:tcPr>
          <w:p>
            <w:pPr>
              <w:pStyle w:val="TableContents"/>
              <w:bidi w:val="0"/>
              <w:spacing w:before="0" w:after="283"/>
              <w:jc w:val="left"/>
              <w:rPr>
                <w:sz w:val="4"/>
                <w:szCs w:val="4"/>
              </w:rPr>
            </w:pPr>
            <w:r>
              <w:rPr>
                <w:sz w:val="4"/>
                <w:szCs w:val="4"/>
              </w:rPr>
            </w:r>
          </w:p>
        </w:tc>
        <w:tc>
          <w:tcPr>
            <w:tcW w:w="17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4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6"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b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4"/>
            <w:tcBorders/>
          </w:tcPr>
          <w:p>
            <w:pPr>
              <w:pStyle w:val="TableContents"/>
              <w:bidi w:val="0"/>
              <w:spacing w:before="0" w:after="283"/>
              <w:jc w:val="left"/>
              <w:rPr>
                <w:sz w:val="4"/>
                <w:szCs w:val="4"/>
              </w:rPr>
            </w:pPr>
            <w:r>
              <w:rPr>
                <w:sz w:val="4"/>
                <w:szCs w:val="4"/>
              </w:rPr>
            </w:r>
          </w:p>
        </w:tc>
      </w:tr>
      <w:tr>
        <w:trPr/>
        <w:tc>
          <w:tcPr>
            <w:tcW w:w="54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Change</w:t>
            </w:r>
          </w:p>
        </w:tc>
        <w:tc>
          <w:tcPr>
            <w:tcW w:w="159" w:type="dxa"/>
            <w:tcBorders/>
            <w:vAlign w:val="center"/>
          </w:tcPr>
          <w:p>
            <w:pPr>
              <w:pStyle w:val="TableContents"/>
              <w:bidi w:val="0"/>
              <w:spacing w:before="0" w:after="283"/>
              <w:ind w:left="0" w:right="0" w:hanging="180"/>
              <w:jc w:val="left"/>
              <w:rPr>
                <w:sz w:val="4"/>
                <w:szCs w:val="4"/>
              </w:rPr>
            </w:pPr>
            <w:r>
              <w:rPr>
                <w:sz w:val="4"/>
                <w:szCs w:val="4"/>
              </w:rPr>
            </w:r>
          </w:p>
        </w:tc>
      </w:tr>
      <w:tr>
        <w:trPr/>
        <w:tc>
          <w:tcPr>
            <w:tcW w:w="54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Crude oil transportation volumes (MBbls/d)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1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7,289 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ind w:left="0" w:right="0" w:hanging="180"/>
              <w:jc w:val="left"/>
              <w:rPr>
                <w:sz w:val="4"/>
                <w:szCs w:val="4"/>
              </w:rPr>
            </w:pPr>
            <w:r>
              <w:rPr>
                <w:sz w:val="4"/>
                <w:szCs w:val="4"/>
              </w:rPr>
            </w:r>
          </w:p>
        </w:tc>
      </w:tr>
      <w:tr>
        <w:trPr/>
        <w:tc>
          <w:tcPr>
            <w:tcW w:w="54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Crude oil terminal volumes (MBbls/d)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3,329 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ind w:left="0" w:right="0" w:hanging="180"/>
              <w:jc w:val="left"/>
              <w:rPr>
                <w:sz w:val="4"/>
                <w:szCs w:val="4"/>
              </w:rPr>
            </w:pPr>
            <w:r>
              <w:rPr>
                <w:sz w:val="4"/>
                <w:szCs w:val="4"/>
              </w:rPr>
            </w:r>
          </w:p>
        </w:tc>
      </w:tr>
      <w:tr>
        <w:trPr/>
        <w:tc>
          <w:tcPr>
            <w:tcW w:w="54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9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7,758 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ind w:left="0" w:right="0" w:hanging="180"/>
              <w:jc w:val="left"/>
              <w:rPr>
                <w:sz w:val="4"/>
                <w:szCs w:val="4"/>
              </w:rPr>
            </w:pPr>
            <w:r>
              <w:rPr>
                <w:sz w:val="4"/>
                <w:szCs w:val="4"/>
              </w:rPr>
            </w:r>
          </w:p>
        </w:tc>
      </w:tr>
      <w:tr>
        <w:trPr/>
        <w:tc>
          <w:tcPr>
            <w:tcW w:w="54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products sold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6,792 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ind w:left="0" w:right="0" w:hanging="180"/>
              <w:jc w:val="left"/>
              <w:rPr>
                <w:sz w:val="4"/>
                <w:szCs w:val="4"/>
              </w:rPr>
            </w:pPr>
            <w:r>
              <w:rPr>
                <w:sz w:val="4"/>
                <w:szCs w:val="4"/>
              </w:rPr>
            </w:r>
          </w:p>
        </w:tc>
      </w:tr>
      <w:tr>
        <w:trPr/>
        <w:tc>
          <w:tcPr>
            <w:tcW w:w="54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margin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1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966 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ind w:left="0" w:right="0" w:hanging="180"/>
              <w:jc w:val="left"/>
              <w:rPr>
                <w:sz w:val="4"/>
                <w:szCs w:val="4"/>
              </w:rPr>
            </w:pPr>
            <w:r>
              <w:rPr>
                <w:sz w:val="4"/>
                <w:szCs w:val="4"/>
              </w:rPr>
            </w:r>
          </w:p>
        </w:tc>
      </w:tr>
      <w:tr>
        <w:trPr/>
        <w:tc>
          <w:tcPr>
            <w:tcW w:w="54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losses on commodity risk management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ind w:left="0" w:right="0" w:hanging="180"/>
              <w:jc w:val="left"/>
              <w:rPr>
                <w:sz w:val="4"/>
                <w:szCs w:val="4"/>
              </w:rPr>
            </w:pPr>
            <w:r>
              <w:rPr>
                <w:sz w:val="4"/>
                <w:szCs w:val="4"/>
              </w:rPr>
            </w:r>
          </w:p>
        </w:tc>
      </w:tr>
      <w:tr>
        <w:trPr/>
        <w:tc>
          <w:tcPr>
            <w:tcW w:w="54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 excluding non-cash compensation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ind w:left="0" w:right="0" w:hanging="180"/>
              <w:jc w:val="left"/>
              <w:rPr>
                <w:sz w:val="4"/>
                <w:szCs w:val="4"/>
              </w:rPr>
            </w:pPr>
            <w:r>
              <w:rPr>
                <w:sz w:val="4"/>
                <w:szCs w:val="4"/>
              </w:rPr>
            </w:r>
          </w:p>
        </w:tc>
      </w:tr>
      <w:tr>
        <w:trPr/>
        <w:tc>
          <w:tcPr>
            <w:tcW w:w="54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 excluding non-cash compensation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ind w:left="0" w:right="0" w:hanging="180"/>
              <w:jc w:val="left"/>
              <w:rPr>
                <w:sz w:val="4"/>
                <w:szCs w:val="4"/>
              </w:rPr>
            </w:pPr>
            <w:r>
              <w:rPr>
                <w:sz w:val="4"/>
                <w:szCs w:val="4"/>
              </w:rPr>
            </w:r>
          </w:p>
        </w:tc>
      </w:tr>
      <w:tr>
        <w:trPr/>
        <w:tc>
          <w:tcPr>
            <w:tcW w:w="54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 related to unconsolidated affiliates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47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ind w:left="0" w:right="0" w:hanging="180"/>
              <w:jc w:val="left"/>
              <w:rPr>
                <w:sz w:val="4"/>
                <w:szCs w:val="4"/>
              </w:rPr>
            </w:pPr>
            <w:r>
              <w:rPr>
                <w:sz w:val="4"/>
                <w:szCs w:val="4"/>
              </w:rPr>
            </w:r>
          </w:p>
        </w:tc>
      </w:tr>
      <w:tr>
        <w:trPr/>
        <w:tc>
          <w:tcPr>
            <w:tcW w:w="54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ind w:left="0" w:right="0" w:hanging="180"/>
              <w:jc w:val="left"/>
              <w:rPr>
                <w:sz w:val="4"/>
                <w:szCs w:val="4"/>
              </w:rPr>
            </w:pPr>
            <w:r>
              <w:rPr>
                <w:sz w:val="4"/>
                <w:szCs w:val="4"/>
              </w:rPr>
            </w:r>
          </w:p>
        </w:tc>
      </w:tr>
      <w:tr>
        <w:trPr/>
        <w:tc>
          <w:tcPr>
            <w:tcW w:w="54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Adjusted EBITDA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869 </w:t>
            </w:r>
          </w:p>
        </w:tc>
        <w:tc>
          <w:tcPr>
            <w:tcW w:w="1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68" w:before="0" w:after="0"/>
        <w:jc w:val="both"/>
        <w:rPr/>
      </w:pPr>
      <w:r>
        <w:rPr>
          <w:rFonts w:ascii="Times New Roman;serif" w:hAnsi="Times New Roman;serif"/>
          <w:b w:val="false"/>
          <w:i/>
          <w:color w:val="000000"/>
          <w:sz w:val="20"/>
        </w:rPr>
        <w:t>Volumes.</w:t>
      </w:r>
      <w:r>
        <w:rPr>
          <w:color w:val="000000"/>
        </w:rPr>
        <w:t xml:space="preserve"> </w:t>
      </w:r>
      <w:r>
        <w:rPr>
          <w:rFonts w:ascii="Times New Roman;serif" w:hAnsi="Times New Roman;serif"/>
          <w:b w:val="false"/>
          <w:color w:val="000000"/>
          <w:sz w:val="20"/>
        </w:rPr>
        <w:t>For the three months ended March 31, 2026 compared to the same period last year, crude oil transportation volumes were higher due to continued growth on our Texas pipeline system, our gathering systems, and from the ET-S Permian joint venture with Sunoco LP, partially offset by lower volumes on our Bakken Pipeline.</w:t>
      </w:r>
    </w:p>
    <w:p>
      <w:pPr>
        <w:pStyle w:val="TextBody"/>
        <w:bidi w:val="0"/>
        <w:spacing w:lineRule="auto" w:line="288" w:before="180" w:after="283"/>
        <w:jc w:val="both"/>
        <w:rPr/>
      </w:pPr>
      <w:r>
        <w:rPr>
          <w:rFonts w:ascii="Times New Roman;serif" w:hAnsi="Times New Roman;serif"/>
          <w:b w:val="false"/>
          <w:i/>
          <w:color w:val="000000"/>
          <w:sz w:val="20"/>
        </w:rPr>
        <w:t xml:space="preserve">Segment Adjusted EBITDA. </w:t>
      </w:r>
      <w:r>
        <w:rPr>
          <w:rFonts w:ascii="Times New Roman;serif" w:hAnsi="Times New Roman;serif"/>
          <w:b w:val="false"/>
          <w:color w:val="000000"/>
          <w:sz w:val="20"/>
        </w:rPr>
        <w:t>For the three months ended March 31, 2026 compared to the same period last year, Segment Adjusted EBITDA related to our crude oil transportation and services segment increased due to the net impact of the following:</w:t>
      </w:r>
    </w:p>
    <w:p>
      <w:pPr>
        <w:pStyle w:val="TextBody"/>
        <w:bidi w:val="0"/>
        <w:spacing w:lineRule="auto" w:line="240" w:before="120" w:after="283"/>
        <w:ind w:left="0" w:right="0" w:hanging="360"/>
        <w:jc w:val="both"/>
        <w:rPr/>
      </w:pPr>
      <w:r>
        <w:rPr>
          <w:color w:val="000000"/>
        </w:rPr>
        <w:t>•</w:t>
      </w:r>
      <w:r>
        <w:rPr>
          <w:rFonts w:ascii="Times New Roman;serif" w:hAnsi="Times New Roman;serif"/>
          <w:b w:val="false"/>
          <w:color w:val="000000"/>
          <w:sz w:val="20"/>
        </w:rPr>
        <w:t xml:space="preserve">an increase of $90 million in segment margin (excluding unrealized gains and losses on commodity risk management activities) primarily due to a $60 million increase related to favorable impacts to our crude inventory from rising crude prices which we anticipate will be fully offset with hedge losses in future periods, a $43 million increase in our Bakken Pipeline system due to a one-time deficiency payment recognition, a $24 million increase in our Permian gathering systems from higher volumes, and a $9 million increase in revenue from our Bakken gathering systems due to higher volumes, partially offset by a $30 million decrease from lower tariff revenues on our Bakken Pipeline system;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 decrease of $43 million in general and administrative expenses due to an adjustment to the accrual for a litigation related contingency; and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an increase of $3 million in Adjusted EBITDA related to unconsolidated affiliates due to higher volumes on our joint venture pipelines; partially offset by</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an increase of $10 million in operating expenses primarily due to an increase in volume-related expenses.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lineRule="auto" w:line="288" w:before="120" w:after="283"/>
        <w:ind w:left="0" w:right="0" w:hanging="360"/>
        <w:jc w:val="both"/>
        <w:rPr/>
      </w:pPr>
      <w:hyperlink w:anchor="i5e1c82de0c41484c87a001ffe0af493e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Investment in Sunoco LP</w:t>
      </w:r>
    </w:p>
    <w:tbl>
      <w:tblPr>
        <w:tblW w:w="10205" w:type="dxa"/>
        <w:jc w:val="left"/>
        <w:tblInd w:w="0" w:type="dxa"/>
        <w:tblLayout w:type="fixed"/>
        <w:tblCellMar>
          <w:top w:w="28" w:type="dxa"/>
          <w:left w:w="28" w:type="dxa"/>
          <w:bottom w:w="28" w:type="dxa"/>
          <w:right w:w="28" w:type="dxa"/>
        </w:tblCellMar>
      </w:tblPr>
      <w:tblGrid>
        <w:gridCol w:w="2100"/>
        <w:gridCol w:w="1718"/>
        <w:gridCol w:w="1730"/>
        <w:gridCol w:w="109"/>
        <w:gridCol w:w="109"/>
        <w:gridCol w:w="109"/>
        <w:gridCol w:w="109"/>
        <w:gridCol w:w="142"/>
        <w:gridCol w:w="142"/>
        <w:gridCol w:w="276"/>
        <w:gridCol w:w="944"/>
        <w:gridCol w:w="142"/>
        <w:gridCol w:w="109"/>
        <w:gridCol w:w="109"/>
        <w:gridCol w:w="109"/>
        <w:gridCol w:w="211"/>
        <w:gridCol w:w="616"/>
        <w:gridCol w:w="109"/>
        <w:gridCol w:w="109"/>
        <w:gridCol w:w="109"/>
        <w:gridCol w:w="109"/>
        <w:gridCol w:w="211"/>
        <w:gridCol w:w="616"/>
        <w:gridCol w:w="158"/>
      </w:tblGrid>
      <w:tr>
        <w:trPr/>
        <w:tc>
          <w:tcPr>
            <w:tcW w:w="2100" w:type="dxa"/>
            <w:tcBorders/>
            <w:vAlign w:val="center"/>
          </w:tcPr>
          <w:p>
            <w:pPr>
              <w:pStyle w:val="TableContents"/>
              <w:bidi w:val="0"/>
              <w:spacing w:before="0" w:after="283"/>
              <w:jc w:val="left"/>
              <w:rPr>
                <w:sz w:val="4"/>
                <w:szCs w:val="4"/>
              </w:rPr>
            </w:pPr>
            <w:r>
              <w:rPr>
                <w:sz w:val="4"/>
                <w:szCs w:val="4"/>
              </w:rPr>
            </w:r>
          </w:p>
        </w:tc>
        <w:tc>
          <w:tcPr>
            <w:tcW w:w="1718" w:type="dxa"/>
            <w:tcBorders/>
            <w:vAlign w:val="center"/>
          </w:tcPr>
          <w:p>
            <w:pPr>
              <w:pStyle w:val="TableContents"/>
              <w:bidi w:val="0"/>
              <w:spacing w:before="0" w:after="283"/>
              <w:jc w:val="left"/>
              <w:rPr>
                <w:sz w:val="4"/>
                <w:szCs w:val="4"/>
              </w:rPr>
            </w:pPr>
            <w:r>
              <w:rPr>
                <w:sz w:val="4"/>
                <w:szCs w:val="4"/>
              </w:rPr>
            </w:r>
          </w:p>
        </w:tc>
        <w:tc>
          <w:tcPr>
            <w:tcW w:w="17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6" w:type="dxa"/>
            <w:gridSpan w:val="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br/>
              <w:t>March 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6"/>
            <w:tcBorders/>
          </w:tcPr>
          <w:p>
            <w:pPr>
              <w:pStyle w:val="TableContents"/>
              <w:bidi w:val="0"/>
              <w:spacing w:before="0" w:after="283"/>
              <w:jc w:val="left"/>
              <w:rPr>
                <w:sz w:val="4"/>
                <w:szCs w:val="4"/>
              </w:rPr>
            </w:pPr>
            <w:r>
              <w:rPr>
                <w:sz w:val="4"/>
                <w:szCs w:val="4"/>
              </w:rPr>
            </w:r>
          </w:p>
        </w:tc>
      </w:tr>
      <w:tr>
        <w:trPr/>
        <w:tc>
          <w:tcPr>
            <w:tcW w:w="5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3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Change</w:t>
            </w:r>
          </w:p>
        </w:tc>
      </w:tr>
      <w:tr>
        <w:trPr/>
        <w:tc>
          <w:tcPr>
            <w:tcW w:w="55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10,690 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5,511 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products sold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2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9,001 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4,475 </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5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margin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2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1,689 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1,036 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5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(gains) losses on commodity risk management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2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5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 excluding non-cash compensation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2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5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 excluding non-cash compensation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2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5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 related to unconsolidated affiliates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2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 valuation adjustments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2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2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5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Adjusted EBITDA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2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858 </w:t>
            </w:r>
          </w:p>
        </w:tc>
        <w:tc>
          <w:tcPr>
            <w:tcW w:w="1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400 </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55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3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55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3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investment in Sunoco LP segment reflects the consolidated results of Sunoco LP.</w:t>
      </w:r>
    </w:p>
    <w:p>
      <w:pPr>
        <w:pStyle w:val="TextBody"/>
        <w:bidi w:val="0"/>
        <w:spacing w:lineRule="auto" w:line="288" w:before="180" w:after="283"/>
        <w:jc w:val="both"/>
        <w:rPr/>
      </w:pPr>
      <w:r>
        <w:rPr>
          <w:rFonts w:ascii="Times New Roman;serif" w:hAnsi="Times New Roman;serif"/>
          <w:b w:val="false"/>
          <w:i/>
          <w:color w:val="000000"/>
          <w:sz w:val="20"/>
        </w:rPr>
        <w:t>Segment Adjusted EBITDA.</w:t>
      </w:r>
      <w:r>
        <w:rPr>
          <w:color w:val="000000"/>
        </w:rPr>
        <w:t xml:space="preserve"> </w:t>
      </w:r>
      <w:r>
        <w:rPr>
          <w:rFonts w:ascii="Times New Roman;serif" w:hAnsi="Times New Roman;serif"/>
          <w:b w:val="false"/>
          <w:color w:val="000000"/>
          <w:sz w:val="20"/>
        </w:rPr>
        <w:t>For the three months ended March 31, 2026 compared to the same period last year, Segment Adjusted EBITDA related to our investment in Sunoco LP segment increased due to the net impact of the following:</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an increase of $710 million in segment margin (excluding unrealized gains and losses on commodity risk management activities and inventory valuation adjustments) primarily due to the Parkland, TanQuid and other acquisitions, as well as a $102 million favorable impact from a one-time gain on sale of inventory in the current period; and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an increase of $19 million in Adjusted EBITDA related to unconsolidated affiliates primarily due to the Parkland acquisition and ET-S Permian joint venture; partially offset by</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an increase of $223 million in operating expenses primarily due to increased costs resulting from the Parkland and TanQuid acquisitions; and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an increase of $115 million in selling, general and administrative expenses primarily due to increased costs resulting from Parkland and TanQuid operations, along with one-time transaction-related expenses associated with the Parkland acquisition.</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Investment in USAC</w:t>
      </w:r>
    </w:p>
    <w:tbl>
      <w:tblPr>
        <w:tblW w:w="10205" w:type="dxa"/>
        <w:jc w:val="left"/>
        <w:tblInd w:w="0" w:type="dxa"/>
        <w:tblLayout w:type="fixed"/>
        <w:tblCellMar>
          <w:top w:w="28" w:type="dxa"/>
          <w:left w:w="28" w:type="dxa"/>
          <w:bottom w:w="28" w:type="dxa"/>
          <w:right w:w="28" w:type="dxa"/>
        </w:tblCellMar>
      </w:tblPr>
      <w:tblGrid>
        <w:gridCol w:w="2193"/>
        <w:gridCol w:w="1855"/>
        <w:gridCol w:w="1868"/>
        <w:gridCol w:w="109"/>
        <w:gridCol w:w="109"/>
        <w:gridCol w:w="109"/>
        <w:gridCol w:w="109"/>
        <w:gridCol w:w="177"/>
        <w:gridCol w:w="177"/>
        <w:gridCol w:w="342"/>
        <w:gridCol w:w="757"/>
        <w:gridCol w:w="177"/>
        <w:gridCol w:w="109"/>
        <w:gridCol w:w="109"/>
        <w:gridCol w:w="109"/>
        <w:gridCol w:w="211"/>
        <w:gridCol w:w="466"/>
        <w:gridCol w:w="109"/>
        <w:gridCol w:w="109"/>
        <w:gridCol w:w="109"/>
        <w:gridCol w:w="109"/>
        <w:gridCol w:w="226"/>
        <w:gridCol w:w="388"/>
        <w:gridCol w:w="169"/>
      </w:tblGrid>
      <w:tr>
        <w:trPr/>
        <w:tc>
          <w:tcPr>
            <w:tcW w:w="2193" w:type="dxa"/>
            <w:tcBorders/>
            <w:vAlign w:val="center"/>
          </w:tcPr>
          <w:p>
            <w:pPr>
              <w:pStyle w:val="TableContents"/>
              <w:bidi w:val="0"/>
              <w:spacing w:before="0" w:after="283"/>
              <w:jc w:val="left"/>
              <w:rPr>
                <w:sz w:val="4"/>
                <w:szCs w:val="4"/>
              </w:rPr>
            </w:pPr>
            <w:r>
              <w:rPr>
                <w:sz w:val="4"/>
                <w:szCs w:val="4"/>
              </w:rPr>
            </w:r>
          </w:p>
        </w:tc>
        <w:tc>
          <w:tcPr>
            <w:tcW w:w="1855" w:type="dxa"/>
            <w:tcBorders/>
            <w:vAlign w:val="center"/>
          </w:tcPr>
          <w:p>
            <w:pPr>
              <w:pStyle w:val="TableContents"/>
              <w:bidi w:val="0"/>
              <w:spacing w:before="0" w:after="283"/>
              <w:jc w:val="left"/>
              <w:rPr>
                <w:sz w:val="4"/>
                <w:szCs w:val="4"/>
              </w:rPr>
            </w:pPr>
            <w:r>
              <w:rPr>
                <w:sz w:val="4"/>
                <w:szCs w:val="4"/>
              </w:rPr>
            </w:r>
          </w:p>
        </w:tc>
        <w:tc>
          <w:tcPr>
            <w:tcW w:w="18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5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0"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b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6"/>
            <w:tcBorders/>
          </w:tcPr>
          <w:p>
            <w:pPr>
              <w:pStyle w:val="TableContents"/>
              <w:bidi w:val="0"/>
              <w:spacing w:before="0" w:after="283"/>
              <w:jc w:val="left"/>
              <w:rPr>
                <w:sz w:val="4"/>
                <w:szCs w:val="4"/>
              </w:rPr>
            </w:pPr>
            <w:r>
              <w:rPr>
                <w:sz w:val="4"/>
                <w:szCs w:val="4"/>
              </w:rPr>
            </w:r>
          </w:p>
        </w:tc>
      </w:tr>
      <w:tr>
        <w:trPr/>
        <w:tc>
          <w:tcPr>
            <w:tcW w:w="5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2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Change</w:t>
            </w:r>
          </w:p>
        </w:tc>
      </w:tr>
      <w:tr>
        <w:trPr/>
        <w:tc>
          <w:tcPr>
            <w:tcW w:w="591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3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Cost of products sold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Segment margin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3" w:type="dxa"/>
            <w:gridSpan w:val="3"/>
            <w:tcBorders/>
            <w:vAlign w:val="center"/>
          </w:tcPr>
          <w:p>
            <w:pPr>
              <w:pStyle w:val="TableContents"/>
              <w:bidi w:val="0"/>
              <w:spacing w:before="0" w:after="283"/>
              <w:jc w:val="left"/>
              <w:rPr>
                <w:sz w:val="4"/>
                <w:szCs w:val="4"/>
              </w:rPr>
            </w:pPr>
            <w:r>
              <w:rPr>
                <w:sz w:val="4"/>
                <w:szCs w:val="4"/>
              </w:rPr>
            </w:r>
          </w:p>
        </w:tc>
      </w:tr>
      <w:tr>
        <w:trPr/>
        <w:tc>
          <w:tcPr>
            <w:tcW w:w="591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Operating expenses, excluding non-cash compensation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 excluding non-cash compensation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3" w:type="dxa"/>
            <w:gridSpan w:val="3"/>
            <w:tcBorders/>
            <w:vAlign w:val="center"/>
          </w:tcPr>
          <w:p>
            <w:pPr>
              <w:pStyle w:val="TableContents"/>
              <w:bidi w:val="0"/>
              <w:spacing w:before="0" w:after="283"/>
              <w:jc w:val="left"/>
              <w:rPr>
                <w:sz w:val="4"/>
                <w:szCs w:val="4"/>
              </w:rPr>
            </w:pPr>
            <w:r>
              <w:rPr>
                <w:sz w:val="4"/>
                <w:szCs w:val="4"/>
              </w:rPr>
            </w:r>
          </w:p>
        </w:tc>
      </w:tr>
      <w:tr>
        <w:trPr/>
        <w:tc>
          <w:tcPr>
            <w:tcW w:w="59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3" w:type="dxa"/>
            <w:gridSpan w:val="3"/>
            <w:tcBorders/>
            <w:vAlign w:val="center"/>
          </w:tcPr>
          <w:p>
            <w:pPr>
              <w:pStyle w:val="TableContents"/>
              <w:bidi w:val="0"/>
              <w:spacing w:before="0" w:after="283"/>
              <w:jc w:val="left"/>
              <w:rPr>
                <w:sz w:val="4"/>
                <w:szCs w:val="4"/>
              </w:rPr>
            </w:pPr>
            <w:r>
              <w:rPr>
                <w:sz w:val="4"/>
                <w:szCs w:val="4"/>
              </w:rPr>
            </w:r>
          </w:p>
        </w:tc>
      </w:tr>
      <w:tr>
        <w:trPr/>
        <w:tc>
          <w:tcPr>
            <w:tcW w:w="5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Segment Adjusted EBITDA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3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188 </w:t>
            </w:r>
          </w:p>
        </w:tc>
        <w:tc>
          <w:tcPr>
            <w:tcW w:w="1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59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3" w:type="dxa"/>
            <w:gridSpan w:val="3"/>
            <w:tcBorders/>
            <w:vAlign w:val="center"/>
          </w:tcPr>
          <w:p>
            <w:pPr>
              <w:pStyle w:val="TableContents"/>
              <w:bidi w:val="0"/>
              <w:spacing w:before="0" w:after="283"/>
              <w:jc w:val="left"/>
              <w:rPr>
                <w:sz w:val="4"/>
                <w:szCs w:val="4"/>
              </w:rPr>
            </w:pPr>
            <w:r>
              <w:rPr>
                <w:sz w:val="4"/>
                <w:szCs w:val="4"/>
              </w:rPr>
            </w:r>
          </w:p>
        </w:tc>
      </w:tr>
      <w:tr>
        <w:trPr/>
        <w:tc>
          <w:tcPr>
            <w:tcW w:w="59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investment in USAC segment reflects the consolidated results of USAC. </w:t>
      </w:r>
    </w:p>
    <w:p>
      <w:pPr>
        <w:pStyle w:val="TextBody"/>
        <w:bidi w:val="0"/>
        <w:spacing w:lineRule="auto" w:line="288" w:before="180" w:after="283"/>
        <w:jc w:val="both"/>
        <w:rPr/>
      </w:pPr>
      <w:r>
        <w:rPr>
          <w:rFonts w:ascii="Times New Roman;serif" w:hAnsi="Times New Roman;serif"/>
          <w:b w:val="false"/>
          <w:i/>
          <w:color w:val="000000"/>
          <w:sz w:val="20"/>
        </w:rPr>
        <w:t>Segment Adjusted EBITDA.</w:t>
      </w:r>
      <w:r>
        <w:rPr>
          <w:color w:val="000000"/>
        </w:rPr>
        <w:t xml:space="preserve"> </w:t>
      </w:r>
      <w:r>
        <w:rPr>
          <w:rFonts w:ascii="Times New Roman;serif" w:hAnsi="Times New Roman;serif"/>
          <w:b w:val="false"/>
          <w:color w:val="000000"/>
          <w:sz w:val="20"/>
        </w:rPr>
        <w:t>For the three months ended March 31, 2026 compared to the same period last year, Segment Adjusted EBITDA related to our investment in USAC segment increased due to the net impact of the following:</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an increase of $95 million in segment margin primarily due to a $74 million increase from the J-W Power Acquisition and a $21 million increase from USAC’s legacy business; partially offset by</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an increase of $65 million in operating expense and selling, general, and administrative expense primarily related to the J-W Power Acquisition, as well as increased expenses in outside services and professional fees.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lineRule="auto" w:line="288" w:before="120" w:after="283"/>
        <w:ind w:left="0" w:right="0" w:hanging="360"/>
        <w:jc w:val="both"/>
        <w:rPr/>
      </w:pPr>
      <w:hyperlink w:anchor="i5e1c82de0c41484c87a001ffe0af493e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All Other</w:t>
      </w:r>
    </w:p>
    <w:tbl>
      <w:tblPr>
        <w:tblW w:w="10205" w:type="dxa"/>
        <w:jc w:val="left"/>
        <w:tblInd w:w="0" w:type="dxa"/>
        <w:tblLayout w:type="fixed"/>
        <w:tblCellMar>
          <w:top w:w="28" w:type="dxa"/>
          <w:left w:w="28" w:type="dxa"/>
          <w:bottom w:w="28" w:type="dxa"/>
          <w:right w:w="28" w:type="dxa"/>
        </w:tblCellMar>
      </w:tblPr>
      <w:tblGrid>
        <w:gridCol w:w="2196"/>
        <w:gridCol w:w="1847"/>
        <w:gridCol w:w="1859"/>
        <w:gridCol w:w="109"/>
        <w:gridCol w:w="109"/>
        <w:gridCol w:w="109"/>
        <w:gridCol w:w="109"/>
        <w:gridCol w:w="156"/>
        <w:gridCol w:w="156"/>
        <w:gridCol w:w="303"/>
        <w:gridCol w:w="886"/>
        <w:gridCol w:w="156"/>
        <w:gridCol w:w="109"/>
        <w:gridCol w:w="109"/>
        <w:gridCol w:w="109"/>
        <w:gridCol w:w="211"/>
        <w:gridCol w:w="466"/>
        <w:gridCol w:w="109"/>
        <w:gridCol w:w="109"/>
        <w:gridCol w:w="109"/>
        <w:gridCol w:w="109"/>
        <w:gridCol w:w="222"/>
        <w:gridCol w:w="381"/>
        <w:gridCol w:w="167"/>
      </w:tblGrid>
      <w:tr>
        <w:trPr/>
        <w:tc>
          <w:tcPr>
            <w:tcW w:w="2196" w:type="dxa"/>
            <w:tcBorders/>
            <w:vAlign w:val="center"/>
          </w:tcPr>
          <w:p>
            <w:pPr>
              <w:pStyle w:val="TableContents"/>
              <w:bidi w:val="0"/>
              <w:spacing w:before="0" w:after="283"/>
              <w:jc w:val="left"/>
              <w:rPr>
                <w:sz w:val="4"/>
                <w:szCs w:val="4"/>
              </w:rPr>
            </w:pPr>
            <w:r>
              <w:rPr>
                <w:sz w:val="4"/>
                <w:szCs w:val="4"/>
              </w:rPr>
            </w:r>
          </w:p>
        </w:tc>
        <w:tc>
          <w:tcPr>
            <w:tcW w:w="1847" w:type="dxa"/>
            <w:tcBorders/>
            <w:vAlign w:val="center"/>
          </w:tcPr>
          <w:p>
            <w:pPr>
              <w:pStyle w:val="TableContents"/>
              <w:bidi w:val="0"/>
              <w:spacing w:before="0" w:after="283"/>
              <w:jc w:val="left"/>
              <w:rPr>
                <w:sz w:val="4"/>
                <w:szCs w:val="4"/>
              </w:rPr>
            </w:pPr>
            <w:r>
              <w:rPr>
                <w:sz w:val="4"/>
                <w:szCs w:val="4"/>
              </w:rPr>
            </w:r>
          </w:p>
        </w:tc>
        <w:tc>
          <w:tcPr>
            <w:tcW w:w="18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59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7"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b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6"/>
            <w:tcBorders/>
          </w:tcPr>
          <w:p>
            <w:pPr>
              <w:pStyle w:val="TableContents"/>
              <w:bidi w:val="0"/>
              <w:spacing w:before="0" w:after="283"/>
              <w:jc w:val="left"/>
              <w:rPr>
                <w:sz w:val="4"/>
                <w:szCs w:val="4"/>
              </w:rPr>
            </w:pPr>
            <w:r>
              <w:rPr>
                <w:sz w:val="4"/>
                <w:szCs w:val="4"/>
              </w:rPr>
            </w:r>
          </w:p>
        </w:tc>
      </w:tr>
      <w:tr>
        <w:trPr/>
        <w:tc>
          <w:tcPr>
            <w:tcW w:w="59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3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val="false"/>
                <w:color w:val="000000"/>
                <w:sz w:val="20"/>
              </w:rPr>
            </w:pPr>
            <w:r>
              <w:rPr>
                <w:rFonts w:ascii="Times New Roman;serif" w:hAnsi="Times New Roman;serif"/>
                <w:b w:val="false"/>
                <w:color w:val="000000"/>
                <w:sz w:val="20"/>
              </w:rPr>
              <w:t>Change</w:t>
            </w:r>
          </w:p>
        </w:tc>
      </w:tr>
      <w:tr>
        <w:trPr/>
        <w:tc>
          <w:tcPr>
            <w:tcW w:w="59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1,054 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9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products sold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6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9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margin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1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9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losses on commodity risk management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16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9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 excluding non-cash compensation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6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9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 excluding non-cash compensation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Adjusted EBITDA related to unconsolidated affiliates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6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9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and eliminations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Adjusted EBITDA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Amounts reflected in our all other segment primarily include:</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our natural gas marketing operations;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our wholly owned natural gas compression operations; and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our natural resources business.</w:t>
      </w:r>
    </w:p>
    <w:p>
      <w:pPr>
        <w:pStyle w:val="TextBody"/>
        <w:bidi w:val="0"/>
        <w:spacing w:lineRule="auto" w:line="288" w:before="180" w:after="283"/>
        <w:jc w:val="both"/>
        <w:rPr/>
      </w:pPr>
      <w:r>
        <w:rPr>
          <w:rFonts w:ascii="Times New Roman;serif" w:hAnsi="Times New Roman;serif"/>
          <w:b w:val="false"/>
          <w:i/>
          <w:color w:val="000000"/>
          <w:sz w:val="20"/>
        </w:rPr>
        <w:t>Segment Adjusted EBITDA.</w:t>
      </w:r>
      <w:r>
        <w:rPr>
          <w:color w:val="000000"/>
        </w:rPr>
        <w:t xml:space="preserve"> </w:t>
      </w:r>
      <w:r>
        <w:rPr>
          <w:rFonts w:ascii="Times New Roman;serif" w:hAnsi="Times New Roman;serif"/>
          <w:b w:val="false"/>
          <w:color w:val="000000"/>
          <w:sz w:val="20"/>
        </w:rPr>
        <w:t>For the three months ended March 31, 2026 compared to the same period last year, Segment Adjusted EBITDA related to our all other segment increased due to the net impact of the following:</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an increase of $36 million in our natural gas marketing business due to increased margins from wider basis differentials; and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an increase of $5 million in our power-related businesses due to commodity gains related to next-day power trading activities; partially offset by</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 decrease of $5 million from our captive insurance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180" w:after="283"/>
        <w:jc w:val="both"/>
        <w:rPr>
          <w:rFonts w:ascii="Times New Roman;serif" w:hAnsi="Times New Roman;serif"/>
          <w:b/>
          <w:color w:val="000000"/>
          <w:sz w:val="20"/>
          <w:u w:val="single"/>
        </w:rPr>
      </w:pPr>
      <w:r>
        <w:rPr>
          <w:rFonts w:ascii="Times New Roman;serif" w:hAnsi="Times New Roman;serif"/>
          <w:b/>
          <w:color w:val="000000"/>
          <w:sz w:val="20"/>
          <w:u w:val="single"/>
        </w:rPr>
        <w:t>Overview</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Our ability to satisfy obligations and pay distributions to unitholders will depend on our future performance, which will be subject to prevailing economic, financial, business and weather conditions, and other factors, many of which are beyond management’s control. We believe that we have sufficient liquidity and sources of funding to meet our cash requirements over the near term and for the longer term.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We currently expect capital expenditures in 2026 to be approximately as follows (including capitalized interest and overhead and only our proportionate share for joint ventures, but excluding capital expenditures related to our investments in Sunoco LP and USAC):</w:t>
      </w:r>
    </w:p>
    <w:tbl>
      <w:tblPr>
        <w:tblW w:w="6918" w:type="dxa"/>
        <w:jc w:val="left"/>
        <w:tblInd w:w="0" w:type="dxa"/>
        <w:tblLayout w:type="fixed"/>
        <w:tblCellMar>
          <w:top w:w="28" w:type="dxa"/>
          <w:left w:w="28" w:type="dxa"/>
          <w:bottom w:w="28" w:type="dxa"/>
          <w:right w:w="28" w:type="dxa"/>
        </w:tblCellMar>
      </w:tblPr>
      <w:tblGrid>
        <w:gridCol w:w="1609"/>
        <w:gridCol w:w="1411"/>
        <w:gridCol w:w="1419"/>
        <w:gridCol w:w="211"/>
        <w:gridCol w:w="616"/>
        <w:gridCol w:w="109"/>
        <w:gridCol w:w="109"/>
        <w:gridCol w:w="109"/>
        <w:gridCol w:w="109"/>
        <w:gridCol w:w="261"/>
        <w:gridCol w:w="763"/>
        <w:gridCol w:w="192"/>
      </w:tblGrid>
      <w:tr>
        <w:trPr/>
        <w:tc>
          <w:tcPr>
            <w:tcW w:w="1609"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c>
          <w:tcPr>
            <w:tcW w:w="141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4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Growth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Maintenance</w:t>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Intrastate transportation and storage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Interstate transportation and storage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Midstream</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NGL and refined products transportation and services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Crude oil transportation and services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 other (including eliminations)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Total capital expenditures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1,150 </w:t>
            </w:r>
          </w:p>
        </w:tc>
        <w:tc>
          <w:tcPr>
            <w:tcW w:w="1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assets used in our natural gas and liquids operations, including pipelines, gathering systems and related facilities, are generally long-lived assets and do not require significant maintenance capital expenditures. Accordingly, we do not have any significant financial commitments for maintenance capital expenditures in our businesses. From time to time we experience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lineRule="auto" w:line="288" w:before="120" w:after="283"/>
        <w:ind w:left="0" w:right="0" w:hanging="360"/>
        <w:jc w:val="both"/>
        <w:rPr/>
      </w:pPr>
      <w:hyperlink w:anchor="i5e1c82de0c41484c87a001ffe0af493e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increases in pipe costs due to a number of reasons, including but not limited to, delays from steel mills, limited selection of mills capable of producing large diameter pipe timely, higher steel prices, including as a result of the recent governmental action on tariffs, and other factors beyond our control. However, we have included these factors in our anticipated growth capital expenditures for each year.</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generally fund capital expenditures and distributions with cash flows from operating activities.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Sunoco LP currently expects to spend between $400 million and $450 million in maintenance capital expenditures and at least $600 million in growth capital for the full year 2026.</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USAC currently plans to invest between $60 million and $70 million in maintenance capital expenditures and between $230 million and $250 million in expansion capital expenditures for the full year 2026.</w:t>
      </w:r>
    </w:p>
    <w:p>
      <w:pPr>
        <w:pStyle w:val="TextBody"/>
        <w:bidi w:val="0"/>
        <w:spacing w:lineRule="auto" w:line="288" w:before="120" w:after="283"/>
        <w:jc w:val="both"/>
        <w:rPr>
          <w:rFonts w:ascii="Times New Roman;serif" w:hAnsi="Times New Roman;serif"/>
          <w:b/>
          <w:color w:val="000000"/>
          <w:sz w:val="20"/>
          <w:u w:val="single"/>
        </w:rPr>
      </w:pPr>
      <w:r>
        <w:rPr>
          <w:rFonts w:ascii="Times New Roman;serif" w:hAnsi="Times New Roman;serif"/>
          <w:b/>
          <w:color w:val="000000"/>
          <w:sz w:val="20"/>
          <w:u w:val="single"/>
        </w:rPr>
        <w:t>Cash Flows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Our cash flows may change in the future due to a number of factors, some of which we cannot control. These include regulatory changes, the price for our products and services, the demand for such products and services, margin requirements resulting from significant changes in commodity prices, operational risks, the successful integration of our acquisitions and other factors.</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Operating Activities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Changes in cash flows from operating activities between periods primarily result from changes in earnings (as discussed in “Results of Operations”), excluding the impacts of non-cash items and changes in operating assets and liabilities. Non-cash items include recurring non-cash expenses, such as depreciation, depletion and amortization expense and non-cash compensation expense. The increase in depreciation, depletion and amortization expense during the periods presented primarily resulted from construction and acquisition of assets, while changes in non-cash compensation expense resulted from changes in the number of units granted and changes in the grant date fair value estimated for such grants. Cash flows from operating activities also differ from earnings as a result of non-cash charges that may not be recurring, such as impairment charges and allowance for equity funds used during construction. The allowance for equity funds used during construction increases in periods when we have a significant amount of interstate pipeline construction in progress. Changes in operating assets and liabilities between periods result from factors such as the changes in the value of price risk management assets and liabilities, the timing of accounts receivable collection, the timing of payments on accounts payable, the timing of purchase and sales of inventories and the timing of advances and deposits received from customers.</w:t>
      </w:r>
    </w:p>
    <w:p>
      <w:pPr>
        <w:pStyle w:val="TextBody"/>
        <w:bidi w:val="0"/>
        <w:spacing w:lineRule="auto" w:line="288" w:before="120" w:after="283"/>
        <w:jc w:val="both"/>
        <w:rPr/>
      </w:pPr>
      <w:r>
        <w:rPr>
          <w:rFonts w:ascii="Times New Roman;serif" w:hAnsi="Times New Roman;serif"/>
          <w:b/>
          <w:i/>
          <w:color w:val="000000"/>
          <w:sz w:val="20"/>
        </w:rPr>
        <w:t>Three months ended March 31, 2026 compared to three months ended March 31, 2025</w:t>
      </w:r>
      <w:r>
        <w:rPr>
          <w:rFonts w:ascii="Times New Roman;serif" w:hAnsi="Times New Roman;serif"/>
          <w:b w:val="false"/>
          <w:color w:val="000000"/>
          <w:sz w:val="20"/>
        </w:rPr>
        <w:t>. Cash provided by operating activities during 2026 was $3.38 billion compared to $2.92 billion for 2025, and net income was $1.98 billion for 2026 and $1.72 billion for 2025. The difference between net income and net cash provided by operating activities for the three months ended March 31, 2026 primarily consisted of net changes in operating assets and liabilities (net of effects of acquisitions) of $216 million and other items totaling $1.16 billion, which includes non-cash items and items related to investing and financing activities that are included in net income.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non-cash activity in 2026 and 2025 consisted primarily of depreciation, depletion and amortization of $1.58 billion and $1.37 billion, respectively, deferred income tax expense of $93 million and deferred income tax benefit of $16 million, respectively, favorable inventory valuation adjustments of $444 million and $61 million, respectively, and non-cash compensation expense of $42 million and $37 million, respectively. For 2026 and 2025, net income also included equity in earnings of unconsolidated affiliates of $110 million and $92 million, respectively, and losses on extinguishments of debt of $7 million and $2 million, respectively, as well as an impairment loss of $4 million in 2025.</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Cash provided by operating activities includes cash distributions received from unconsolidated affiliates that are deemed to be paid from cumulative earnings, which distributions were $39 million in 2026 and $77 million in 2025.</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Cash paid for interest, net of interest capitalized, was $667 million and $519 million for the three months ended March 31, 2026 and 2025, respectively. Interest capitalized was $52 million and $47 million for the three months ended March 31, 2026 and 2025, respectively.</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Investing Activities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Cash flows from investing activities primarily consist of cash amounts paid for acquisitions, capital expenditures, cash contributions to our joint ventures and cash proceeds from sales or contributions of assets or businesses. In addition, distributions from equity investees are included in cash flows from investing activities if the distributions are deemed to be a return of the Partnership’s investment. Changes in capital expenditures between periods primarily result from increases or decreases in our growth capital expenditures to fund our construction and expansion projects.</w:t>
      </w:r>
    </w:p>
    <w:p>
      <w:pPr>
        <w:pStyle w:val="TextBody"/>
        <w:bidi w:val="0"/>
        <w:spacing w:lineRule="auto" w:line="288" w:before="120" w:after="283"/>
        <w:jc w:val="both"/>
        <w:rPr/>
      </w:pPr>
      <w:r>
        <w:rPr>
          <w:rFonts w:ascii="Times New Roman;serif" w:hAnsi="Times New Roman;serif"/>
          <w:b/>
          <w:i/>
          <w:color w:val="000000"/>
          <w:sz w:val="20"/>
        </w:rPr>
        <w:t xml:space="preserve">Three months ended March 31, 2026 compared to three months ended March 31, 2025. </w:t>
      </w:r>
      <w:r>
        <w:rPr>
          <w:rFonts w:ascii="Times New Roman;serif" w:hAnsi="Times New Roman;serif"/>
          <w:b w:val="false"/>
          <w:color w:val="000000"/>
          <w:sz w:val="20"/>
        </w:rPr>
        <w:t xml:space="preserve">Cash used in investing activities during 2026 was $2.53 billion compared to $1.20 billion for 2025. Total capital expenditures (excluding the allowance for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lineRule="auto" w:line="288" w:before="120" w:after="283"/>
        <w:ind w:left="0" w:right="0" w:hanging="360"/>
        <w:jc w:val="both"/>
        <w:rPr/>
      </w:pPr>
      <w:hyperlink w:anchor="i5e1c82de0c41484c87a001ffe0af493e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equity funds used during construction and net of contributions in aid of construction costs) for 2026 were $1.90 billion compared to $1.21 billion for 2025. Additional detail related to our capital expenditures is provided in the table below.</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2026, USAC paid $445 million, net of cash acquired, for the acquisition of J-W Energy Company and Sunoco LP paid $194 million, net of cash acquired, for the TanQuid acquisition. Additionally, in 2026, Sunoco LP paid $50 million for other acquisitions. In 2025, Sunoco LP paid $12 million in cash for acquisitions of fuel equipment, motor fuel inventory and supply agreements.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2026 and 2025, we received cash distributions from unconsolidated affiliates in excess of cumulative earnings of $39 million and $20 million, respectively, and we paid cash contributions to unconsolidated affiliates of $22 million and $1 million, respectively.</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following is a summary of capital expenditures (including only our proportionate share for joint ventures, net of contributions in aid of construction costs) on an accrual basis for the three months ended March 31, 2026:</w:t>
      </w:r>
    </w:p>
    <w:tbl>
      <w:tblPr>
        <w:tblW w:w="8584" w:type="dxa"/>
        <w:jc w:val="left"/>
        <w:tblInd w:w="0" w:type="dxa"/>
        <w:tblLayout w:type="fixed"/>
        <w:tblCellMar>
          <w:top w:w="28" w:type="dxa"/>
          <w:left w:w="28" w:type="dxa"/>
          <w:bottom w:w="28" w:type="dxa"/>
          <w:right w:w="28" w:type="dxa"/>
        </w:tblCellMar>
      </w:tblPr>
      <w:tblGrid>
        <w:gridCol w:w="1609"/>
        <w:gridCol w:w="1411"/>
        <w:gridCol w:w="1419"/>
        <w:gridCol w:w="244"/>
        <w:gridCol w:w="713"/>
        <w:gridCol w:w="126"/>
        <w:gridCol w:w="126"/>
        <w:gridCol w:w="126"/>
        <w:gridCol w:w="126"/>
        <w:gridCol w:w="314"/>
        <w:gridCol w:w="694"/>
        <w:gridCol w:w="163"/>
        <w:gridCol w:w="126"/>
        <w:gridCol w:w="126"/>
        <w:gridCol w:w="126"/>
        <w:gridCol w:w="244"/>
        <w:gridCol w:w="713"/>
        <w:gridCol w:w="178"/>
      </w:tblGrid>
      <w:tr>
        <w:trPr/>
        <w:tc>
          <w:tcPr>
            <w:tcW w:w="1609"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c>
          <w:tcPr>
            <w:tcW w:w="141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r>
      <w:tr>
        <w:trPr/>
        <w:tc>
          <w:tcPr>
            <w:tcW w:w="4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Capital Expenditures Recorded During Period</w:t>
            </w:r>
          </w:p>
        </w:tc>
      </w:tr>
      <w:tr>
        <w:trPr/>
        <w:tc>
          <w:tcPr>
            <w:tcW w:w="4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Growth</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Maintenance</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val="false"/>
                <w:color w:val="000000"/>
                <w:sz w:val="20"/>
              </w:rPr>
            </w:pPr>
            <w:r>
              <w:rPr>
                <w:rFonts w:ascii="Times New Roman;serif" w:hAnsi="Times New Roman;serif"/>
                <w:b w:val="false"/>
                <w:color w:val="000000"/>
                <w:sz w:val="20"/>
              </w:rPr>
              <w:t>Total</w:t>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Intrastate transportation and storage</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579 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Interstate transportation and storage</w:t>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253 </w:t>
            </w:r>
          </w:p>
        </w:tc>
        <w:tc>
          <w:tcPr>
            <w:tcW w:w="17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Midstream</w:t>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394 </w:t>
            </w:r>
          </w:p>
        </w:tc>
        <w:tc>
          <w:tcPr>
            <w:tcW w:w="17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NGL and refined products transportation and services</w:t>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317 </w:t>
            </w:r>
          </w:p>
        </w:tc>
        <w:tc>
          <w:tcPr>
            <w:tcW w:w="17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Crude oil transportation and services</w:t>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Investment in Sunoco LP</w:t>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199 </w:t>
            </w:r>
          </w:p>
        </w:tc>
        <w:tc>
          <w:tcPr>
            <w:tcW w:w="17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in USAC</w:t>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7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 other (including eliminations)</w:t>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17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capital expenditures</w:t>
            </w:r>
          </w:p>
        </w:tc>
        <w:tc>
          <w:tcPr>
            <w:tcW w:w="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1,658 </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277 </w:t>
            </w:r>
          </w:p>
        </w:tc>
        <w:tc>
          <w:tcPr>
            <w:tcW w:w="1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1,935 </w:t>
            </w:r>
          </w:p>
        </w:tc>
        <w:tc>
          <w:tcPr>
            <w:tcW w:w="1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Financing Activities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Changes in cash flows from financing activities between periods primarily result from changes in the levels of borrowings and equity issuances, which are primarily used to fund our acquisitions and growth capital expenditures. Distributions increase between the periods based on increases in the number of common units outstanding or increases in the distribution rate.</w:t>
      </w:r>
    </w:p>
    <w:p>
      <w:pPr>
        <w:pStyle w:val="TextBody"/>
        <w:bidi w:val="0"/>
        <w:spacing w:lineRule="auto" w:line="288" w:before="120" w:after="283"/>
        <w:jc w:val="both"/>
        <w:rPr/>
      </w:pPr>
      <w:r>
        <w:rPr>
          <w:rFonts w:ascii="Times New Roman;serif" w:hAnsi="Times New Roman;serif"/>
          <w:b/>
          <w:i/>
          <w:color w:val="000000"/>
          <w:sz w:val="20"/>
        </w:rPr>
        <w:t>Three months ended March 31, 2026 compared to three months ended March 31, 2025.</w:t>
      </w:r>
      <w:r>
        <w:rPr>
          <w:color w:val="000000"/>
        </w:rPr>
        <w:t xml:space="preserve"> </w:t>
      </w:r>
      <w:r>
        <w:rPr>
          <w:rFonts w:ascii="Times New Roman;serif" w:hAnsi="Times New Roman;serif"/>
          <w:b w:val="false"/>
          <w:color w:val="000000"/>
          <w:sz w:val="20"/>
        </w:rPr>
        <w:t>Cash used in financing activities during 2026 was $1.17 billion compared to $1.58 billion for 2025. During 2026, we had a net increase in our debt level of $600 million compared to a net increase of $72 million for 2025. In 2026 and 2025, we paid debt issuance costs of $48 million and $51 million, respectively.</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2026 and 2025, we paid distributions of $1.17 billion and $1.13 billion, respectively, to our partners. In 2026 and 2025, we paid distributions of $545 million and $455 million, respectively, to noncontrolling interests. In 2026 and 2025, we paid distributions of $7 million and $13 million, respectively, to our redeemable noncontrolling interests.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2026 and 2025, we received capital contributions of $1 million and $2 million, respectively, in cash from noncontrolling interests.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lineRule="auto" w:line="288" w:before="120" w:after="283"/>
        <w:ind w:left="0" w:right="0" w:hanging="360"/>
        <w:jc w:val="both"/>
        <w:rPr/>
      </w:pPr>
      <w:hyperlink w:anchor="i5e1c82de0c41484c87a001ffe0af493e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color w:val="000000"/>
          <w:sz w:val="20"/>
          <w:u w:val="single"/>
        </w:rPr>
      </w:pPr>
      <w:r>
        <w:rPr>
          <w:rFonts w:ascii="Times New Roman;serif" w:hAnsi="Times New Roman;serif"/>
          <w:b/>
          <w:color w:val="000000"/>
          <w:sz w:val="20"/>
          <w:u w:val="single"/>
        </w:rPr>
        <w:t>Description of Indebtedness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Our outstanding consolidated indebtedness was as follows:</w:t>
      </w:r>
    </w:p>
    <w:tbl>
      <w:tblPr>
        <w:tblW w:w="7983" w:type="dxa"/>
        <w:jc w:val="left"/>
        <w:tblInd w:w="0" w:type="dxa"/>
        <w:tblLayout w:type="fixed"/>
        <w:tblCellMar>
          <w:top w:w="28" w:type="dxa"/>
          <w:left w:w="28" w:type="dxa"/>
          <w:bottom w:w="28" w:type="dxa"/>
          <w:right w:w="28" w:type="dxa"/>
        </w:tblCellMar>
      </w:tblPr>
      <w:tblGrid>
        <w:gridCol w:w="1941"/>
        <w:gridCol w:w="1703"/>
        <w:gridCol w:w="1711"/>
        <w:gridCol w:w="211"/>
        <w:gridCol w:w="721"/>
        <w:gridCol w:w="109"/>
        <w:gridCol w:w="109"/>
        <w:gridCol w:w="109"/>
        <w:gridCol w:w="109"/>
        <w:gridCol w:w="245"/>
        <w:gridCol w:w="837"/>
        <w:gridCol w:w="178"/>
      </w:tblGrid>
      <w:tr>
        <w:trPr/>
        <w:tc>
          <w:tcPr>
            <w:tcW w:w="1941" w:type="dxa"/>
            <w:tcBorders/>
            <w:vAlign w:val="center"/>
          </w:tcPr>
          <w:p>
            <w:pPr>
              <w:pStyle w:val="TableContents"/>
              <w:bidi w:val="0"/>
              <w:spacing w:before="0" w:after="283"/>
              <w:jc w:val="left"/>
              <w:rPr>
                <w:sz w:val="4"/>
                <w:szCs w:val="4"/>
              </w:rPr>
            </w:pPr>
            <w:r>
              <w:rPr>
                <w:sz w:val="4"/>
                <w:szCs w:val="4"/>
              </w:rPr>
            </w:r>
          </w:p>
        </w:tc>
        <w:tc>
          <w:tcPr>
            <w:tcW w:w="1703" w:type="dxa"/>
            <w:tcBorders/>
            <w:vAlign w:val="center"/>
          </w:tcPr>
          <w:p>
            <w:pPr>
              <w:pStyle w:val="TableContents"/>
              <w:bidi w:val="0"/>
              <w:spacing w:before="0" w:after="283"/>
              <w:jc w:val="left"/>
              <w:rPr>
                <w:sz w:val="4"/>
                <w:szCs w:val="4"/>
              </w:rPr>
            </w:pPr>
            <w:r>
              <w:rPr>
                <w:sz w:val="4"/>
                <w:szCs w:val="4"/>
              </w:rPr>
            </w:r>
          </w:p>
        </w:tc>
        <w:tc>
          <w:tcPr>
            <w:tcW w:w="17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r>
      <w:tr>
        <w:trPr/>
        <w:tc>
          <w:tcPr>
            <w:tcW w:w="5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val="false"/>
                <w:color w:val="000000"/>
                <w:sz w:val="20"/>
              </w:rPr>
            </w:pPr>
            <w:r>
              <w:rPr>
                <w:rFonts w:ascii="Times New Roman;serif" w:hAnsi="Times New Roman;serif"/>
                <w:b w:val="false"/>
                <w:color w:val="000000"/>
                <w:sz w:val="20"/>
              </w:rPr>
              <w:t>December 31,</w:t>
              <w:br/>
              <w:t>2025</w:t>
            </w:r>
          </w:p>
        </w:tc>
      </w:tr>
      <w:tr>
        <w:trPr/>
        <w:tc>
          <w:tcPr>
            <w:tcW w:w="53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Energy Transfer indebtedness:</w:t>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Notes and debentures</w:t>
            </w:r>
            <w:r>
              <w:rPr>
                <w:rFonts w:ascii="Times New Roman;serif" w:hAnsi="Times New Roman;serif"/>
                <w:b w:val="false"/>
                <w:color w:val="000000"/>
                <w:sz w:val="13"/>
              </w:rPr>
              <w:t>(1) (2)</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48,870 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535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Five-Year Credit Facility</w:t>
            </w:r>
            <w:r>
              <w:rPr>
                <w:rFonts w:ascii="Times New Roman;serif" w:hAnsi="Times New Roman;serif"/>
                <w:b w:val="false"/>
                <w:color w:val="000000"/>
                <w:sz w:val="13"/>
              </w:rPr>
              <w:t>(2)</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2,856 </w:t>
            </w:r>
          </w:p>
        </w:tc>
        <w:tc>
          <w:tcPr>
            <w:tcW w:w="17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Subsidiary indebtedness: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Transwestern senior notes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Bakken Project senior notes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850 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Sunoco LP senior notes, bonds and lease-related obligations</w:t>
            </w:r>
            <w:r>
              <w:rPr>
                <w:rFonts w:ascii="Times New Roman;serif" w:hAnsi="Times New Roman;serif"/>
                <w:b w:val="false"/>
                <w:color w:val="000000"/>
                <w:sz w:val="13"/>
              </w:rPr>
              <w:t>(1)(2)</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13,470 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USAC senior notes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1,750 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 xml:space="preserve">Sunoco LP credit facility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USAC credit facility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795 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5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debt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7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unamortized premiums, discounts and fair value adjustments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7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debt issuance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w:t>
            </w:r>
          </w:p>
        </w:tc>
        <w:tc>
          <w:tcPr>
            <w:tcW w:w="17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debt</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69,336 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68,333 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Less: current maturities of long-term debt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5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 less current maturities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69,317 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68,308 </w:t>
            </w:r>
          </w:p>
        </w:tc>
        <w:tc>
          <w:tcPr>
            <w:tcW w:w="1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360"/>
        <w:jc w:val="both"/>
        <w:rPr/>
      </w:pPr>
      <w:r>
        <w:rPr>
          <w:rFonts w:ascii="Times New Roman;serif" w:hAnsi="Times New Roman;serif"/>
          <w:b w:val="false"/>
          <w:color w:val="000000"/>
          <w:sz w:val="13"/>
        </w:rPr>
        <w:t>(1)</w:t>
      </w:r>
      <w:r>
        <w:rPr>
          <w:rFonts w:ascii="Times New Roman;serif" w:hAnsi="Times New Roman;serif"/>
          <w:b w:val="false"/>
          <w:color w:val="000000"/>
          <w:sz w:val="20"/>
        </w:rPr>
        <w:t>As of March 31, 2026, these balances included approximately $2.74 billion aggregate principal amount due on or before March 31, 2027, which were classified as long-term as management has the intent and ability to refinance the borrowings on a long-term basis.</w:t>
      </w:r>
    </w:p>
    <w:p>
      <w:pPr>
        <w:pStyle w:val="TextBody"/>
        <w:bidi w:val="0"/>
        <w:spacing w:lineRule="auto" w:line="288" w:before="120" w:after="283"/>
        <w:ind w:left="0" w:right="0" w:hanging="360"/>
        <w:jc w:val="both"/>
        <w:rPr/>
      </w:pPr>
      <w:r>
        <w:rPr>
          <w:rFonts w:ascii="Times New Roman;serif" w:hAnsi="Times New Roman;serif"/>
          <w:b w:val="false"/>
          <w:color w:val="000000"/>
          <w:sz w:val="13"/>
        </w:rPr>
        <w:t>(2)</w:t>
      </w:r>
      <w:r>
        <w:rPr>
          <w:rFonts w:ascii="Times New Roman;serif" w:hAnsi="Times New Roman;serif"/>
          <w:b w:val="false"/>
          <w:color w:val="000000"/>
          <w:sz w:val="20"/>
        </w:rPr>
        <w:t>See additional information below under “Recent Transactions.”</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Recent Transactions</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Energy Transfer Notes Issuances and Redemptions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 January 2026, the Partnership issued $1.00 billion aggregate principal amount of 4.55% senior notes due 2031, $1.00 billion aggregate principal amount of 5.35% senior notes due 2036 and $1.00 billion aggregate principal amount of 6.30% senior notes due 2056. The Partnership used the net proceeds to refinance existing indebtedness, including to repay commercial paper and borrowings under its Five-Year Credit Facility.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January 2026, the Partnership redeemed its $1.00 billion aggregate principal amount of 4.75% senior notes due January 2026 using cash on hand and commercial paper borrowings.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February 2026, the Partnership redeemed its $600 million aggregate principal amount of 5.625% senior notes due May 2027 using cash on hand and commercial paper borrowings.</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Sunoco LP Senior Notes Issuances and Redemption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March 2026, Sunoco LP issued $600 million aggregate principal amount of 5.375% senior notes due 2031 and $600 million aggregate principal amount of 5.625% senior notes due 2034. These notes will mature on July 15, 2031 and July 15, 2034, respectively, and interest is payable semi-annually on January 15 and July 15 of each year, commencing on July 15, 2026. Sunoco LP used a portion of the net proceeds from this private offering to redeem in full its $500 million aggregate principal amount of 6.000% senior notes due 2026 and its $600 million aggregate principal amount of 6.000% senior notes due 2027.</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March 2026, Sunoco LP redeemed Parkland’s remaining senior notes.</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Credit Facilities and Commercial Paper</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Five-Year Credit Facility</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As of March 31, 2026, the Five-Year Credit Facility had $1.49 billion of outstanding borrowings, all of which consisted of commercial paper. The amount available for future borrowings was $3.45 billion, after accounting for outstanding letters of credit in the amount of $61 million. The weighted average interest rate on the total amount outstanding as of March 31, 2026 was 3.95%.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lineRule="auto" w:line="288" w:before="120" w:after="283"/>
        <w:ind w:left="0" w:right="0" w:hanging="360"/>
        <w:jc w:val="both"/>
        <w:rPr/>
      </w:pPr>
      <w:hyperlink w:anchor="i5e1c82de0c41484c87a001ffe0af493e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 xml:space="preserve">Sunoco LP Credit Facility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As of March 31, 2026, Sunoco LP’s credit facility, which matures in June 2030, had $125 million of outstanding borrowings and $151 million in standby letters of credit. The unused availability on Sunoco LP’s revolving credit facility as of March 31, 2026 was $2.22 billion. The weighted average interest rate on the total amount outstanding as of March 31, 2026 was 5.52%.</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Sunoco LP Receivables Financing Agreement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Upon the closing of Sunoco LP’s acquisition of NuStar, the commitments under NuStar’s receivables financing agreement were reduced to zero during a suspension period, for which the period end has not been determined. As of March 31, 2026 this facility had no outstanding borrowings.</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 xml:space="preserve">USAC Credit Facility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As of March 31, 2026, USAC’s credit facility, which matures in August 2030, had $1.25 billion of outstanding borrowings and $2 million outstanding letters of credit. As of March 31, 2026, USAC’s credit facility had $498 million of remaining unused availability. The weighted average interest rate on the total amount outstanding as of March 31, 2026 was 5.66%.</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Compliance with our Covenants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and our subsidiaries were in compliance with all requirements, tests, limitations and covenants related to our debt agreements as of March 31,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CASH DISTRIBUTIONS</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Cash Distributions Paid by Energy Transfer</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Under its Partnership Agreement, Energy Transfer will distribute all of its Available Cash, as defined in the Partnership Agreement, within 50 days following the end of each fiscal quarter. Available Cash generally means, with respect to any quarter, all cash on hand at the end of such quarter less the amount of cash reserves that are necessary or appropriate in the reasonable discretion of our General Partner to provide for future cash requirements.</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Cash Distributions on Energy Transfer Common Units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Distributions declared and/or paid with respect to Energy Transfer common units subsequent to December 31, 2025 were as follows:</w:t>
      </w:r>
    </w:p>
    <w:tbl>
      <w:tblPr>
        <w:tblW w:w="6836" w:type="dxa"/>
        <w:jc w:val="left"/>
        <w:tblInd w:w="0" w:type="dxa"/>
        <w:tblLayout w:type="fixed"/>
        <w:tblCellMar>
          <w:top w:w="28" w:type="dxa"/>
          <w:left w:w="28" w:type="dxa"/>
          <w:bottom w:w="28" w:type="dxa"/>
          <w:right w:w="28" w:type="dxa"/>
        </w:tblCellMar>
      </w:tblPr>
      <w:tblGrid>
        <w:gridCol w:w="613"/>
        <w:gridCol w:w="539"/>
        <w:gridCol w:w="542"/>
        <w:gridCol w:w="109"/>
        <w:gridCol w:w="109"/>
        <w:gridCol w:w="109"/>
        <w:gridCol w:w="494"/>
        <w:gridCol w:w="494"/>
        <w:gridCol w:w="497"/>
        <w:gridCol w:w="109"/>
        <w:gridCol w:w="109"/>
        <w:gridCol w:w="109"/>
        <w:gridCol w:w="529"/>
        <w:gridCol w:w="529"/>
        <w:gridCol w:w="532"/>
        <w:gridCol w:w="109"/>
        <w:gridCol w:w="109"/>
        <w:gridCol w:w="109"/>
        <w:gridCol w:w="211"/>
        <w:gridCol w:w="721"/>
        <w:gridCol w:w="154"/>
      </w:tblGrid>
      <w:tr>
        <w:trPr/>
        <w:tc>
          <w:tcPr>
            <w:tcW w:w="613"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Quarter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Record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Payment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Rate</w:t>
            </w:r>
          </w:p>
        </w:tc>
      </w:tr>
      <w:tr>
        <w:trPr/>
        <w:tc>
          <w:tcPr>
            <w:tcW w:w="16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6,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19,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0.3350 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March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8,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20,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0.3375 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6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Cash Distributions on Energy Transfer Preferred Units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Distributions declared on the Energy Transfer Preferred Units were as follows:</w:t>
      </w:r>
    </w:p>
    <w:tbl>
      <w:tblPr>
        <w:tblW w:w="10205" w:type="dxa"/>
        <w:jc w:val="left"/>
        <w:tblInd w:w="0" w:type="dxa"/>
        <w:tblLayout w:type="fixed"/>
        <w:tblCellMar>
          <w:top w:w="28" w:type="dxa"/>
          <w:left w:w="28" w:type="dxa"/>
          <w:bottom w:w="28" w:type="dxa"/>
          <w:right w:w="28" w:type="dxa"/>
        </w:tblCellMar>
      </w:tblPr>
      <w:tblGrid>
        <w:gridCol w:w="557"/>
        <w:gridCol w:w="488"/>
        <w:gridCol w:w="455"/>
        <w:gridCol w:w="109"/>
        <w:gridCol w:w="109"/>
        <w:gridCol w:w="109"/>
        <w:gridCol w:w="452"/>
        <w:gridCol w:w="442"/>
        <w:gridCol w:w="423"/>
        <w:gridCol w:w="109"/>
        <w:gridCol w:w="109"/>
        <w:gridCol w:w="109"/>
        <w:gridCol w:w="482"/>
        <w:gridCol w:w="456"/>
        <w:gridCol w:w="458"/>
        <w:gridCol w:w="109"/>
        <w:gridCol w:w="109"/>
        <w:gridCol w:w="109"/>
        <w:gridCol w:w="211"/>
        <w:gridCol w:w="721"/>
        <w:gridCol w:w="109"/>
        <w:gridCol w:w="109"/>
        <w:gridCol w:w="109"/>
        <w:gridCol w:w="109"/>
        <w:gridCol w:w="266"/>
        <w:gridCol w:w="497"/>
        <w:gridCol w:w="129"/>
        <w:gridCol w:w="109"/>
        <w:gridCol w:w="109"/>
        <w:gridCol w:w="109"/>
        <w:gridCol w:w="266"/>
        <w:gridCol w:w="497"/>
        <w:gridCol w:w="129"/>
        <w:gridCol w:w="109"/>
        <w:gridCol w:w="109"/>
        <w:gridCol w:w="109"/>
        <w:gridCol w:w="211"/>
        <w:gridCol w:w="721"/>
        <w:gridCol w:w="109"/>
        <w:gridCol w:w="164"/>
      </w:tblGrid>
      <w:tr>
        <w:trPr/>
        <w:tc>
          <w:tcPr>
            <w:tcW w:w="557"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Period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Record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Payment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8"/>
              </w:rPr>
              <w:t xml:space="preserve">Series B </w:t>
            </w:r>
            <w:r>
              <w:rPr>
                <w:rFonts w:ascii="Times New Roman;serif" w:hAnsi="Times New Roman;serif"/>
                <w:b w:val="false"/>
                <w:color w:val="000000"/>
                <w:sz w:val="12"/>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8"/>
              </w:rPr>
              <w:t xml:space="preserve">Series G </w:t>
            </w:r>
            <w:r>
              <w:rPr>
                <w:rFonts w:ascii="Times New Roman;serif" w:hAnsi="Times New Roman;serif"/>
                <w:b w:val="false"/>
                <w:color w:val="000000"/>
                <w:sz w:val="12"/>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8"/>
              </w:rPr>
              <w:t xml:space="preserve">Series H </w:t>
            </w:r>
            <w:r>
              <w:rPr>
                <w:rFonts w:ascii="Times New Roman;serif" w:hAnsi="Times New Roman;serif"/>
                <w:b w:val="false"/>
                <w:color w:val="000000"/>
                <w:sz w:val="12"/>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8"/>
              </w:rPr>
              <w:t xml:space="preserve">Series I </w:t>
            </w:r>
            <w:r>
              <w:rPr>
                <w:rFonts w:ascii="Times New Roman;serif" w:hAnsi="Times New Roman;serif"/>
                <w:b w:val="false"/>
                <w:color w:val="000000"/>
                <w:sz w:val="12"/>
              </w:rPr>
              <w:t>(1)</w:t>
            </w:r>
          </w:p>
        </w:tc>
        <w:tc>
          <w:tcPr>
            <w:tcW w:w="164" w:type="dxa"/>
            <w:tcBorders/>
            <w:vAlign w:val="center"/>
          </w:tcPr>
          <w:p>
            <w:pPr>
              <w:pStyle w:val="TableContents"/>
              <w:bidi w:val="0"/>
              <w:spacing w:before="0" w:after="283"/>
              <w:jc w:val="left"/>
              <w:rPr>
                <w:sz w:val="4"/>
                <w:szCs w:val="4"/>
              </w:rPr>
            </w:pPr>
            <w:r>
              <w:rPr>
                <w:sz w:val="4"/>
                <w:szCs w:val="4"/>
              </w:rPr>
            </w:r>
          </w:p>
        </w:tc>
      </w:tr>
      <w:tr>
        <w:trPr/>
        <w:tc>
          <w:tcPr>
            <w:tcW w:w="15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15,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0.2111 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March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15,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35.630 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32.500 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0.2111 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360"/>
        <w:jc w:val="both"/>
        <w:rPr/>
      </w:pPr>
      <w:r>
        <w:rPr>
          <w:rFonts w:ascii="Times New Roman;serif" w:hAnsi="Times New Roman;serif"/>
          <w:b w:val="false"/>
          <w:color w:val="000000"/>
          <w:sz w:val="13"/>
        </w:rPr>
        <w:t>(1)</w:t>
      </w:r>
      <w:r>
        <w:rPr>
          <w:rFonts w:ascii="Times New Roman;serif" w:hAnsi="Times New Roman;serif"/>
          <w:b w:val="false"/>
          <w:color w:val="000000"/>
          <w:sz w:val="20"/>
        </w:rPr>
        <w:t>The record date and payment date shown above apply to all Energy Transfer Preferred Units, except for the Series I Preferred Units. For the period ended December 31, 2025, the cash distribution on Series I Preferred Units was paid on February 17, 2026 to unitholders of record as of the close of business on February 4, 2026. For the period ended March 31, 2026, the cash distribution on Series I Preferred Units will be paid on May 15, 2026 to unitholders of record as of the close of business on May 4, 2026.</w:t>
      </w:r>
    </w:p>
    <w:p>
      <w:pPr>
        <w:pStyle w:val="TextBody"/>
        <w:bidi w:val="0"/>
        <w:spacing w:lineRule="auto" w:line="288" w:before="120" w:after="283"/>
        <w:ind w:left="0" w:right="0" w:hanging="360"/>
        <w:jc w:val="both"/>
        <w:rPr/>
      </w:pPr>
      <w:r>
        <w:rPr>
          <w:rFonts w:ascii="Times New Roman;serif" w:hAnsi="Times New Roman;serif"/>
          <w:b w:val="false"/>
          <w:color w:val="000000"/>
          <w:sz w:val="13"/>
        </w:rPr>
        <w:t>(2)</w:t>
      </w:r>
      <w:r>
        <w:rPr>
          <w:rFonts w:ascii="Times New Roman;serif" w:hAnsi="Times New Roman;serif"/>
          <w:b w:val="false"/>
          <w:color w:val="000000"/>
          <w:sz w:val="20"/>
        </w:rPr>
        <w:t>Series B, Series G and Series H distributions are currently paid on a semi-annual basis. Distributions on the Series B Preferred Units will begin to be paid quarterly on February 15, 2028.</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Description of Energy Transfer Preferred Units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 summary of the distribution and redemption rights associated with the Energy Transfer Preferred Units is included in Note 9 in “Item 1. Financial Statements.”</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Cash Distributions Paid by Subsidiaries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Partnership’s consolidated financial statements include SunocoCorp, Sunoco LP and USAC, as well as other non-wholly owned consolidated joint ventures. The following sections describe cash distributions made by our publicly traded subsidiaries,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lineRule="auto" w:line="288" w:before="120" w:after="283"/>
        <w:ind w:left="0" w:right="0" w:hanging="360"/>
        <w:jc w:val="both"/>
        <w:rPr/>
      </w:pPr>
      <w:hyperlink w:anchor="i5e1c82de0c41484c87a001ffe0af493e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SunocoCorp, Sunoco LP and USAC, all of which are required to distribute all cash on hand (less appropriate reserves determined by the boards of directors of their respective general partners) subsequent to the end of each quarter.</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Cash Distributions Paid by SunocoCorp</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Distributions on SunocoCorp’s common units declared and/or paid by SunocoCorp subsequent to December 31, 2025 were as follows:</w:t>
      </w:r>
    </w:p>
    <w:tbl>
      <w:tblPr>
        <w:tblW w:w="5242" w:type="dxa"/>
        <w:jc w:val="left"/>
        <w:tblInd w:w="0" w:type="dxa"/>
        <w:tblLayout w:type="fixed"/>
        <w:tblCellMar>
          <w:top w:w="28" w:type="dxa"/>
          <w:left w:w="28" w:type="dxa"/>
          <w:bottom w:w="28" w:type="dxa"/>
          <w:right w:w="28" w:type="dxa"/>
        </w:tblCellMar>
      </w:tblPr>
      <w:tblGrid>
        <w:gridCol w:w="613"/>
        <w:gridCol w:w="539"/>
        <w:gridCol w:w="542"/>
        <w:gridCol w:w="109"/>
        <w:gridCol w:w="109"/>
        <w:gridCol w:w="109"/>
        <w:gridCol w:w="109"/>
        <w:gridCol w:w="109"/>
        <w:gridCol w:w="529"/>
        <w:gridCol w:w="529"/>
        <w:gridCol w:w="532"/>
        <w:gridCol w:w="109"/>
        <w:gridCol w:w="109"/>
        <w:gridCol w:w="109"/>
        <w:gridCol w:w="211"/>
        <w:gridCol w:w="721"/>
        <w:gridCol w:w="154"/>
      </w:tblGrid>
      <w:tr>
        <w:trPr/>
        <w:tc>
          <w:tcPr>
            <w:tcW w:w="613"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Quarter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Payment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Rate</w:t>
            </w:r>
          </w:p>
        </w:tc>
      </w:tr>
      <w:tr>
        <w:trPr/>
        <w:tc>
          <w:tcPr>
            <w:tcW w:w="16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19,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0.9317 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March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20,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0.9899 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6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Cash Distributions Paid by Sunoco LP</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Distributions on Sunoco LP’s common units and Class D Units declared and/or paid by Sunoco LP subsequent to December 31, 2025 were as follows:</w:t>
      </w:r>
    </w:p>
    <w:tbl>
      <w:tblPr>
        <w:tblW w:w="5242" w:type="dxa"/>
        <w:jc w:val="left"/>
        <w:tblInd w:w="0" w:type="dxa"/>
        <w:tblLayout w:type="fixed"/>
        <w:tblCellMar>
          <w:top w:w="28" w:type="dxa"/>
          <w:left w:w="28" w:type="dxa"/>
          <w:bottom w:w="28" w:type="dxa"/>
          <w:right w:w="28" w:type="dxa"/>
        </w:tblCellMar>
      </w:tblPr>
      <w:tblGrid>
        <w:gridCol w:w="613"/>
        <w:gridCol w:w="539"/>
        <w:gridCol w:w="542"/>
        <w:gridCol w:w="109"/>
        <w:gridCol w:w="109"/>
        <w:gridCol w:w="109"/>
        <w:gridCol w:w="109"/>
        <w:gridCol w:w="109"/>
        <w:gridCol w:w="529"/>
        <w:gridCol w:w="529"/>
        <w:gridCol w:w="532"/>
        <w:gridCol w:w="109"/>
        <w:gridCol w:w="109"/>
        <w:gridCol w:w="109"/>
        <w:gridCol w:w="211"/>
        <w:gridCol w:w="721"/>
        <w:gridCol w:w="154"/>
      </w:tblGrid>
      <w:tr>
        <w:trPr/>
        <w:tc>
          <w:tcPr>
            <w:tcW w:w="613"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Quarter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Payment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Rate</w:t>
            </w:r>
          </w:p>
        </w:tc>
      </w:tr>
      <w:tr>
        <w:trPr/>
        <w:tc>
          <w:tcPr>
            <w:tcW w:w="16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19,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0.9317 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March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20,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0.9899 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6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Distributions on Sunoco LP’s Series A Preferred Units were as follows:</w:t>
      </w:r>
    </w:p>
    <w:tbl>
      <w:tblPr>
        <w:tblW w:w="4551" w:type="dxa"/>
        <w:jc w:val="left"/>
        <w:tblInd w:w="0" w:type="dxa"/>
        <w:tblLayout w:type="fixed"/>
        <w:tblCellMar>
          <w:top w:w="28" w:type="dxa"/>
          <w:left w:w="28" w:type="dxa"/>
          <w:bottom w:w="28" w:type="dxa"/>
          <w:right w:w="28" w:type="dxa"/>
        </w:tblCellMar>
      </w:tblPr>
      <w:tblGrid>
        <w:gridCol w:w="471"/>
        <w:gridCol w:w="415"/>
        <w:gridCol w:w="418"/>
        <w:gridCol w:w="109"/>
        <w:gridCol w:w="109"/>
        <w:gridCol w:w="109"/>
        <w:gridCol w:w="109"/>
        <w:gridCol w:w="109"/>
        <w:gridCol w:w="464"/>
        <w:gridCol w:w="464"/>
        <w:gridCol w:w="466"/>
        <w:gridCol w:w="109"/>
        <w:gridCol w:w="109"/>
        <w:gridCol w:w="109"/>
        <w:gridCol w:w="211"/>
        <w:gridCol w:w="616"/>
        <w:gridCol w:w="154"/>
      </w:tblGrid>
      <w:tr>
        <w:trPr/>
        <w:tc>
          <w:tcPr>
            <w:tcW w:w="471"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Record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Payment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Rate</w:t>
            </w:r>
          </w:p>
        </w:tc>
      </w:tr>
      <w:tr>
        <w:trPr/>
        <w:tc>
          <w:tcPr>
            <w:tcW w:w="13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March 2,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March 18,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Cash Distributions Paid by USAC</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Distributions on USAC’s common units declared and/or paid by USAC subsequent to December 31, 2025 were as follows:</w:t>
      </w:r>
    </w:p>
    <w:tbl>
      <w:tblPr>
        <w:tblW w:w="5031" w:type="dxa"/>
        <w:jc w:val="left"/>
        <w:tblInd w:w="0" w:type="dxa"/>
        <w:tblLayout w:type="fixed"/>
        <w:tblCellMar>
          <w:top w:w="28" w:type="dxa"/>
          <w:left w:w="28" w:type="dxa"/>
          <w:bottom w:w="28" w:type="dxa"/>
          <w:right w:w="28" w:type="dxa"/>
        </w:tblCellMar>
      </w:tblPr>
      <w:tblGrid>
        <w:gridCol w:w="613"/>
        <w:gridCol w:w="539"/>
        <w:gridCol w:w="542"/>
        <w:gridCol w:w="109"/>
        <w:gridCol w:w="109"/>
        <w:gridCol w:w="109"/>
        <w:gridCol w:w="109"/>
        <w:gridCol w:w="109"/>
        <w:gridCol w:w="494"/>
        <w:gridCol w:w="494"/>
        <w:gridCol w:w="496"/>
        <w:gridCol w:w="109"/>
        <w:gridCol w:w="109"/>
        <w:gridCol w:w="109"/>
        <w:gridCol w:w="211"/>
        <w:gridCol w:w="616"/>
        <w:gridCol w:w="154"/>
      </w:tblGrid>
      <w:tr>
        <w:trPr/>
        <w:tc>
          <w:tcPr>
            <w:tcW w:w="613"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Quarter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Payment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Rate</w:t>
            </w:r>
          </w:p>
        </w:tc>
      </w:tr>
      <w:tr>
        <w:trPr/>
        <w:tc>
          <w:tcPr>
            <w:tcW w:w="16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6,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0.525 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March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8,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6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CRITICAL ACCOUNTING ESTIMATES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Partnership’s critical accounting estimates are described in its Annual Report on Form 10-K filed with the SEC on February 19, 2026. We have not made any changes to the accounting policies involving critical accounting estimates subsequent to the Form 10-K filing. Changes to any of the related estimate amounts are discussed in the notes to consolidated financial statements included in “Item 1. Financial Statements” in this quarterly report on Form 10-Q.</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FORWARD-LOOKING STATEMENTS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This quarterly report contains various forward-looking statements and information that are based on our beliefs and those of our General Partner, as well as assumptions made by and information currently available to us. These forward-looking statements are identified as any statement that does not relate strictly to historical or current facts. When used in this quarterly report, words such as “anticipate,” “project,” “expect,” “plan,” “goal,” “forecast,” “estimate,” “intend,” “could,” “believe,” “may,” “will” and similar expressions and statements regarding our plans and objectives for future operations, are intended to identify forward-looking statements. Although we and our General Partner believe that the expectations on which such forward-looking statements are based are reasonable, neither we nor our General Partner can give assurances that such expectations will prove to be correct. Forward-looking statements are subject to a variety of risks, uncertainties and assumptions. If one or more of these risks or uncertainties materialize, or if underlying assumptions prove incorrect, our actual results may vary materially from those anticipated, estimated, projected or expected. Among the key risk factors that may have a direct bearing on our results of operations and financial condition are: </w:t>
      </w:r>
    </w:p>
    <w:p>
      <w:pPr>
        <w:pStyle w:val="TextBody"/>
        <w:bidi w:val="0"/>
        <w:spacing w:lineRule="auto" w:line="288" w:before="120" w:after="283"/>
        <w:ind w:left="0" w:right="0" w:hanging="360"/>
        <w:jc w:val="both"/>
        <w:rPr/>
      </w:pPr>
      <w:r>
        <w:rPr>
          <w:color w:val="212529"/>
        </w:rPr>
        <w:t>•</w:t>
      </w:r>
      <w:r>
        <w:rPr>
          <w:rFonts w:ascii="Times New Roman;serif" w:hAnsi="Times New Roman;serif"/>
          <w:b w:val="false"/>
          <w:color w:val="000000"/>
          <w:sz w:val="20"/>
        </w:rPr>
        <w:t>the ability of our subsidiaries to make cash distributions to us, which is dependent on their results of operations, cash flows and financial condition;</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actual amount of cash distributions by our subsidiaries to us;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volumes transported on our subsidiaries’ pipelines and gathering systems;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v:textbox>
                <w10:wrap type="none"/>
              </v:rect>
            </w:pict>
          </mc:Fallback>
        </mc:AlternateContent>
      </w:r>
    </w:p>
    <w:p>
      <w:pPr>
        <w:pStyle w:val="TextBody"/>
        <w:bidi w:val="0"/>
        <w:spacing w:lineRule="auto" w:line="288" w:before="120" w:after="283"/>
        <w:ind w:left="0" w:right="0" w:hanging="360"/>
        <w:jc w:val="both"/>
        <w:rPr/>
      </w:pPr>
      <w:hyperlink w:anchor="i5e1c82de0c41484c87a001ffe0af493e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level of throughput in our subsidiaries’ processing and treating facilities;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fees our subsidiaries charge and the margins they realize for their gathering, treating, processing, storage and transportation services;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prices and market demand for, and the relationship between, natural gas and NGLs;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energy prices generally;</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impacts of world health events;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possibility of cyber and malware attacks;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prices of natural gas and NGLs compared to the price of alternative and competing fuels;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general level of petroleum product demand and the availability and price of NGL supplies;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level of domestic oil, natural gas and NGL production;</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availability of imported oil, natural gas and NGLs;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actions taken by foreign oil and gas producing nations;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political and economic stability of petroleum producing nations;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effect of weather conditions on demand for oil, natural gas and NGLs;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availability of local, intrastate and interstate transportation systems;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continued ability to find and contract for new sources of natural gas supply;</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availability and marketing of competitive fuels;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impact of energy conservation efforts;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energy efficiencies and technological trends;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governmental regulation, taxation and tariffs;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changes to, and the application of, regulation of tariff rates and operational requirements related to our subsidiaries’ interstate and intrastate pipelines;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hazards or operating risks incidental to the gathering, treating, processing and transporting of natural gas and NGLs;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competition from other midstream companies and interstate pipeline companies;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loss of key personnel;</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loss of key natural gas producers or the providers of fractionation services;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reductions in the capacity or allocations of third-party pipelines that connect with our subsidiaries’ pipelines and facilities;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effectiveness of risk-management policies and procedures and the ability of our subsidiaries’ liquids marketing counterparties to satisfy their financial commitments;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nonpayment or nonperformance by our subsidiaries’ customers;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risks related to the development of new infrastructure projects or other growth projects, including failure to make sufficient progress to justify continued development, delays in obtaining customers, increased costs of financing and raw materials and regulatory, environmental, political and legal uncertainties that may affect the timing and cost of these projects;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risks associated with the construction of new pipelines, treating and processing facilities or other facilities, or additions to our subsidiaries’ existing pipelines and their facilities, including difficulties in obtaining permits and rights-of-way or other regulatory approvals and the performance by third-party contractors;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availability and cost of capital and our subsidiaries’ ability to access certain capital sources;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 deterioration of the credit and capital markets;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risks associated with the assets and operations of entities in which our subsidiaries own a noncontrolling interests, including risks related to management actions at such entities that our subsidiaries may not be able to control or exert influence;</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ability to successfully identify and consummate strategic acquisitions at purchase prices that are accretive to our financial results and to successfully integrate acquired businesses;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v:textbox>
                <w10:wrap type="none"/>
              </v:rect>
            </w:pict>
          </mc:Fallback>
        </mc:AlternateContent>
      </w:r>
    </w:p>
    <w:p>
      <w:pPr>
        <w:pStyle w:val="TextBody"/>
        <w:bidi w:val="0"/>
        <w:spacing w:lineRule="auto" w:line="288" w:before="120" w:after="283"/>
        <w:ind w:left="0" w:right="0" w:hanging="360"/>
        <w:jc w:val="both"/>
        <w:rPr/>
      </w:pPr>
      <w:hyperlink w:anchor="i5e1c82de0c41484c87a001ffe0af493e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changes in laws and regulations to which we are subject, including tax, environmental, transportation and employment regulations or new interpretations by regulatory agencies concerning such laws and regulations;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costs and effects of legal and administrative proceeding; and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risks associated with a potential failure to successfully combine our business with those of companies we have acquired or may acquire in the future.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You should not put undue reliance on any forward-looking statements. When considering forward-looking statements, please review the risks described under “Part I - Item 1A. Risk Factors” of our Annual Report on Form 10-K for the year ended December 31, 2025 filed with the SEC on February 19, 2026. Any forward-looking statement made by us in this Quarterly Report on Form 10-Q is based only on information currently available to us and speaks only as of the date on which it is made. We undertake no obligation to publicly update any forward-looking statement, whether written or oral, that may be made from time to time, whether as a result of new information, future developments or otherwise.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v:textbox>
                <w10:wrap type="none"/>
              </v:rect>
            </w:pict>
          </mc:Fallback>
        </mc:AlternateContent>
      </w:r>
    </w:p>
    <w:p>
      <w:pPr>
        <w:pStyle w:val="TextBody"/>
        <w:bidi w:val="0"/>
        <w:spacing w:lineRule="auto" w:line="288" w:before="120" w:after="283"/>
        <w:ind w:left="0" w:right="0" w:hanging="360"/>
        <w:jc w:val="both"/>
        <w:rPr/>
      </w:pPr>
      <w:hyperlink w:anchor="i5e1c82de0c41484c87a001ffe0af493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information contained in Item 3 updates, and should be read in conjunction with, information set forth in Part II - Item 7A included in the Partnership’s Annual Report on Form 10-K for the year ended December 31, 2025 filed with the SEC on February 19, 2026, in addition to the accompanying notes and management’s discussion and analysis of financial condition and results of operations presented in Items 1 and 2 of this Quarterly Report on Form 10-Q. Our quantitative and qualitative disclosures about market risk are consistent with those discussed in our Annual Report on Form 10-K for the year ended December 31, 2025. Since December 31, 2025, there have been no material changes to our primary market risk exposures or how those exposures are managed.</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Commodity Price Risk</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our commodity-related financial derivative instruments and fair values, including derivatives related to our consolidated subsidiaries, as well as the effect of an assumed hypothetical 10% change in the underlying price of the commodity. Dollar amounts are presented in millions.</w:t>
      </w:r>
    </w:p>
    <w:tbl>
      <w:tblPr>
        <w:tblW w:w="10205" w:type="dxa"/>
        <w:jc w:val="left"/>
        <w:tblInd w:w="0" w:type="dxa"/>
        <w:tblLayout w:type="fixed"/>
        <w:tblCellMar>
          <w:top w:w="28" w:type="dxa"/>
          <w:left w:w="28" w:type="dxa"/>
          <w:bottom w:w="28" w:type="dxa"/>
          <w:right w:w="28" w:type="dxa"/>
        </w:tblCellMar>
      </w:tblPr>
      <w:tblGrid>
        <w:gridCol w:w="763"/>
        <w:gridCol w:w="671"/>
        <w:gridCol w:w="672"/>
        <w:gridCol w:w="428"/>
        <w:gridCol w:w="429"/>
        <w:gridCol w:w="276"/>
        <w:gridCol w:w="109"/>
        <w:gridCol w:w="109"/>
        <w:gridCol w:w="109"/>
        <w:gridCol w:w="330"/>
        <w:gridCol w:w="400"/>
        <w:gridCol w:w="172"/>
        <w:gridCol w:w="109"/>
        <w:gridCol w:w="109"/>
        <w:gridCol w:w="109"/>
        <w:gridCol w:w="428"/>
        <w:gridCol w:w="520"/>
        <w:gridCol w:w="223"/>
        <w:gridCol w:w="109"/>
        <w:gridCol w:w="109"/>
        <w:gridCol w:w="109"/>
        <w:gridCol w:w="428"/>
        <w:gridCol w:w="429"/>
        <w:gridCol w:w="276"/>
        <w:gridCol w:w="109"/>
        <w:gridCol w:w="109"/>
        <w:gridCol w:w="109"/>
        <w:gridCol w:w="279"/>
        <w:gridCol w:w="478"/>
        <w:gridCol w:w="145"/>
        <w:gridCol w:w="109"/>
        <w:gridCol w:w="109"/>
        <w:gridCol w:w="109"/>
        <w:gridCol w:w="413"/>
        <w:gridCol w:w="501"/>
        <w:gridCol w:w="309"/>
      </w:tblGrid>
      <w:tr>
        <w:trPr/>
        <w:tc>
          <w:tcPr>
            <w:tcW w:w="763"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r>
      <w:tr>
        <w:trPr/>
        <w:tc>
          <w:tcPr>
            <w:tcW w:w="21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2025</w:t>
            </w:r>
          </w:p>
        </w:tc>
      </w:tr>
      <w:tr>
        <w:trPr/>
        <w:tc>
          <w:tcPr>
            <w:tcW w:w="21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Notional</w:t>
              <w:br/>
              <w:t>Volume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Fair Value</w:t>
              <w:br/>
              <w:t>Asset</w:t>
              <w:br/>
              <w:t>(Liability)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Effect of</w:t>
              <w:br/>
              <w:t>Hypothetical</w:t>
              <w:br/>
              <w:t>10%</w:t>
              <w:b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Notional</w:t>
              <w:br/>
              <w:t>Volume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Fair Value</w:t>
              <w:br/>
              <w:t>Asset</w:t>
              <w:br/>
              <w:t>(Liability)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Effect of</w:t>
              <w:br/>
              <w:t>Hypothetical</w:t>
              <w:br/>
              <w:t>10%</w:t>
              <w:br/>
              <w:t>Change</w:t>
            </w:r>
          </w:p>
        </w:tc>
      </w:tr>
      <w:tr>
        <w:trPr/>
        <w:tc>
          <w:tcPr>
            <w:tcW w:w="21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Mark-to-Market Derivatives</w:t>
            </w:r>
          </w:p>
        </w:tc>
        <w:tc>
          <w:tcPr>
            <w:tcW w:w="11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Natural Gas (BBtu)</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(91,648)</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(233,645)</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3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Power (Megawatt)</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(712,768)</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(461,896)</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Crude, NGL and refined products (MBbls)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(24,019)</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(59,247)</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131 </w:t>
            </w:r>
          </w:p>
        </w:tc>
        <w:tc>
          <w:tcPr>
            <w:tcW w:w="3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1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various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various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Fair Value Hedging Derivatives</w:t>
            </w:r>
          </w:p>
        </w:tc>
        <w:tc>
          <w:tcPr>
            <w:tcW w:w="11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Natural Gas (BBtu)</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(63,435)</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(100,346)</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fair values of the commodity-related financial positions have been determined using independent third-party prices, readily available market information and appropriate valuation techniques. Non-trading positions offset physical exposures to the cash market; none of these offsetting physical exposures are included in the above tables. Price-risk sensitivities were calculated by assuming a theoretical 10% change (increase or decrease) in price regardless of term or historical relationships between the contractual price of the instruments and the underlying commodity price. Results are presented in absolute terms and represent a potential gain or loss in net income or in other comprehensive income. In the event of an actual 10% change in prompt month natural gas prices, the fair value of our total derivative portfolio may not change by 10% due to factors such as when the financial instrument settles and the location to which the financial instrument is tied (i.e., basis swaps) and the relationship between prompt month and forward months.</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Interest Rate Risk</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As of March 31, 2026, we and our subsidiaries had $3.46 billion of floating rate debt outstanding. A hypothetical change of 100 basis points would result in a maximum potential change to interest expense of $35 million annually.</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Foreign Currency Translation Risk</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generate revenues, incur expenses, and maintain investments and subsidiaries in currencies other than the U.S. dollar. As a result, our reported earnings, cash flows, and AOCI are exposed to fluctuations in foreign currency exchange rates. Changes in exchange rates can affect the U.S. dollar value of our foreign</w:t>
        <w:noBreakHyphen/>
        <w:t>currency</w:t>
        <w:noBreakHyphen/>
        <w:t>denominated assets and liabilities, as well as the translation of the operating results and financial position of our international subsidiaries. We may utilize derivative instruments, including foreign currency forward contracts and other hedging strategies, to mitigate the effects of foreign currency</w:t>
        <w:noBreakHyphen/>
        <w:t>denominated cash flow and earnings exposures. As of March 31, 2026, the Partnership did not have any outstanding foreign currency derivatives.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Evaluation of Disclosure Controls and Procedures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have established disclosure controls and procedures to ensure that information required to be disclosed by us, including our consolidated entities, in the reports that we file or submit under the Exchange Act is recorded, processed, summarized and reported within the time periods specified in the SEC’s rules and forms.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v:textbox>
                <w10:wrap type="none"/>
              </v:rect>
            </w:pict>
          </mc:Fallback>
        </mc:AlternateContent>
      </w:r>
    </w:p>
    <w:p>
      <w:pPr>
        <w:pStyle w:val="TextBody"/>
        <w:bidi w:val="0"/>
        <w:spacing w:lineRule="auto" w:line="288" w:before="120" w:after="283"/>
        <w:ind w:left="0" w:right="0" w:hanging="360"/>
        <w:jc w:val="both"/>
        <w:rPr/>
      </w:pPr>
      <w:hyperlink w:anchor="i5e1c82de0c41484c87a001ffe0af493e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Under the supervision and with the participation of senior management, including the Co-Chief Executive Officers (Co-Principal Executive Officers) and the Chief Financial Officer (Principal Financial Officer) of our General Partner, we evaluated our disclosure controls and procedures, as such term is defined under Rule 13a–15(e) promulgated under the Exchange Act. Based on this evaluation, the Co-Principal Executive Officers and the Principal Financial Officer of our General Partner concluded that our disclosure controls and procedures were effective as of March 31, 2026 to ensure that information required to be disclosed by us in the reports we file or submit under the Exchange Act (1) is recorded, processed, summarized and reported within the time periods specified in the SEC’s rules and forms, and (2) is accumulated and communicated to management, including the Co-Principal Executive Officers and Principal Financial Officer of our General Partner, to allow timely decisions regarding required disclosure.</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Changes in Internal Control over Financial Reporting</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There have been no changes in our internal control over financial reporting (as defined in Rule 13(a)-15(f) or Rule 15d-15(f) of the Exchange Act) during the three months ended March 31, 2026 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4"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v:textbox>
                <w10:wrap type="none"/>
              </v:rect>
            </w:pict>
          </mc:Fallback>
        </mc:AlternateContent>
      </w:r>
    </w:p>
    <w:p>
      <w:pPr>
        <w:pStyle w:val="TextBody"/>
        <w:bidi w:val="0"/>
        <w:spacing w:lineRule="auto" w:line="288" w:before="120" w:after="283"/>
        <w:ind w:left="0" w:right="0" w:hanging="360"/>
        <w:jc w:val="both"/>
        <w:rPr/>
      </w:pPr>
      <w:hyperlink w:anchor="i5e1c82de0c41484c87a001ffe0af493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For information regarding legal proceedings, see our Annual Report on Form 10-K filed with the SEC on February 19, 2026 and Note 10 in “Item 1. Financial Statements” in this Quarterly Report on Form 10-Q for the quarter ended March 31, 2026.</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Additionally, we have received notices of violations and potential fines under various federal, state and local provisions relating to the discharge of materials into the environment or protection of the environment. While we believe that even if any one or more of the following environmental proceedings were decided against us, it would not be material to our financial position, results of operations or cash flows, we are required to report environmental governmental proceedings if we reasonably believe that such proceedings reasonably could result in monetary sanctions in excess of $1 million (previously $0.3 million).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On February 3, 2022, the State of New Mexico, ex rel. Hector Balderas, Attorney General filed a complaint against ETO, Transwestern, Kinder Morgan, Inc., El Paso Natural Gas L.L.C. and Northwest Pipeline, LLC in Cause No. D-101-CV-2022-00174 in the First Judicial District Court, County of Santa Fe, State of New Mexico, seeking to recover statewide damages for contamination with PCBs used for decades by the oil and gas industry in the operation and maintenance of pipeline infrastructure. The complaint alleged discharge or release of PCBs into the natural environment from compressor stations in connection with the operation of Transwestern. The State sought damages in the range of $50 million to $60 million plus attorneys’ fees from Transwestern. The parties agreed to a settlement in September 2025. The parties executed a settlement agreement in February 2026 and dismissed the case.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On June 15, 2023, PHMSA issued a Notice of Probable Violation, Proposed Civil Penalty, and Proposed Compliance Order (collectively “NOPV”), CPF 4-2023-011-NOPV, identifying three probable violations with compliance order actions associated with two of them and civil penalties proposed in an amount totaling approximately $2 million. The NOPV related to a PHMSA Accident Investigation Division investigation of a pigging incident which occurred on March 26, 2020 at the Partnership’s Borcher Station in Kansas and resulted in a fatality. The Partnership challenged PHMSA’s alleged violations and related civil penalties and compliance order actions contained in the NOPV. After an administrative hearing, which was held on April 24, 2024 before a PHMSA Presiding Official, the PHMSA Southwest Region recommended to remain relatively firm on the NOPV, only slightly reducing the civil penalty by approximately $19 thousand. The Partnership challenged the PHMSA administrative process in federal court, alleging among other things that PHMSA’s in-house administrative enforcement process was unconstitutional. In response, PHMSA has withdrawn the NOPV, terminated its in-house administrative action, and elected to file an enforcement action in federal court. The Partnership paid approximately $1.4 million and settled the case on December 31, 2025. The Court terminated the case on January 12, 2026.</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On October 13, 2023, Mid Valley received a Notice of Proposed Safety Order (“NOPSO”) from the PHMSA related to various historical accidents and complaints reported to PHMSA on the Mid Valley system. The NOPSO requests that Mid Valley perform several proposed corrective measures within six months of receipt of a Safety Order; however, in response, Mid Valley requested that PHMSA engage in informal consultations prior to issuing a Safety Order in an effort for the parties to potentially enter into a Consent Agreement and Order. Informal consultation is underway. In the event a Consent Agreement and Order is not reached between the parties during this process, Mid Valley may request a Hearing on the NOPSO. The informal consultation process has concluded with PHMSA and Mid Valley reaching agreement on the Corrective Measures. PHMSA issued the Consent Agreement which was signed by Mid Valley on March 21, 2025. The fully executed version of the Consent Agreement was received by Mid Valley on April 24, 2025. All items required by the Consent Agreement have been completed and documentation, including the bi-annual report on the internal corrosion control program, submitted to PHMSA for review. Mid Valley met with PHMSA over the week of April 6, 2026 in the ETC Houston office to review records related to the Consent Agreement and are planning field inspections in the second quarter and the third quarter of 2026 to verify actions. Mid Valley is anticipating closure of the Consent Agreement in the third quarter of 2026.</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On January 31, 2025, a release of refined products was discovered from the 14-inch Twin Oaks to Newark Pipeline in Upper Makefield Township, Bucks County, Pennsylvania. The release allegedly impacted certain properties and water wells near the release location. On February 13, 2025, SPLP voluntarily entered into the Pennsylvania remediation program through a Notice of Intent to Remediate, which was revised on March 4, 2025. On March 6, 2025, the Pennsylvania Department of Environmental Protection issued an Administrative Order directing that SPLP conduct the remediation. On May 2, 2025, PHMSA entered a Consent Order, adopting an agreement SPLP entered into with PHMSA on April 30, 2025. Finally, on April 9, 2025, SPLP was advised that the Bucks County District Attorney’s Office has referred the matter to the Pennsylvania Attorney General’s Office, Environmental Crimes Unit. The Attorney General’s Office has accepted the referral and opened an investigation, and on December 19, 2025, a Pennsylvania Statewide Investigating Grand Jury issued a subpoena requesting materials relating to the release. Potential charges, penalties or damages are not known at this time. PHMSA issued a Warning Letter to the Partnership on September 11, 2025 alleging certain violations of the Consent Order but stating that it would not conduct additional enforcement action at this time. In addition, certain property owners near the release location have filed individual civil suits and a class action in Philadelphia County Court, 1st Judicial District of Pennsylvania, against SPLP,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5"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v:textbox>
                <w10:wrap type="none"/>
              </v:rect>
            </w:pict>
          </mc:Fallback>
        </mc:AlternateContent>
      </w:r>
    </w:p>
    <w:p>
      <w:pPr>
        <w:pStyle w:val="TextBody"/>
        <w:bidi w:val="0"/>
        <w:spacing w:lineRule="auto" w:line="288" w:before="120" w:after="283"/>
        <w:ind w:left="0" w:right="0" w:hanging="360"/>
        <w:jc w:val="both"/>
        <w:rPr/>
      </w:pPr>
      <w:hyperlink w:anchor="i5e1c82de0c41484c87a001ffe0af493e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Energy Transfer and Energy Transfer R&amp;M, alleging damages for lost property values, nuisance, remediation costs and other tort damages relating to the release. The class action was removed to federal court. We cannot predict the ultimate outcome of this litigation or the amount of time and expense that will be required to resolve it.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following is an update to a risk factor that was previously disclosed by the Partnership in its Annual Report on Form 10-K to reflect recent developments. This risk factor should be read in conjunction with our risk factors described in “Part I – Item 1A. Risk Factors” of our Annual Report on Form 10-K for the year ended December 31, 2025 filed with the SEC on February 19, 2026.</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Climate change legislation or regulations restricting emissions of GHGs could result in increased operating costs and reduced demand for the services we provide.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February 2026, the EPA issued a final rule revoking the GHG “Endangerment Finding” which underpins the majority of EPA’s GHG-related regulations; litigation challenging the revocation is ongoing, and we cannot predict whether the current administration’s deregulatory actions will ultimately be successful, whether future administrations may seek to re-impose similar requirements, or the extent to which the revocation will impact the GHG-related regulations applicable to the Partnership’s operations. As a result of these developments, there is significant uncertainty with respect to GHG regulations at this time.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exhibits listed on the following exhibit index are filed or furnished, as indicated, as part of this report:</w:t>
      </w:r>
    </w:p>
    <w:tbl>
      <w:tblPr>
        <w:tblW w:w="10205" w:type="dxa"/>
        <w:jc w:val="left"/>
        <w:tblInd w:w="0" w:type="dxa"/>
        <w:tblLayout w:type="fixed"/>
        <w:tblCellMar>
          <w:top w:w="28" w:type="dxa"/>
          <w:left w:w="28" w:type="dxa"/>
          <w:bottom w:w="28" w:type="dxa"/>
          <w:right w:w="28" w:type="dxa"/>
        </w:tblCellMar>
      </w:tblPr>
      <w:tblGrid>
        <w:gridCol w:w="344"/>
        <w:gridCol w:w="303"/>
        <w:gridCol w:w="304"/>
        <w:gridCol w:w="109"/>
        <w:gridCol w:w="109"/>
        <w:gridCol w:w="109"/>
        <w:gridCol w:w="2967"/>
        <w:gridCol w:w="2831"/>
        <w:gridCol w:w="2863"/>
        <w:gridCol w:w="109"/>
        <w:gridCol w:w="157"/>
      </w:tblGrid>
      <w:tr>
        <w:trPr/>
        <w:tc>
          <w:tcPr>
            <w:tcW w:w="344"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7" w:type="dxa"/>
            <w:tcBorders/>
            <w:vAlign w:val="center"/>
          </w:tcPr>
          <w:p>
            <w:pPr>
              <w:pStyle w:val="TableContents"/>
              <w:bidi w:val="0"/>
              <w:spacing w:before="0" w:after="283"/>
              <w:jc w:val="left"/>
              <w:rPr>
                <w:sz w:val="4"/>
                <w:szCs w:val="4"/>
              </w:rPr>
            </w:pPr>
            <w:r>
              <w:rPr>
                <w:sz w:val="4"/>
                <w:szCs w:val="4"/>
              </w:rPr>
            </w:r>
          </w:p>
        </w:tc>
        <w:tc>
          <w:tcPr>
            <w:tcW w:w="2831" w:type="dxa"/>
            <w:tcBorders/>
            <w:vAlign w:val="center"/>
          </w:tcPr>
          <w:p>
            <w:pPr>
              <w:pStyle w:val="TableContents"/>
              <w:bidi w:val="0"/>
              <w:spacing w:before="0" w:after="283"/>
              <w:jc w:val="left"/>
              <w:rPr>
                <w:sz w:val="4"/>
                <w:szCs w:val="4"/>
              </w:rPr>
            </w:pPr>
            <w:r>
              <w:rPr>
                <w:sz w:val="4"/>
                <w:szCs w:val="4"/>
              </w:rPr>
            </w:r>
          </w:p>
        </w:tc>
        <w:tc>
          <w:tcPr>
            <w:tcW w:w="28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951"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18"/>
              </w:rPr>
            </w:pPr>
            <w:r>
              <w:rPr>
                <w:rFonts w:ascii="Times New Roman;serif" w:hAnsi="Times New Roman;serif"/>
                <w:b/>
                <w:color w:val="000000"/>
                <w:sz w:val="18"/>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Description</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9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both"/>
              <w:rPr/>
            </w:pPr>
            <w:hyperlink r:id="rId3">
              <w:r>
                <w:rPr>
                  <w:rStyle w:val="InternetLink"/>
                  <w:rFonts w:ascii="Times New Roman;serif" w:hAnsi="Times New Roman;serif"/>
                  <w:b w:val="false"/>
                  <w:color w:val="0000FF"/>
                  <w:sz w:val="18"/>
                  <w:u w:val="single"/>
                </w:rPr>
                <w:t>Certificate of Limited Partnership of Energy Transfer Equity, L.P. (incorporated by reference to Exhibit 3.2 of Form S-1 (File No. 333-128097) filed September 2, 2005)</w:t>
              </w:r>
            </w:hyperlink>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9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1"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4">
              <w:r>
                <w:rPr>
                  <w:rStyle w:val="InternetLink"/>
                  <w:rFonts w:ascii="Times New Roman;serif" w:hAnsi="Times New Roman;serif"/>
                  <w:b w:val="false"/>
                  <w:color w:val="0000FF"/>
                  <w:sz w:val="18"/>
                  <w:u w:val="single"/>
                </w:rPr>
                <w:t>Certificate of Amendment of Certificate of Limited Partnership of Energy Transfer Equity, L.P., dated as of October 19, 2018 (incorporated by reference to Exhibit 3.1 of Form 8-K (File No. 1-32740) filed October 19, 2018)</w:t>
              </w:r>
            </w:hyperlink>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9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1"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5">
              <w:r>
                <w:rPr>
                  <w:rStyle w:val="InternetLink"/>
                  <w:rFonts w:ascii="Times New Roman;serif" w:hAnsi="Times New Roman;serif"/>
                  <w:b w:val="false"/>
                  <w:color w:val="0000FF"/>
                  <w:sz w:val="18"/>
                  <w:u w:val="single"/>
                </w:rPr>
                <w:t>Fourth Amended and Restated Agreement of Limited Partnership of Energy Transfer LP, dated November 3, 2023 (incorporated by reference to Exhibit 3.3 of Form 10-Q (File No. 1-32740) filed August 8, 2024)</w:t>
              </w:r>
            </w:hyperlink>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9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1"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6">
              <w:r>
                <w:rPr>
                  <w:rStyle w:val="InternetLink"/>
                  <w:rFonts w:ascii="Times New Roman;serif" w:hAnsi="Times New Roman;serif"/>
                  <w:b w:val="false"/>
                  <w:color w:val="0000FF"/>
                  <w:sz w:val="18"/>
                  <w:u w:val="single"/>
                </w:rPr>
                <w:t>Tenth Supplemental Indenture, dated as of January 27, 2026, between Energy Transfer LP, as issuer, and U.S. Bank Trust Company, National Association, as trustee (incorporated by reference to Exhibit 4.2 to Form 8-K (File No. 1-32740) filed January 27, 2026).</w:t>
              </w:r>
            </w:hyperlink>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9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1"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7">
              <w:r>
                <w:rPr>
                  <w:rStyle w:val="InternetLink"/>
                  <w:rFonts w:ascii="Times New Roman;serif" w:hAnsi="Times New Roman;serif"/>
                  <w:b w:val="false"/>
                  <w:color w:val="0000FF"/>
                  <w:sz w:val="18"/>
                  <w:u w:val="single"/>
                </w:rPr>
                <w:t>Issuers and Guarantors of Registered Securities (incorporated by reference to Exhibit 22.1 of Form 10-Q (File No. 1-32740) filed August 5, 2021)</w:t>
              </w:r>
            </w:hyperlink>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1"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t03-31x2026ex311.htm">
              <w:r>
                <w:rPr>
                  <w:rStyle w:val="InternetLink"/>
                  <w:rFonts w:ascii="Times New Roman;serif" w:hAnsi="Times New Roman;serif"/>
                  <w:b w:val="false"/>
                  <w:color w:val="0000FF"/>
                  <w:sz w:val="18"/>
                  <w:u w:val="single"/>
                </w:rPr>
                <w:t>Certification of Co-Chief Executive Officer pursuant to Rule 13a-14(a) or 15d-14(a) of the Securities Exchange Act of 1934 pursuant to Section 302 of the Sarbanes-Oxley Act of 2002</w:t>
              </w:r>
            </w:hyperlink>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1"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t03-31x2026ex312.htm">
              <w:r>
                <w:rPr>
                  <w:rStyle w:val="InternetLink"/>
                  <w:rFonts w:ascii="Times New Roman;serif" w:hAnsi="Times New Roman;serif"/>
                  <w:b w:val="false"/>
                  <w:color w:val="0000FF"/>
                  <w:sz w:val="18"/>
                  <w:u w:val="single"/>
                </w:rPr>
                <w:t>Certification of Co-Chief Executive Officer pursuant to Rule 13a-14(a) or 15d-14(a) of the Securities Exchange Act of 1934 pursuant to Section 302 of the Sarbanes-Oxley Act of 2002</w:t>
              </w:r>
            </w:hyperlink>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31.3*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1"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t03-31x2026ex313.htm">
              <w:r>
                <w:rPr>
                  <w:rStyle w:val="InternetLink"/>
                  <w:rFonts w:ascii="Times New Roman;serif" w:hAnsi="Times New Roman;serif"/>
                  <w:b w:val="false"/>
                  <w:color w:val="0000FF"/>
                  <w:sz w:val="18"/>
                  <w:u w:val="single"/>
                </w:rPr>
                <w:t>Certification of Chief Financial Officer pursuant to Rule 13a-14(a) or 15d-14(a) of the Securities Exchange Act of 1934 pursuant to Section 302 of the Sarbanes-Oxley Act of 2002</w:t>
              </w:r>
            </w:hyperlink>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1"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t03-31x2026ex321.htm">
              <w:r>
                <w:rPr>
                  <w:rStyle w:val="InternetLink"/>
                  <w:rFonts w:ascii="Times New Roman;serif" w:hAnsi="Times New Roman;serif"/>
                  <w:b w:val="false"/>
                  <w:color w:val="0000FF"/>
                  <w:sz w:val="18"/>
                  <w:u w:val="single"/>
                </w:rPr>
                <w:t>Certification of Co-Chief Executive Officer pursuant to 18 U.S.C. Section 1350, as adopted pursuant to Section 906 of the Sarbanes-Oxley Act of 2002</w:t>
              </w:r>
            </w:hyperlink>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1"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t03-31x2026ex322.htm">
              <w:r>
                <w:rPr>
                  <w:rStyle w:val="InternetLink"/>
                  <w:rFonts w:ascii="Times New Roman;serif" w:hAnsi="Times New Roman;serif"/>
                  <w:b w:val="false"/>
                  <w:color w:val="0000FF"/>
                  <w:sz w:val="18"/>
                  <w:u w:val="single"/>
                </w:rPr>
                <w:t>Certification of Co-Chief Executive Officer pursuant to 18 U.S.C. Section 1350, as adopted pursuant to Section 906 of the Sarbanes-Oxley Act of 2002</w:t>
              </w:r>
            </w:hyperlink>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32.3**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1"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t03-31x2026ex323.htm">
              <w:r>
                <w:rPr>
                  <w:rStyle w:val="InternetLink"/>
                  <w:rFonts w:ascii="Times New Roman;serif" w:hAnsi="Times New Roman;serif"/>
                  <w:b w:val="false"/>
                  <w:color w:val="0000FF"/>
                  <w:sz w:val="18"/>
                  <w:u w:val="single"/>
                </w:rPr>
                <w:t>Certification of Chief Financial Officer pursuant to 18 U.S.C. Section 1350, as adopted pursuant to Section 906 of the Sarbanes-Oxley Act of 2002</w:t>
              </w:r>
            </w:hyperlink>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1" w:type="dxa"/>
            <w:gridSpan w:val="3"/>
            <w:tcBorders/>
            <w:tcMar>
              <w:top w:w="0" w:type="dxa"/>
              <w:left w:w="0" w:type="dxa"/>
              <w:bottom w:w="0" w:type="dxa"/>
              <w:right w:w="0" w:type="dxa"/>
            </w:tcMar>
            <w:vAlign w:val="center"/>
          </w:tcPr>
          <w:p>
            <w:pPr>
              <w:pStyle w:val="TableContents"/>
              <w:bidi w:val="0"/>
              <w:spacing w:lineRule="auto" w:line="240" w:before="40" w:after="40"/>
              <w:jc w:val="both"/>
              <w:rPr>
                <w:rFonts w:ascii="Times New Roman;serif" w:hAnsi="Times New Roman;serif"/>
                <w:b w:val="false"/>
                <w:color w:val="000000"/>
                <w:sz w:val="18"/>
              </w:rPr>
            </w:pPr>
            <w:r>
              <w:rPr>
                <w:rFonts w:ascii="Times New Roman;serif" w:hAnsi="Times New Roman;serif"/>
                <w:b w:val="false"/>
                <w:color w:val="000000"/>
                <w:sz w:val="18"/>
              </w:rPr>
              <w:t>Interactive data files pursuant to Rule 405 of Regulation S-T: (i) our Consolidated Balance Sheets; (ii) our Consolidated Statements of Operations; (iii) our Consolidated Statements of Comprehensive Income; (iv) our Consolidated Statements of Equity; (v) our Consolidated Statements of Cash Flows; and (vi) the notes to our Consolidated Financial Statements</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Cover Page Interactive Data File (formatted as inline XBRL and contained in Exhibit 101)</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Filed herewith</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Furnished herewith</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6"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65</w:t>
                      </w:r>
                    </w:p>
                  </w:txbxContent>
                </v:textbox>
                <w10:wrap type="none"/>
              </v:rect>
            </w:pict>
          </mc:Fallback>
        </mc:AlternateContent>
      </w:r>
    </w:p>
    <w:p>
      <w:pPr>
        <w:pStyle w:val="TextBody"/>
        <w:bidi w:val="0"/>
        <w:spacing w:lineRule="auto" w:line="288" w:before="120" w:after="283"/>
        <w:ind w:left="0" w:right="0" w:hanging="360"/>
        <w:jc w:val="both"/>
        <w:rPr/>
      </w:pPr>
      <w:hyperlink w:anchor="i5e1c82de0c41484c87a001ffe0af493e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jc w:val="center"/>
        <w:rPr>
          <w:rFonts w:ascii="Times New Roman;serif" w:hAnsi="Times New Roman;serif"/>
          <w:b/>
          <w:color w:val="000000"/>
          <w:sz w:val="20"/>
          <w:u w:val="single"/>
        </w:rPr>
      </w:pPr>
      <w:r>
        <w:rPr>
          <w:rFonts w:ascii="Times New Roman;serif" w:hAnsi="Times New Roman;serif"/>
          <w:b/>
          <w:color w:val="000000"/>
          <w:sz w:val="20"/>
          <w:u w:val="single"/>
        </w:rPr>
        <w:t>SIGNATURE</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9220" w:type="dxa"/>
        <w:jc w:val="left"/>
        <w:tblInd w:w="0" w:type="dxa"/>
        <w:tblLayout w:type="fixed"/>
        <w:tblCellMar>
          <w:top w:w="28" w:type="dxa"/>
          <w:left w:w="28" w:type="dxa"/>
          <w:bottom w:w="28" w:type="dxa"/>
          <w:right w:w="28" w:type="dxa"/>
        </w:tblCellMar>
      </w:tblPr>
      <w:tblGrid>
        <w:gridCol w:w="200"/>
        <w:gridCol w:w="177"/>
        <w:gridCol w:w="178"/>
        <w:gridCol w:w="379"/>
        <w:gridCol w:w="379"/>
        <w:gridCol w:w="381"/>
        <w:gridCol w:w="237"/>
        <w:gridCol w:w="237"/>
        <w:gridCol w:w="237"/>
        <w:gridCol w:w="237"/>
        <w:gridCol w:w="237"/>
        <w:gridCol w:w="237"/>
        <w:gridCol w:w="1780"/>
        <w:gridCol w:w="1780"/>
        <w:gridCol w:w="2544"/>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780" w:type="dxa"/>
            <w:tcBorders/>
            <w:vAlign w:val="center"/>
          </w:tcPr>
          <w:p>
            <w:pPr>
              <w:pStyle w:val="TableContents"/>
              <w:bidi w:val="0"/>
              <w:spacing w:before="0" w:after="283"/>
              <w:jc w:val="left"/>
              <w:rPr>
                <w:sz w:val="4"/>
                <w:szCs w:val="4"/>
              </w:rPr>
            </w:pPr>
            <w:r>
              <w:rPr>
                <w:sz w:val="4"/>
                <w:szCs w:val="4"/>
              </w:rPr>
            </w:r>
          </w:p>
        </w:tc>
        <w:tc>
          <w:tcPr>
            <w:tcW w:w="1780" w:type="dxa"/>
            <w:tcBorders/>
            <w:vAlign w:val="center"/>
          </w:tcPr>
          <w:p>
            <w:pPr>
              <w:pStyle w:val="TableContents"/>
              <w:bidi w:val="0"/>
              <w:spacing w:before="0" w:after="283"/>
              <w:jc w:val="left"/>
              <w:rPr>
                <w:sz w:val="4"/>
                <w:szCs w:val="4"/>
              </w:rPr>
            </w:pPr>
            <w:r>
              <w:rPr>
                <w:sz w:val="4"/>
                <w:szCs w:val="4"/>
              </w:rPr>
            </w:r>
          </w:p>
        </w:tc>
        <w:tc>
          <w:tcPr>
            <w:tcW w:w="2544"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6"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ENERGY TRANSFER LP</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By:</w:t>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 GP, LLC, its general partner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Date:</w:t>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7, 2026</w:t>
            </w:r>
          </w:p>
        </w:tc>
        <w:tc>
          <w:tcPr>
            <w:tcW w:w="7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By:</w:t>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A. Troy Sturrock</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 Troy Sturrock</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Group Senior Vice President, Controller and Principal 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7"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 xml:space="preserve">CERTIFICATION OF CO-CHIEF EXECUTIVE OFFICER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302 OF THE SARBANES-OXLEY ACT OF 2002</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I, Marshall S. McCrea, III, certify that:</w:t>
      </w:r>
    </w:p>
    <w:p>
      <w:pPr>
        <w:pStyle w:val="TextBody"/>
        <w:bidi w:val="0"/>
        <w:spacing w:lineRule="auto" w:line="288" w:before="120" w:after="283"/>
        <w:ind w:left="0" w:right="0" w:hanging="900"/>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Energy Transfer LP;</w:t>
      </w:r>
    </w:p>
    <w:p>
      <w:pPr>
        <w:pStyle w:val="TextBody"/>
        <w:bidi w:val="0"/>
        <w:spacing w:lineRule="auto" w:line="288" w:before="120" w:after="283"/>
        <w:ind w:left="0" w:right="0" w:hanging="90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ind w:left="0" w:right="0" w:hanging="90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ind w:left="0" w:right="0" w:hanging="90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Date: May 7, 2026 </w:t>
      </w:r>
    </w:p>
    <w:p>
      <w:pPr>
        <w:pStyle w:val="TextBody"/>
        <w:bidi w:val="0"/>
        <w:spacing w:lineRule="auto" w:line="288" w:before="0" w:after="0"/>
        <w:jc w:val="left"/>
        <w:rPr>
          <w:color w:val="000000"/>
        </w:rPr>
      </w:pPr>
      <w:r>
        <w:rPr>
          <w:color w:val="000000"/>
        </w:rPr>
        <w:t> </w:t>
      </w:r>
    </w:p>
    <w:tbl>
      <w:tblPr>
        <w:tblW w:w="2384" w:type="dxa"/>
        <w:jc w:val="right"/>
        <w:tblInd w:w="0" w:type="dxa"/>
        <w:tblLayout w:type="fixed"/>
        <w:tblCellMar>
          <w:top w:w="28" w:type="dxa"/>
          <w:left w:w="28" w:type="dxa"/>
          <w:bottom w:w="28" w:type="dxa"/>
          <w:right w:w="28" w:type="dxa"/>
        </w:tblCellMar>
      </w:tblPr>
      <w:tblGrid>
        <w:gridCol w:w="763"/>
        <w:gridCol w:w="671"/>
        <w:gridCol w:w="950"/>
      </w:tblGrid>
      <w:tr>
        <w:trPr/>
        <w:tc>
          <w:tcPr>
            <w:tcW w:w="763"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Marshall S. McCrea, III</w:t>
            </w:r>
          </w:p>
        </w:tc>
      </w:tr>
      <w:tr>
        <w:trPr/>
        <w:tc>
          <w:tcPr>
            <w:tcW w:w="23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Marshall S. McCrea, III</w:t>
            </w:r>
          </w:p>
        </w:tc>
      </w:tr>
      <w:tr>
        <w:trPr/>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75260"/>
                <wp:effectExtent l="0" t="0" r="0" b="0"/>
                <wp:wrapNone/>
                <wp:docPr id="68" name="Frame6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 xml:space="preserve">CERTIFICATION OF CO-CHIEF EXECUTIVE OFFICER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302 OF THE SARBANES-OXLEY ACT OF 2002</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I, Thomas E. Long, certify that:</w:t>
      </w:r>
    </w:p>
    <w:p>
      <w:pPr>
        <w:pStyle w:val="TextBody"/>
        <w:bidi w:val="0"/>
        <w:spacing w:lineRule="auto" w:line="288" w:before="120" w:after="283"/>
        <w:ind w:left="0" w:right="0" w:hanging="900"/>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Energy Transfer LP;</w:t>
      </w:r>
    </w:p>
    <w:p>
      <w:pPr>
        <w:pStyle w:val="TextBody"/>
        <w:bidi w:val="0"/>
        <w:spacing w:lineRule="auto" w:line="288" w:before="120" w:after="283"/>
        <w:ind w:left="0" w:right="0" w:hanging="90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ind w:left="0" w:right="0" w:hanging="90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ind w:left="0" w:right="0" w:hanging="90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Date: May 7, 2026 </w:t>
      </w:r>
    </w:p>
    <w:p>
      <w:pPr>
        <w:pStyle w:val="TextBody"/>
        <w:bidi w:val="0"/>
        <w:spacing w:lineRule="auto" w:line="288" w:before="0" w:after="0"/>
        <w:jc w:val="left"/>
        <w:rPr>
          <w:color w:val="000000"/>
        </w:rPr>
      </w:pPr>
      <w:r>
        <w:rPr>
          <w:color w:val="000000"/>
        </w:rPr>
        <w:t> </w:t>
      </w:r>
    </w:p>
    <w:tbl>
      <w:tblPr>
        <w:tblW w:w="2385" w:type="dxa"/>
        <w:jc w:val="right"/>
        <w:tblInd w:w="0" w:type="dxa"/>
        <w:tblLayout w:type="fixed"/>
        <w:tblCellMar>
          <w:top w:w="28" w:type="dxa"/>
          <w:left w:w="28" w:type="dxa"/>
          <w:bottom w:w="28" w:type="dxa"/>
          <w:right w:w="28" w:type="dxa"/>
        </w:tblCellMar>
      </w:tblPr>
      <w:tblGrid>
        <w:gridCol w:w="762"/>
        <w:gridCol w:w="670"/>
        <w:gridCol w:w="953"/>
      </w:tblGrid>
      <w:tr>
        <w:trPr/>
        <w:tc>
          <w:tcPr>
            <w:tcW w:w="762"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Thomas E. Long</w:t>
            </w:r>
          </w:p>
        </w:tc>
      </w:tr>
      <w:tr>
        <w:trPr/>
        <w:tc>
          <w:tcPr>
            <w:tcW w:w="23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Thomas E. Long</w:t>
            </w:r>
          </w:p>
        </w:tc>
      </w:tr>
      <w:tr>
        <w:trPr/>
        <w:tc>
          <w:tcPr>
            <w:tcW w:w="23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Co-Chief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75260"/>
                <wp:effectExtent l="0" t="0" r="0" b="0"/>
                <wp:wrapNone/>
                <wp:docPr id="69" name="Frame6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31.3</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 xml:space="preserve">CERTIFICATION OF CHIEF FINANCIAL OFFICER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302 OF THE SARBANES-OXLEY ACT OF 2002</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I, Dylan A. Bramhall, certify that:</w:t>
      </w:r>
    </w:p>
    <w:p>
      <w:pPr>
        <w:pStyle w:val="TextBody"/>
        <w:bidi w:val="0"/>
        <w:spacing w:lineRule="auto" w:line="288" w:before="120" w:after="283"/>
        <w:ind w:left="0" w:right="0" w:hanging="900"/>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Energy Transfer LP;</w:t>
      </w:r>
    </w:p>
    <w:p>
      <w:pPr>
        <w:pStyle w:val="TextBody"/>
        <w:bidi w:val="0"/>
        <w:spacing w:lineRule="auto" w:line="288" w:before="120" w:after="283"/>
        <w:ind w:left="0" w:right="0" w:hanging="90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ind w:left="0" w:right="0" w:hanging="90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ind w:left="0" w:right="0" w:hanging="90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Date: May 7, 2026 </w:t>
      </w:r>
    </w:p>
    <w:p>
      <w:pPr>
        <w:pStyle w:val="TextBody"/>
        <w:bidi w:val="0"/>
        <w:spacing w:lineRule="auto" w:line="288" w:before="0" w:after="0"/>
        <w:jc w:val="left"/>
        <w:rPr>
          <w:color w:val="000000"/>
        </w:rPr>
      </w:pPr>
      <w:r>
        <w:rPr>
          <w:color w:val="000000"/>
        </w:rPr>
        <w:t> </w:t>
      </w:r>
    </w:p>
    <w:tbl>
      <w:tblPr>
        <w:tblW w:w="5009" w:type="dxa"/>
        <w:jc w:val="right"/>
        <w:tblInd w:w="0" w:type="dxa"/>
        <w:tblLayout w:type="fixed"/>
        <w:tblCellMar>
          <w:top w:w="28" w:type="dxa"/>
          <w:left w:w="28" w:type="dxa"/>
          <w:bottom w:w="28" w:type="dxa"/>
          <w:right w:w="28" w:type="dxa"/>
        </w:tblCellMar>
      </w:tblPr>
      <w:tblGrid>
        <w:gridCol w:w="1603"/>
        <w:gridCol w:w="1404"/>
        <w:gridCol w:w="2002"/>
      </w:tblGrid>
      <w:tr>
        <w:trPr/>
        <w:tc>
          <w:tcPr>
            <w:tcW w:w="1603" w:type="dxa"/>
            <w:tcBorders/>
            <w:vAlign w:val="center"/>
          </w:tcPr>
          <w:p>
            <w:pPr>
              <w:pStyle w:val="TableContents"/>
              <w:bidi w:val="0"/>
              <w:spacing w:before="0" w:after="283"/>
              <w:jc w:val="left"/>
              <w:rPr>
                <w:sz w:val="4"/>
                <w:szCs w:val="4"/>
              </w:rPr>
            </w:pPr>
            <w:r>
              <w:rPr>
                <w:sz w:val="4"/>
                <w:szCs w:val="4"/>
              </w:rPr>
            </w:r>
          </w:p>
        </w:tc>
        <w:tc>
          <w:tcPr>
            <w:tcW w:w="1404" w:type="dxa"/>
            <w:tcBorders/>
            <w:vAlign w:val="center"/>
          </w:tcPr>
          <w:p>
            <w:pPr>
              <w:pStyle w:val="TableContents"/>
              <w:bidi w:val="0"/>
              <w:spacing w:before="0" w:after="283"/>
              <w:jc w:val="left"/>
              <w:rPr>
                <w:sz w:val="4"/>
                <w:szCs w:val="4"/>
              </w:rPr>
            </w:pPr>
            <w:r>
              <w:rPr>
                <w:sz w:val="4"/>
                <w:szCs w:val="4"/>
              </w:rPr>
            </w:r>
          </w:p>
        </w:tc>
        <w:tc>
          <w:tcPr>
            <w:tcW w:w="2002"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Dylan A. Bramhall</w:t>
            </w:r>
          </w:p>
        </w:tc>
      </w:tr>
      <w:tr>
        <w:trPr/>
        <w:tc>
          <w:tcPr>
            <w:tcW w:w="50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Dylan A. Bramhall</w:t>
            </w:r>
          </w:p>
        </w:tc>
      </w:tr>
      <w:tr>
        <w:trPr/>
        <w:tc>
          <w:tcPr>
            <w:tcW w:w="5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and Group 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75260"/>
                <wp:effectExtent l="0" t="0" r="0" b="0"/>
                <wp:wrapNone/>
                <wp:docPr id="70" name="Frame6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of Energy Transfer LP (the “Partnership”) on Form 10-Q for the quarter ended March 31, 2026, as filed with the Securities and Exchange Commission on the date hereof (the “Report”), I, Marshall S. McCrea, III, Co-Chief Executive Officer, certify, pursuant to 18 U.S.C. Section 1350, as adopted pursuant to Section 906 of the Sarbanes-Oxley Act of 2002, that to the best of my knowledge:</w:t>
      </w:r>
    </w:p>
    <w:p>
      <w:pPr>
        <w:pStyle w:val="TextBody"/>
        <w:bidi w:val="0"/>
        <w:spacing w:lineRule="auto" w:line="288" w:before="12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as amended; and</w:t>
      </w:r>
    </w:p>
    <w:p>
      <w:pPr>
        <w:pStyle w:val="TextBody"/>
        <w:bidi w:val="0"/>
        <w:spacing w:lineRule="auto" w:line="288" w:before="12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Partnership.</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Date: May 7, 2026 </w:t>
      </w:r>
    </w:p>
    <w:p>
      <w:pPr>
        <w:pStyle w:val="TextBody"/>
        <w:bidi w:val="0"/>
        <w:spacing w:before="180" w:after="283"/>
        <w:jc w:val="left"/>
        <w:rPr/>
      </w:pPr>
      <w:r>
        <w:rPr/>
      </w:r>
    </w:p>
    <w:tbl>
      <w:tblPr>
        <w:tblW w:w="2384" w:type="dxa"/>
        <w:jc w:val="right"/>
        <w:tblInd w:w="0" w:type="dxa"/>
        <w:tblLayout w:type="fixed"/>
        <w:tblCellMar>
          <w:top w:w="28" w:type="dxa"/>
          <w:left w:w="28" w:type="dxa"/>
          <w:bottom w:w="28" w:type="dxa"/>
          <w:right w:w="28" w:type="dxa"/>
        </w:tblCellMar>
      </w:tblPr>
      <w:tblGrid>
        <w:gridCol w:w="763"/>
        <w:gridCol w:w="671"/>
        <w:gridCol w:w="950"/>
      </w:tblGrid>
      <w:tr>
        <w:trPr/>
        <w:tc>
          <w:tcPr>
            <w:tcW w:w="763"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Marshall S. McCrea, III</w:t>
            </w:r>
          </w:p>
        </w:tc>
      </w:tr>
      <w:tr>
        <w:trPr/>
        <w:tc>
          <w:tcPr>
            <w:tcW w:w="23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Marshall S. McCrea, III</w:t>
            </w:r>
          </w:p>
        </w:tc>
      </w:tr>
      <w:tr>
        <w:trPr/>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Co-Chief Executive Officer</w:t>
            </w:r>
          </w:p>
        </w:tc>
      </w:tr>
    </w:tbl>
    <w:p>
      <w:pPr>
        <w:pStyle w:val="TextBody"/>
        <w:bidi w:val="0"/>
        <w:spacing w:before="0" w:after="0"/>
        <w:jc w:val="left"/>
        <w:rPr/>
      </w:pPr>
      <w:r>
        <w:rPr/>
      </w:r>
    </w:p>
    <w:p>
      <w:pPr>
        <w:pStyle w:val="TextBody"/>
        <w:bidi w:val="0"/>
        <w:spacing w:lineRule="auto" w:line="288"/>
        <w:jc w:val="both"/>
        <w:rPr>
          <w:rFonts w:ascii="Times New Roman;serif" w:hAnsi="Times New Roman;serif"/>
          <w:b w:val="false"/>
          <w:color w:val="000000"/>
          <w:sz w:val="20"/>
        </w:rPr>
      </w:pPr>
      <w:r>
        <w:rPr>
          <w:rFonts w:ascii="Times New Roman;serif" w:hAnsi="Times New Roman;serif"/>
          <w:b w:val="false"/>
          <w:color w:val="000000"/>
          <w:sz w:val="20"/>
        </w:rPr>
        <w:t xml:space="preserve">A signed original of this written statement required by Section 906 has been provided to and will be retained by Energy Transfer LP and furnished to the Securities and Exchange Commission upon request.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75260"/>
                <wp:effectExtent l="0" t="0" r="0" b="0"/>
                <wp:wrapNone/>
                <wp:docPr id="71" name="Frame7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180" w:after="140"/>
        <w:jc w:val="both"/>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of Energy Transfer LP (the “Partnership”) on Form 10-Q for the quarter ended March 31, 2026, as filed with the Securities and Exchange Commission on the date hereof (the “Report”), I, Thomas E. Long, Co-Chief Executive Officer, certify, pursuant to 18 U.S.C. Section 1350, as adopted pursuant to Section 906 of the Sarbanes-Oxley Act of 2002, that to the best of my knowledge:</w:t>
      </w:r>
    </w:p>
    <w:p>
      <w:pPr>
        <w:pStyle w:val="TextBody"/>
        <w:bidi w:val="0"/>
        <w:spacing w:lineRule="auto" w:line="288" w:before="12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as amended; and</w:t>
      </w:r>
    </w:p>
    <w:p>
      <w:pPr>
        <w:pStyle w:val="TextBody"/>
        <w:bidi w:val="0"/>
        <w:spacing w:lineRule="auto" w:line="288" w:before="12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Partnership.</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Date: May 7, 2026 </w:t>
      </w:r>
    </w:p>
    <w:p>
      <w:pPr>
        <w:pStyle w:val="TextBody"/>
        <w:bidi w:val="0"/>
        <w:spacing w:before="180" w:after="283"/>
        <w:jc w:val="left"/>
        <w:rPr/>
      </w:pPr>
      <w:r>
        <w:rPr/>
      </w:r>
    </w:p>
    <w:tbl>
      <w:tblPr>
        <w:tblW w:w="2385" w:type="dxa"/>
        <w:jc w:val="right"/>
        <w:tblInd w:w="0" w:type="dxa"/>
        <w:tblLayout w:type="fixed"/>
        <w:tblCellMar>
          <w:top w:w="28" w:type="dxa"/>
          <w:left w:w="28" w:type="dxa"/>
          <w:bottom w:w="28" w:type="dxa"/>
          <w:right w:w="28" w:type="dxa"/>
        </w:tblCellMar>
      </w:tblPr>
      <w:tblGrid>
        <w:gridCol w:w="762"/>
        <w:gridCol w:w="670"/>
        <w:gridCol w:w="953"/>
      </w:tblGrid>
      <w:tr>
        <w:trPr/>
        <w:tc>
          <w:tcPr>
            <w:tcW w:w="762"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Thomas E. Long</w:t>
            </w:r>
          </w:p>
        </w:tc>
      </w:tr>
      <w:tr>
        <w:trPr/>
        <w:tc>
          <w:tcPr>
            <w:tcW w:w="23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Thomas E. Long</w:t>
            </w:r>
          </w:p>
        </w:tc>
      </w:tr>
      <w:tr>
        <w:trPr/>
        <w:tc>
          <w:tcPr>
            <w:tcW w:w="23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Co-Chief Executive Officer</w:t>
            </w:r>
          </w:p>
        </w:tc>
      </w:tr>
    </w:tbl>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 signed original of this written statement required by Section 906 has been provided to and will be retained by Energy Transfer LP and furnished to the Securities and Exchange Commission upon request. </w:t>
      </w:r>
    </w:p>
    <w:p>
      <w:pPr>
        <w:pStyle w:val="TextBody"/>
        <w:bidi w:val="0"/>
        <w:spacing w:before="0" w:after="0"/>
        <w:jc w:val="both"/>
        <w:rPr/>
      </w:pPr>
      <w:r>
        <w:rPr/>
      </w:r>
    </w:p>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75260"/>
                <wp:effectExtent l="0" t="0" r="0" b="0"/>
                <wp:wrapNone/>
                <wp:docPr id="72" name="Frame7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32.3</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of Energy Transfer LP (the “Partnership”) on Form 10-Q for the quarter ended March 31, 2026, as filed with the Securities and Exchange Commission on the date hereof (the “Report”), I, Dylan A. Bramhall, Chief Financial Officer, certify, pursuant to 18 U.S.C. Section 1350, as adopted pursuant to Section 906 of the Sarbanes-Oxley Act of 2002, that to the best of my knowledge:</w:t>
      </w:r>
    </w:p>
    <w:p>
      <w:pPr>
        <w:pStyle w:val="TextBody"/>
        <w:bidi w:val="0"/>
        <w:spacing w:lineRule="auto" w:line="288" w:before="12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as amended; and</w:t>
      </w:r>
    </w:p>
    <w:p>
      <w:pPr>
        <w:pStyle w:val="TextBody"/>
        <w:bidi w:val="0"/>
        <w:spacing w:lineRule="auto" w:line="288" w:before="12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Partnership.</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Date: May 7, 2026 </w:t>
      </w:r>
    </w:p>
    <w:p>
      <w:pPr>
        <w:pStyle w:val="TextBody"/>
        <w:bidi w:val="0"/>
        <w:spacing w:before="180" w:after="283"/>
        <w:jc w:val="left"/>
        <w:rPr/>
      </w:pPr>
      <w:r>
        <w:rPr/>
      </w:r>
    </w:p>
    <w:tbl>
      <w:tblPr>
        <w:tblW w:w="5009" w:type="dxa"/>
        <w:jc w:val="right"/>
        <w:tblInd w:w="0" w:type="dxa"/>
        <w:tblLayout w:type="fixed"/>
        <w:tblCellMar>
          <w:top w:w="28" w:type="dxa"/>
          <w:left w:w="28" w:type="dxa"/>
          <w:bottom w:w="28" w:type="dxa"/>
          <w:right w:w="28" w:type="dxa"/>
        </w:tblCellMar>
      </w:tblPr>
      <w:tblGrid>
        <w:gridCol w:w="1603"/>
        <w:gridCol w:w="1404"/>
        <w:gridCol w:w="2002"/>
      </w:tblGrid>
      <w:tr>
        <w:trPr/>
        <w:tc>
          <w:tcPr>
            <w:tcW w:w="1603" w:type="dxa"/>
            <w:tcBorders/>
            <w:vAlign w:val="center"/>
          </w:tcPr>
          <w:p>
            <w:pPr>
              <w:pStyle w:val="TableContents"/>
              <w:bidi w:val="0"/>
              <w:spacing w:before="0" w:after="283"/>
              <w:jc w:val="left"/>
              <w:rPr>
                <w:sz w:val="4"/>
                <w:szCs w:val="4"/>
              </w:rPr>
            </w:pPr>
            <w:r>
              <w:rPr>
                <w:sz w:val="4"/>
                <w:szCs w:val="4"/>
              </w:rPr>
            </w:r>
          </w:p>
        </w:tc>
        <w:tc>
          <w:tcPr>
            <w:tcW w:w="1404" w:type="dxa"/>
            <w:tcBorders/>
            <w:vAlign w:val="center"/>
          </w:tcPr>
          <w:p>
            <w:pPr>
              <w:pStyle w:val="TableContents"/>
              <w:bidi w:val="0"/>
              <w:spacing w:before="0" w:after="283"/>
              <w:jc w:val="left"/>
              <w:rPr>
                <w:sz w:val="4"/>
                <w:szCs w:val="4"/>
              </w:rPr>
            </w:pPr>
            <w:r>
              <w:rPr>
                <w:sz w:val="4"/>
                <w:szCs w:val="4"/>
              </w:rPr>
            </w:r>
          </w:p>
        </w:tc>
        <w:tc>
          <w:tcPr>
            <w:tcW w:w="2002"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Dylan A. Bramhall</w:t>
            </w:r>
          </w:p>
        </w:tc>
      </w:tr>
      <w:tr>
        <w:trPr/>
        <w:tc>
          <w:tcPr>
            <w:tcW w:w="50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Dylan A. Bramhall</w:t>
            </w:r>
          </w:p>
        </w:tc>
      </w:tr>
      <w:tr>
        <w:trPr/>
        <w:tc>
          <w:tcPr>
            <w:tcW w:w="5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and Group Chief Financial Officer</w:t>
            </w:r>
          </w:p>
        </w:tc>
      </w:tr>
    </w:tbl>
    <w:p>
      <w:pPr>
        <w:pStyle w:val="TextBody"/>
        <w:bidi w:val="0"/>
        <w:spacing w:before="0" w:after="0"/>
        <w:jc w:val="left"/>
        <w:rPr/>
      </w:pPr>
      <w:r>
        <w:rPr/>
      </w:r>
    </w:p>
    <w:p>
      <w:pPr>
        <w:pStyle w:val="TextBody"/>
        <w:bidi w:val="0"/>
        <w:spacing w:lineRule="auto" w:line="288"/>
        <w:jc w:val="both"/>
        <w:rPr>
          <w:rFonts w:ascii="Times New Roman;serif" w:hAnsi="Times New Roman;serif"/>
          <w:b w:val="false"/>
          <w:color w:val="000000"/>
          <w:sz w:val="20"/>
        </w:rPr>
      </w:pPr>
      <w:r>
        <w:rPr>
          <w:rFonts w:ascii="Times New Roman;serif" w:hAnsi="Times New Roman;serif"/>
          <w:b w:val="false"/>
          <w:color w:val="000000"/>
          <w:sz w:val="20"/>
        </w:rPr>
        <w:t xml:space="preserve">A signed original of this written statement required by Section 906 has been provided to and will be retained by Energy Transfer LP and furnished to the Securities and Exchange Commission upon request. </w:t>
      </w:r>
    </w:p>
    <w:p>
      <w:pPr>
        <w:pStyle w:val="TextBody"/>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75260"/>
                <wp:effectExtent l="0" t="0" r="0" b="0"/>
                <wp:wrapNone/>
                <wp:docPr id="73" name="Frame7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276187/000119312505179978/dex32.htm" TargetMode="External"/><Relationship Id="rId4" Type="http://schemas.openxmlformats.org/officeDocument/2006/relationships/hyperlink" Target="https://www.sec.gov/Archives/edgar/data/1276187/000119312518303169/d639079dex31.htm" TargetMode="External"/><Relationship Id="rId5" Type="http://schemas.openxmlformats.org/officeDocument/2006/relationships/hyperlink" Target="https://www.sec.gov/Archives/edgar/data/1276187/000127618724000083/et06-30x2024ex33.htm" TargetMode="External"/><Relationship Id="rId6" Type="http://schemas.openxmlformats.org/officeDocument/2006/relationships/hyperlink" Target="https://www.sec.gov/Archives/edgar/data/1276187/000119312526024378/d64050dex42.htm" TargetMode="External"/><Relationship Id="rId7" Type="http://schemas.openxmlformats.org/officeDocument/2006/relationships/hyperlink" Target="https://www.sec.gov/Archives/edgar/data/1276187/000127618721000067/et06-30x2021ex221.htm"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36504</Words>
  <Characters>201700</Characters>
  <CharactersWithSpaces>235856</CharactersWithSpaces>
  <Paragraphs>3701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