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5,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ENERGY TRANSFER LP</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242" w:right="339" w:bottom="1440" w:gutter="0" w:footer="0" w:header="0"/>
        </w:sectPr>
      </w:pPr>
    </w:p>
    <w:p>
      <w:pPr>
        <w:spacing w:after="0" w:line="255"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1-32740</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30-0108820</w:t>
      </w:r>
    </w:p>
    <w:p>
      <w:pPr>
        <w:spacing w:after="0" w:line="31" w:lineRule="exact"/>
        <w:rPr>
          <w:sz w:val="24"/>
          <w:szCs w:val="24"/>
          <w:color w:val="auto"/>
        </w:rPr>
      </w:pPr>
    </w:p>
    <w:p>
      <w:pPr>
        <w:sectPr>
          <w:pgSz w:w="11900" w:h="16838" w:orient="portrait"/>
          <w:cols w:equalWidth="0" w:num="3">
            <w:col w:w="4600" w:space="720"/>
            <w:col w:w="2420" w:space="720"/>
            <w:col w:w="2780"/>
          </w:cols>
          <w:pgMar w:left="320" w:top="1242" w:right="339" w:bottom="1440" w:gutter="0" w:footer="0" w:header="0"/>
          <w:type w:val="continuous"/>
        </w:sectPr>
      </w:pPr>
    </w:p>
    <w:p>
      <w:pPr>
        <w:jc w:val="center"/>
        <w:ind w:left="7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06" w:lineRule="exact"/>
        <w:rPr>
          <w:sz w:val="24"/>
          <w:szCs w:val="24"/>
          <w:color w:val="auto"/>
        </w:rPr>
      </w:pPr>
    </w:p>
    <w:p>
      <w:pPr>
        <w:sectPr>
          <w:pgSz w:w="11900" w:h="16838" w:orient="portrait"/>
          <w:cols w:equalWidth="0" w:num="3">
            <w:col w:w="3920" w:space="700"/>
            <w:col w:w="2320" w:space="720"/>
            <w:col w:w="3580"/>
          </w:cols>
          <w:pgMar w:left="320" w:top="1242"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8111 Westchester Drive, Suite 600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Dallas, Texas 75225</w:t>
      </w:r>
    </w:p>
    <w:p>
      <w:pPr>
        <w:sectPr>
          <w:pgSz w:w="11900" w:h="16838" w:orient="portrait"/>
          <w:cols w:equalWidth="0" w:num="1">
            <w:col w:w="11240"/>
          </w:cols>
          <w:pgMar w:left="320" w:top="1242" w:right="339" w:bottom="1440" w:gutter="0" w:footer="0" w:header="0"/>
          <w:type w:val="continuous"/>
        </w:sectPr>
      </w:pPr>
    </w:p>
    <w:p>
      <w:pPr>
        <w:spacing w:after="0" w:line="9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27"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(214) 981-0700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640" w:firstLine="8"/>
        <w:spacing w:after="0" w:line="407" w:lineRule="auto"/>
        <w:tabs>
          <w:tab w:leader="none" w:pos="5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84"/>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100" w:type="dxa"/>
            <w:vAlign w:val="bottom"/>
          </w:tcPr>
          <w:p>
            <w:pPr>
              <w:spacing w:after="0"/>
              <w:rPr>
                <w:sz w:val="15"/>
                <w:szCs w:val="15"/>
                <w:color w:val="auto"/>
              </w:rPr>
            </w:pPr>
          </w:p>
        </w:tc>
        <w:tc>
          <w:tcPr>
            <w:tcW w:w="2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ET</w:t>
            </w:r>
          </w:p>
        </w:tc>
        <w:tc>
          <w:tcPr>
            <w:tcW w:w="100" w:type="dxa"/>
            <w:vAlign w:val="bottom"/>
          </w:tcPr>
          <w:p>
            <w:pPr>
              <w:spacing w:after="0"/>
              <w:rPr>
                <w:sz w:val="15"/>
                <w:szCs w:val="15"/>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191"/>
        </w:trPr>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9.250% Series I Fixed Rate Perpetual Preferred Units</w:t>
            </w:r>
          </w:p>
        </w:tc>
        <w:tc>
          <w:tcPr>
            <w:tcW w:w="2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ETprI</w:t>
            </w: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16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May 5, 2026, Energy Transfer LP (the “Partnership”) issued a press release announcing its financial and operating results for the first fiscal quarter ended March 31, 2026. A copy of this press release is furnished as Exhibit 99.1 to this report and is incorporated herein by reference.</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set forth in this Item 2.02 and in the attached exhibit shall be deemed to be “furnished” and not be deemed to be “filed” for purposes of the Securities Exchange Act of 1934, as amended (the “Exchange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1" w:lineRule="exact"/>
        <w:rPr>
          <w:sz w:val="20"/>
          <w:szCs w:val="20"/>
          <w:color w:val="auto"/>
        </w:rPr>
      </w:pPr>
    </w:p>
    <w:p>
      <w:pPr>
        <w:ind w:firstLine="656"/>
        <w:spacing w:after="0" w:line="286" w:lineRule="auto"/>
        <w:tabs>
          <w:tab w:leader="none" w:pos="9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Exhibits. </w:t>
      </w:r>
      <w:r>
        <w:rPr>
          <w:rFonts w:ascii="Times New Roman" w:cs="Times New Roman" w:eastAsia="Times New Roman" w:hAnsi="Times New Roman"/>
          <w:sz w:val="18"/>
          <w:szCs w:val="18"/>
          <w:color w:val="auto"/>
        </w:rPr>
        <w:t>In accordance with General Instruction B.2 of Form 8-K, the information set forth in the attached Exhibit 99.1 is deemed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“furnished” and shall not be deemed to be “filed” for purposes of Section 18 of the Exchange Act.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the Exhibit</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18"/>
                <w:szCs w:val="18"/>
                <w:color w:val="auto"/>
              </w:rPr>
            </w:pPr>
          </w:p>
        </w:tc>
        <w:tc>
          <w:tcPr>
            <w:tcW w:w="38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Energy Transfer LP Press Release dated May 5, 2026</w:t>
            </w:r>
          </w:p>
        </w:tc>
        <w:tc>
          <w:tcPr>
            <w:tcW w:w="5960" w:type="dxa"/>
            <w:vAlign w:val="bottom"/>
          </w:tcPr>
          <w:p>
            <w:pPr>
              <w:spacing w:after="0"/>
              <w:rPr>
                <w:sz w:val="18"/>
                <w:szCs w:val="18"/>
                <w:color w:val="auto"/>
              </w:rPr>
            </w:pPr>
          </w:p>
        </w:tc>
      </w:tr>
      <w:tr>
        <w:trPr>
          <w:trHeight w:val="277"/>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694"/>
        </w:trPr>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780" w:type="dxa"/>
            <w:vAlign w:val="bottom"/>
          </w:tcPr>
          <w:p>
            <w:pPr>
              <w:spacing w:after="0"/>
              <w:rPr>
                <w:sz w:val="20"/>
                <w:szCs w:val="20"/>
                <w:color w:val="auto"/>
              </w:rPr>
            </w:pPr>
          </w:p>
        </w:tc>
        <w:tc>
          <w:tcPr>
            <w:tcW w:w="844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ENERGY TRANSFER LP</w:t>
            </w:r>
          </w:p>
        </w:tc>
      </w:tr>
      <w:tr>
        <w:trPr>
          <w:trHeight w:val="234"/>
        </w:trPr>
        <w:tc>
          <w:tcPr>
            <w:tcW w:w="2780" w:type="dxa"/>
            <w:vAlign w:val="bottom"/>
          </w:tcPr>
          <w:p>
            <w:pPr>
              <w:spacing w:after="0"/>
              <w:rPr>
                <w:sz w:val="20"/>
                <w:szCs w:val="20"/>
                <w:color w:val="auto"/>
              </w:rPr>
            </w:pPr>
          </w:p>
        </w:tc>
        <w:tc>
          <w:tcPr>
            <w:tcW w:w="18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LE GP, LLC, its general partner</w:t>
            </w:r>
          </w:p>
        </w:tc>
      </w:tr>
      <w:tr>
        <w:trPr>
          <w:trHeight w:val="445"/>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18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Dylan A. Bramhall</w:t>
            </w:r>
          </w:p>
        </w:tc>
      </w:tr>
      <w:tr>
        <w:trPr>
          <w:trHeight w:val="218"/>
        </w:trPr>
        <w:tc>
          <w:tcPr>
            <w:tcW w:w="2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Dylan A. Bramhall</w:t>
            </w:r>
          </w:p>
        </w:tc>
      </w:tr>
      <w:tr>
        <w:trPr>
          <w:trHeight w:val="234"/>
        </w:trPr>
        <w:tc>
          <w:tcPr>
            <w:tcW w:w="27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Group Chief Financial Officer</w:t>
            </w:r>
          </w:p>
        </w:tc>
      </w:tr>
    </w:tbl>
    <w:p>
      <w:pPr>
        <w:sectPr>
          <w:pgSz w:w="11900" w:h="16838" w:orient="portrait"/>
          <w:cols w:equalWidth="0" w:num="1">
            <w:col w:w="11240"/>
          </w:cols>
          <w:pgMar w:left="320" w:top="88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680720</wp:posOffset>
            </wp:positionV>
            <wp:extent cx="233997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33997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ENERGY TRANSFER REPORTS FIRST QUARTER 2026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UPDATES 2026 FINANCIAL GUIDANCE</w:t>
      </w:r>
    </w:p>
    <w:p>
      <w:pPr>
        <w:spacing w:after="0" w:line="14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Dallas – May 5, 2026 - Energy Transfer LP (NYSE:ET) </w:t>
      </w:r>
      <w:r>
        <w:rPr>
          <w:rFonts w:ascii="Times New Roman" w:cs="Times New Roman" w:eastAsia="Times New Roman" w:hAnsi="Times New Roman"/>
          <w:sz w:val="18"/>
          <w:szCs w:val="18"/>
          <w:color w:val="auto"/>
        </w:rPr>
        <w:t>(“Energy Transfer” or the “Partnership”) today reported financial results for the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Energy Transfer reported net income attributable to partners for the three months ended March 31, 2026 of $1.25 billion compared to $1.32 billion for the three months ended March 31, 2025. For the three months ended March 31, 2026, net income per common unit (basic) was $0.35.</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Adjusted EBITDA for the three months ended March 31, 2026 was $4.94 billion compared to $4.10 billion for the three months ended March 31, 2025, an increase of 20%.</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Distributable Cash Flow attributable to partners, as adjusted, for the three months ended March 31, 2026 was $2.70 billion compared to $2.31 billion for the three months ended March 31, 2025.</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Partnership now expects its Adjusted EBITDA guidance for the full year of 2026 to range between $18.2 billion and $18.6 billion, compared to the previous range of between $17.45 billion and $17.85 billion. The Partnership expects to invest $5.5 billion to $5.9 billion in growth capital for 2026.</w:t>
      </w:r>
    </w:p>
    <w:p>
      <w:pPr>
        <w:spacing w:after="0" w:line="54" w:lineRule="exact"/>
        <w:rPr>
          <w:sz w:val="20"/>
          <w:szCs w:val="20"/>
          <w:color w:val="auto"/>
        </w:rPr>
      </w:pPr>
    </w:p>
    <w:p>
      <w:pPr>
        <w:ind w:right="2000"/>
        <w:spacing w:after="0" w:line="406" w:lineRule="auto"/>
        <w:rPr>
          <w:sz w:val="20"/>
          <w:szCs w:val="20"/>
          <w:color w:val="auto"/>
        </w:rPr>
      </w:pPr>
      <w:r>
        <w:rPr>
          <w:rFonts w:ascii="Times New Roman" w:cs="Times New Roman" w:eastAsia="Times New Roman" w:hAnsi="Times New Roman"/>
          <w:sz w:val="18"/>
          <w:szCs w:val="18"/>
          <w:color w:val="auto"/>
        </w:rPr>
        <w:t xml:space="preserve">Growth capital expenditures in the first quarter of 2026 were $1.53 billion; maintenance capital expenditures were $175 million. </w:t>
      </w:r>
      <w:r>
        <w:rPr>
          <w:rFonts w:ascii="Times New Roman" w:cs="Times New Roman" w:eastAsia="Times New Roman" w:hAnsi="Times New Roman"/>
          <w:sz w:val="18"/>
          <w:szCs w:val="18"/>
          <w:b w:val="1"/>
          <w:bCs w:val="1"/>
          <w:color w:val="auto"/>
        </w:rPr>
        <w:t>Operational Highlights</w:t>
      </w:r>
    </w:p>
    <w:p>
      <w:pPr>
        <w:spacing w:after="0" w:line="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Transfer’s volumes continued to grow during the first quarter of 2026 compared to the first quarter of 2025.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and refined products terminal volumes were up 19%, setting a new Partnership record.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exports were up 19%, setting a new Partnership record.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transportation volumes were up 12%.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fractionation volumes were up 11%, setting a new Partnership record.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transportation volumes were up 8%, setting a new Partnership record.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Midstream gathered volumes were up 6%, setting a new Partnership record.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the Partnership’s Gateway NGL Pipeline debottlenecking project was placed into service, providing increased deliveries of Delaware Basin volumes to Energy Transfer’s NGL fractionation complex at Mont Belvieu.</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is also underway on a new 3 million barrel ethane storage cavern at Energy Transfer’s NGL fractionation complex at Mont Belvieu. The cavern, which is expected in service in second half of 2027, will support Energy Transfer’s ninth fractionator at Mont Belvieu, as well as future ethane export expansions.</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has now added connections to serve four new power plant loads in Oklahoma which will deliver approximately 300 MMcf/d of new gas supply. The first of these connections is now in service, with two more expected to be in service in the third quarter of this year, and the remaining connection expected to be in service in the fourth quarter of 2028.</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275 MMcf/d Mustang Draw I processing plant is currently being commissioned and is expected to be in full service in June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Highlights</w:t>
      </w:r>
    </w:p>
    <w:p>
      <w:pPr>
        <w:spacing w:after="0" w:line="121" w:lineRule="exact"/>
        <w:rPr>
          <w:sz w:val="20"/>
          <w:szCs w:val="20"/>
          <w:color w:val="auto"/>
        </w:rPr>
      </w:pPr>
    </w:p>
    <w:p>
      <w:pPr>
        <w:jc w:val="both"/>
        <w:ind w:left="340" w:hanging="332"/>
        <w:spacing w:after="0" w:line="258"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Florida Gas Transmission (“FGT”), an Energy Transfer operated joint venture, completed Open Seasons on two new projects that are supported by 15- to 25-year agreements with anchor shippers. The FGT Phase IX project includes approximately 90 miles of pipeline looping and compression facilities with an expected capacity of approximately 525 MMcf/d. Subject to conditions precedent and reaching FID, the FGT South Florida project is an approximately 40-mile pipeline extension with an expected capacity of approximately 230 MMcf/d, along with compression and a new meter station.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jc w:val="both"/>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Transwestern Pipeline initiated the FERC pre-filing process for its Desert Southwest expansion project, as previously scheduled, and expects to file the formal certificate application with FERC in the fourth quarter of this year. In April, as part of its stakeholder engagement program, Energy Transfer hosted 15 open houses in communities along the proposed pipeline route throughout Texas, New Mexico and Arizona.</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Transfer has recently entered into agreements to provide long-term, firm natural gas transportation services through its Texas intrastate system to support the Nexus Hubbard Campus, located in central Texas, where Nexus is constructing a behind-the-meter AI hyperscale campus powered by on-site natural gas generation.</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Transfer recently approved the construction of the new Springerville Lateral Project, an approximately 120-mile, 30-inch pipeline with a capacity of approximately 625 MMcf/d that will extend south from ET’s existing Transwestern Pipeline to new natural gas-powered generation that is expected to replace two coal-fired plants. The project is backed by 20-year agreements and is expected to be in service in the fourth quarter of 2029. Total growth capital is expected to be approximately $600 million.</w:t>
      </w:r>
    </w:p>
    <w:p>
      <w:pPr>
        <w:spacing w:after="0" w:line="71"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Nederland, Energy Transfer recently extended the majority of its existing ethane export agreements into 2041, adding 10 years to the current contracts.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Transfer recently approved an expansion of its Bayou Bridge joint venture pipeline, which is expected to increase capacity of the pipeline to approximately 600,000 Bbls/d, depending on destination and product mix. The expansion is underpinned by a 10-year term extension and volume increase from a demand-pull customer and is expected to be in service in the first quarter of 2027.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ind w:left="340" w:right="20" w:hanging="332"/>
        <w:spacing w:after="0" w:line="28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2026, Energy Transfer announced a quarterly cash distribution of $0.3375 per common unit ($1.35 annualized) for the quarter ended March 31, 2026, which is an increase of more than 3% compared to the first quarter of 2025.</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Partnership completed a $3.00 billion senior notes offering consisting of $1.00 billion of 4.55% senior notes due 2031, $1.00 billion of 5.35% senior notes due 2036, and $1.00 billion of 6.30% senior notes due 2056. The net proceeds of the transaction were used to refinance existing indebtedness.</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Partnership’s revolving credit facility had an aggregate $3.45 billion of available borrowing capacity.</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Energy Transfer benefits from a portfolio of assets with exceptional product and geographic diversity. The Partnership’s multiple segments generate high-quality, balanced earnings with no single business segment contributing more than one-third of the Partnership’s consolidated Adjusted EBITDA for the three months ended March 31, 2026. In addition, Energy Transfer generates approximately 40% of its Adjusted EBITDA from natural gas-related assets. The vast majority of the Partnership’s segment margins are fee-based and therefore have limited commodity price sensitivity.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Partnership has scheduled a conference call for 8:00 a.m. Central Time/9:00 a.m. Eastern Time on Tuesday, May 5, 2026 to discuss its first quarter 2026 results and provide an update on the Partnership. The conference call will be broadcast live via an internet webcast, which can be accessed through </w:t>
      </w:r>
      <w:r>
        <w:rPr>
          <w:rFonts w:ascii="Times New Roman" w:cs="Times New Roman" w:eastAsia="Times New Roman" w:hAnsi="Times New Roman"/>
          <w:sz w:val="18"/>
          <w:szCs w:val="18"/>
          <w:u w:val="single" w:color="auto"/>
          <w:color w:val="0000FF"/>
        </w:rPr>
        <w:t>www.energytransfer.com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will also be available for replay on the Partnership’s website for a limited time.</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Energy Transfer LP (NYSE: ET) </w:t>
      </w:r>
      <w:r>
        <w:rPr>
          <w:rFonts w:ascii="Times New Roman" w:cs="Times New Roman" w:eastAsia="Times New Roman" w:hAnsi="Times New Roman"/>
          <w:sz w:val="18"/>
          <w:szCs w:val="18"/>
          <w:color w:val="auto"/>
        </w:rPr>
        <w:t>owns and operates one of the largest and most diversified portfolios of energy assets in the United States,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approximately 140,000 miles of pipeline and associated energy infrastructure. Energy Transfer’s strategic network spans 44 states with assets in all of the major U.S. production basins. Energy Transfer is a publicly traded limited partnership with core operations that include complementary natural gas midstream, intrastate and interstate transportation and storage assets; crude oil, natural gas liquids (“NGL”) and refined product transportation and terminalling assets; and NGL fractionation. Energy Transfer also owns the general partner interests, the incentive distribution rights and approximately 28 million common units (representing 15% of the aggregate outstanding common units and Class D units) of Sunoco LP (NYSE: SUN), the managing member interests in SunocoCorp LLC (NYSE: SUNC), and the general partner interests and approximately 46 million common units (representing 32% of the outstanding common units) of USA Compression Partners, LP (NYSE: USAC). For more information, visit the Energy Transfer LP website at </w:t>
      </w:r>
      <w:r>
        <w:rPr>
          <w:rFonts w:ascii="Times New Roman" w:cs="Times New Roman" w:eastAsia="Times New Roman" w:hAnsi="Times New Roman"/>
          <w:sz w:val="18"/>
          <w:szCs w:val="18"/>
          <w:u w:val="single" w:color="auto"/>
          <w:color w:val="0000FF"/>
        </w:rPr>
        <w:t>www.energytransfer.com</w:t>
      </w:r>
      <w:r>
        <w:rPr>
          <w:rFonts w:ascii="Times New Roman" w:cs="Times New Roman" w:eastAsia="Times New Roman" w:hAnsi="Times New Roman"/>
          <w:sz w:val="18"/>
          <w:szCs w:val="18"/>
          <w:color w:val="000000"/>
        </w:rPr>
        <w:t>.</w:t>
      </w:r>
    </w:p>
    <w:p>
      <w:pPr>
        <w:spacing w:after="0" w:line="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Sunoco LP (NYSE: SUN) </w:t>
      </w:r>
      <w:r>
        <w:rPr>
          <w:rFonts w:ascii="Times New Roman" w:cs="Times New Roman" w:eastAsia="Times New Roman" w:hAnsi="Times New Roman"/>
          <w:sz w:val="18"/>
          <w:szCs w:val="18"/>
          <w:color w:val="auto"/>
        </w:rPr>
        <w:t>is a leading energy infrastructure and fuel distribution master limited partnership operating across 32 countries and territories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North America, the Greater Caribbean, and Europe. SUN's midstream operations include an extensive network of approximately 14,000 miles of pipeline and over 160 terminals. This critical infrastructure complements SUN's fuel distribution operations, which distribute over 15 billion gallons annually to approximately 11,000</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07" w:right="339" w:bottom="1440" w:gutter="0" w:footer="0" w:header="0"/>
        </w:sectPr>
      </w:pPr>
    </w:p>
    <w:bookmarkStart w:id="5" w:name="page6"/>
    <w:bookmarkEnd w:id="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Sunoco and partner-branded locations, as well as independent dealers and commercial customers. SUN's general partner is owned by Energy Transfer LP (NYSE: ET). For more information, visit the Sunoco LP website at </w:t>
      </w:r>
      <w:r>
        <w:rPr>
          <w:rFonts w:ascii="Times New Roman" w:cs="Times New Roman" w:eastAsia="Times New Roman" w:hAnsi="Times New Roman"/>
          <w:sz w:val="18"/>
          <w:szCs w:val="18"/>
          <w:u w:val="single" w:color="auto"/>
          <w:color w:val="0000FF"/>
        </w:rPr>
        <w:t>www.sunocolp.com</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SunocoCorp LLC (NYSE: SUNC) </w:t>
      </w:r>
      <w:r>
        <w:rPr>
          <w:rFonts w:ascii="Times New Roman" w:cs="Times New Roman" w:eastAsia="Times New Roman" w:hAnsi="Times New Roman"/>
          <w:sz w:val="18"/>
          <w:szCs w:val="18"/>
          <w:color w:val="auto"/>
        </w:rPr>
        <w:t>is a publicly traded limited liability company that owns a direct limited partner interest in Sunoco LP. For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visit the Sunoco LP website at </w:t>
      </w:r>
      <w:r>
        <w:rPr>
          <w:rFonts w:ascii="Times New Roman" w:cs="Times New Roman" w:eastAsia="Times New Roman" w:hAnsi="Times New Roman"/>
          <w:sz w:val="18"/>
          <w:szCs w:val="18"/>
          <w:u w:val="single" w:color="auto"/>
          <w:color w:val="0000FF"/>
        </w:rPr>
        <w:t>www.sunocolp.com</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USA Compression Partners, LP (NYSE: USAC) </w:t>
      </w:r>
      <w:r>
        <w:rPr>
          <w:rFonts w:ascii="Times New Roman" w:cs="Times New Roman" w:eastAsia="Times New Roman" w:hAnsi="Times New Roman"/>
          <w:sz w:val="18"/>
          <w:szCs w:val="18"/>
          <w:color w:val="auto"/>
        </w:rPr>
        <w:t>is one of the nation’s largest independent providers of natural gas compression services in terms of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compression fleet horsepower. USAC partners with a broad customer base composed of producers, processors, gatherers, and transporters of natural gas and crude oil. USAC focuses on providing midstream natural gas compression services to infrastructure applications primarily in high-volume gathering systems, processing facilities, and transportation applications. For more information, visit the USAC website at </w:t>
      </w:r>
      <w:r>
        <w:rPr>
          <w:rFonts w:ascii="Times New Roman" w:cs="Times New Roman" w:eastAsia="Times New Roman" w:hAnsi="Times New Roman"/>
          <w:sz w:val="18"/>
          <w:szCs w:val="18"/>
          <w:u w:val="single" w:color="auto"/>
          <w:color w:val="0000FF"/>
        </w:rPr>
        <w:t>www.usacompression.com</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news release may include certain statements concerning expectations for the future that are forward-looking statements as defined by federal law. Such forward-looking statements are subject to a variety of known and unknown risks, uncertainties, and other factors that are difficult to predict and many of which are beyond management’s control. An extensive list of factors that can affect future results, including Adjusted EBITDA, and impact current projections, including capital expenditures, are discussed in the Partnership’s Annual Report on Form 10-K and other documents filed from time to time with the Securities and Exchange Commission. The Partnership undertakes no obligation to update or revise any forward-looking statement to reflect new information or events.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contained in this press release is available on our website at </w:t>
      </w:r>
      <w:r>
        <w:rPr>
          <w:rFonts w:ascii="Times New Roman" w:cs="Times New Roman" w:eastAsia="Times New Roman" w:hAnsi="Times New Roman"/>
          <w:sz w:val="18"/>
          <w:szCs w:val="18"/>
          <w:u w:val="single" w:color="auto"/>
          <w:color w:val="0000FF"/>
        </w:rPr>
        <w:t>www.energytransfer.com</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07" w:right="339" w:bottom="1440" w:gutter="0" w:footer="0" w:header="0"/>
        </w:sect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4040"/>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ectPr>
          <w:pgSz w:w="11900" w:h="16838" w:orient="portrait"/>
          <w:cols w:equalWidth="0" w:num="2">
            <w:col w:w="5160" w:space="720"/>
            <w:col w:w="5360"/>
          </w:cols>
          <w:pgMar w:left="320" w:top="110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Bill Baerg, Brent Ratliff, Lyndsay Hannah, 214-981-0795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Vicki Granado, 214-840-5820</w:t>
      </w:r>
    </w:p>
    <w:p>
      <w:pPr>
        <w:spacing w:after="0" w:line="200" w:lineRule="exact"/>
        <w:rPr>
          <w:sz w:val="20"/>
          <w:szCs w:val="20"/>
          <w:color w:val="auto"/>
        </w:rPr>
      </w:pPr>
    </w:p>
    <w:p>
      <w:pPr>
        <w:sectPr>
          <w:pgSz w:w="11900" w:h="16838" w:orient="portrait"/>
          <w:cols w:equalWidth="0" w:num="2">
            <w:col w:w="5160" w:space="720"/>
            <w:col w:w="5360"/>
          </w:cols>
          <w:pgMar w:left="320" w:top="1107"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107"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March 31,</w:t>
            </w:r>
          </w:p>
        </w:tc>
        <w:tc>
          <w:tcPr>
            <w:tcW w:w="160" w:type="dxa"/>
            <w:vAlign w:val="bottom"/>
          </w:tcPr>
          <w:p>
            <w:pPr>
              <w:spacing w:after="0"/>
              <w:rPr>
                <w:sz w:val="17"/>
                <w:szCs w:val="17"/>
                <w:color w:val="auto"/>
              </w:rPr>
            </w:pPr>
          </w:p>
        </w:tc>
        <w:tc>
          <w:tcPr>
            <w:tcW w:w="1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37"/>
        </w:trPr>
        <w:tc>
          <w:tcPr>
            <w:tcW w:w="316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3160" w:type="dxa"/>
            <w:vAlign w:val="bottom"/>
          </w:tcPr>
          <w:p>
            <w:pPr>
              <w:spacing w:after="0"/>
              <w:rPr>
                <w:sz w:val="18"/>
                <w:szCs w:val="18"/>
                <w:color w:val="auto"/>
              </w:rPr>
            </w:pPr>
          </w:p>
        </w:tc>
        <w:tc>
          <w:tcPr>
            <w:tcW w:w="510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w:t>
            </w:r>
          </w:p>
        </w:tc>
      </w:tr>
    </w:tbl>
    <w:p>
      <w:pPr>
        <w:spacing w:after="0" w:line="200" w:lineRule="exact"/>
        <w:rPr>
          <w:sz w:val="20"/>
          <w:szCs w:val="20"/>
          <w:color w:val="auto"/>
        </w:rPr>
      </w:pPr>
    </w:p>
    <w:p>
      <w:pPr>
        <w:sectPr>
          <w:pgSz w:w="11900" w:h="16838" w:orient="portrait"/>
          <w:cols w:equalWidth="0" w:num="1">
            <w:col w:w="11240"/>
          </w:cols>
          <w:pgMar w:left="320" w:top="995"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Investments in unconsolidated affiliates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Lease right-of-use assets,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378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102,142</w:t>
            </w:r>
          </w:p>
        </w:tc>
      </w:tr>
      <w:tr>
        <w:trPr>
          <w:trHeight w:val="481"/>
        </w:trPr>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w:t>
            </w:r>
          </w:p>
        </w:tc>
      </w:tr>
      <w:tr>
        <w:trPr>
          <w:trHeight w:val="229"/>
        </w:trPr>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r>
      <w:tr>
        <w:trPr>
          <w:trHeight w:val="229"/>
        </w:trPr>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30"/>
        </w:trPr>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w:t>
            </w:r>
          </w:p>
        </w:tc>
      </w:tr>
      <w:tr>
        <w:trPr>
          <w:trHeight w:val="234"/>
        </w:trPr>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w:t>
            </w:r>
          </w:p>
        </w:tc>
      </w:tr>
      <w:tr>
        <w:trPr>
          <w:trHeight w:val="228"/>
        </w:trPr>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-1193800</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-885190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-593725</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-302260</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-2540</wp:posOffset>
            </wp:positionV>
            <wp:extent cx="1885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-125095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3760" w:space="720"/>
            <w:col w:w="6760"/>
          </w:cols>
          <w:pgMar w:left="320" w:top="995"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3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14,955</w:t>
            </w: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3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68,308</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57"/>
        </w:trPr>
        <w:tc>
          <w:tcPr>
            <w:tcW w:w="442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w:t>
            </w:r>
          </w:p>
        </w:tc>
        <w:tc>
          <w:tcPr>
            <w:tcW w:w="3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Unitholders</w:t>
            </w:r>
          </w:p>
        </w:tc>
        <w:tc>
          <w:tcPr>
            <w:tcW w:w="3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Unitholders</w:t>
            </w:r>
          </w:p>
        </w:tc>
        <w:tc>
          <w:tcPr>
            <w:tcW w:w="3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30,930</w:t>
            </w: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3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8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partners’ capital</w:t>
            </w:r>
          </w:p>
        </w:tc>
        <w:tc>
          <w:tcPr>
            <w:tcW w:w="3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34,366</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38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49,010</w:t>
            </w: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141,286</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251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42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5" w:right="33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76"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40" w:type="dxa"/>
            <w:vAlign w:val="bottom"/>
            <w:tcBorders>
              <w:bottom w:val="single" w:sz="8" w:color="CCEEFF"/>
            </w:tcBorders>
          </w:tcPr>
          <w:p>
            <w:pPr>
              <w:spacing w:after="0"/>
              <w:rPr>
                <w:sz w:val="20"/>
                <w:szCs w:val="20"/>
                <w:color w:val="auto"/>
              </w:rPr>
            </w:pPr>
          </w:p>
        </w:tc>
        <w:tc>
          <w:tcPr>
            <w:tcW w:w="29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9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21,020</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2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15,571</w:t>
            </w: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2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w:t>
            </w:r>
          </w:p>
        </w:tc>
        <w:tc>
          <w:tcPr>
            <w:tcW w:w="2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9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18,529</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interest capitalized</w:t>
            </w:r>
          </w:p>
        </w:tc>
        <w:tc>
          <w:tcPr>
            <w:tcW w:w="2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29"/>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on extinguishments of debt</w:t>
            </w:r>
          </w:p>
        </w:tc>
        <w:tc>
          <w:tcPr>
            <w:tcW w:w="2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9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9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redeemable noncontrolling interests</w:t>
            </w:r>
          </w:p>
        </w:tc>
        <w:tc>
          <w:tcPr>
            <w:tcW w:w="29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2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Partner’s interest in net income</w:t>
            </w:r>
          </w:p>
        </w:tc>
        <w:tc>
          <w:tcPr>
            <w:tcW w:w="2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Preferred Unitholders’ interest in net income</w:t>
            </w:r>
          </w:p>
        </w:tc>
        <w:tc>
          <w:tcPr>
            <w:tcW w:w="29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1"/>
        </w:trPr>
        <w:tc>
          <w:tcPr>
            <w:tcW w:w="53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Common Unitholders’ interest in net income</w:t>
            </w:r>
          </w:p>
        </w:tc>
        <w:tc>
          <w:tcPr>
            <w:tcW w:w="29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UNIT:</w:t>
            </w:r>
          </w:p>
        </w:tc>
        <w:tc>
          <w:tcPr>
            <w:tcW w:w="29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9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NUMBER OF UNITS OUTSTANDING:</w:t>
            </w:r>
          </w:p>
        </w:tc>
        <w:tc>
          <w:tcPr>
            <w:tcW w:w="2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3,431.4</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3,452.9</w:t>
            </w:r>
          </w:p>
        </w:tc>
        <w:tc>
          <w:tcPr>
            <w:tcW w:w="0" w:type="dxa"/>
            <w:vAlign w:val="bottom"/>
          </w:tcPr>
          <w:p>
            <w:pPr>
              <w:spacing w:after="0"/>
              <w:rPr>
                <w:sz w:val="1"/>
                <w:szCs w:val="1"/>
                <w:color w:val="auto"/>
              </w:rPr>
            </w:pPr>
          </w:p>
        </w:tc>
      </w:tr>
      <w:tr>
        <w:trPr>
          <w:trHeight w:val="851"/>
        </w:trPr>
        <w:tc>
          <w:tcPr>
            <w:tcW w:w="5340" w:type="dxa"/>
            <w:vAlign w:val="bottom"/>
          </w:tcPr>
          <w:p>
            <w:pPr>
              <w:spacing w:after="0"/>
              <w:rPr>
                <w:sz w:val="24"/>
                <w:szCs w:val="24"/>
                <w:color w:val="auto"/>
              </w:rPr>
            </w:pPr>
          </w:p>
        </w:tc>
        <w:tc>
          <w:tcPr>
            <w:tcW w:w="292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units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76"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 and Distributable Cash Flow</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82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 of interest capitalized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loss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commodity risk management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valuation adjustments (Sunoco LP)</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on extinguishments of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(consolidated)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Adjusted EBITDA related to unconsolidated affiliates</w:t>
            </w:r>
            <w:r>
              <w:rPr>
                <w:rFonts w:ascii="Times New Roman" w:cs="Times New Roman" w:eastAsia="Times New Roman" w:hAnsi="Times New Roman"/>
                <w:sz w:val="23"/>
                <w:szCs w:val="23"/>
                <w:color w:val="auto"/>
                <w:vertAlign w:val="superscript"/>
              </w:rPr>
              <w:t>(b)</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Distributable cash flow from unconsolidated affiliates</w:t>
            </w:r>
            <w:r>
              <w:rPr>
                <w:rFonts w:ascii="Times New Roman" w:cs="Times New Roman" w:eastAsia="Times New Roman" w:hAnsi="Times New Roman"/>
                <w:sz w:val="23"/>
                <w:szCs w:val="23"/>
                <w:color w:val="auto"/>
                <w:vertAlign w:val="superscript"/>
              </w:rPr>
              <w:t>(b)</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 of interest capitalized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Preferred unitholders’ distributions </w:t>
            </w:r>
            <w:r>
              <w:rPr>
                <w:rFonts w:ascii="Times New Roman" w:cs="Times New Roman" w:eastAsia="Times New Roman" w:hAnsi="Times New Roman"/>
                <w:sz w:val="23"/>
                <w:szCs w:val="23"/>
                <w:color w:val="auto"/>
                <w:vertAlign w:val="superscript"/>
              </w:rPr>
              <w:t>(c)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Distributable Cash Flow (consolidated)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Distributable Cash Flow attributable to Sunoco LP and SunocoCorp </w:t>
            </w:r>
            <w:r>
              <w:rPr>
                <w:rFonts w:ascii="Times New Roman" w:cs="Times New Roman" w:eastAsia="Times New Roman" w:hAnsi="Times New Roman"/>
                <w:sz w:val="23"/>
                <w:szCs w:val="23"/>
                <w:color w:val="auto"/>
                <w:vertAlign w:val="superscript"/>
              </w:rPr>
              <w:t>(d)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from Sunoco LP</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Distributable Cash Flow attributable to USAC (100%)</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from USAC</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75"/>
        </w:trPr>
        <w:tc>
          <w:tcPr>
            <w:tcW w:w="82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Distributable Cash Flow attributable to noncontrolling interests in other non-wholly owned consolidated</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subsidiaries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Distributable Cash Flow attributable to the partners of Energy Transfer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Transaction-related adjustments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8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Distributable Cash Flow attributable to the partners of Energy Transfer, as adjusted</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to partners: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Limited Partners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Partner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distributions to be paid to partners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Common Units outstanding – end of period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3,431.7</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340" w:hanging="332"/>
        <w:spacing w:after="0" w:line="235" w:lineRule="auto"/>
        <w:tabs>
          <w:tab w:leader="none" w:pos="335"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EBITDA and Distributable Cash Flow are non-GAAP financial measures used by industry analysts, investors, lenders and rating agencies to assess the financial performance and the operating results of Energy Transfer’s fundamental business activities and should not be considered in isolation or as a substitute for net income, income from operations, cash flows from operating activities or other GAAP measures.</w:t>
      </w:r>
    </w:p>
    <w:p>
      <w:pPr>
        <w:spacing w:after="0" w:line="91" w:lineRule="exact"/>
        <w:rPr>
          <w:rFonts w:ascii="Times New Roman" w:cs="Times New Roman" w:eastAsia="Times New Roman" w:hAnsi="Times New Roman"/>
          <w:sz w:val="23"/>
          <w:szCs w:val="23"/>
          <w:color w:val="auto"/>
          <w:vertAlign w:val="superscript"/>
        </w:rPr>
      </w:pPr>
    </w:p>
    <w:p>
      <w:pPr>
        <w:jc w:val="both"/>
        <w:ind w:left="34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There are material limitations to using measures such as Adjusted EBITDA and Distributable Cash Flow, including the difficulty associated with using either as the sole measure to compare the results of one company to another, and the inability to analyze certain significant items that directly affect a company’s net income or loss or cash flows. In addition,</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995" w:right="339" w:bottom="1440" w:gutter="0" w:footer="0" w:header="0"/>
          <w:type w:val="continuous"/>
        </w:sectPr>
      </w:pPr>
    </w:p>
    <w:bookmarkStart w:id="9" w:name="page10"/>
    <w:bookmarkEnd w:id="9"/>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our calculations of Adjusted EBITDA and Distributable Cash Flow may not be consistent with similarly titled measures of other companies and should be viewed in conjunction with measures that are computed in accordance with GAAP, such as operating income, net income and cash flows from operating activities.</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Definition of Adjusted EBITDA</w:t>
      </w:r>
    </w:p>
    <w:p>
      <w:pPr>
        <w:spacing w:after="0" w:line="119"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We define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certain foreign currency transaction gains and losses and other non-operating income or expense items. Inventory valuation adjustments that are excluded from the calculation of Adjusted EBITDA represent only the changes in lower of cost or market reserves on inventory that is carried at last-in, first-out (“LIFO”). These amounts are unrealized valuation adjustments applied to Sunoco LP’s fuel volumes remaining in inventory at the end of the period.</w:t>
      </w:r>
    </w:p>
    <w:p>
      <w:pPr>
        <w:spacing w:after="0" w:line="81"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Adjusted EBITDA reflects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Adjusted EBITDA or Adjusted EBITDA related to unconsolidated affiliates as an analytical tool should be limited accordingly.</w:t>
      </w:r>
    </w:p>
    <w:p>
      <w:pPr>
        <w:spacing w:after="0" w:line="8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Adjusted EBITDA is used by management to determine our operating performance and, along with other financial and volumetric data, as internal measures for setting annual operating budgets, assessing financial performance of our numerous business locations, as a measure for evaluating targeted businesses for acquisition and as a measurement component of incentive compensation.</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Definition of Distributable Cash Flow</w:t>
      </w:r>
    </w:p>
    <w:p>
      <w:pPr>
        <w:spacing w:after="0" w:line="11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We define Distributable Cash Flow as net income, adjusted for certain non-cash items, less distributions to preferred unitholders and maintenance capital expenditures. Non-cash items include depreciation, depletion and amortization, non-cash compensation expense, amortization included in interest expense, gains and losses on disposals of assets, the allowance for equity funds used during construction, unrealized gains and losses on commodity risk management activities, inventory valuation adjustments, non-cash impairment charges, losses on extinguishments of debt and deferred income taxes. For unconsolidated affiliates, Distributable Cash Flow reflects the Partnership’s proportionate share of the investees’ distributable cash flow.</w:t>
      </w:r>
    </w:p>
    <w:p>
      <w:pPr>
        <w:spacing w:after="0" w:line="7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Distributable Cash Flow is used by management to evaluate our overall performance. Our partnership agreement requires us to distribute all available cash, and Distributable Cash Flow is calculated to evaluate our ability to fund distributions through cash generated by our operations.</w:t>
      </w:r>
    </w:p>
    <w:p>
      <w:pPr>
        <w:spacing w:after="0" w:line="5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a consolidated basis, Distributable Cash Flow includes 100% of the Distributable Cash Flow of Energy Transfer’s consolidated subsidiaries. However, to the extent that noncontrolling interests exist among our subsidiaries, the Distributable Cash Flow generated by our subsidiaries may not be available to be distributed to our partners. In order to reflect the cash flows available for distributions to our partners, we have reported Distributable Cash Flow attributable to partners, which is calculated by adjusting Distributable Cash Flow (consolidated), as follows:</w:t>
      </w:r>
    </w:p>
    <w:p>
      <w:pPr>
        <w:spacing w:after="0" w:line="72"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subsidiaries with publicly traded equity interests, Distributable Cash Flow (consolidated) includes 100% of Distributable Cash Flow attributable to such subsidiary, and Distributable Cash Flow attributable to our partners includes distributions to be received by the parent company with respect to the periods presented.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consolidated joint ventures or similar entities, where the noncontrolling interest is not publicly traded, Distributable Cash Flow (consolidated) includes 100% of Distributable Cash Flow attributable to such subsidiaries, but Distributable Cash Flow attributable to partners reflects only the amount of Distributable Cash Flow of such subsidiaries that is attributable to our ownership interest.</w:t>
      </w:r>
    </w:p>
    <w:p>
      <w:pPr>
        <w:spacing w:after="0" w:line="6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For Distributable Cash Flow attributable to partners, as adjusted, certain transaction-related adjustments and non-recurring expenses that are included in net income are excluded.</w:t>
      </w:r>
    </w:p>
    <w:p>
      <w:pPr>
        <w:spacing w:after="0" w:line="54" w:lineRule="exact"/>
        <w:rPr>
          <w:sz w:val="20"/>
          <w:szCs w:val="20"/>
          <w:color w:val="auto"/>
        </w:rPr>
      </w:pPr>
    </w:p>
    <w:p>
      <w:pPr>
        <w:ind w:left="340" w:hanging="332"/>
        <w:spacing w:after="0" w:line="229" w:lineRule="auto"/>
        <w:tabs>
          <w:tab w:leader="none" w:pos="32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amounts exclude Sunoco LP’s Adjusted EBITDA and distributable cash flow related to its investment in the ET-S Permian and J.C. Nolan joint ventures, which amounts are eliminated in the Energy Transfer consolidation.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07" w:right="339" w:bottom="1440" w:gutter="0" w:footer="0" w:header="0"/>
        </w:sectPr>
      </w:pPr>
    </w:p>
    <w:bookmarkStart w:id="10" w:name="page11"/>
    <w:bookmarkEnd w:id="10"/>
    <w:p>
      <w:pPr>
        <w:ind w:left="340" w:hanging="332"/>
        <w:spacing w:after="0" w:line="229" w:lineRule="auto"/>
        <w:tabs>
          <w:tab w:leader="none" w:pos="335"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2026, preferred unitholders’ distributions include $30 million of distributions on Sunoco LP’s Series A preferred units, which were issued in September 2025.</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Beginning with the three months ended December 31, 2025, this amount includes the distributable cash flow of Sunoco LP and SunocoCorp, eliminating the distributable cash flow of Sunoco LP that is attributable to SunocoCorp.</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ANALYSIS OF QUARTERLY RESULTS BY SEGMENT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(Tabular dollar 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76"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Adjusted EBITDA:</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Intrastate transportation and storage</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Interstate transportation and storage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Midstream</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NGL and refined products transportation and services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Crude oil transportation and services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9"/>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Sunoco LP</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USAC</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 (consolidated)</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analysis of segment operating results includes a measure of segment margin.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07"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Intrastate Transportation and Storage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4"/>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9"/>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March 31,</w:t>
            </w:r>
          </w:p>
        </w:tc>
        <w:tc>
          <w:tcPr>
            <w:tcW w:w="1000" w:type="dxa"/>
            <w:vAlign w:val="bottom"/>
            <w:tcBorders>
              <w:bottom w:val="single" w:sz="8" w:color="auto"/>
            </w:tcBorders>
          </w:tcPr>
          <w:p>
            <w:pPr>
              <w:spacing w:after="0"/>
              <w:rPr>
                <w:sz w:val="20"/>
                <w:szCs w:val="20"/>
                <w:color w:val="auto"/>
              </w:rPr>
            </w:pPr>
          </w:p>
        </w:tc>
      </w:tr>
      <w:tr>
        <w:trPr>
          <w:trHeight w:val="227"/>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transported (BBtu/d)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storage natural gas inventory (BBtu)</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2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 on commodity risk management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Transported volumes of gas on our Texas intrastate pipelines decreased primarily due to lower third-party utilization of firm capacity. Transported volumes reported above exclude volumes attributable to purchases and sales of gas for our pipelines’ own accounts and the optimization of any unused capacity.</w:t>
      </w:r>
    </w:p>
    <w:p>
      <w:pPr>
        <w:spacing w:after="0" w:line="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March 31, 2026 compared to the same period last year, Segment Adjusted EBITDA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intrastate transportation and storage segment increased due to the net impact of the following:</w:t>
      </w:r>
    </w:p>
    <w:p>
      <w:pPr>
        <w:spacing w:after="0" w:line="52"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$54 million in realized natural gas sales and other primarily due to wider basis differentials;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$41 million in storage margin due to favorable impacts from increased price volatility;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 million in transportation fees primarily due to higher reservation revenues on long-term third-party contracts;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 million in retained fuel margin due to favorable gas pricing; partially offset by</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 million in operating expenses primarily due to a $3 million increase in corporate allocations, a $2 million increase in maintenance, and a $1 million increase in employee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Interstate Transportation and Storage</w:t>
      </w:r>
    </w:p>
    <w:p>
      <w:pPr>
        <w:spacing w:after="0" w:line="204"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6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transported (BBtu/d)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sold (BBtu/d)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amortization, accretion and other non-cash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175"/>
        </w:trPr>
        <w:tc>
          <w:tcPr>
            <w:tcW w:w="8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amortization and accretion</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8"/>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Transported volumes decreased primarily due to lower utilization on several of our interstate pipeline systems due to lower demand.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57" w:right="339" w:bottom="1440" w:gutter="0" w:footer="0" w:header="0"/>
        </w:sectPr>
      </w:pPr>
    </w:p>
    <w:bookmarkStart w:id="12" w:name="page13"/>
    <w:bookmarkEnd w:id="12"/>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March 31, 2026 compared to the same period last year, Segment Adjusted EBITDA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interstate transportation and storage segment increased due to the net impact of the following:</w:t>
      </w:r>
    </w:p>
    <w:p>
      <w:pPr>
        <w:spacing w:after="0" w:line="52" w:lineRule="exact"/>
        <w:rPr>
          <w:sz w:val="20"/>
          <w:szCs w:val="20"/>
          <w:color w:val="auto"/>
        </w:rPr>
      </w:pPr>
    </w:p>
    <w:p>
      <w:pPr>
        <w:jc w:val="both"/>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$12 million in segment margin primarily due to a $23 million increase in transportation revenue from several of our interstate pipeline systems due to higher contracted volumes at higher rates, partially offset by a $6 million decrease in storage and parking revenue, and a $3 million decrease in operational gas sales;</w:t>
      </w:r>
    </w:p>
    <w:p>
      <w:pPr>
        <w:spacing w:after="0" w:line="6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$7 million in selling, general and administration expenses primarily due to a $3 million decrease related to corporate allocations and an aggregate $5 million decrease in insurance expense, professional fees and excise taxes; and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 million in Adjusted EBITDA related to unconsolidated affiliates primarily due to a $7 million increase from our Citrus joint venture, a $5 million increase from our Midcontinent Express Pipeline joint venture and a $2 million increase from our Southeast Supply Header joint venture; partially offset by</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$26 million in operating expenses primarily due to a $10 million increase in transportation expense, a $5 million environmental claim settlement and an aggregate $10 million increase in various other items, including maintenance projects and employee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Midstream</w:t>
      </w:r>
    </w:p>
    <w:p>
      <w:pPr>
        <w:spacing w:after="0" w:line="204"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6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Gathered volumes (BBtu/d)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20,411</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NGLs produced (MBbls/d)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NGLs (MBbls/d)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2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Gathered volumes increased from dry gas gathering in the Northeast and Ark-La-Tex regions as well as increased processing volumes from new and upgraded plants in the Permian region. NGL production increased primarily due to increased Permian plant utilization.</w:t>
      </w:r>
    </w:p>
    <w:p>
      <w:pPr>
        <w:spacing w:after="0" w:line="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March 31, 2026 compared to the same period last year, Segment Adjusted EBITDA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midstream segment decreased due to the net impact of the following:</w:t>
      </w:r>
    </w:p>
    <w:p>
      <w:pPr>
        <w:spacing w:after="0" w:line="52" w:lineRule="exact"/>
        <w:rPr>
          <w:sz w:val="20"/>
          <w:szCs w:val="20"/>
          <w:color w:val="auto"/>
        </w:rPr>
      </w:pPr>
    </w:p>
    <w:p>
      <w:pPr>
        <w:jc w:val="both"/>
        <w:ind w:left="340" w:hanging="332"/>
        <w:spacing w:after="0" w:line="258"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$26 million in segment margin primarily due to a $160 million decrease attributable to the non-recurring recognition of certain amounts associated with Winter Storm Uri in the prior period and a $25 million decrease due to lower NGL prices of $22 million and lower natural gas prices of $3 million, partially offset by an $85 million increase due to higher gathered and processed volumes across most regions, a $39 million increase due to an intercompany imbalance that is completely offset within our NGL and Refined Products Transportation and Services segment, and a $14 million increase due to reduced third party NGL Transportation and Fractionation costs from our Oklahoma processing facilities; and</w:t>
      </w:r>
    </w:p>
    <w:p>
      <w:pPr>
        <w:spacing w:after="0" w:line="75"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$25 million in operating expenses primarily due to a $15 million increase in employee costs and a $10 million increase in Permian equipment rentals, partially offset by a $7 million decrease in Permian maintenance and repairs; partially offset by</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 million in other income due to the recognition of proceeds from a business interruption claim;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$2 million in selling, general, and administrative expenses primarily due to lower corporate allocations.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0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NGL and Refined Products Transportation and Services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64"/>
        </w:trPr>
        <w:tc>
          <w:tcPr>
            <w:tcW w:w="8260" w:type="dxa"/>
            <w:vAlign w:val="bottom"/>
          </w:tcPr>
          <w:p>
            <w:pPr>
              <w:spacing w:after="0"/>
              <w:rPr>
                <w:sz w:val="24"/>
                <w:szCs w:val="24"/>
                <w:color w:val="auto"/>
              </w:rPr>
            </w:pPr>
          </w:p>
        </w:tc>
        <w:tc>
          <w:tcPr>
            <w:tcW w:w="24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24"/>
                <w:szCs w:val="24"/>
                <w:color w:val="auto"/>
              </w:rPr>
            </w:pPr>
          </w:p>
        </w:tc>
      </w:tr>
      <w:tr>
        <w:trPr>
          <w:trHeight w:val="239"/>
        </w:trPr>
        <w:tc>
          <w:tcPr>
            <w:tcW w:w="8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March 31,</w:t>
            </w:r>
          </w:p>
        </w:tc>
        <w:tc>
          <w:tcPr>
            <w:tcW w:w="500" w:type="dxa"/>
            <w:vAlign w:val="bottom"/>
            <w:tcBorders>
              <w:bottom w:val="single" w:sz="8" w:color="auto"/>
            </w:tcBorders>
          </w:tcPr>
          <w:p>
            <w:pPr>
              <w:spacing w:after="0"/>
              <w:rPr>
                <w:sz w:val="20"/>
                <w:szCs w:val="20"/>
                <w:color w:val="auto"/>
              </w:rPr>
            </w:pPr>
          </w:p>
        </w:tc>
      </w:tr>
      <w:tr>
        <w:trPr>
          <w:trHeight w:val="227"/>
        </w:trPr>
        <w:tc>
          <w:tcPr>
            <w:tcW w:w="8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19"/>
                <w:szCs w:val="19"/>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transportation volumes (MBbls/d)</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2,169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Refined products transportation volumes (MBbls/d)</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 and refined products terminal volumes (MBbls/d)</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1,725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NGL fractionation volumes (MBbls/d)</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1,206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6,673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6,909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5,484</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5,641</w:t>
            </w:r>
          </w:p>
        </w:tc>
      </w:tr>
      <w:tr>
        <w:trPr>
          <w:trHeight w:val="22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1,268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commodity risk management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NGL transportation, fractionation, and terminal throughput volumes increased due to higher volumes from the Permian region, as well as increased NGL exports.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March 31, 2026 compared to the same period last year, Segment Adjusted EBITDA related to our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NGL and refined products transportation and services segment increased due to the net impact of the following:</w:t>
      </w:r>
    </w:p>
    <w:p>
      <w:pPr>
        <w:spacing w:after="0" w:line="99" w:lineRule="exact"/>
        <w:rPr>
          <w:sz w:val="20"/>
          <w:szCs w:val="20"/>
          <w:color w:val="auto"/>
        </w:rPr>
      </w:pPr>
    </w:p>
    <w:p>
      <w:pPr>
        <w:jc w:val="both"/>
        <w:ind w:left="340" w:hanging="332"/>
        <w:spacing w:after="0" w:line="261"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$141 million in marketing margin (excluding unrealized gains and losses on commodity risk management activities) primarily due to the realization of $65 million in hedge-related gains during the first quarter of 2026 which offset losses realized during the fourth quarter of 2025. We also realized an increase of $51 million from higher premiums from the sale of propane and butane for export and for domestic supply, and a $26 million increase due to a negative inventory valuation adjustment in the prior period;</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$60 million in fractionators and refinery services margin primarily due to higher throughput;</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$27 million in terminal services margin primarily due to a $17 million increase in fees from loading volumes for export at our Nederland and Marcus Hook terminals and a $9 million increase from higher throughput and storage at our refined product terminals; and</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$8 million in storage margin primarily due to an increase in fees generated from export volumes, as well as increases related to blending activity due to a more favorable pricing environment; partially offset by</w:t>
      </w:r>
    </w:p>
    <w:p>
      <w:pPr>
        <w:spacing w:after="0" w:line="53"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$1 million in transportation margin due to a $39 million intercompany imbalance that is completely offset within our Midstream segment, partially offset by a $38 million increase related to higher throughput; and</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$51 million in operating expenses primarily due to a $28 million increase in costs driven by higher volumes across our system, a $9 million in one-time investigation and remediation costs, a $5 million increase in employee costs, and increases totaling $7 million from various other operating expenses.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5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Transportation and Services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64"/>
        </w:trPr>
        <w:tc>
          <w:tcPr>
            <w:tcW w:w="8260" w:type="dxa"/>
            <w:vAlign w:val="bottom"/>
          </w:tcPr>
          <w:p>
            <w:pPr>
              <w:spacing w:after="0"/>
              <w:rPr>
                <w:sz w:val="24"/>
                <w:szCs w:val="24"/>
                <w:color w:val="auto"/>
              </w:rPr>
            </w:pPr>
          </w:p>
        </w:tc>
        <w:tc>
          <w:tcPr>
            <w:tcW w:w="24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24"/>
                <w:szCs w:val="24"/>
                <w:color w:val="auto"/>
              </w:rPr>
            </w:pPr>
          </w:p>
        </w:tc>
      </w:tr>
      <w:tr>
        <w:trPr>
          <w:trHeight w:val="239"/>
        </w:trPr>
        <w:tc>
          <w:tcPr>
            <w:tcW w:w="8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March 31,</w:t>
            </w:r>
          </w:p>
        </w:tc>
        <w:tc>
          <w:tcPr>
            <w:tcW w:w="500" w:type="dxa"/>
            <w:vAlign w:val="bottom"/>
            <w:tcBorders>
              <w:bottom w:val="single" w:sz="8" w:color="auto"/>
            </w:tcBorders>
          </w:tcPr>
          <w:p>
            <w:pPr>
              <w:spacing w:after="0"/>
              <w:rPr>
                <w:sz w:val="20"/>
                <w:szCs w:val="20"/>
                <w:color w:val="auto"/>
              </w:rPr>
            </w:pPr>
          </w:p>
        </w:tc>
      </w:tr>
      <w:tr>
        <w:trPr>
          <w:trHeight w:val="227"/>
        </w:trPr>
        <w:tc>
          <w:tcPr>
            <w:tcW w:w="8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19"/>
                <w:szCs w:val="19"/>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transportation volumes (MBbls/d)</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7,289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6,719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 terminal volumes (MBbls/d)</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3,329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3,325</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7,758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6,208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6,792</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5,214</w:t>
            </w:r>
          </w:p>
        </w:tc>
      </w:tr>
      <w:tr>
        <w:trPr>
          <w:trHeight w:val="22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losses on commodity risk management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82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9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Crude oil transportation volumes were higher due to continued growth on our Texas pipeline system, our gathering systems, and from the ET-S Permian joint venture with Sunoco LP, partially offset by lower volumes on our Bakken Pipeline.</w:t>
      </w:r>
    </w:p>
    <w:p>
      <w:pPr>
        <w:spacing w:after="0" w:line="10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March 31, 2026 compared to the same period last year, Segment Adjusted EBITDA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crude oil transportation and services segment increased due to the net impact of the following:</w:t>
      </w:r>
    </w:p>
    <w:p>
      <w:pPr>
        <w:spacing w:after="0" w:line="66" w:lineRule="exact"/>
        <w:rPr>
          <w:sz w:val="20"/>
          <w:szCs w:val="20"/>
          <w:color w:val="auto"/>
        </w:rPr>
      </w:pPr>
    </w:p>
    <w:p>
      <w:pPr>
        <w:jc w:val="both"/>
        <w:ind w:left="340" w:hanging="332"/>
        <w:spacing w:after="0" w:line="213" w:lineRule="auto"/>
        <w:tabs>
          <w:tab w:leader="none" w:pos="308"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an increase of $90 million in segment margin (excluding unrealized gains and losses on commodity risk management activities) primarily due to a $60 million increase related to favorable impacts to our crude inventory from rising crude prices which we anticipate will be fully offset with hedge losses in future periods, a $43 million increase in our Bakken Pipeline system due to a one-time deficiency payment recognition, a $24 million increase in our Permian gathering systems from higher volumes, and a $9 million increase in revenue from our Bakken gathering systems due to higher volumes, partially offset by a $30 million decrease from lower tariff revenues on our Bakken Pipeline system;</w:t>
      </w:r>
    </w:p>
    <w:p>
      <w:pPr>
        <w:spacing w:after="0" w:line="66" w:lineRule="exact"/>
        <w:rPr>
          <w:rFonts w:ascii="Arial" w:cs="Arial" w:eastAsia="Arial" w:hAnsi="Arial"/>
          <w:sz w:val="22"/>
          <w:szCs w:val="22"/>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$43 million in general and administrative expenses due to an adjustment to the accrual for a litigation related contingency; and</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 million in Adjusted EBITDA related to unconsolidated affiliates due to higher volumes on our joint venture pipelines; partially offset by</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$10 million in operating expenses primarily due to an increase in volume-related expenses.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5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Sunoco LP</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4"/>
        </w:trPr>
        <w:tc>
          <w:tcPr>
            <w:tcW w:w="8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9"/>
        </w:trPr>
        <w:tc>
          <w:tcPr>
            <w:tcW w:w="8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March 31,</w:t>
            </w:r>
          </w:p>
        </w:tc>
        <w:tc>
          <w:tcPr>
            <w:tcW w:w="1000" w:type="dxa"/>
            <w:vAlign w:val="bottom"/>
            <w:tcBorders>
              <w:bottom w:val="single" w:sz="8" w:color="auto"/>
            </w:tcBorders>
          </w:tcPr>
          <w:p>
            <w:pPr>
              <w:spacing w:after="0"/>
              <w:rPr>
                <w:sz w:val="20"/>
                <w:szCs w:val="20"/>
                <w:color w:val="auto"/>
              </w:rPr>
            </w:pPr>
          </w:p>
        </w:tc>
      </w:tr>
      <w:tr>
        <w:trPr>
          <w:trHeight w:val="227"/>
        </w:trPr>
        <w:tc>
          <w:tcPr>
            <w:tcW w:w="8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w:t>
            </w:r>
          </w:p>
        </w:tc>
      </w:tr>
      <w:tr>
        <w:trPr>
          <w:trHeight w:val="22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commodity risk management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fair value adjustments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in Sunoco LP segment reflects the consolidated results of Sunoco LP.</w:t>
      </w:r>
    </w:p>
    <w:p>
      <w:pPr>
        <w:spacing w:after="0" w:line="11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March 31, 2026 compared to the same period last year, Segment Adjusted EBITDA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Sunoco LP increased primarily due to the net impact of the following:</w:t>
      </w:r>
    </w:p>
    <w:p>
      <w:pPr>
        <w:spacing w:after="0" w:line="52" w:lineRule="exact"/>
        <w:rPr>
          <w:sz w:val="20"/>
          <w:szCs w:val="20"/>
          <w:color w:val="auto"/>
        </w:rPr>
      </w:pPr>
    </w:p>
    <w:p>
      <w:pPr>
        <w:jc w:val="both"/>
        <w:ind w:left="340" w:hanging="332"/>
        <w:spacing w:after="0" w:line="266" w:lineRule="auto"/>
        <w:tabs>
          <w:tab w:leader="none" w:pos="33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 increase of $710 million in segment margin (excluding unrealized gains and losses on commodity risk management activities and inventory valuation adjustments) primarily due to the Parkland, TanQuid and other acquisitions, as well as a $102 million favorable impact from a one-time gain on sale of inventory in the current period; and</w:t>
      </w:r>
    </w:p>
    <w:p>
      <w:pPr>
        <w:spacing w:after="0" w:line="67" w:lineRule="exact"/>
        <w:rPr>
          <w:rFonts w:ascii="Times New Roman" w:cs="Times New Roman" w:eastAsia="Times New Roman" w:hAnsi="Times New Roman"/>
          <w:sz w:val="18"/>
          <w:szCs w:val="18"/>
          <w:b w:val="1"/>
          <w:bCs w:val="1"/>
          <w:i w:val="1"/>
          <w:iCs w:val="1"/>
          <w:color w:val="auto"/>
        </w:rPr>
      </w:pPr>
    </w:p>
    <w:p>
      <w:pPr>
        <w:ind w:left="34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$19 million in Adjusted EBITDA related to unconsolidated affiliates primarily due to the Parkland acquisition and ET-S Permian joint venture; partially offset by</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$223 million in operating expenses primarily due to increased costs resulting from the Parkland and TanQuid acquisitions; and</w:t>
      </w:r>
    </w:p>
    <w:p>
      <w:pPr>
        <w:spacing w:after="0" w:line="117"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$115 million in selling, general and administrative expenses primarily due to increased costs resulting from Parkland and TanQuid operations, along with one-time transaction-related expenses associated with the Parkland acquisition.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USAC</w:t>
      </w:r>
    </w:p>
    <w:p>
      <w:pPr>
        <w:spacing w:after="0" w:line="204"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6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in USAC segment reflects the consolidated results of USAC.</w:t>
      </w:r>
    </w:p>
    <w:p>
      <w:pPr>
        <w:spacing w:after="0" w:line="16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March 31, 2026 compared to the same period last year, Segment Adjusted EBITDA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USAC segment increased due to the net impact of the following:</w:t>
      </w:r>
    </w:p>
    <w:p>
      <w:pPr>
        <w:spacing w:after="0" w:line="52" w:lineRule="exact"/>
        <w:rPr>
          <w:sz w:val="20"/>
          <w:szCs w:val="20"/>
          <w:color w:val="auto"/>
        </w:rPr>
      </w:pPr>
    </w:p>
    <w:p>
      <w:pPr>
        <w:ind w:left="340" w:right="2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$95 million in segment margin primarily due to a $74 million increase from the J-W Power Acquisition and a $21 million increase from USAC’s legacy business; partially offset by</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$65 million in operating expense and selling, general, and administrative expense primarily related to the J-W Power Acquisition, as well as increased expenses in outside services and professional fees.</w:t>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57"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64"/>
        </w:trPr>
        <w:tc>
          <w:tcPr>
            <w:tcW w:w="8260" w:type="dxa"/>
            <w:vAlign w:val="bottom"/>
          </w:tcPr>
          <w:p>
            <w:pPr>
              <w:spacing w:after="0"/>
              <w:rPr>
                <w:sz w:val="24"/>
                <w:szCs w:val="24"/>
                <w:color w:val="auto"/>
              </w:rPr>
            </w:pPr>
          </w:p>
        </w:tc>
        <w:tc>
          <w:tcPr>
            <w:tcW w:w="254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Pr>
          <w:p>
            <w:pPr>
              <w:spacing w:after="0"/>
              <w:rPr>
                <w:sz w:val="24"/>
                <w:szCs w:val="24"/>
                <w:color w:val="auto"/>
              </w:rPr>
            </w:pPr>
          </w:p>
        </w:tc>
      </w:tr>
      <w:tr>
        <w:trPr>
          <w:trHeight w:val="239"/>
        </w:trPr>
        <w:tc>
          <w:tcPr>
            <w:tcW w:w="8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March 31,</w:t>
            </w:r>
          </w:p>
        </w:tc>
        <w:tc>
          <w:tcPr>
            <w:tcW w:w="440" w:type="dxa"/>
            <w:vAlign w:val="bottom"/>
            <w:tcBorders>
              <w:bottom w:val="single" w:sz="8" w:color="auto"/>
            </w:tcBorders>
          </w:tcPr>
          <w:p>
            <w:pPr>
              <w:spacing w:after="0"/>
              <w:rPr>
                <w:sz w:val="20"/>
                <w:szCs w:val="20"/>
                <w:color w:val="auto"/>
              </w:rPr>
            </w:pPr>
          </w:p>
        </w:tc>
      </w:tr>
      <w:tr>
        <w:trPr>
          <w:trHeight w:val="227"/>
        </w:trPr>
        <w:tc>
          <w:tcPr>
            <w:tcW w:w="82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C2C2C"/>
              </w:rPr>
              <w:t>2026</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19"/>
                <w:szCs w:val="19"/>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23"/>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margin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on commodity risk management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 excluding non-cash compensation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excluding non-cash compensation expense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related to unconsolidated affiliates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and eliminations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Segment Adjusted EBITDA. </w:t>
      </w:r>
      <w:r>
        <w:rPr>
          <w:rFonts w:ascii="Times New Roman" w:cs="Times New Roman" w:eastAsia="Times New Roman" w:hAnsi="Times New Roman"/>
          <w:sz w:val="18"/>
          <w:szCs w:val="18"/>
          <w:color w:val="auto"/>
        </w:rPr>
        <w:t>For the three months ended March 31, 2026 compared to the same period last year, Segment Adjusted EBITDA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other segment increased due to the net impact of the following:</w:t>
      </w:r>
    </w:p>
    <w:p>
      <w:pPr>
        <w:spacing w:after="0" w:line="52"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$36 million in our natural gas marketing business due to increased margins from wider basis differentials; and</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$5 million in our power-related businesses due to commodity gains related to next-day power trading activities; partially offset by</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$5 million from our captive insurance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5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INFORMATION ON LIQUIDITY</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on our revolving credit facility. We also have consolidated subsidiaries with revolving credit facilities which are not included in this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Funds Available at March</w:t>
            </w:r>
          </w:p>
        </w:tc>
        <w:tc>
          <w:tcPr>
            <w:tcW w:w="1940" w:type="dxa"/>
            <w:vAlign w:val="bottom"/>
          </w:tcPr>
          <w:p>
            <w:pPr>
              <w:spacing w:after="0"/>
              <w:rPr>
                <w:sz w:val="17"/>
                <w:szCs w:val="17"/>
                <w:color w:val="auto"/>
              </w:rPr>
            </w:pPr>
          </w:p>
        </w:tc>
      </w:tr>
      <w:tr>
        <w:trPr>
          <w:trHeight w:val="243"/>
        </w:trPr>
        <w:tc>
          <w:tcPr>
            <w:tcW w:w="524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Facility Size</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31, 2026</w:t>
            </w:r>
          </w:p>
        </w:tc>
        <w:tc>
          <w:tcPr>
            <w:tcW w:w="10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Maturity Date</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Five-Year Revolving Credit Facility</w:t>
            </w:r>
          </w:p>
        </w:tc>
        <w:tc>
          <w:tcPr>
            <w:tcW w:w="1440" w:type="dxa"/>
            <w:vAlign w:val="bottom"/>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April 11, 2029</w:t>
            </w:r>
          </w:p>
        </w:tc>
      </w:tr>
      <w:tr>
        <w:trPr>
          <w:trHeight w:val="864"/>
        </w:trPr>
        <w:tc>
          <w:tcPr>
            <w:tcW w:w="5240" w:type="dxa"/>
            <w:vAlign w:val="bottom"/>
          </w:tcPr>
          <w:p>
            <w:pPr>
              <w:spacing w:after="0"/>
              <w:rPr>
                <w:sz w:val="24"/>
                <w:szCs w:val="24"/>
                <w:color w:val="auto"/>
              </w:rPr>
            </w:pPr>
          </w:p>
        </w:tc>
        <w:tc>
          <w:tcPr>
            <w:tcW w:w="144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240"/>
          </w:cols>
          <w:pgMar w:left="320" w:top="99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INFORMATION ON UNCONSOLIDATED AFFILIATES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provides information on an aggregated basis for our unconsolidated affiliates, which are accounted for as equity method investments in the Partnership’s financial statements for the periods presented.</w:t>
      </w:r>
    </w:p>
    <w:p>
      <w:pPr>
        <w:spacing w:after="0" w:line="137"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Equity in earnings of unconsolidated affiliates:</w:t>
            </w:r>
          </w:p>
        </w:tc>
        <w:tc>
          <w:tcPr>
            <w:tcW w:w="31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508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Citrus</w:t>
            </w:r>
          </w:p>
        </w:tc>
        <w:tc>
          <w:tcPr>
            <w:tcW w:w="41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White Cliffs</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Explorer</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SESH</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in earnings of unconsolidated affiliates</w:t>
            </w:r>
          </w:p>
        </w:tc>
        <w:tc>
          <w:tcPr>
            <w:tcW w:w="3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related to unconsolidated affiliates:</w:t>
            </w:r>
          </w:p>
        </w:tc>
        <w:tc>
          <w:tcPr>
            <w:tcW w:w="3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08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Citrus</w:t>
            </w:r>
          </w:p>
        </w:tc>
        <w:tc>
          <w:tcPr>
            <w:tcW w:w="41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White Cliffs</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Explorer</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SESH</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Adjusted EBITDA related to unconsolidated affiliates</w:t>
            </w:r>
          </w:p>
        </w:tc>
        <w:tc>
          <w:tcPr>
            <w:tcW w:w="3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received from unconsolidated affiliates:</w:t>
            </w:r>
          </w:p>
        </w:tc>
        <w:tc>
          <w:tcPr>
            <w:tcW w:w="3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8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Citrus</w:t>
            </w:r>
          </w:p>
        </w:tc>
        <w:tc>
          <w:tcPr>
            <w:tcW w:w="41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MEP</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White Cliffs</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Explorer</w:t>
            </w: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SESH</w:t>
            </w:r>
          </w:p>
        </w:tc>
        <w:tc>
          <w:tcPr>
            <w:tcW w:w="3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distributions received from unconsolidated affiliates</w:t>
            </w:r>
          </w:p>
        </w:tc>
        <w:tc>
          <w:tcPr>
            <w:tcW w:w="3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0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ENERGY TRANSFER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INFORMATION ON NON-WHOLLY OWNED JOINT VENTURE SUBSIDIARIES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15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on an aggregated basis for our non-wholly owned joint venture subsidiaries, which are reflected on a consolidated basis in our financial statements. The table below excludes Sunoco LP and USAC, which are non-wholly owned subsidiaries that are publicly traded, as well as Sunoco LP’s 32.5% interest in the ET-S Permian joint venture.</w:t>
      </w:r>
    </w:p>
    <w:p>
      <w:pPr>
        <w:spacing w:after="0" w:line="151" w:lineRule="exact"/>
        <w:rPr>
          <w:sz w:val="20"/>
          <w:szCs w:val="20"/>
          <w:color w:val="auto"/>
        </w:rPr>
      </w:pPr>
    </w:p>
    <w:p>
      <w:pPr>
        <w:jc w:val="center"/>
        <w:ind w:left="82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26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6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of non-wholly owned subsidiaries (100%) </w:t>
            </w:r>
            <w:r>
              <w:rPr>
                <w:rFonts w:ascii="Times New Roman" w:cs="Times New Roman" w:eastAsia="Times New Roman" w:hAnsi="Times New Roman"/>
                <w:sz w:val="23"/>
                <w:szCs w:val="23"/>
                <w:color w:val="auto"/>
                <w:vertAlign w:val="superscript"/>
              </w:rPr>
              <w:t>(a)</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30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Our proportionate share of Adjusted EBITDA of non-wholly owned subsidiaries </w:t>
            </w:r>
            <w:r>
              <w:rPr>
                <w:rFonts w:ascii="Times New Roman" w:cs="Times New Roman" w:eastAsia="Times New Roman" w:hAnsi="Times New Roman"/>
                <w:sz w:val="23"/>
                <w:szCs w:val="23"/>
                <w:color w:val="auto"/>
                <w:vertAlign w:val="superscript"/>
              </w:rPr>
              <w:t>(b)</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193"/>
        </w:trPr>
        <w:tc>
          <w:tcPr>
            <w:tcW w:w="8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9"/>
        </w:trPr>
        <w:tc>
          <w:tcPr>
            <w:tcW w:w="8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Distributable Cash Flow of non-wholly owned subsidiaries (100%) </w:t>
            </w:r>
            <w:r>
              <w:rPr>
                <w:rFonts w:ascii="Times New Roman" w:cs="Times New Roman" w:eastAsia="Times New Roman" w:hAnsi="Times New Roman"/>
                <w:sz w:val="23"/>
                <w:szCs w:val="23"/>
                <w:color w:val="auto"/>
                <w:vertAlign w:val="superscript"/>
              </w:rPr>
              <w:t>(c)</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30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Our proportionate share of Distributable Cash Flow of non-wholly owned subsidiaries </w:t>
            </w:r>
            <w:r>
              <w:rPr>
                <w:rFonts w:ascii="Times New Roman" w:cs="Times New Roman" w:eastAsia="Times New Roman" w:hAnsi="Times New Roman"/>
                <w:sz w:val="23"/>
                <w:szCs w:val="23"/>
                <w:color w:val="auto"/>
                <w:vertAlign w:val="superscript"/>
              </w:rPr>
              <w:t>(d)</w:t>
            </w: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Below is our ownership percentage of certain non-wholly owned subsidiaries:</w:t>
            </w:r>
          </w:p>
        </w:tc>
        <w:tc>
          <w:tcPr>
            <w:tcW w:w="3060" w:type="dxa"/>
            <w:vAlign w:val="bottom"/>
          </w:tcPr>
          <w:p>
            <w:pPr>
              <w:spacing w:after="0"/>
              <w:rPr>
                <w:sz w:val="20"/>
                <w:szCs w:val="20"/>
                <w:color w:val="auto"/>
              </w:rPr>
            </w:pPr>
          </w:p>
        </w:tc>
      </w:tr>
      <w:tr>
        <w:trPr>
          <w:trHeight w:val="41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Non-wholly owned subsidiary:</w:t>
            </w: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xml:space="preserve">Energy Transfer Percentage Ownership </w:t>
            </w:r>
            <w:r>
              <w:rPr>
                <w:rFonts w:ascii="Times New Roman" w:cs="Times New Roman" w:eastAsia="Times New Roman" w:hAnsi="Times New Roman"/>
                <w:sz w:val="23"/>
                <w:szCs w:val="23"/>
                <w:color w:val="auto"/>
                <w:w w:val="98"/>
                <w:vertAlign w:val="superscript"/>
              </w:rPr>
              <w:t>(e)</w:t>
            </w:r>
          </w:p>
        </w:tc>
      </w:tr>
      <w:tr>
        <w:trPr>
          <w:trHeight w:val="22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Bakken Pipeline</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Bayou Bridge</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Maurepas</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Ohio River System</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75.0 %</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Permian Express Partners</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87.7 %</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 Bluff Express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Rover</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r>
      <w:tr>
        <w:trPr>
          <w:trHeight w:val="234"/>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various</w:t>
            </w:r>
          </w:p>
        </w:tc>
      </w:tr>
    </w:tbl>
    <w:p>
      <w:pPr>
        <w:spacing w:after="0" w:line="166" w:lineRule="exact"/>
        <w:rPr>
          <w:sz w:val="20"/>
          <w:szCs w:val="20"/>
          <w:color w:val="auto"/>
        </w:rPr>
      </w:pPr>
    </w:p>
    <w:p>
      <w:pPr>
        <w:ind w:left="340" w:hanging="332"/>
        <w:spacing w:after="0" w:line="229" w:lineRule="auto"/>
        <w:tabs>
          <w:tab w:leader="none" w:pos="335"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EBITDA of non-wholly owned subsidiaries reflects the total Adjusted EBITDA of our non-wholly owned subsidiaries on an aggregated basis. This is the amount included in our consolidated non-GAAP measure of Adjusted EBITDA.</w:t>
      </w:r>
    </w:p>
    <w:p>
      <w:pPr>
        <w:spacing w:after="0" w:line="90"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proportionate share of Adjusted EBITDA of non-wholly owned subsidiaries reflects the amount of Adjusted EBITDA of such subsidiaries (on an aggregated basis) that is attributable to our ownership interest.</w:t>
      </w:r>
    </w:p>
    <w:p>
      <w:pPr>
        <w:spacing w:after="0" w:line="90" w:lineRule="exact"/>
        <w:rPr>
          <w:rFonts w:ascii="Times New Roman" w:cs="Times New Roman" w:eastAsia="Times New Roman" w:hAnsi="Times New Roman"/>
          <w:sz w:val="23"/>
          <w:szCs w:val="23"/>
          <w:color w:val="auto"/>
          <w:vertAlign w:val="superscript"/>
        </w:rPr>
      </w:pPr>
    </w:p>
    <w:p>
      <w:pPr>
        <w:ind w:left="340" w:right="20" w:hanging="332"/>
        <w:spacing w:after="0" w:line="229" w:lineRule="auto"/>
        <w:tabs>
          <w:tab w:leader="none" w:pos="335"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Distributable Cash Flow of non-wholly owned subsidiaries reflects the total Distributable Cash Flow of our non-wholly owned subsidiaries on an aggregated basis.</w:t>
      </w:r>
    </w:p>
    <w:p>
      <w:pPr>
        <w:spacing w:after="0" w:line="90" w:lineRule="exact"/>
        <w:rPr>
          <w:rFonts w:ascii="Times New Roman" w:cs="Times New Roman" w:eastAsia="Times New Roman" w:hAnsi="Times New Roman"/>
          <w:sz w:val="23"/>
          <w:szCs w:val="23"/>
          <w:color w:val="auto"/>
          <w:vertAlign w:val="superscript"/>
        </w:rPr>
      </w:pPr>
    </w:p>
    <w:p>
      <w:pPr>
        <w:jc w:val="both"/>
        <w:ind w:left="340" w:hanging="332"/>
        <w:spacing w:after="0" w:line="235" w:lineRule="auto"/>
        <w:tabs>
          <w:tab w:leader="none" w:pos="32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proportionate share of Distributable Cash Flow of non-wholly owned subsidiaries reflects the amount of Distributable Cash Flow of such subsidiaries (on an aggregated basis) that is attributable to our ownership interest. This is the amount included in our consolidated non-GAAP measure of Distributable Cash Flow attributable to the partners of Energy Transfer.</w:t>
      </w:r>
    </w:p>
    <w:p>
      <w:pPr>
        <w:spacing w:after="0" w:line="91" w:lineRule="exact"/>
        <w:rPr>
          <w:rFonts w:ascii="Times New Roman" w:cs="Times New Roman" w:eastAsia="Times New Roman" w:hAnsi="Times New Roman"/>
          <w:sz w:val="23"/>
          <w:szCs w:val="23"/>
          <w:color w:val="auto"/>
          <w:vertAlign w:val="superscript"/>
        </w:rPr>
      </w:pPr>
    </w:p>
    <w:p>
      <w:pPr>
        <w:ind w:left="340" w:hanging="332"/>
        <w:spacing w:after="0" w:line="229" w:lineRule="auto"/>
        <w:tabs>
          <w:tab w:leader="none" w:pos="335"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ownership reflects the total economic interest held by us and our subsidiaries. In some cases, this percentage comprises ownership interests held in (or by) multiple entities.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240"/>
      </w:cols>
      <w:pgMar w:left="320" w:top="9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4"/>
    </w:lvl>
  </w:abstractNum>
  <w:abstractNum w:abstractNumId="2">
    <w:nsid w:val="1F16E9E8"/>
    <w:multiLevelType w:val="hybridMultilevel"/>
    <w:lvl w:ilvl="0">
      <w:lvlJc w:val="left"/>
      <w:lvlText w:val="•"/>
      <w:numFmt w:val="bullet"/>
      <w:start w:val="1"/>
    </w:lvl>
    <w:lvl w:ilvl="1">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lowerLetter"/>
      <w:start w:val="2"/>
    </w:lvl>
  </w:abstractNum>
  <w:abstractNum w:abstractNumId="9">
    <w:nsid w:val="7FDCC233"/>
    <w:multiLevelType w:val="hybridMultilevel"/>
    <w:lvl w:ilvl="0">
      <w:lvlJc w:val="left"/>
      <w:lvlText w:val="(%1)"/>
      <w:numFmt w:val="lowerLetter"/>
      <w:start w:val="3"/>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2026-05-05T06:38:41Z</dcterms:created>
  <dcterms:modified xsi:type="dcterms:W3CDTF">2026-05-05T06:38:41Z</dcterms:modified>
</cp:coreProperties>
</file>