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bl>
      <w:tblPr>
        <w:tblW w:w="8864" w:type="dxa"/>
        <w:jc w:val="center"/>
        <w:tblInd w:w="0" w:type="dxa"/>
        <w:tblLayout w:type="fixed"/>
        <w:tblCellMar>
          <w:top w:w="28" w:type="dxa"/>
          <w:left w:w="28" w:type="dxa"/>
          <w:bottom w:w="28" w:type="dxa"/>
          <w:right w:w="28" w:type="dxa"/>
        </w:tblCellMar>
      </w:tblPr>
      <w:tblGrid>
        <w:gridCol w:w="1336"/>
        <w:gridCol w:w="1169"/>
        <w:gridCol w:w="1169"/>
        <w:gridCol w:w="765"/>
        <w:gridCol w:w="765"/>
        <w:gridCol w:w="765"/>
        <w:gridCol w:w="845"/>
        <w:gridCol w:w="845"/>
        <w:gridCol w:w="1205"/>
      </w:tblGrid>
      <w:tr>
        <w:trPr/>
        <w:tc>
          <w:tcPr>
            <w:tcW w:w="133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1, 2026</w:t>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tc>
      </w:tr>
      <w:tr>
        <w:trPr/>
        <w:tc>
          <w:tcPr>
            <w:tcW w:w="8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ENERGY TRANSFER LP</w:t>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1-32740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8111 Westchester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Dallas, Texas 75225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bl>
      <w:tblPr>
        <w:tblW w:w="4468" w:type="dxa"/>
        <w:jc w:val="center"/>
        <w:tblInd w:w="0" w:type="dxa"/>
        <w:tblLayout w:type="fixed"/>
        <w:tblCellMar>
          <w:top w:w="28" w:type="dxa"/>
          <w:left w:w="28" w:type="dxa"/>
          <w:bottom w:w="28" w:type="dxa"/>
          <w:right w:w="28" w:type="dxa"/>
        </w:tblCellMar>
      </w:tblPr>
      <w:tblGrid>
        <w:gridCol w:w="596"/>
        <w:gridCol w:w="527"/>
        <w:gridCol w:w="530"/>
        <w:gridCol w:w="823"/>
        <w:gridCol w:w="823"/>
        <w:gridCol w:w="1169"/>
      </w:tblGrid>
      <w:tr>
        <w:trPr/>
        <w:tc>
          <w:tcPr>
            <w:tcW w:w="5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981-0700</w:t>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68" w:type="dxa"/>
        <w:jc w:val="center"/>
        <w:tblInd w:w="0" w:type="dxa"/>
        <w:tblLayout w:type="fixed"/>
        <w:tblCellMar>
          <w:top w:w="28" w:type="dxa"/>
          <w:left w:w="28" w:type="dxa"/>
          <w:bottom w:w="28" w:type="dxa"/>
          <w:right w:w="28" w:type="dxa"/>
        </w:tblCellMar>
      </w:tblPr>
      <w:tblGrid>
        <w:gridCol w:w="1456"/>
        <w:gridCol w:w="1274"/>
        <w:gridCol w:w="1290"/>
        <w:gridCol w:w="109"/>
        <w:gridCol w:w="109"/>
        <w:gridCol w:w="109"/>
        <w:gridCol w:w="529"/>
        <w:gridCol w:w="529"/>
        <w:gridCol w:w="531"/>
        <w:gridCol w:w="109"/>
        <w:gridCol w:w="109"/>
        <w:gridCol w:w="109"/>
        <w:gridCol w:w="1085"/>
        <w:gridCol w:w="1085"/>
        <w:gridCol w:w="1535"/>
      </w:tblGrid>
      <w:tr>
        <w:trPr/>
        <w:tc>
          <w:tcPr>
            <w:tcW w:w="14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r>
        <w:rPr>
          <w:color w:val="231F2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Marshall S. (“Mackie”) McCrea, III, Co-Chief Executive Officer of Energy Transfer LP (the “Partnership”), notified the Partnership of his intention to retire, effective on or before December 31, 2026. Until his retirement date, Mr. McCrea will continue in his current role as Co-Chief Executive Officer and as a member of the Partnership’s Board of Directors. After his retirement, Mr. McCrea will continue to serve on the Board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Mr. McCrea’s retirement, Thomas E. Long, the Partnership’s Co-Chief Executive Officer, will assume the role of sole Chief Executive Officer.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making his decision, Mr. McCrea noted his intention to pursue certain personal objectives and spend more time with his family. Mr. McCrea also chose this time to transition into retirement believing that the Partnership is well positioned as a business and has talented individuals who can continue executing on key projects and objectives.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recognition of Mr. McCrea’s status as one of the original leaders of the Partnership, and his numerous contributions over his many years of service, including being an architect of not only the Partnership’s commercial and strategic vision but also its outstanding culture, the Compensation Committee of the Board has approved the acceleration of Mr. McCrea’s outstanding equity incentive awards, as described in more detail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Mr. McCrea’s retirement, Mr. McCrea and the Partnership intend to enter into a Restrictive Covenant and Separation Agreement and Full Release of Claims (the “McCrea Separation Agreement”). The McCrea Separation Agreement will become effective after execution and the expiration of a seven (7) day revocation period. The McCrea Separation Agreement will provide for the following: (i) accelerated vesting of 10% of his eligible unvested restricted units under the Amended and Restated Energy Transfer LP Long-Term Incentive Plan (the “ET LTIP”) and 10% of his eligible cash restricted units under the Partnership’s Long-Term Cash Restricted Unit Plan (the “CRU Plan”), less all required governmental payroll deductions and withholdings, in exchange for the release of claims described below; (ii) accelerated vesting of 50% of his unvested restricted units under the ET LTIP, less all required governmental payroll deductions and withholdings, and 50% of his unvested cash restricted units, less all required governmental payroll deductions and withholdings in consideration of the restrictive covenants described below. To the extent that the effective date of Mr. McCrea’s retirement is prior to December 5, 2026, restricted units and the cash restricted units awarded to Mr. McCrea in December 2025 (the “2025 Award”) will remain outstanding after Mr. McCrea’s retirement and will vest in accordance with their original vesting schedule pursuant to the terms of the ET LTIP and the CRU Plan while Mr. McCrea continues to serve on the Board of Directors after his retirement. If Mr. McCrea’s retirement date is on or after December 5, 2026, the restricted units and the cash restricted units associated with the 2025 Award will accelerate in the same manner as all other restricted units and cash restricted units described above. The final number of units associated with awards to be accelerated will be disclosed at such time that Mr. McCrea’s retirement date is finalized.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McCrea Separation Agreement will include, among other things, (i) a standard release of claims in favor of the Partnership, specifically including LE GP, LLC, the general partner of the Partnership, and each of the Partnership’s respective past and present subsidiaries, affiliates, partners, directors, officers, owners, equity holders, employees, benefit plans, benefit plan fiduciaries, predecessors, joint employers, successor employers and agents; (ii) a twelve (12) month restrictive covenant provision whereby Mr. McCrea acknowledges obligations with respect to competition and solicitation of customers and employees; (iii) a non-disparagement clause; (iv) a confirmation and acknowledgement by Mr. McCrea of his obligations with respect to proprietary and confidential information; and (v) a general twenty-four (24) month cooperation clause and an open-ended cooperation clause with respect to any currently pending litigation matter in which Mr. McCrea is involved. The time frames for the restrictive covenant periods and the cooperation clause shall not commence until Mr. McCrea’s service on the Partnership’s Board of Directors terminates.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Mr. McCrea will also receive the remaining 40% of his eligible unvested restricted units under the ET LTIP and the remaining 40% of his eligible unvested cash restricted units under the CRU Plan pursuant to the qualified retirement provisions of each plan, which vesting will be subject to a six-month delay in the acceleration of vesting and payment of any associated distribution amount pursuant to the terms of the plans and Internal Revenue Code Section 409(A). Additional information on the retirement provisions associated with the Partnership’s incentive plans is available in Item 11, “Executive Compensation,” of the Partnership’s annual report on Form 10-K for the year ended December 31, 2025. The restricted units and the cash restricted units under the 2025 Award shall be handled in the same manner for purposes of the qualified retirement provisions of the ET LTIP and the CRU Plan with the units accelerating if Mr. McCrea retires on or after December 5, 2026 or remaining outstanding and continuing to vest in accordance with their vesting provisions while Mr. McCrea remains on the Partnership’s Board of Directors if he retires prior to December 5, 2026. The final number of units associated with awards to be accelerated will be disclosed at such time that Mr. McCrea’s retirement date is finalized.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8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365"/>
        <w:gridCol w:w="365"/>
        <w:gridCol w:w="365"/>
        <w:gridCol w:w="1449"/>
        <w:gridCol w:w="1449"/>
        <w:gridCol w:w="20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3, 2026</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1279</Words>
  <Characters>7088</Characters>
  <CharactersWithSpaces>8346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