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5715</wp:posOffset>
            </wp:positionV>
            <wp:extent cx="156845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40" w:lineRule="exact"/>
        <w:rPr>
          <w:sz w:val="24"/>
          <w:szCs w:val="24"/>
          <w:color w:val="auto"/>
        </w:rPr>
      </w:pPr>
    </w:p>
    <w:p>
      <w:pPr>
        <w:ind w:left="1380" w:hanging="305"/>
        <w:spacing w:after="0"/>
        <w:tabs>
          <w:tab w:leader="none" w:pos="1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 w:lineRule="exact"/>
        <w:rPr>
          <w:sz w:val="24"/>
          <w:szCs w:val="24"/>
          <w:color w:val="auto"/>
        </w:rPr>
      </w:pPr>
    </w:p>
    <w:p>
      <w:pPr>
        <w:jc w:val="center"/>
        <w:ind w:left="4360" w:right="880" w:hanging="3470"/>
        <w:spacing w:after="0" w:line="286" w:lineRule="auto"/>
        <w:tabs>
          <w:tab w:leader="none" w:pos="1203"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1-32740</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ENERGY TRANSFER LP</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98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940" w:type="dxa"/>
            <w:vAlign w:val="bottom"/>
            <w:gridSpan w:val="2"/>
          </w:tcPr>
          <w:p>
            <w:pPr>
              <w:jc w:val="right"/>
              <w:ind w:right="2184"/>
              <w:spacing w:after="0"/>
              <w:rPr>
                <w:sz w:val="20"/>
                <w:szCs w:val="20"/>
                <w:color w:val="auto"/>
              </w:rPr>
            </w:pPr>
            <w:r>
              <w:rPr>
                <w:rFonts w:ascii="Times New Roman" w:cs="Times New Roman" w:eastAsia="Times New Roman" w:hAnsi="Times New Roman"/>
                <w:sz w:val="18"/>
                <w:szCs w:val="18"/>
                <w:b w:val="1"/>
                <w:bCs w:val="1"/>
                <w:color w:val="auto"/>
              </w:rPr>
              <w:t>30-0108820</w:t>
            </w:r>
          </w:p>
        </w:tc>
      </w:tr>
      <w:tr>
        <w:trPr>
          <w:trHeight w:val="188"/>
        </w:trPr>
        <w:tc>
          <w:tcPr>
            <w:tcW w:w="20" w:type="dxa"/>
            <w:vAlign w:val="bottom"/>
          </w:tcPr>
          <w:p>
            <w:pPr>
              <w:spacing w:after="0"/>
              <w:rPr>
                <w:sz w:val="16"/>
                <w:szCs w:val="16"/>
                <w:color w:val="auto"/>
              </w:rPr>
            </w:pPr>
          </w:p>
        </w:tc>
        <w:tc>
          <w:tcPr>
            <w:tcW w:w="7260" w:type="dxa"/>
            <w:vAlign w:val="bottom"/>
            <w:gridSpan w:val="6"/>
          </w:tcPr>
          <w:p>
            <w:pPr>
              <w:jc w:val="center"/>
              <w:ind w:right="19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940" w:type="dxa"/>
            <w:vAlign w:val="bottom"/>
            <w:gridSpan w:val="2"/>
          </w:tcPr>
          <w:p>
            <w:pPr>
              <w:jc w:val="center"/>
              <w:ind w:right="138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25"/>
        </w:trPr>
        <w:tc>
          <w:tcPr>
            <w:tcW w:w="20" w:type="dxa"/>
            <w:vAlign w:val="bottom"/>
          </w:tcPr>
          <w:p>
            <w:pPr>
              <w:spacing w:after="0"/>
              <w:rPr>
                <w:sz w:val="24"/>
                <w:szCs w:val="24"/>
                <w:color w:val="auto"/>
              </w:rPr>
            </w:pPr>
          </w:p>
        </w:tc>
        <w:tc>
          <w:tcPr>
            <w:tcW w:w="8100" w:type="dxa"/>
            <w:vAlign w:val="bottom"/>
            <w:gridSpan w:val="7"/>
          </w:tcPr>
          <w:p>
            <w:pPr>
              <w:jc w:val="center"/>
              <w:ind w:left="3019"/>
              <w:spacing w:after="0"/>
              <w:rPr>
                <w:sz w:val="20"/>
                <w:szCs w:val="20"/>
                <w:color w:val="auto"/>
              </w:rPr>
            </w:pPr>
            <w:r>
              <w:rPr>
                <w:rFonts w:ascii="Times New Roman" w:cs="Times New Roman" w:eastAsia="Times New Roman" w:hAnsi="Times New Roman"/>
                <w:sz w:val="18"/>
                <w:szCs w:val="18"/>
                <w:b w:val="1"/>
                <w:bCs w:val="1"/>
                <w:color w:val="auto"/>
                <w:w w:val="98"/>
              </w:rPr>
              <w:t>8111 Westchester Drive, Suite 600, Dallas, Texas 75225</w:t>
            </w:r>
          </w:p>
        </w:tc>
        <w:tc>
          <w:tcPr>
            <w:tcW w:w="310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2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84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75"/>
        </w:trPr>
        <w:tc>
          <w:tcPr>
            <w:tcW w:w="20" w:type="dxa"/>
            <w:vAlign w:val="bottom"/>
          </w:tcPr>
          <w:p>
            <w:pPr>
              <w:spacing w:after="0"/>
              <w:rPr>
                <w:sz w:val="23"/>
                <w:szCs w:val="23"/>
                <w:color w:val="auto"/>
              </w:rPr>
            </w:pPr>
          </w:p>
        </w:tc>
        <w:tc>
          <w:tcPr>
            <w:tcW w:w="8100" w:type="dxa"/>
            <w:vAlign w:val="bottom"/>
            <w:gridSpan w:val="7"/>
          </w:tcPr>
          <w:p>
            <w:pPr>
              <w:jc w:val="center"/>
              <w:ind w:left="303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7"/>
                <w:szCs w:val="17"/>
                <w:b w:val="1"/>
                <w:bCs w:val="1"/>
                <w:color w:val="auto"/>
              </w:rPr>
              <w:t>(214) 981-0700</w:t>
            </w:r>
          </w:p>
        </w:tc>
        <w:tc>
          <w:tcPr>
            <w:tcW w:w="3100" w:type="dxa"/>
            <w:vAlign w:val="bottom"/>
          </w:tcPr>
          <w:p>
            <w:pPr>
              <w:spacing w:after="0"/>
              <w:rPr>
                <w:sz w:val="23"/>
                <w:szCs w:val="23"/>
                <w:color w:val="auto"/>
              </w:rPr>
            </w:pPr>
          </w:p>
        </w:tc>
      </w:tr>
      <w:tr>
        <w:trPr>
          <w:trHeight w:val="234"/>
        </w:trPr>
        <w:tc>
          <w:tcPr>
            <w:tcW w:w="20" w:type="dxa"/>
            <w:vAlign w:val="bottom"/>
          </w:tcPr>
          <w:p>
            <w:pPr>
              <w:spacing w:after="0"/>
              <w:rPr>
                <w:sz w:val="20"/>
                <w:szCs w:val="20"/>
                <w:color w:val="auto"/>
              </w:rPr>
            </w:pPr>
          </w:p>
        </w:tc>
        <w:tc>
          <w:tcPr>
            <w:tcW w:w="8100" w:type="dxa"/>
            <w:vAlign w:val="bottom"/>
            <w:gridSpan w:val="7"/>
          </w:tcPr>
          <w:p>
            <w:pPr>
              <w:jc w:val="center"/>
              <w:ind w:left="3039"/>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10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98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color w:val="auto"/>
              </w:rPr>
              <w:t>Trading Symbol(s)</w:t>
            </w:r>
          </w:p>
        </w:tc>
        <w:tc>
          <w:tcPr>
            <w:tcW w:w="3940" w:type="dxa"/>
            <w:vAlign w:val="bottom"/>
            <w:gridSpan w:val="2"/>
          </w:tcPr>
          <w:p>
            <w:pPr>
              <w:jc w:val="center"/>
              <w:ind w:right="324"/>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7"/>
        </w:trPr>
        <w:tc>
          <w:tcPr>
            <w:tcW w:w="20" w:type="dxa"/>
            <w:vAlign w:val="bottom"/>
          </w:tcPr>
          <w:p>
            <w:pPr>
              <w:spacing w:after="0"/>
              <w:rPr>
                <w:sz w:val="16"/>
                <w:szCs w:val="16"/>
                <w:color w:val="auto"/>
              </w:rPr>
            </w:pPr>
          </w:p>
        </w:tc>
        <w:tc>
          <w:tcPr>
            <w:tcW w:w="3980" w:type="dxa"/>
            <w:vAlign w:val="bottom"/>
            <w:tcBorders>
              <w:top w:val="single" w:sz="8" w:color="auto"/>
            </w:tcBorders>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ET</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100" w:type="dxa"/>
            <w:vAlign w:val="bottom"/>
            <w:tcBorders>
              <w:top w:val="single" w:sz="8" w:color="auto"/>
            </w:tcBorders>
          </w:tcPr>
          <w:p>
            <w:pPr>
              <w:jc w:val="center"/>
              <w:ind w:right="1164"/>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191"/>
        </w:trPr>
        <w:tc>
          <w:tcPr>
            <w:tcW w:w="20" w:type="dxa"/>
            <w:vAlign w:val="bottom"/>
          </w:tcPr>
          <w:p>
            <w:pPr>
              <w:spacing w:after="0"/>
              <w:rPr>
                <w:sz w:val="16"/>
                <w:szCs w:val="16"/>
                <w:color w:val="auto"/>
              </w:rPr>
            </w:pPr>
          </w:p>
        </w:tc>
        <w:tc>
          <w:tcPr>
            <w:tcW w:w="398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9.250% Series I Fixed Rate Perpetual Preferred Units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ETprI</w:t>
            </w:r>
          </w:p>
        </w:tc>
        <w:tc>
          <w:tcPr>
            <w:tcW w:w="840" w:type="dxa"/>
            <w:vAlign w:val="bottom"/>
          </w:tcPr>
          <w:p>
            <w:pPr>
              <w:spacing w:after="0"/>
              <w:rPr>
                <w:sz w:val="16"/>
                <w:szCs w:val="16"/>
                <w:color w:val="auto"/>
              </w:rPr>
            </w:pPr>
          </w:p>
        </w:tc>
        <w:tc>
          <w:tcPr>
            <w:tcW w:w="3100" w:type="dxa"/>
            <w:vAlign w:val="bottom"/>
          </w:tcPr>
          <w:p>
            <w:pPr>
              <w:jc w:val="center"/>
              <w:ind w:right="1164"/>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368"/>
        </w:trPr>
        <w:tc>
          <w:tcPr>
            <w:tcW w:w="20" w:type="dxa"/>
            <w:vAlign w:val="bottom"/>
          </w:tcPr>
          <w:p>
            <w:pPr>
              <w:spacing w:after="0"/>
              <w:rPr>
                <w:sz w:val="24"/>
                <w:szCs w:val="24"/>
                <w:color w:val="auto"/>
              </w:rPr>
            </w:pPr>
          </w:p>
        </w:tc>
        <w:tc>
          <w:tcPr>
            <w:tcW w:w="8100" w:type="dxa"/>
            <w:vAlign w:val="bottom"/>
            <w:gridSpan w:val="7"/>
          </w:tcPr>
          <w:p>
            <w:pPr>
              <w:jc w:val="center"/>
              <w:ind w:left="3039"/>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3100" w:type="dxa"/>
            <w:vAlign w:val="bottom"/>
          </w:tcPr>
          <w:p>
            <w:pPr>
              <w:spacing w:after="0"/>
              <w:rPr>
                <w:sz w:val="24"/>
                <w:szCs w:val="24"/>
                <w:color w:val="auto"/>
              </w:rPr>
            </w:pPr>
          </w:p>
        </w:tc>
      </w:tr>
      <w:tr>
        <w:trPr>
          <w:trHeight w:val="310"/>
        </w:trPr>
        <w:tc>
          <w:tcPr>
            <w:tcW w:w="8120" w:type="dxa"/>
            <w:vAlign w:val="bottom"/>
            <w:gridSpan w:val="8"/>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3100" w:type="dxa"/>
            <w:vAlign w:val="bottom"/>
          </w:tcPr>
          <w:p>
            <w:pPr>
              <w:jc w:val="center"/>
              <w:ind w:right="2284"/>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83"/>
        </w:trPr>
        <w:tc>
          <w:tcPr>
            <w:tcW w:w="81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w:t>
            </w:r>
          </w:p>
        </w:tc>
        <w:tc>
          <w:tcPr>
            <w:tcW w:w="3100" w:type="dxa"/>
            <w:vAlign w:val="bottom"/>
          </w:tcPr>
          <w:p>
            <w:pPr>
              <w:jc w:val="center"/>
              <w:ind w:right="2284"/>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bl>
    <w:p>
      <w:pPr>
        <w:spacing w:after="0" w:line="47"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p>
      <w:pPr>
        <w:spacing w:after="0" w:line="184" w:lineRule="exact"/>
        <w:tabs>
          <w:tab w:leader="none" w:pos="1820" w:val="left"/>
          <w:tab w:leader="none" w:pos="3300" w:val="left"/>
          <w:tab w:leader="none" w:pos="5060" w:val="left"/>
          <w:tab w:leader="none" w:pos="72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13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aggregate market value as of June 30, 2024, of the registrant’s Common Units held by non-affiliates of the registrant, based on the reported closing price of such Common Units on the New York Stock Exchange on such date, was $49.10 billion.</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7, 2025, the registrant had 3,431,214,964 Common Units outstanding.</w:t>
      </w:r>
    </w:p>
    <w:p>
      <w:pPr>
        <w:spacing w:after="0" w:line="12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4380" w:type="dxa"/>
            <w:vAlign w:val="bottom"/>
            <w:gridSpan w:val="1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80" w:type="dxa"/>
            <w:vAlign w:val="bottom"/>
            <w:gridSpan w:val="23"/>
          </w:tcPr>
          <w:p>
            <w:pPr>
              <w:jc w:val="center"/>
              <w:ind w:right="28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ENERGY TRANSFER LP AND SUBSIDIARIES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top w:val="single" w:sz="8" w:color="auto"/>
            </w:tcBorders>
            <w:gridSpan w:val="1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98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gridSpan w:val="2"/>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0" w:type="dxa"/>
            <w:vAlign w:val="bottom"/>
            <w:gridSpan w:val="16"/>
            <w:shd w:val="clear" w:color="auto" w:fill="CCEEFF"/>
          </w:tcPr>
          <w:p>
            <w:pPr>
              <w:jc w:val="center"/>
              <w:ind w:right="4540"/>
              <w:spacing w:after="0" w:line="189"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320" w:type="dxa"/>
            <w:vAlign w:val="bottom"/>
            <w:tcBorders>
              <w:top w:val="single" w:sz="8" w:color="CCEEFF"/>
            </w:tcBorders>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ITEM 1. BUSINESS</w:t>
            </w:r>
          </w:p>
        </w:tc>
        <w:tc>
          <w:tcPr>
            <w:tcW w:w="580" w:type="dxa"/>
            <w:vAlign w:val="bottom"/>
            <w:tcBorders>
              <w:top w:val="single" w:sz="8" w:color="0000FF"/>
            </w:tcBorders>
            <w:gridSpan w:val="2"/>
          </w:tcPr>
          <w:p>
            <w:pPr>
              <w:spacing w:after="0"/>
              <w:rPr>
                <w:sz w:val="16"/>
                <w:szCs w:val="16"/>
                <w:color w:val="auto"/>
              </w:rPr>
            </w:pPr>
          </w:p>
        </w:tc>
        <w:tc>
          <w:tcPr>
            <w:tcW w:w="4580" w:type="dxa"/>
            <w:vAlign w:val="bottom"/>
            <w:tcBorders>
              <w:top w:val="single" w:sz="8" w:color="CCEEFF"/>
            </w:tcBorders>
            <w:gridSpan w:val="13"/>
          </w:tcPr>
          <w:p>
            <w:pPr>
              <w:spacing w:after="0"/>
              <w:rPr>
                <w:sz w:val="16"/>
                <w:szCs w:val="16"/>
                <w:color w:val="auto"/>
              </w:rPr>
            </w:pPr>
          </w:p>
        </w:tc>
        <w:tc>
          <w:tcPr>
            <w:tcW w:w="740" w:type="dxa"/>
            <w:vAlign w:val="bottom"/>
            <w:tcBorders>
              <w:top w:val="single" w:sz="8" w:color="CCEEFF"/>
            </w:tcBorders>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7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7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1C. CYBERSECURITY</w:t>
            </w:r>
          </w:p>
        </w:tc>
        <w:tc>
          <w:tcPr>
            <w:tcW w:w="8200" w:type="dxa"/>
            <w:vAlign w:val="bottom"/>
            <w:tcBorders>
              <w:bottom w:val="single" w:sz="8" w:color="CCEEFF"/>
            </w:tcBorders>
            <w:gridSpan w:val="30"/>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ITEM 2. PROPERTIES</w:t>
            </w:r>
          </w:p>
        </w:tc>
        <w:tc>
          <w:tcPr>
            <w:tcW w:w="7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LEGAL PROCEEDINGS</w:t>
            </w:r>
          </w:p>
        </w:tc>
        <w:tc>
          <w:tcPr>
            <w:tcW w:w="7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40" w:type="dxa"/>
            <w:vAlign w:val="bottom"/>
            <w:gridSpan w:val="17"/>
            <w:shd w:val="clear" w:color="auto" w:fill="CCEEFF"/>
          </w:tcPr>
          <w:p>
            <w:pPr>
              <w:jc w:val="center"/>
              <w:ind w:right="4500"/>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ITEM 5. MARKET FOR REGISTRANT’S COMMON UNITS, RELATED UNITHOLDER MATTERS AND ISSUER PURCHASES OF</w:t>
            </w:r>
          </w:p>
        </w:tc>
        <w:tc>
          <w:tcPr>
            <w:tcW w:w="74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860" w:type="dxa"/>
            <w:vAlign w:val="bottom"/>
            <w:tcBorders>
              <w:top w:val="single" w:sz="8" w:color="0000FF"/>
            </w:tcBorders>
            <w:gridSpan w:val="37"/>
          </w:tcPr>
          <w:p>
            <w:pPr>
              <w:spacing w:after="0" w:line="142" w:lineRule="exact"/>
              <w:rPr>
                <w:sz w:val="20"/>
                <w:szCs w:val="20"/>
                <w:color w:val="auto"/>
              </w:rPr>
            </w:pPr>
            <w:r>
              <w:rPr>
                <w:rFonts w:ascii="Times New Roman" w:cs="Times New Roman" w:eastAsia="Times New Roman" w:hAnsi="Times New Roman"/>
                <w:sz w:val="16"/>
                <w:szCs w:val="16"/>
                <w:color w:val="0000FF"/>
              </w:rPr>
              <w:t>EQUITY SECURITIES</w:t>
            </w:r>
          </w:p>
        </w:tc>
        <w:tc>
          <w:tcPr>
            <w:tcW w:w="460" w:type="dxa"/>
            <w:vAlign w:val="bottom"/>
          </w:tcPr>
          <w:p>
            <w:pPr>
              <w:spacing w:after="0"/>
              <w:rPr>
                <w:sz w:val="13"/>
                <w:szCs w:val="13"/>
                <w:color w:val="auto"/>
              </w:rPr>
            </w:pPr>
          </w:p>
        </w:tc>
        <w:tc>
          <w:tcPr>
            <w:tcW w:w="7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0480" w:type="dxa"/>
            <w:vAlign w:val="bottom"/>
            <w:gridSpan w:val="39"/>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ITEM 6. [RESERVED]</w:t>
            </w:r>
          </w:p>
        </w:tc>
        <w:tc>
          <w:tcPr>
            <w:tcW w:w="740" w:type="dxa"/>
            <w:vAlign w:val="bottom"/>
            <w:gridSpan w:val="5"/>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7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7A. QUANTITATIVE AND QUALITATIVE DISCLOSURES ABOUT MARKET RISK</w:t>
            </w:r>
          </w:p>
        </w:tc>
        <w:tc>
          <w:tcPr>
            <w:tcW w:w="3540" w:type="dxa"/>
            <w:vAlign w:val="bottom"/>
            <w:gridSpan w:val="8"/>
            <w:shd w:val="clear" w:color="auto" w:fill="CCEEFF"/>
          </w:tcPr>
          <w:p>
            <w:pPr>
              <w:spacing w:after="0"/>
              <w:rPr>
                <w:sz w:val="16"/>
                <w:szCs w:val="16"/>
                <w:color w:val="auto"/>
              </w:rPr>
            </w:pPr>
          </w:p>
        </w:tc>
        <w:tc>
          <w:tcPr>
            <w:tcW w:w="74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9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3540" w:type="dxa"/>
            <w:vAlign w:val="bottom"/>
            <w:gridSpan w:val="8"/>
          </w:tcPr>
          <w:p>
            <w:pPr>
              <w:spacing w:after="0"/>
              <w:rPr>
                <w:sz w:val="16"/>
                <w:szCs w:val="16"/>
                <w:color w:val="auto"/>
              </w:rPr>
            </w:pPr>
          </w:p>
        </w:tc>
        <w:tc>
          <w:tcPr>
            <w:tcW w:w="7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74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133</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7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720" w:type="dxa"/>
            <w:vAlign w:val="bottom"/>
            <w:gridSpan w:val="3"/>
          </w:tcPr>
          <w:p>
            <w:pPr>
              <w:spacing w:after="0"/>
              <w:rPr>
                <w:sz w:val="16"/>
                <w:szCs w:val="16"/>
                <w:color w:val="auto"/>
              </w:rPr>
            </w:pPr>
          </w:p>
        </w:tc>
        <w:tc>
          <w:tcPr>
            <w:tcW w:w="7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6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9B. OTHER INFORMATION</w:t>
            </w:r>
          </w:p>
        </w:tc>
        <w:tc>
          <w:tcPr>
            <w:tcW w:w="7800" w:type="dxa"/>
            <w:vAlign w:val="bottom"/>
            <w:gridSpan w:val="27"/>
            <w:shd w:val="clear" w:color="auto" w:fill="CCEEFF"/>
          </w:tcPr>
          <w:p>
            <w:pPr>
              <w:spacing w:after="0"/>
              <w:rPr>
                <w:sz w:val="16"/>
                <w:szCs w:val="16"/>
                <w:color w:val="auto"/>
              </w:rPr>
            </w:pPr>
          </w:p>
        </w:tc>
        <w:tc>
          <w:tcPr>
            <w:tcW w:w="74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136</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7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40" w:type="dxa"/>
            <w:vAlign w:val="bottom"/>
            <w:gridSpan w:val="17"/>
            <w:shd w:val="clear" w:color="auto" w:fill="CCEEFF"/>
          </w:tcPr>
          <w:p>
            <w:pPr>
              <w:jc w:val="center"/>
              <w:ind w:right="4520"/>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7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11. EXECUTIVE COMPENSATION</w:t>
            </w:r>
          </w:p>
        </w:tc>
        <w:tc>
          <w:tcPr>
            <w:tcW w:w="7280" w:type="dxa"/>
            <w:vAlign w:val="bottom"/>
            <w:gridSpan w:val="25"/>
            <w:shd w:val="clear" w:color="auto" w:fill="CCEEFF"/>
          </w:tcPr>
          <w:p>
            <w:pPr>
              <w:spacing w:after="0"/>
              <w:rPr>
                <w:sz w:val="16"/>
                <w:szCs w:val="16"/>
                <w:color w:val="auto"/>
              </w:rPr>
            </w:pPr>
          </w:p>
        </w:tc>
        <w:tc>
          <w:tcPr>
            <w:tcW w:w="74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UNITHOLDER</w:t>
            </w:r>
          </w:p>
        </w:tc>
        <w:tc>
          <w:tcPr>
            <w:tcW w:w="74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158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820" w:type="dxa"/>
            <w:vAlign w:val="bottom"/>
            <w:tcBorders>
              <w:top w:val="single" w:sz="8" w:color="0000FF"/>
            </w:tcBorders>
            <w:gridSpan w:val="36"/>
          </w:tcPr>
          <w:p>
            <w:pPr>
              <w:spacing w:after="0" w:line="142" w:lineRule="exact"/>
              <w:rPr>
                <w:sz w:val="20"/>
                <w:szCs w:val="20"/>
                <w:color w:val="auto"/>
              </w:rPr>
            </w:pPr>
            <w:r>
              <w:rPr>
                <w:rFonts w:ascii="Times New Roman" w:cs="Times New Roman" w:eastAsia="Times New Roman" w:hAnsi="Times New Roman"/>
                <w:sz w:val="16"/>
                <w:szCs w:val="16"/>
                <w:color w:val="0000FF"/>
              </w:rPr>
              <w:t>MATTERS</w:t>
            </w:r>
          </w:p>
        </w:tc>
        <w:tc>
          <w:tcPr>
            <w:tcW w:w="500" w:type="dxa"/>
            <w:vAlign w:val="bottom"/>
            <w:gridSpan w:val="2"/>
          </w:tcPr>
          <w:p>
            <w:pPr>
              <w:spacing w:after="0"/>
              <w:rPr>
                <w:sz w:val="13"/>
                <w:szCs w:val="13"/>
                <w:color w:val="auto"/>
              </w:rPr>
            </w:pPr>
          </w:p>
        </w:tc>
        <w:tc>
          <w:tcPr>
            <w:tcW w:w="7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460" w:type="dxa"/>
            <w:vAlign w:val="bottom"/>
            <w:gridSpan w:val="3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2020" w:type="dxa"/>
            <w:vAlign w:val="bottom"/>
            <w:gridSpan w:val="5"/>
            <w:shd w:val="clear" w:color="auto" w:fill="CCEEFF"/>
          </w:tcPr>
          <w:p>
            <w:pPr>
              <w:spacing w:after="0"/>
              <w:rPr>
                <w:sz w:val="17"/>
                <w:szCs w:val="17"/>
                <w:color w:val="auto"/>
              </w:rPr>
            </w:pPr>
          </w:p>
        </w:tc>
        <w:tc>
          <w:tcPr>
            <w:tcW w:w="740" w:type="dxa"/>
            <w:vAlign w:val="bottom"/>
            <w:gridSpan w:val="5"/>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160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2020" w:type="dxa"/>
            <w:vAlign w:val="bottom"/>
            <w:gridSpan w:val="5"/>
          </w:tcPr>
          <w:p>
            <w:pPr>
              <w:spacing w:after="0"/>
              <w:rPr>
                <w:sz w:val="16"/>
                <w:szCs w:val="16"/>
                <w:color w:val="auto"/>
              </w:rPr>
            </w:pPr>
          </w:p>
        </w:tc>
        <w:tc>
          <w:tcPr>
            <w:tcW w:w="7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40" w:type="dxa"/>
            <w:vAlign w:val="bottom"/>
            <w:gridSpan w:val="17"/>
            <w:shd w:val="clear" w:color="auto" w:fill="CCEEFF"/>
          </w:tcPr>
          <w:p>
            <w:pPr>
              <w:jc w:val="center"/>
              <w:ind w:right="4520"/>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PART IV</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40" w:type="dxa"/>
            <w:vAlign w:val="bottom"/>
            <w:tcBorders>
              <w:top w:val="single" w:sz="8" w:color="CCEEFF"/>
            </w:tcBorders>
            <w:gridSpan w:val="22"/>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15. EXHIBITS AND FINANCIAL STATEMENT SCHEDULES</w:t>
            </w:r>
          </w:p>
        </w:tc>
        <w:tc>
          <w:tcPr>
            <w:tcW w:w="720" w:type="dxa"/>
            <w:vAlign w:val="bottom"/>
            <w:tcBorders>
              <w:top w:val="single" w:sz="8" w:color="0000FF"/>
            </w:tcBorders>
            <w:gridSpan w:val="6"/>
          </w:tcPr>
          <w:p>
            <w:pPr>
              <w:spacing w:after="0"/>
              <w:rPr>
                <w:sz w:val="16"/>
                <w:szCs w:val="16"/>
                <w:color w:val="auto"/>
              </w:rPr>
            </w:pPr>
          </w:p>
        </w:tc>
        <w:tc>
          <w:tcPr>
            <w:tcW w:w="4520" w:type="dxa"/>
            <w:vAlign w:val="bottom"/>
            <w:tcBorders>
              <w:top w:val="single" w:sz="8" w:color="CCEEFF"/>
            </w:tcBorders>
            <w:gridSpan w:val="11"/>
          </w:tcPr>
          <w:p>
            <w:pPr>
              <w:spacing w:after="0"/>
              <w:rPr>
                <w:sz w:val="16"/>
                <w:szCs w:val="16"/>
                <w:color w:val="auto"/>
              </w:rPr>
            </w:pPr>
          </w:p>
        </w:tc>
        <w:tc>
          <w:tcPr>
            <w:tcW w:w="740" w:type="dxa"/>
            <w:vAlign w:val="bottom"/>
            <w:tcBorders>
              <w:top w:val="single" w:sz="8" w:color="CCEEFF"/>
            </w:tcBorders>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66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16. FORM 10-K SUMMARY</w:t>
            </w:r>
          </w:p>
        </w:tc>
        <w:tc>
          <w:tcPr>
            <w:tcW w:w="7820" w:type="dxa"/>
            <w:vAlign w:val="bottom"/>
            <w:gridSpan w:val="28"/>
            <w:shd w:val="clear" w:color="auto" w:fill="CCEEFF"/>
          </w:tcPr>
          <w:p>
            <w:pPr>
              <w:spacing w:after="0"/>
              <w:rPr>
                <w:sz w:val="16"/>
                <w:szCs w:val="16"/>
                <w:color w:val="auto"/>
              </w:rPr>
            </w:pPr>
          </w:p>
        </w:tc>
        <w:tc>
          <w:tcPr>
            <w:tcW w:w="74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820" w:type="dxa"/>
            <w:vAlign w:val="bottom"/>
            <w:gridSpan w:val="28"/>
          </w:tcPr>
          <w:p>
            <w:pPr>
              <w:spacing w:after="0"/>
              <w:rPr>
                <w:sz w:val="16"/>
                <w:szCs w:val="16"/>
                <w:color w:val="auto"/>
              </w:rPr>
            </w:pPr>
          </w:p>
        </w:tc>
        <w:tc>
          <w:tcPr>
            <w:tcW w:w="7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169</w:t>
            </w: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100" w:type="dxa"/>
            <w:vAlign w:val="bottom"/>
            <w:tcBorders>
              <w:top w:val="single" w:sz="8" w:color="0000FF"/>
            </w:tcBorders>
            <w:gridSpan w:val="3"/>
          </w:tcPr>
          <w:p>
            <w:pPr>
              <w:spacing w:after="0"/>
              <w:rPr>
                <w:sz w:val="24"/>
                <w:szCs w:val="24"/>
                <w:color w:val="auto"/>
              </w:rPr>
            </w:pPr>
          </w:p>
        </w:tc>
        <w:tc>
          <w:tcPr>
            <w:tcW w:w="4800" w:type="dxa"/>
            <w:vAlign w:val="bottom"/>
            <w:gridSpan w:val="23"/>
          </w:tcPr>
          <w:p>
            <w:pPr>
              <w:jc w:val="center"/>
              <w:ind w:left="411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certain acronyms and terms used throughout this document: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 day</w:t>
            </w:r>
          </w:p>
        </w:tc>
        <w:tc>
          <w:tcPr>
            <w:tcW w:w="0" w:type="dxa"/>
            <w:vAlign w:val="bottom"/>
          </w:tcPr>
          <w:p>
            <w:pPr>
              <w:spacing w:after="0"/>
              <w:rPr>
                <w:sz w:val="1"/>
                <w:szCs w:val="1"/>
                <w:color w:val="auto"/>
              </w:rPr>
            </w:pPr>
          </w:p>
        </w:tc>
      </w:tr>
      <w:tr>
        <w:trPr>
          <w:trHeight w:val="176"/>
        </w:trPr>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EBITDA</w:t>
            </w:r>
          </w:p>
        </w:tc>
        <w:tc>
          <w:tcPr>
            <w:tcW w:w="91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 non-GAAP measure defined as earnings before interest, taxes, depreciation, depletion, amortization and other non-cash</w:t>
            </w: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6"/>
                <w:szCs w:val="16"/>
                <w:color w:val="auto"/>
              </w:rPr>
            </w:pPr>
          </w:p>
        </w:tc>
        <w:tc>
          <w:tcPr>
            <w:tcW w:w="914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items, as further described in “Item 7. Management’s Discussion and Analysis of Financial Condition and Results of</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 Results of Operations”</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AROs</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BBtu</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billion British thermal units</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Bcf</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billion cubic feet</w:t>
            </w: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Btu</w:t>
            </w:r>
          </w:p>
        </w:tc>
        <w:tc>
          <w:tcPr>
            <w:tcW w:w="91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British thermal unit, an energy measurement used by gas companies to convert the volume of gas used to its heat</w:t>
            </w:r>
          </w:p>
        </w:tc>
        <w:tc>
          <w:tcPr>
            <w:tcW w:w="0" w:type="dxa"/>
            <w:vAlign w:val="bottom"/>
          </w:tcPr>
          <w:p>
            <w:pPr>
              <w:spacing w:after="0"/>
              <w:rPr>
                <w:sz w:val="1"/>
                <w:szCs w:val="1"/>
                <w:color w:val="auto"/>
              </w:rPr>
            </w:pPr>
          </w:p>
        </w:tc>
      </w:tr>
      <w:tr>
        <w:trPr>
          <w:trHeight w:val="243"/>
        </w:trPr>
        <w:tc>
          <w:tcPr>
            <w:tcW w:w="2100" w:type="dxa"/>
            <w:vAlign w:val="bottom"/>
            <w:shd w:val="clear" w:color="auto" w:fill="CCEEFF"/>
          </w:tcPr>
          <w:p>
            <w:pPr>
              <w:spacing w:after="0"/>
              <w:rPr>
                <w:sz w:val="21"/>
                <w:szCs w:val="21"/>
                <w:color w:val="auto"/>
              </w:rPr>
            </w:pP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equivalent, and thus calculate the actual energy content</w:t>
            </w:r>
          </w:p>
        </w:tc>
        <w:tc>
          <w:tcPr>
            <w:tcW w:w="0" w:type="dxa"/>
            <w:vAlign w:val="bottom"/>
          </w:tcPr>
          <w:p>
            <w:pPr>
              <w:spacing w:after="0"/>
              <w:rPr>
                <w:sz w:val="1"/>
                <w:szCs w:val="1"/>
                <w:color w:val="auto"/>
              </w:rPr>
            </w:pPr>
          </w:p>
        </w:tc>
      </w:tr>
      <w:tr>
        <w:trPr>
          <w:trHeight w:val="176"/>
        </w:trPr>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Capacity</w:t>
            </w:r>
          </w:p>
        </w:tc>
        <w:tc>
          <w:tcPr>
            <w:tcW w:w="91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capacity of a pipeline, processing plant or storage facility refers to the maximum capacity under normal operating</w:t>
            </w: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6"/>
                <w:szCs w:val="16"/>
                <w:color w:val="auto"/>
              </w:rPr>
            </w:pPr>
          </w:p>
        </w:tc>
        <w:tc>
          <w:tcPr>
            <w:tcW w:w="914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conditions and, with respect to pipeline transportation capacity, is subject to multiple factors (including natural gas</w:t>
            </w: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914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injections and withdrawals at various delivery points along the pipeline and the utilization of compression) which may</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reduce the throughput capacity from specified capacity levels</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Citrus</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Citrus, LLC, a 50/50 joint venture which owns FGT</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Crestwood</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Crestwood Equity Partners LP</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Dakota Access</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Dakota Access, LLC, a non-wholly owned subsidiary of Energy Transfer</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DOE</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Department of Energy</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DOJ</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United States Department of Justice</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DOT</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Department of Transportation</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Enable</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Enable Midstream Partners, LP</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Transfer Canada</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Transfer Canada ULC, a non-wholly owned subsidiary of Energy Transfer until its sale in August 2022</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Transfer GC NGL</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Energy Transfer GC NGLs LLC, formerly Lone Star NGL LLC, a wholly owned subsidiary of Energy Transfer</w:t>
            </w:r>
          </w:p>
        </w:tc>
        <w:tc>
          <w:tcPr>
            <w:tcW w:w="0" w:type="dxa"/>
            <w:vAlign w:val="bottom"/>
          </w:tcPr>
          <w:p>
            <w:pPr>
              <w:spacing w:after="0"/>
              <w:rPr>
                <w:sz w:val="1"/>
                <w:szCs w:val="1"/>
                <w:color w:val="auto"/>
              </w:rPr>
            </w:pPr>
          </w:p>
        </w:tc>
      </w:tr>
      <w:tr>
        <w:trPr>
          <w:trHeight w:val="176"/>
        </w:trPr>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Energy Transfer Preferred</w:t>
            </w:r>
          </w:p>
        </w:tc>
        <w:tc>
          <w:tcPr>
            <w:tcW w:w="91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Collectively, the Series A Preferred Units, Series B Preferred Units, Series C Preferred Units, Series D Preferred Units,</w:t>
            </w:r>
          </w:p>
        </w:tc>
        <w:tc>
          <w:tcPr>
            <w:tcW w:w="0" w:type="dxa"/>
            <w:vAlign w:val="bottom"/>
          </w:tcPr>
          <w:p>
            <w:pPr>
              <w:spacing w:after="0"/>
              <w:rPr>
                <w:sz w:val="1"/>
                <w:szCs w:val="1"/>
                <w:color w:val="auto"/>
              </w:rPr>
            </w:pPr>
          </w:p>
        </w:tc>
      </w:tr>
      <w:tr>
        <w:trPr>
          <w:trHeight w:val="184"/>
        </w:trPr>
        <w:tc>
          <w:tcPr>
            <w:tcW w:w="21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Units</w:t>
            </w:r>
          </w:p>
        </w:tc>
        <w:tc>
          <w:tcPr>
            <w:tcW w:w="914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Series E Preferred Units, Series F Preferred Units, Series G Preferred Units, Series H Preferred Units and Series I Preferred</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Units</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Transfer R&amp;M</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Energy Transfer (R&amp;M), LLC (formerly Sunoco (R&amp;M), LLC)</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EPA</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ETC Sunoco</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ETC Sunoco Holdings LLC (formerly Sunoco, Inc.), a wholly owned subsidiary of Energy Transfer</w:t>
            </w:r>
          </w:p>
        </w:tc>
        <w:tc>
          <w:tcPr>
            <w:tcW w:w="0" w:type="dxa"/>
            <w:vAlign w:val="bottom"/>
          </w:tcPr>
          <w:p>
            <w:pPr>
              <w:spacing w:after="0"/>
              <w:rPr>
                <w:sz w:val="1"/>
                <w:szCs w:val="1"/>
                <w:color w:val="auto"/>
              </w:rPr>
            </w:pPr>
          </w:p>
        </w:tc>
      </w:tr>
      <w:tr>
        <w:trPr>
          <w:trHeight w:val="175"/>
        </w:trPr>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ET-S Permian</w:t>
            </w:r>
          </w:p>
        </w:tc>
        <w:tc>
          <w:tcPr>
            <w:tcW w:w="91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 joint venture between Energy Transfer and Sunoco LP, with Energy Transfer holding a 67.5% interest and Sunoco LP</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holding the remaining 32.5% interest</w:t>
            </w: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ETO</w:t>
            </w:r>
          </w:p>
        </w:tc>
        <w:tc>
          <w:tcPr>
            <w:tcW w:w="914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Energy Transfer Operating, L.P., formerly a non-wholly owned subsidiary of Energy Transfer until its merger into the</w:t>
            </w:r>
          </w:p>
        </w:tc>
        <w:tc>
          <w:tcPr>
            <w:tcW w:w="0" w:type="dxa"/>
            <w:vAlign w:val="bottom"/>
          </w:tcPr>
          <w:p>
            <w:pPr>
              <w:spacing w:after="0"/>
              <w:rPr>
                <w:sz w:val="1"/>
                <w:szCs w:val="1"/>
                <w:color w:val="auto"/>
              </w:rPr>
            </w:pPr>
          </w:p>
        </w:tc>
      </w:tr>
      <w:tr>
        <w:trPr>
          <w:trHeight w:val="243"/>
        </w:trPr>
        <w:tc>
          <w:tcPr>
            <w:tcW w:w="2100" w:type="dxa"/>
            <w:vAlign w:val="bottom"/>
            <w:shd w:val="clear" w:color="auto" w:fill="CCEEFF"/>
          </w:tcPr>
          <w:p>
            <w:pPr>
              <w:spacing w:after="0"/>
              <w:rPr>
                <w:sz w:val="21"/>
                <w:szCs w:val="21"/>
                <w:color w:val="auto"/>
              </w:rPr>
            </w:pP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Partnership in April 2021</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ETP Holdco</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ETP Holdco Corporation, a wholly owned subsidiary of Energy Transfer</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Explorer</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Explorer Pipeline and/or Explorer Pipeline Company</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FEP</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Fayetteville Express Pipeline LLC</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FERC</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Federal Energy Regulatory Commission</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FGT</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Florida Gas Transmission Pipeline and/or Florida Gas Transmission Company, LLC, a wholly owned subsidiary of Citrus</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 GP, LLC, the general partner of Energy Transfer</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HFOTCO</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HFOTCO LLC, a wholly owned subsidiary of Energy Transfer, which owns the Houston Terminal</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IDRs</w:t>
            </w:r>
          </w:p>
        </w:tc>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incentive distribution rights</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IFERC</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Inside FERC’s Gas Market Report</w:t>
            </w: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IRS</w:t>
            </w:r>
          </w:p>
        </w:tc>
        <w:tc>
          <w:tcPr>
            <w:tcW w:w="91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United States Internal Revenue Service</w:t>
            </w:r>
          </w:p>
        </w:tc>
        <w:tc>
          <w:tcPr>
            <w:tcW w:w="0" w:type="dxa"/>
            <w:vAlign w:val="bottom"/>
          </w:tcPr>
          <w:p>
            <w:pPr>
              <w:spacing w:after="0"/>
              <w:rPr>
                <w:sz w:val="1"/>
                <w:szCs w:val="1"/>
                <w:color w:val="auto"/>
              </w:rPr>
            </w:pPr>
          </w:p>
        </w:tc>
      </w:tr>
      <w:tr>
        <w:trPr>
          <w:trHeight w:val="103"/>
        </w:trPr>
        <w:tc>
          <w:tcPr>
            <w:tcW w:w="2100" w:type="dxa"/>
            <w:vAlign w:val="bottom"/>
            <w:shd w:val="clear" w:color="auto" w:fill="CCEEFF"/>
          </w:tcPr>
          <w:p>
            <w:pPr>
              <w:spacing w:after="0"/>
              <w:rPr>
                <w:sz w:val="8"/>
                <w:szCs w:val="8"/>
                <w:color w:val="auto"/>
              </w:rPr>
            </w:pPr>
          </w:p>
        </w:tc>
        <w:tc>
          <w:tcPr>
            <w:tcW w:w="9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Lake Charles LNG</w:t>
            </w:r>
          </w:p>
        </w:tc>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Lake Charles LNG Company, LLC, a wholly owned subsidiary of Energy Transfer</w:t>
            </w:r>
          </w:p>
        </w:tc>
        <w:tc>
          <w:tcPr>
            <w:tcW w:w="0" w:type="dxa"/>
            <w:vAlign w:val="bottom"/>
          </w:tcPr>
          <w:p>
            <w:pPr>
              <w:spacing w:after="0"/>
              <w:rPr>
                <w:sz w:val="1"/>
                <w:szCs w:val="1"/>
                <w:color w:val="auto"/>
              </w:rPr>
            </w:pPr>
          </w:p>
        </w:tc>
      </w:tr>
      <w:tr>
        <w:trPr>
          <w:trHeight w:val="859"/>
        </w:trPr>
        <w:tc>
          <w:tcPr>
            <w:tcW w:w="2100" w:type="dxa"/>
            <w:vAlign w:val="bottom"/>
          </w:tcPr>
          <w:p>
            <w:pPr>
              <w:spacing w:after="0"/>
              <w:rPr>
                <w:sz w:val="24"/>
                <w:szCs w:val="24"/>
                <w:color w:val="auto"/>
              </w:rPr>
            </w:pPr>
          </w:p>
        </w:tc>
        <w:tc>
          <w:tcPr>
            <w:tcW w:w="914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9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Lake Charles LNG Export</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Lake Charles LNG Export Company, LLC, a wholly owned subsidiary of Energy Transfer</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LNG</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liquefied natural gas</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Lotus Midstream</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Lotus Midstream Operations, LLC</w:t>
            </w: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MBbls</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thousand barrels</w:t>
            </w: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MEP</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Midcontinent Express Pipeline LLC</w:t>
            </w: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 Valley</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 Valley Pipeline Company LLC, a wholly owned subsidiary of Energy Transfer</w:t>
            </w: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MMBbls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MMcf</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million cubic feet</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MTBE</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methyl tertiary butyl ether</w:t>
            </w: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NGA</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Act of 1938</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 such as propane, butane and natural gasoline</w:t>
            </w: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NGPA</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Policy Act of 1978</w:t>
            </w: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NuStar</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NuStar Energy L.P.</w:t>
            </w: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NYMEX</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NYSE</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ORS</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Ohio River System LLC, a non-wholly owned subsidiary of Energy Transfer</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OSHA</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Occupational Safety and Health Act</w:t>
            </w: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OTC</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over-the-counter</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Panhandle</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Panhandle Eastern Pipe Line Company, LP, a wholly owned subsidiary of Energy Transfer</w:t>
            </w: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Agreement</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Transfer’s Fourth Amended and Restated Agreement of Limited Partnership, as amended to date</w:t>
            </w: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PCBs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polychlorinated biphenyls</w:t>
            </w: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PEP</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Permian Express Partners LLC, a non-wholly owned subsidiary of Energy Transfer</w:t>
            </w: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PHMSA</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Pipeline Hazardous Materials Safety Administration</w:t>
            </w:r>
          </w:p>
        </w:tc>
      </w:tr>
      <w:tr>
        <w:trPr>
          <w:trHeight w:val="175"/>
        </w:trPr>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Unitholders</w:t>
            </w:r>
          </w:p>
        </w:tc>
        <w:tc>
          <w:tcPr>
            <w:tcW w:w="91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Unitholders of the Series A Preferred Units, Series B Preferred Units, Series C Preferred Units, Series D Preferred Units,</w:t>
            </w:r>
          </w:p>
        </w:tc>
      </w:tr>
      <w:tr>
        <w:trPr>
          <w:trHeight w:val="184"/>
        </w:trPr>
        <w:tc>
          <w:tcPr>
            <w:tcW w:w="2120" w:type="dxa"/>
            <w:vAlign w:val="bottom"/>
            <w:shd w:val="clear" w:color="auto" w:fill="CCEEFF"/>
          </w:tcPr>
          <w:p>
            <w:pPr>
              <w:spacing w:after="0"/>
              <w:rPr>
                <w:sz w:val="16"/>
                <w:szCs w:val="16"/>
                <w:color w:val="auto"/>
              </w:rPr>
            </w:pPr>
          </w:p>
        </w:tc>
        <w:tc>
          <w:tcPr>
            <w:tcW w:w="91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Series E Preferred Units, Series F Preferred Units, Series G Preferred Units, Series H Preferred Units and Series I Preferred</w:t>
            </w:r>
          </w:p>
        </w:tc>
      </w:tr>
      <w:tr>
        <w:trPr>
          <w:trHeight w:val="234"/>
        </w:trPr>
        <w:tc>
          <w:tcPr>
            <w:tcW w:w="2120" w:type="dxa"/>
            <w:vAlign w:val="bottom"/>
            <w:shd w:val="clear" w:color="auto" w:fill="CCEEFF"/>
          </w:tcPr>
          <w:p>
            <w:pPr>
              <w:spacing w:after="0"/>
              <w:rPr>
                <w:sz w:val="20"/>
                <w:szCs w:val="20"/>
                <w:color w:val="auto"/>
              </w:rPr>
            </w:pP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collectively</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Rover</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Rover Pipeline and/or Rover Pipeline LLC, a non-wholly owned subsidiary of Energy Transfer</w:t>
            </w: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SCOOP</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Central Oklahoma Oil Province</w:t>
            </w: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 Robin</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 Robin Pipeline and/or Sea Robin Pipeline Company, LLC, a wholly owned subsidiary of Energy Transfer</w:t>
            </w: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Units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Fixed-to-Floating Rate Cumulative Redeemable Perpetual Preferred Units</w:t>
            </w: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Preferred Units</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B Fixed-to-Floating Rate Cumulative Redeemable Perpetual Preferred Units</w:t>
            </w: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C Preferred Units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C Fixed-to-Floating Rate Cumulative Redeemable Perpetual Preferred Units</w:t>
            </w: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 Preferred Units</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D Fixed-to-Floating Rate Cumulative Redeemable Perpetual Preferred Units</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E Preferred Units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E Fixed-to-Floating Rate Cumulative Redeemable Perpetual Preferred Units</w:t>
            </w: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F Preferred Units</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F Fixed-Rate Reset Cumulative Redeemable Perpetual Preferred Units</w:t>
            </w: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G Preferred Units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G Fixed-Rate Reset Cumulative Redeemable Perpetual Preferred Units</w:t>
            </w: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H Preferred Units</w:t>
            </w: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H Fixed-Rate Reset Cumulative Redeemable Perpetual Preferred Units</w:t>
            </w: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I Preferred Units</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I Fixed-Rate Perpetual Preferred Units</w:t>
            </w:r>
          </w:p>
        </w:tc>
      </w:tr>
      <w:tr>
        <w:trPr>
          <w:trHeight w:val="175"/>
        </w:trPr>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SESH</w:t>
            </w:r>
          </w:p>
        </w:tc>
        <w:tc>
          <w:tcPr>
            <w:tcW w:w="91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Southeast Supply Header Pipeline and/or Southeast Supply Header, LLC, a non-wholly owned subsidiary of Energy</w:t>
            </w:r>
          </w:p>
        </w:tc>
      </w:tr>
      <w:tr>
        <w:trPr>
          <w:trHeight w:val="243"/>
        </w:trPr>
        <w:tc>
          <w:tcPr>
            <w:tcW w:w="2120" w:type="dxa"/>
            <w:vAlign w:val="bottom"/>
            <w:shd w:val="clear" w:color="auto" w:fill="CCEEFF"/>
          </w:tcPr>
          <w:p>
            <w:pPr>
              <w:spacing w:after="0"/>
              <w:rPr>
                <w:sz w:val="21"/>
                <w:szCs w:val="21"/>
                <w:color w:val="auto"/>
              </w:rPr>
            </w:pPr>
          </w:p>
        </w:tc>
        <w:tc>
          <w:tcPr>
            <w:tcW w:w="9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w:t>
            </w: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859"/>
        </w:trPr>
        <w:tc>
          <w:tcPr>
            <w:tcW w:w="2120" w:type="dxa"/>
            <w:vAlign w:val="bottom"/>
          </w:tcPr>
          <w:p>
            <w:pPr>
              <w:spacing w:after="0"/>
              <w:rPr>
                <w:sz w:val="24"/>
                <w:szCs w:val="24"/>
                <w:color w:val="auto"/>
              </w:rPr>
            </w:pPr>
          </w:p>
        </w:tc>
        <w:tc>
          <w:tcPr>
            <w:tcW w:w="912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2120" w:type="dxa"/>
            <w:vAlign w:val="bottom"/>
            <w:tcBorders>
              <w:bottom w:val="single" w:sz="8" w:color="9A9A9A"/>
            </w:tcBorders>
          </w:tcPr>
          <w:p>
            <w:pPr>
              <w:spacing w:after="0"/>
              <w:rPr>
                <w:sz w:val="10"/>
                <w:szCs w:val="10"/>
                <w:color w:val="auto"/>
              </w:rPr>
            </w:pPr>
          </w:p>
        </w:tc>
        <w:tc>
          <w:tcPr>
            <w:tcW w:w="9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w:t>
            </w:r>
          </w:p>
        </w:tc>
        <w:tc>
          <w:tcPr>
            <w:tcW w:w="9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Pan Gas Storage, LLC (d.b.a. Southwest Gas Storage Company), a wholly owned subsidiary of Energy Transfer</w:t>
            </w: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SPLP</w:t>
            </w:r>
          </w:p>
        </w:tc>
        <w:tc>
          <w:tcPr>
            <w:tcW w:w="9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Sunoco Pipeline L.P., a wholly owned subsidiary of Energy Transfer</w:t>
            </w:r>
          </w:p>
        </w:tc>
      </w:tr>
      <w:tr>
        <w:trPr>
          <w:trHeight w:val="230"/>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Tiger</w:t>
            </w:r>
          </w:p>
        </w:tc>
        <w:tc>
          <w:tcPr>
            <w:tcW w:w="9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Tiger Pipeline and/or ETC Tiger Pipeline, LLC, a wholly owned subsidiary of Energy Transfer</w:t>
            </w: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Transwestern</w:t>
            </w:r>
          </w:p>
        </w:tc>
        <w:tc>
          <w:tcPr>
            <w:tcW w:w="9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Transwestern Pipeline and/or Transwestern Pipeline Company, LLC, a wholly owned subsidiary of Energy Transfer</w:t>
            </w:r>
          </w:p>
        </w:tc>
      </w:t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TRRC</w:t>
            </w:r>
          </w:p>
        </w:tc>
        <w:tc>
          <w:tcPr>
            <w:tcW w:w="9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Texas Railroad Commission</w:t>
            </w: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Trunkline</w:t>
            </w:r>
          </w:p>
        </w:tc>
        <w:tc>
          <w:tcPr>
            <w:tcW w:w="9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Trunkline Pipeline and/or Trunkline Gas Company, LLC, a wholly owned subsidiary of Energy Transfer</w:t>
            </w:r>
          </w:p>
        </w:tc>
      </w:t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Unitholders</w:t>
            </w:r>
          </w:p>
        </w:tc>
        <w:tc>
          <w:tcPr>
            <w:tcW w:w="9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Preferred Unitholders and holders of Energy Transfer LP common units</w:t>
            </w: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USAC</w:t>
            </w:r>
          </w:p>
        </w:tc>
        <w:tc>
          <w:tcPr>
            <w:tcW w:w="9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USA Compression Partners, LP, a publicly traded partnership and consolidated subsidiary of Energy Transfer</w:t>
            </w:r>
          </w:p>
        </w:tc>
      </w:t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 Cliffs</w:t>
            </w:r>
          </w:p>
        </w:tc>
        <w:tc>
          <w:tcPr>
            <w:tcW w:w="9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White Cliffs Pipeline, L.L.C.</w:t>
            </w: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WTG Midstream</w:t>
            </w:r>
          </w:p>
        </w:tc>
        <w:tc>
          <w:tcPr>
            <w:tcW w:w="9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WTG Midstream Holdings LLC</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annual report, excluding historical information, as well as some statements by Energy Transfer LP (the “Partnership” or “Energy Transfer”) in periodic press releases and some oral statements of the Partnership’s officials during presentations about the Partnership, include forward-looking statements. These forward-looking statements are identified as any statement that does not relate strictly to historical or current facts. Statements using words such as “anticipate,” “project,” “expect,” “plan,” “goal,” “forecast,” “estimate,” “intend,” “continue,” “could,” “believe,” “may,” “will” or similar expressions help identify forward-looking statements. Although the Partnership and its General Partner believe such forward-looking statements are based on reasonable assumptions and current expectations and projections about future events, no assurance can be given that such assumptions, expectations or projections will prove to be correct. Forward-looking statements are subject to a variety of risks, uncertainties and assumptions. If one or more of these risks or uncertainties materialize, or if underlying assumptions prove incorrect, the Partnership’s actual results may vary materially from those anticipated, estimated, projected, forecasted, expressed or expected in forward-looking statements since many of the factors that determine these results are subject to uncertainties and risks that are difficult to predict and beyond management’s control. For additional discussion of risks, uncertainties and assumptions, see “Item 1A. Risk Factors” included in this annual report.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Transfer LP is a Delaware limited partnership with common units publicly traded on the NYSE under the ticker symbol “ET.”</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“we,” “us,” “our,” the “Partnership” and “Energy Transfer” mean Energy Transfer LP and its consolidated subsidiaries, which include Sunoco LP and USAC.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activities in which we are engaged, which are located in the United States, are as follows:</w:t>
      </w:r>
    </w:p>
    <w:p>
      <w:pPr>
        <w:spacing w:after="0" w:line="11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operations, including the following: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midstream and intrastate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interstate natural gas transportation and storage; and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NGL and refined products transportation, terminalling services and acquisition and marketing activities, as well as NGL storage and fractionation services and LNG regasification.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own investments in other businesses, including Sunoco LP and USAC, both of which are master limited partnerships.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Energy Transfer derives cash flows from distributions related to its investment in its subsidiaries, including Sunoco LP and USAC. The amount of cash that our subsidiaries distribute to us is based on earnings from their respective business activities and the amount of available cash. Energy Transfer’s primary cash requirements are for distributions to its partners, capital expenditures, general and administrative expenses and debt service requirements. Energy Transfer distributes its available cash remaining after satisfaction of the aforementioned cash requirements to its Unitholders on a quarterly basis.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subsidiaries to utilize their resources, along with cash from their operations, to fund their announced growth capital expenditures and working capital needs; however, Energy Transfer may issue debt or equity securities from time to time as we deem prudent to provide liquidity for new capital projects of our subsidiaries or for other partnership purposes.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summarizes our organizational structure as of February 7, 2025. For simplicity, certain entities and ownership interests have not been depicted.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80010</wp:posOffset>
            </wp:positionV>
            <wp:extent cx="5760720" cy="7569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0720" cy="756920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Achievements in 2024</w:t>
      </w:r>
    </w:p>
    <w:p>
      <w:pPr>
        <w:spacing w:after="0" w:line="121" w:lineRule="exact"/>
        <w:rPr>
          <w:sz w:val="20"/>
          <w:szCs w:val="20"/>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Energy Transfer completed the acquisition of WTG Midstream, which owns approximately 6,000 miles of complementary gas gathering pipelines that extend Energy Transfer’s network into the Midland Basin. WTG Midstream also owns eight gas processing plants and two more under construction, one of which was placed in service in 2024.</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Energy Transfer and Sunoco LP formed ET-S Permian, a joint venture combining their respective crude oil and produced water gathering assets in the Permian Basin. ET-S Permian operates more than 5,000 miles of crude oil and water gathering pipelines and has crude oil storage capacity in excess of 11 million barrels.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Overview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16 to our consolidated financial statements included in “Item 8. Financial Statements and Supplementary Data” for additional financial information about our segments.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Intrastate Transportation and Storage Segment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Intrastate natural gas transportation pipelines receive natural gas from other mainline transportation pipelines, storage facilities and gathering systems, and deliver the natural gas to industrial end-users, storage facilities, utilities, power generators and other third-party pipelines. Through our intrastate transportation and storage segment, we own and operate (through wholly owned subsidiaries or through joint venture interests) approximately 12,200 miles of intrastate natural gas transportation pipelines with approximately 24 Bcf/d of transportation capacity, three natural gas storage facilities located in Texas and two natural gas storage facilities located in Oklahoma.</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Energy Transfer operates one of the largest intrastate pipeline systems in the United States, which provides energy logistics to major trading hubs and industrial consumption areas throughout the country. In Texas, our intrastate transportation and storage segment provides transportation of natural gas to major markets from various prolific natural gas producing areas in Texas and Louisiana (Permian Basin and Barnett, Haynesville and Eagle Ford shales) through our Oasis Pipeline, ETC Katy Pipeline, Lobo Pipeline, RIGS and Pelico Pipeline as well as our two natural gas pipeline and storage systems: ET Fuel and HPL. In Oklahoma, we operate Enable Oklahoma Intrastate Transmission, which delivers natural gas from various shale plays in the Anadarko and Arkoma basins, as further described in “Asset Overview.”</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own a 70% interest in Red Bluff Express Pipeline, which owns a pipeline in the Delaware Basin, and 16% membership interests in Comanche Trail Pipeline and Trans-Pecos Pipeline, which own pipelines delivering natural gas from the Waha Hub to the United States/Mexico border.</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intrastate transportation and storage segment’s results are determined primarily by the amount of capacity our customers reserve as well as the actual volume of natural gas that flows through the transportation pipelines. Under transportation contracts, our customers are charged (i) a demand fee, which is a fixed fee for the reservation of an agreed amount of capacity on the transportation pipeline for a specified period of time and which obligates the customer to pay a fee even if the customer does not transport natural gas on the respective pipeline, (ii) a transportation fee, which is based on the actual throughput of natural gas by the customer, (iii) fuel retention based on a percentage of gas transported on the pipeline or (iv) a combination of the three, generally payable monthly.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generate revenues and margin from the sale of natural gas to electric utilities, independent power plants, local distribution companies, industrial end-users and marketing companies. Generally, we purchase natural gas from either the market (including purchases from our marketing operations) or from producers at the wellhead. To the extent the natural gas comes from producers, it is primarily purchased at a discount to a specified market price and typically resold to customers based on an index price. In addition, our intrastate transportation and storage segment generates revenues from fees charged for storing customers’ working natural gas in our storage facilities and from managing natural gas for our own account.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Interstate Transportation and Storage Segment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Interstate natural gas transportation pipelines receive natural gas from supply sources including other transportation pipelines, storage facilities and gathering systems, and deliver the natural gas to industrial end-users and other pipelines. Through our interstate transportation and storage segment, we directly own and operate approximately 20,090 miles of interstate natural gas pipelines with approximately 20.1 Bcf/d of transportation capacity and another approximately 7,085 miles and 12.4 Bcf/d of transportation capacity through joint venture interests.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vast interstate natural gas network spans the United States from Florida to California and Texas to Michigan, offering a comprehensive array of pipeline and storage services. Our pipelines have the capability to transport natural gas from nearly all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Lower 48 onshore and offshore supply basins to customers in the Gulf Coast, Southeast, Southwest, Midwest and Northeast United States as well as Canada. Through numerous interconnections with other pipelines, our interstate systems can access virtually any supply or market in the country. As discussed further herein, our interstate transportation and storage segment’s operations are regulated by the FERC, which has broad regulatory authority over the business and operations of interstate natural gas pipelines.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Lake Charles LNG, our wholly owned subsidiary, owns an LNG import terminal and regasification facility located on Louisiana’s Gulf Coast near Lake Charles, Louisiana. The import terminal has approximately 9.0 Bcf of above ground storage capacity and the regasification facility has a send-out capacity of 1.8 Bcf/d. Lake Charles LNG derives all of its revenue from a series of long-term contracts with a wholly owned subsidiary of Royal Dutch Shell plc (“Shell”).</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Lake Charles LNG Export, our wholly owned subsidiary, is developing a natural gas liquefaction project at the site of our Lake Charles LNG import terminal and regasification facility. The project would utilize existing dock and storage facilities owned by Lake Charles LNG located on the Lake Charles site. Lake Charles LNG Export entered into a prior development agreement with Shell in March 2019; however, Shell withdrew from the project in March 2020 due to adverse market factors affecting Shell’s business following the onset of the COVID-19 pandemic. The project will benefit from the infrastructure related to the existing regasification facility at the same site, including four LNG storage tanks, two deep water docks and other assets.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2022, Lake Charles LNG Export executed six LNG offtake agreements, for an aggregate of nearly 8 million tonnes per annum, including a 20-year LNG agreement with Shell NA LNG LLC. During 2024, Lake Charles LNG Export executed two additional 20-year LNG offtake agreements, including an LNG agreement with Chevron U.S.A. Inc (“Chevron”) for 2.0 million tonnes per annum. The agreements allow either party to terminate each agreement if Lake Charles LNG Export has not satisfied specified conditions by a specified date. One of those conditions relates to Lake Charles LNG Export making a “final investment decision” to proceed with the construction of the liquefaction facility. To date, none of these agreements have been terminated. We are currently in discussions with several parties for potential long-term LNG offtake and potential equity investments in the project.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from our interstate transportation and storage segment are primarily derived from the fees we earn from natural gas transportation and storage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Midstream Segment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midstream industry consists of natural gas gathering, compression, treating, dehydration and processing, and is generally characterized by regional competition based on the proximity of gathering systems and processing plants to natural gas producing wells and the proximity of storage facilities to production areas and end-use markets. Gathering systems generally consist of a network of small diameter pipelines and, if necessary, compression systems, that collect natural gas from points near producing wells and transports it to larger pipelines for further transportation.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Treating plants remove carbon dioxide and hydrogen sulfide from natural gas that is higher in carbon dioxide, hydrogen sulfide or certain other contaminants, to ensure that it meets pipeline quality specifications. Natural gas processing involves the separation of natural gas into pipeline quality natural gas, or residue gas, and a mixed NGL stream. Some natural gas produced by a well does not meet the pipeline quality specifications established by downstream pipelines or is not suitable for commercial use and must be processed to remove the mixed NGL stream. In addition, some natural gas can be processed to take advantage of favorable margins for NGLs extracted from the gas stream.</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midstream segment, we own and operate (through wholly owned subsidiaries or joint venture interests) natural gas gathering pipelines, natural gas processing plants, natural gas treating facilities and natural gas conditioning facilities with an aggregate processing capacity of approximately 12.9 Bcf/d. Our midstream segment focuses on the gathering, compression, treating, blending and processing of natural gas, and our operations are currently concentrated in major producing basins and shales in Texas, New Mexico, West Virginia, Pennsylvania, Ohio, Oklahoma, Arkansas, Kansas, Louisiana, North Dakota and Wyoming. Many of our midstream assets are integrated with our intrastate transportation and storage assets as well as our NGL assets.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midstream segment’s results are derived primarily from margins we earn from natural gas volumes that are gathered, transported, purchased and sold through our pipeline systems and the natural gas and NGL volumes processed at our processing and treating facilities.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NGL and Refined Products Transportation and Services Segment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NGL and refined products operations transport, store and execute acquisition and marketing activities utilizing a complementary network of pipelines, storage and blending facilities as well as strategic offtake locations that provide access to multiple markets.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NGL and refined products transportation and services segment includes:</w:t>
      </w:r>
    </w:p>
    <w:p>
      <w:pPr>
        <w:spacing w:after="0" w:line="117"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5,700 miles of NGL pipelines;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Nederland Terminal and connecting pipelines which provide transportation of ethane, propane, butane and natural gasoline from our Mont Belvieu NGL Complex to our Nederland Terminal, where these products can be exported;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Marcus Hook Terminal which includes fractionation, storage and exporting assets. This facility is connected to our Mariner East Pipeline System, which provides for the transportation of ethane and liquefied petroleum gas (“LPG”) products from western Pennsylvania, West Virginia and eastern Ohio to our Marcus Hook Terminal where these component products can be exported, processed or locally distributed;</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fractionation facilities at our Mont Belvieu NGL Complex with an aggregate capacity of 1.15 MMBbls/d;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storage facilities at our Mont Belvieu NGL Complex with a working storage capacity of approximately 62 MMBbls;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NGL storage assets with an aggregate storage capacity of approximately 35 MMBbls.</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NGL pipelines primarily transport NGLs from the Permian Basin, the Barnett and Eagle Ford shales to Mont Belvieu, Texas. In the Northeast, our NGL pipelines transport from the Marcellus and Utica shales to our Marcus Hook Terminal, to customer facilities in Marysville, Michigan and to delivery points on the Canadian border.</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providing storage capacity, our NGL terminalling services also support our liquids blending activities, including the use of our patented butane blending technology. Refined products operations provide transportation and terminalling services through the use of approximately 3,760 miles of refined products pipelines and 35 active refined products marketing terminals. Our refined product marketing terminals are located primarily in the Northeast, Midwest and Southwest United States, with approximately 8 MMBbls of refined products storage capacity. Our refined products operations utilize our integrated pipeline and terminalling assets, as well as acquisition and marketing activities, to service refined products markets in several regions throughout the United States. The mix of products delivered through our refined products pipelines varies seasonally, with gasoline demand peaking during the summer months, and demand for heating oil and other distillate fuels peaking in the winter. The products transported in these pipelines include multiple grades of gasoline and middle distillates, such as heating oil, diesel and jet fuel. Rates for shipments on these product pipelines are regulated by the FERC and other state regulatory agencies, as applicable.</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in this segment are principally generated from fees charged to customers under dedicated contracts or take-or-pay contracts. Under a dedicated contract, the customer agrees to deliver the total output from particular processing plants that are connected to the NGL pipeline. Take-or-pay contracts have minimum throughput commitments requiring the customer to pay regardless of whether a fixed volume is transported. Fees are market-based, negotiated with customers and competitive with regional regulated pipelines and fractionators. Storage revenues are derived from base storage and throughput fees. This segment also derives revenues from fee-based export activities, the marketing of NGLs as well as processing and fractionating refinery off-gas.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Crude Oil Transportation and Services Segment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crude oil operations provide transportation (via pipeline and trucking), terminalling as well as acquisition and marketing services to crude oil markets throughout the Southwest, Midwest and Northeast United States. Through our crude oil transportation and services segment, we own and operate (through wholly owned subsidiaries or joint venture interests) approximately 17,950 miles of crude oil trunk and gathering pipelines in the Southwest, Midcontinent and Midwest United States. This segment includes equity ownership interests in seven crude oil pipeline systems: the Bakken Pipeline, Bayou Bridge Pipeline, White Cliffs Pipeline, Maurepas Pipeline, the Permian Express pipelines, Enable South Central Pipeline and the Wink to Webster Pipeline. Our crude oil terminalling services operate with an aggregate storage capacity of approximately 73 MMBbls, including approximately 30 MMBbls at our Gulf Coast terminal in Nederland, Texas, approximately 18.2 MMBbls at our Gulf Coast terminal on the Houston Ship Channel and approximately 9.5 MMBbls at our Cushing Terminal in Cushing, Oklahoma, among others. Our crude oil acquisition and marketing activities utilize our pipeline and terminal assets, our proprietary fleet of crude oil tractor trailers and truck unloading facilities, as well as third-party assets to service crude oil markets principally in the Midcontinent United States.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segment also includes the ET-S Permian joint venture. The joint venture was formed in 2024, with Energy Transfer and Sunoco LP combining their respective crude oil and produced water gathering assets in the Permian Basin. The ET-S Permian joint venture includes more than 5,000 miles of crude oil and water gathering pipelines with crude oil storage capacity in excess of 11 MMBbls. Energy Transfer holds a 67.5% interest in the joint venture, with Sunoco LP holding the remaining 32.5%.</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throughout our crude oil pipeline systems are generated from tariffs paid by shippers utilizing our transportation services. These tariffs are filed with the FERC and other state regulatory agencies, as applicable.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crude oil acquisition and marketing activities include the gathering, purchasing, marketing and selling of crude oil. Specifically, the crude oil acquisition and marketing activities include:</w:t>
      </w:r>
    </w:p>
    <w:p>
      <w:pPr>
        <w:spacing w:after="0" w:line="54"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crude oil at both the wellhead from producers and in bulk from aggregators at major pipeline interconnections and trading locations;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storing inventory during contango market conditions (when the price of crude oil for future delivery is higher than current prices);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and selling crude oil of different grades at different locations in order to maximize value;</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transporting crude oil using our pipelines, terminals and trucks or, when necessary or cost effective, pipelines, terminals or trucks owned and operated by third parties;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crude oil to major integrated oil companies, independent refiners and resellers through various types of sale and exchange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Sunoco LP</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Sunoco LP is primarily engaged in energy infrastructure and distribution of motor fuels in over 40 U.S. states, Puerto Rico, Europe and Mexico. Sunoco LP’s midstream operations include an extensive network of over 14,000 miles of pipeline and over 100 terminals.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Sunoco LP’s fuel distribution operations serve approximately 7,400 Sunoco and partner branded locations and additional independent dealers and commercial customers. Through its fuel distribution operations, Sunoco LP is a distributor of motor fuels and other petroleum products which it supplies to third-party dealers and distributors, to independent operators of commission agent locations, other commercial consumers of motor fuel and to our retail locations. Sunoco LP is also the exclusive wholesale supplier of the Sunoco LP and EcoMaxx-branded motor fuels, supplying an extensive distribution network of approximately 5,619 company and third-party operated locations throughout the United States and Puerto Rico. In addition, Sunoco LP receives lease income from real estate that it leases or subleases.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USAC</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USAC focuses its compression services in unconventional resource plays throughout the United States, including the Utica, Marcellus, Permian, Denver-Julesburg, Eagle Ford, Mississippi Lime, Granite Wash, Woodford, Barnett and Haynesville. USAC provides compression services to its customers primarily in connection with infrastructure applications, including both allowing for the processing and transportation of natural gas through the domestic pipeline system and enhancing crude oil production through artificial lift processes. As such, USAC’s compression services play a critical role in the production, processing and transportation of both natural gas and crude oil. As of December 31, 2024, USAC had 3.9 million horsepower in its fleet.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USAC operates a fleet of compression units, with an average age of approximately 12 years and a useful life that could potentially extend decades when properly maintained. USAC’s standard new-build compression units are generally configured for multiple compression stages allowing USAC to operate its units across a broad range of operating conditions. As part of USAC’s services, it engineers, designs, operates, services and repairs its compression units and maintains related support inventory and equipment.</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USAC provides compression services to its customers under fixed-fee contracts with initial contract terms typically between six months to five years, depending on the application and location of the compression unit. USAC typically continues to provide compression services at a specific location beyond the initial contract term, either through contract renewal or on a month-to-month or longer basis. USAC primarily enters into fixed-fee contracts whereby its customers are required to pay a monthly fee even during periods of limited or disrupted throughput, which enhances the stability and predictability of its cash flows. USAC bills most of its customers in advance of the service date and also typically utilizes annual inflation adjustments in its term contracts. USAC is not directly exposed to commodity price risk because it does not take title to the natural gas or crude oil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involved in its services and because the natural gas used as fuel by its compression units is supplied by its customers without cost to USAC.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USAC’s assets and operations are all located and conducted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Segment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“All Other” segment includes:</w:t>
      </w:r>
    </w:p>
    <w:p>
      <w:pPr>
        <w:spacing w:after="0" w:line="117" w:lineRule="exact"/>
        <w:rPr>
          <w:sz w:val="20"/>
          <w:szCs w:val="20"/>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gas marketing activities, which optimize basis pricing differentials by purchasing and transporting natural gas, primarily on company owned pipelines, and selling that gas primarily to industrial end-users or to other marketers;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commodity marketing company, which focuses primarily on wholesale power trading activities;</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natural gas compression equipment business, which has operations in Arkansas, California, Colorado, Louisiana, New Mexico, Oklahoma, Pennsylvania and Texas;</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wholly owned subsidiary, Dual Drive Technologies, Ltd., which provides compression services to customers engaged in the transportation of natural gas, including our other segments; and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involved in the management of coal and natural resources properties and the related collection of royalties. We also earn revenues from other land management activities, such as selling standing timber, leasing coal-related infrastructure facilities, and collecting oil and gas royalties. These operations also include end-user coal handling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 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descriptions include summaries of significant assets within the Partnership’s reportable segments. Amounts, such as capacities, volumes and miles included in the following descriptions are approximate and are based on information currently available; such amounts are subject to change based on future events or additional information.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map below depicts the major assets of our core businesses, excluding the assets of Sunoco LP, USAC and the businesses in our all other segment. The map below and the maps included within the segment asset descriptions include certain non-wholly owned joint ventures and exclude corporate and field offices and certain assets that are less significant to the Partnership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88900</wp:posOffset>
            </wp:positionV>
            <wp:extent cx="5863590" cy="3128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Intrastate Transportation and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122555</wp:posOffset>
            </wp:positionV>
            <wp:extent cx="5863590" cy="4826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482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our pipelines and storage facilities in the intrastate transportation and storage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Pipeline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Working Storage</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Miles of Natural</w:t>
            </w:r>
          </w:p>
        </w:tc>
        <w:tc>
          <w:tcPr>
            <w:tcW w:w="15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Throughput</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5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Capacity</w:t>
            </w: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Capacity</w:t>
            </w:r>
          </w:p>
        </w:tc>
        <w:tc>
          <w:tcPr>
            <w:tcW w:w="0" w:type="dxa"/>
            <w:vAlign w:val="bottom"/>
          </w:tcPr>
          <w:p>
            <w:pPr>
              <w:spacing w:after="0"/>
              <w:rPr>
                <w:sz w:val="1"/>
                <w:szCs w:val="1"/>
                <w:color w:val="auto"/>
              </w:rPr>
            </w:pPr>
          </w:p>
        </w:tc>
      </w:tr>
      <w:tr>
        <w:trPr>
          <w:trHeight w:val="243"/>
        </w:trPr>
        <w:tc>
          <w:tcPr>
            <w:tcW w:w="50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Description of Assets</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Ownership Interest</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Gas Pipeline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(Bcf/d)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(Bcf)</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ET Fuel System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Oasis Pipeline </w:t>
            </w:r>
            <w:r>
              <w:rPr>
                <w:rFonts w:ascii="Times New Roman" w:cs="Times New Roman" w:eastAsia="Times New Roman" w:hAnsi="Times New Roman"/>
                <w:sz w:val="23"/>
                <w:szCs w:val="23"/>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Pipeline (“HPL”) System</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ETC Katy Pipeline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Regency Intrastate Gas System (“RIGS”)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Enable Oklahoma Intrastate Transmission (“EOIT”) </w:t>
            </w:r>
            <w:r>
              <w:rPr>
                <w:rFonts w:ascii="Times New Roman" w:cs="Times New Roman" w:eastAsia="Times New Roman" w:hAnsi="Times New Roman"/>
                <w:sz w:val="23"/>
                <w:szCs w:val="23"/>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Comanche Trail Pipeline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Trans-Pecos Pipeline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Bluff Express Pipeline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Includes bi-directional capabilities</w:t>
      </w:r>
    </w:p>
    <w:p>
      <w:pPr>
        <w:sectPr>
          <w:pgSz w:w="11900" w:h="16838" w:orient="portrait"/>
          <w:cols w:equalWidth="0" w:num="1">
            <w:col w:w="11140"/>
          </w:cols>
          <w:pgMar w:left="320" w:top="114" w:right="4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principal intrastate transportation and storage assets:</w:t>
      </w:r>
    </w:p>
    <w:p>
      <w:pPr>
        <w:spacing w:after="0" w:line="117" w:lineRule="exact"/>
        <w:rPr>
          <w:sz w:val="20"/>
          <w:szCs w:val="20"/>
          <w:color w:val="auto"/>
        </w:rPr>
      </w:pPr>
    </w:p>
    <w:p>
      <w:pPr>
        <w:jc w:val="both"/>
        <w:ind w:left="340" w:hanging="332"/>
        <w:spacing w:after="0" w:line="258"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ET Fuel System serves some of the most prolific production areas in the United States and is comprised of intrastate natural gas pipelines and related natural gas storage facilities. The ET Fuel System has bi-directional capabilities and has many interconnections with pipelines providing direct access to power plants and other intrastate and interstate pipelines. It is strategically located near high-growth production areas and provides access to the three major natural gas trading centers in Texas: the Waha Hub near Pecos, Texas, the Maypearl Hub in Central Texas and the Carthage Hub in East Texas.</w:t>
      </w:r>
    </w:p>
    <w:p>
      <w:pPr>
        <w:spacing w:after="0" w:line="7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ET Fuel System also includes our Bethel natural gas storage facility, with a working capacity of 6.0 Bcf, an average withdrawal capacity of 300 MMcf/d and an injection capacity of 75 MMcf/d, and our Bryson natural gas storage facility, with a working capacity of 5.2 Bcf, an average withdrawal capacity of 120 MMcf/d and an average injection capacity of 96 MMcf/d.</w:t>
      </w:r>
    </w:p>
    <w:p>
      <w:pPr>
        <w:spacing w:after="0" w:line="67"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ET Fuel System is integrated with our Godley processing plant which gives us the ability to bypass the plant when processing margins are unfavorable by blending the untreated natural gas from our gas gathering system known as the North Texas System with natural gas on the ET Fuel System while continuing to meet pipeline quality specifications.</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Oasis Pipeline is primarily a 36-inch natural gas pipeline. It has bi-directional capabilities with approximately 1.3 Bcf/d of throughput capacity moving west-to-east and greater than 750 MMcf/d of throughput capacity moving east-to-west. The Oasis Pipeline connects to the Waha and Katy market hubs and has many interconnections with other pipelines, power plants, processing facilities, municipalities and producers.</w:t>
      </w:r>
    </w:p>
    <w:p>
      <w:pPr>
        <w:spacing w:after="0" w:line="67"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Oasis Pipeline is integrated with our gathering system known as the Southeast Texas System and is an important component to maximizing our Southeast Texas System’s profitability. The Oasis Pipeline enhances the Southeast Texas System by (i) providing access for natural gas gathered on the Southeast Texas System to third-party supply and market points and interconnecting pipelines and (ii) allowing us to bypass our processing plants and treating facilities on the Southeast Texas System when processing margins are unfavorable by blending untreated natural gas from the Southeast Texas System with gas on the Oasis pipeline while continuing to meet pipeline quality specifications.</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HPL System is an extensive network of intrastate natural gas pipelines, the underground Bammel storage reservoir and related transportation assets. The system has access to multiple sources of historically significant natural gas supply reserves from South Texas, the Gulf Coast of Texas, East Texas and the western Gulf of America, and is directly connected to major gas distribution, electric and industrial load centers in Houston, Corpus Christi, Texas City, Beaumont and other cities located along the Gulf Coast of Texas. The HPL System is well situated to gather and transport gas in many of the major gas producing areas in Texas including a strong presence in the key Houston Ship Channel and Katy Hub markets, allowing us to play an important role in the Texas natural gas markets. The HPL System also offers its shippers off-system opportunities due to its numerous interconnections with other pipeline systems, its direct access to multiple market hubs at Katy, the Houston Ship Channel, Carthage and Agua Dulce as well as our Bammel storage facility.</w:t>
      </w:r>
    </w:p>
    <w:p>
      <w:pPr>
        <w:spacing w:after="0" w:line="83"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Bammel storage facility has a total working gas capacity of approximately 52.5 Bcf, a peak withdrawal rate of 1.3 Bcf/d and a peak injection rate of 0.6 Bcf/d. The Bammel storage facility is located near the Houston Ship Channel market area and the Katy Hub, and is ideally suited to provide a physical backup for on-system and off-system customers. As of December 31, 2024, we had approximately 11.8 Bcf committed under fee-based arrangements with third parties and approximately 39.6 Bcf stored in the facility for our own account.</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ETC Katy Pipeline connects three treating facilities, one of which we own, with our gathering system known as Southeast Texas System. The ETC Katy Pipeline serves producers in East and North Central Texas and provides access to the Katy Hub. The ETC Katy Pipeline expansions include the 36-inch East Texas extension to connect our Reed compressor station in Freestone County to our Grimes County compressor station, the 36-inch Katy expansion connecting Grimes to the Katy Hub and the 42-inch Southeast Bossier pipeline connecting our Cleburne to Carthage pipeline to the HPL System.</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RIGS is a 450-mile intrastate pipeline that delivers natural gas from northwest Louisiana to downstream pipelines and markets.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EOIT is a 2,200-mile pipeline system that provides natural gas transportation and storage services to customers in Oklahoma. EOIT is a web-like configuration with multidirectional flow capabilities between numerous receipt points and delivery points. EOIT delivers natural gas from the Anadarko and Arkoma basins, including the SCOOP, STACK, Cana Woodford, Granite Wash, Cleveland, Tonkawa and Mississippi Lime Shale plays in western Oklahoma to utilities and industrial end-users connected to EOIT and to interstate and intrastate pipelines interconnected with EOIT. EOIT also has two underground natural gas storage facilities in Oklahoma, which operate at a combined capacity of 24 Bcf with a peak withdrawal rate of 0.60 Bcf/d.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hanging="332"/>
        <w:spacing w:after="0" w:line="282"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Comanche Trail Pipeline is a 195-mile intrastate pipeline that delivers natural gas from the Waha Hub near Pecos, Texas to the United States/Mexico border near San Elizario, Texas. The Partnership owns a 16% membership interest in and operates Comanche Trail Pipeline.</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Trans-Pecos Pipeline is a 143-mile intrastate pipeline that delivers natural gas from the Waha Hub near Pecos, Texas to the United States/Mexico border near Presidio, Texas. The Partnership owns a 16% membership interest in and operates Trans-Pecos Pipeline.</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 Bluff Express Pipeline is an approximately 120-mile intrastate pipeline that runs through the heart of the Delaware Basin and connects certain of our plants as well as third-party plants to the Waha Oasis Header. The Partnership owns a 70% membership interest in and operates Red Bluff Express Pipeline.</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intrastate natural gas pipelines include our 630-mile Pelico Pipeline in northern Louisiana and our 167-mile Lobo Pipeline in South Texas.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Interstate Transportation and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122555</wp:posOffset>
            </wp:positionV>
            <wp:extent cx="5863590" cy="34118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359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our pipelines in the interstate transportation and storage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Pipeline</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Working Storage</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Miles of Natural</w:t>
            </w:r>
          </w:p>
        </w:tc>
        <w:tc>
          <w:tcPr>
            <w:tcW w:w="15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Throughput</w:t>
            </w: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5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Capacity</w:t>
            </w:r>
          </w:p>
        </w:tc>
        <w:tc>
          <w:tcPr>
            <w:tcW w:w="15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Capacity</w:t>
            </w:r>
          </w:p>
        </w:tc>
        <w:tc>
          <w:tcPr>
            <w:tcW w:w="0" w:type="dxa"/>
            <w:vAlign w:val="bottom"/>
          </w:tcPr>
          <w:p>
            <w:pPr>
              <w:spacing w:after="0"/>
              <w:rPr>
                <w:sz w:val="1"/>
                <w:szCs w:val="1"/>
                <w:color w:val="auto"/>
              </w:rPr>
            </w:pPr>
          </w:p>
        </w:tc>
      </w:tr>
      <w:tr>
        <w:trPr>
          <w:trHeight w:val="243"/>
        </w:trPr>
        <w:tc>
          <w:tcPr>
            <w:tcW w:w="50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Description of Assets</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Ownership Interest</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Gas Pipeline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(Bcf/d)</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(Bcf)</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 Gas Transmission (“FGT”)</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Transwestern Pipeline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Panhandle Eastern Pipe Line </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Trunkline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Tiger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Fayetteville Express Pipeline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 Robin Pipeline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Stingray Pipeline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Rover Pipeline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Midcontinent Express Pipeline</w:t>
            </w:r>
          </w:p>
        </w:tc>
        <w:tc>
          <w:tcPr>
            <w:tcW w:w="2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50 %</w:t>
            </w:r>
          </w:p>
        </w:tc>
        <w:tc>
          <w:tcPr>
            <w:tcW w:w="16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510</w:t>
            </w: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Enable Gas Transmission (“EGT”)</w:t>
            </w:r>
          </w:p>
        </w:tc>
        <w:tc>
          <w:tcPr>
            <w:tcW w:w="2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100 %</w:t>
            </w:r>
          </w:p>
        </w:tc>
        <w:tc>
          <w:tcPr>
            <w:tcW w:w="16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5,700</w:t>
            </w:r>
          </w:p>
        </w:tc>
        <w:tc>
          <w:tcPr>
            <w:tcW w:w="1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 River Transmission (“MRT”)</w:t>
            </w:r>
          </w:p>
        </w:tc>
        <w:tc>
          <w:tcPr>
            <w:tcW w:w="2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100 %</w:t>
            </w:r>
          </w:p>
        </w:tc>
        <w:tc>
          <w:tcPr>
            <w:tcW w:w="16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1,675</w:t>
            </w: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 Supply Header (“SESH”)</w:t>
            </w:r>
          </w:p>
        </w:tc>
        <w:tc>
          <w:tcPr>
            <w:tcW w:w="2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50 %</w:t>
            </w:r>
          </w:p>
        </w:tc>
        <w:tc>
          <w:tcPr>
            <w:tcW w:w="16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290</w:t>
            </w:r>
          </w:p>
        </w:tc>
        <w:tc>
          <w:tcPr>
            <w:tcW w:w="1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Gulf Run Pipeline</w:t>
            </w:r>
          </w:p>
        </w:tc>
        <w:tc>
          <w:tcPr>
            <w:tcW w:w="2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100 %</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335</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49"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Storage capacity figure includes storage leased from Southwest Gas and third-party companies.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principal interstate transportation and storage assets:</w:t>
      </w:r>
    </w:p>
    <w:p>
      <w:pPr>
        <w:spacing w:after="0" w:line="117" w:lineRule="exact"/>
        <w:rPr>
          <w:sz w:val="20"/>
          <w:szCs w:val="20"/>
          <w:color w:val="auto"/>
        </w:rPr>
      </w:pPr>
    </w:p>
    <w:p>
      <w:pPr>
        <w:jc w:val="both"/>
        <w:ind w:left="340" w:hanging="332"/>
        <w:spacing w:after="0" w:line="258"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FGT extends from South Texas through the Gulf Coast region of the United States to South Florida. FGT is the principal transporter of natural gas to the Florida energy market, delivering approximately 60% of the natural gas consumed in the state. In addition, FGT’s numerous intrastate and interstate pipeline interconnections with major interstate and intrastate natural gas pipelines provide access to diverse natural gas supply sources. FGT’s customers include electric utilities, independent power producers, industrial end-users and local distribution companies. FGT is owned by Citrus, a 50/50 joint venture with Kinder Morgan, Inc.</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Transwestern Pipeline transports natural gas supply from the Permian Basin, the San Juan Basin and the Anadarko Basin. The system has bi-directional capabilities and can access Texas and Midcontinent natural gas market hubs as well as major western markets in Arizona, Nevada and California. Transwestern’s customers include local distribution companies, producers, marketers, electric power generators and industrial end-users.</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Panhandle Eastern Pipe Line’s transmission system consists of four large diameter mainline pipelines with bi-directional capabilities, extending approximately 1,300 miles from producing areas in the Anadarko Basin of Texas, Oklahoma and Kansas through Missouri, Illinois, Indiana, Ohio and into Michigan. Panhandle contracts for approximately 56 Bcf of natural gas storage.</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Trunkline’s transmission system consists of one large diameter mainline pipeline with bi-directional capabilities, extending approximately 1,400 miles from the Gulf Coast areas of Texas and Louisiana through Arkansas, Mississippi, Tennessee, Kentucky, Illinois, Indiana and Michigan. Trunkline has one natural gas storage field located in Louisiana.</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Tiger is a bi-directional system that extends through the heart of the Haynesville Shale and ends near Delhi, Louisiana, interconnecting with multiple interstate pipelines.</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Fayetteville Express Pipeline originates near Conway County, Arkansas and continues eastward to Panola County, Mississippi with multiple pipeline interconnections along the route. Fayetteville Express Pipeline is owned by a 50/50 joint venture with Kinder Morgan, Inc.</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 Robin Pipeline’s system consists of two offshore Louisiana natural gas supply pipelines extending 120 miles into the Gulf of America.</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Stingray Pipeline is an interstate natural gas pipeline system with assets located in the western Gulf of America and Johnson Bayou, Louisiana.</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Rover Pipeline is a large diameter pipeline which transports natural gas from processing plants in West Virginia, eastern Ohio and western Pennsylvania for delivery to other pipeline interconnects in Ohio and Michigan, where the gas is delivered for distribution to markets across the United States and to Ontario, Canada.</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Midcontinent Express Pipeline originates near Bennington, Oklahoma and traverses northern Louisiana and central Mississippi to an interconnect with the Transcontinental Gas Pipeline system in Butler, Alabama. The Midcontinent Express Pipeline is owned by a 50/50 joint venture with Kinder Morgan, Inc., the operator of the system.</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EGT provides natural gas transportation and storage services to customers in Oklahoma, Texas, Arkansas, Louisiana, Missouri and Kansas. EGT has two underground storage facilities in Oklahoma and one underground natural gas storage facility in Louisiana. Through numerous pipeline interconnections along the system and at the Perryville Hub, EGT customers have access to Midwest and Northeast markets as well as most of the major natural gas consuming markets east of the Mississippi River.</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MRT provides natural gas transportation and storage services in Texas, Arkansas, Louisiana, Missouri and Illinois. MRT has underground natural gas storage facilities in Louisiana and Illinois. MRT receives natural gas from a variety of interstate and intrastate pipelines through its interconnections and delivers natural gas primarily to the St. Louis market.</w:t>
      </w:r>
    </w:p>
    <w:p>
      <w:pPr>
        <w:spacing w:after="0" w:line="6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SESH, a 50/50 joint venture with Enbridge Inc., provides transportation services in Louisiana, Mississippi and Alabama. SESH transports natural gas from the Perryville Hub in Louisiana to its endpoint in Mobile County, Alabama. SESH has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interconnections with third-party natural gas pipelines and provides access to major Southeast and Northeast markets and transports directly to generating facilities in Mississippi and Alabama and to interconnecting pipelines that supply companies generating electricity for the Florida power market.</w:t>
      </w:r>
    </w:p>
    <w:p>
      <w:pPr>
        <w:spacing w:after="0" w:line="68" w:lineRule="exact"/>
        <w:rPr>
          <w:sz w:val="20"/>
          <w:szCs w:val="20"/>
          <w:color w:val="auto"/>
        </w:rPr>
      </w:pPr>
    </w:p>
    <w:p>
      <w:pPr>
        <w:ind w:left="34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Gulf Run Pipeline is a large diameter pipeline that runs from the heart of the Haynesville Shale in East Texas and northern Louisiana to the Carthage and Perryville natural gas hubs and other key markets along the Gulf Coast.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Regasification Facility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Lake Charles LNG, our wholly owned subsidiary, owns an LNG import terminal and regasification facility located on Louisiana’s Gulf Coast near Lake Charles, Louisiana. The import terminal has approximately 9.0 Bcf of above ground LNG storage capacity and the regasification facility has a send out capacity of 1.8 Bcf/d. Lake Charles LNG derives all of its revenue from a series of long-term contracts with Shell.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Liquefaction Project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Lake Charles LNG Export, our wholly owned subsidiary, is developing a natural gas liquefaction project at the site of our Lake Charles LNG import terminal and regasification facility. The project would utilize existing dock and storage facilities owned by Lake Charles LNG located on the Lake Charles site. Lake Charles LNG Export entered into a prior development agreement with Shell in March 2019; however, Shell withdrew from the project in March 2020 due to adverse market factors affecting Shell’s business following the onset of the COVID-19 pandemic. The project will benefit from the infrastructure related to the existing regasification facility at the same site, including four LNG storage tanks, two deep water docks and other assets. The construction of the liquefaction facility has been approved by FERC. In addition, Lake Charles LNG Export received its wetlands permits from the United States Army Corps of Engineers (“USACE”) to perform wetlands mitigation work and to perform modification and dredging work for the temporary and permanent dock facilities at the Lake Charles LNG facilities.</w:t>
      </w:r>
    </w:p>
    <w:p>
      <w:pPr>
        <w:spacing w:after="0" w:line="1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export of LNG produced by any liquefaction facility in the United States requires export authorization from the DOE. The NGA requires the DOE to approve applications for LNG exports unless such approval would be “inconsistent with the public interest.” In March 2013, Lake Charles LNG Export obtained a DOE authorization to export LNG to countries with which the United States has or will have Free Trade Agreements (“FTA”) for trade in natural gas (the “FTA Authorization”). In July 2016, Lake Charles LNG Export also obtained a conditional DOE authorization to export LNG to countries that do not have an FTA for trade in natural gas (the “Non-FTA Authorization”) subject to commencement of exports no later than December 2020. Lake Charles LNG Export applied for an extension of the deadline to commence exports under the Non-FTA Authorization to December 2025 and the DOE approved such extension request in October 2020. Lake Charles LNG Export applied for a second extension of the deadline to commence exports and in April 2023 the DOE denied this request in connection with a new DOE policy related to extension requests. In light of this new policy, in August 2023, Lake Charles LNG Export applied for a new Non-FTA Authorization which, if approved, would provide for a new deadline to commence exports to Non-FTA countries, which deadline would be seven years from the date of such approval. In January 2024, the Biden Administration announced a moratorium on the approval of LNG export authorizations by the DOE and instructed the DOE to conduct studies related to the cumulative impact of LNG exports on domestic natural gas prices, climate change and other matters. The Biden Administration stated that these studies were necessary to enable the DOE to make determinations related to the statutory “public interest” standard. The DOE stated that these studies would take several months to complete, after which they would be made available for public comment. This process was not completed prior to the U.S. Presidential election in November 2024. On July 1, 2024, the federal court for the Western District of Louisiana ordered that the DOE was enjoined and restrained from halting or pausing the approval process for pending and future applications for LNG exports to non-FTA countries. On December 17, 2024, the DOE released an updated study of U.S. LNG exports with a 60-day comment period that was later extended to March 20, 2025. On January 20, 2025, President Trump issued the Unleashing American Energy executive order directing the DOE Secretary to restart reviews of applications for approvals of LNG export projects as expeditiously as possible, consistent with applicable law. The executive order stated that in assessing the “public interest” to be advanced by any particular application, the DOE Secretary shall consider the economic and employment impacts to the United States and the impact to the security of allies and partners that would result from granting the application. On January 21, 2025, the DOE announced that it was ending the moratorium imposed by the Biden Administration on the approvals of LNG export authorizations by the DOE and returning to regular order following direction given by President Trump in the Unleashing American Energy executive order. At this time, it is unclear what actions the Trump Administration may take, if any at all, with respect to the DOE study.</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2022, Lake Charles LNG Export executed six LNG offtake agreements, for an aggregate of nearly 8 million tonnes per annum, including a 20-year LNG agreement with Shell NA LNG LLC. During 2024, Lake Charles LNG Export executed two additional 20-year LNG offtake agreements, including an LNG agreement with Chevron for 2.0 million tonnes per annum. The agreements allow either party to terminate the agreement if Lake Charles LNG Export has not satisfied specified conditions by a specified date. One of those conditions relates to Lake Charles LNG Export making a “final investment decision” to proceed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the construction of the liquefaction facility. To date, none of the agreements have been terminated. We are currently in discussions with several parties for potential long-term LNG offtake and potential equity investments in the project.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122555</wp:posOffset>
            </wp:positionV>
            <wp:extent cx="5863590" cy="4088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408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details our assets in the midstream segment:</w:t>
            </w:r>
          </w:p>
        </w:tc>
        <w:tc>
          <w:tcPr>
            <w:tcW w:w="1440" w:type="dxa"/>
            <w:vAlign w:val="bottom"/>
          </w:tcPr>
          <w:p>
            <w:pPr>
              <w:spacing w:after="0"/>
              <w:rPr>
                <w:sz w:val="20"/>
                <w:szCs w:val="20"/>
                <w:color w:val="auto"/>
              </w:rPr>
            </w:pPr>
          </w:p>
        </w:tc>
      </w:tr>
      <w:tr>
        <w:trPr>
          <w:trHeight w:val="364"/>
        </w:trPr>
        <w:tc>
          <w:tcPr>
            <w:tcW w:w="9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Gas</w:t>
            </w:r>
          </w:p>
        </w:tc>
      </w:tr>
      <w:tr>
        <w:trPr>
          <w:trHeight w:val="176"/>
        </w:trPr>
        <w:tc>
          <w:tcPr>
            <w:tcW w:w="9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Processing</w:t>
            </w:r>
          </w:p>
        </w:tc>
      </w:tr>
      <w:tr>
        <w:trPr>
          <w:trHeight w:val="184"/>
        </w:trPr>
        <w:tc>
          <w:tcPr>
            <w:tcW w:w="9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Capacity</w:t>
            </w:r>
          </w:p>
        </w:tc>
      </w:tr>
      <w:tr>
        <w:trPr>
          <w:trHeight w:val="234"/>
        </w:trPr>
        <w:tc>
          <w:tcPr>
            <w:tcW w:w="9800" w:type="dxa"/>
            <w:vAlign w:val="bottom"/>
            <w:gridSpan w:val="2"/>
          </w:tcPr>
          <w:p>
            <w:pPr>
              <w:ind w:left="4080"/>
              <w:spacing w:after="0"/>
              <w:rPr>
                <w:sz w:val="20"/>
                <w:szCs w:val="20"/>
                <w:color w:val="auto"/>
              </w:rPr>
            </w:pPr>
            <w:r>
              <w:rPr>
                <w:rFonts w:ascii="Times New Roman" w:cs="Times New Roman" w:eastAsia="Times New Roman" w:hAnsi="Times New Roman"/>
                <w:sz w:val="18"/>
                <w:szCs w:val="18"/>
                <w:color w:val="auto"/>
              </w:rPr>
              <w:t>Description of Assets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(MMcf/d)</w:t>
            </w:r>
          </w:p>
        </w:tc>
      </w:tr>
      <w:tr>
        <w:trPr>
          <w:trHeight w:val="223"/>
        </w:trPr>
        <w:tc>
          <w:tcPr>
            <w:tcW w:w="9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Texas</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3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Ark-La-Tex</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30"/>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Central Texas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Permian Basin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r>
      <w:tr>
        <w:trPr>
          <w:trHeight w:val="230"/>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Midcontinent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3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Williston Basin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Powder River Basin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4"/>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principal midstream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Texas:</w:t>
      </w:r>
    </w:p>
    <w:p>
      <w:pPr>
        <w:spacing w:after="0" w:line="119" w:lineRule="exact"/>
        <w:rPr>
          <w:sz w:val="20"/>
          <w:szCs w:val="20"/>
          <w:color w:val="auto"/>
        </w:rPr>
      </w:pPr>
    </w:p>
    <w:p>
      <w:pPr>
        <w:ind w:left="340" w:right="20" w:hanging="332"/>
        <w:spacing w:after="0" w:line="28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South Texas assets, which include the Southeast Texas System and the Eagle Ford System, are an integrated system that gathers, compresses, treats, processes, dehydrates and transports natural gas from the Austin Chalk trend and the Eagle Ford Shale.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assets in our Southeast Texas System include a large natural gas gathering system that covers thirteen counties between Austin and Houston, Texas and connects to the Katy Hub through the ETC Katy Pipeline and is also connected to the Oasis Pipeline. This system also includes three natural gas processing plants (La Grange, Alamo and Brookeland) with an aggregate capacity of 510 MMcf/d. These plants process the rich gas that flows through our gathering system to produce residue gas and NGLs. Residue gas is delivered into our intrastate pipelines and NGLs are delivered into our NGL pipelines.</w:t>
      </w:r>
    </w:p>
    <w:p>
      <w:pPr>
        <w:spacing w:after="0" w:line="7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Our treating facilities remove carbon dioxide and hydrogen sulfide from natural gas gathered into our system before the natural gas is introduced to transportation pipelines to ensure that the gas meets pipeline quality specifications.</w:t>
      </w:r>
    </w:p>
    <w:p>
      <w:pPr>
        <w:spacing w:after="0" w:line="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assets in our Eagle Ford System consist of 30-inch and 42-inch natural gas gathering pipelines originating in Dimmitt County, Texas, and extending to both our King Ranch gas plant in Kleberg County, Texas and Jackson plant in Jackson County, Texas. These assets also include four processing plants (Chisholm, Kenedy, Jackson and King Ranch) with an aggregate capacity of 2.0 Bcf/d. Our Chisholm, Kenedy, Jackson and King Ranch processing plants are connected to our intrastate transportation pipeline systems for deliveries of residue gas and are also connected with our NGL pipelines.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Ark-La-Tex:</w:t>
      </w:r>
    </w:p>
    <w:p>
      <w:pPr>
        <w:spacing w:after="0" w:line="119" w:lineRule="exact"/>
        <w:rPr>
          <w:sz w:val="20"/>
          <w:szCs w:val="20"/>
          <w:color w:val="auto"/>
        </w:rPr>
      </w:pPr>
    </w:p>
    <w:p>
      <w:pPr>
        <w:jc w:val="both"/>
        <w:ind w:left="34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Ark-La-Tex assets are comprised of several gathering systems in the Haynesville Shale with access to multiple markets through interconnects with several pipelines, including our Tiger and Gulf Run pipelines. Our northern Louisiana assets include the Bistineau, Creedence, Tristate, Logansport, Magnolia, Olympia, Amoruso, and Lumberjack systems, which collectively include 12 natural gas treating facilities, with aggregate capacity of 3.4 Bcf/d.</w:t>
      </w:r>
    </w:p>
    <w:p>
      <w:pPr>
        <w:spacing w:after="0" w:line="71"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Ark-La-Tex assets gather, compress, treat and dehydrate natural gas in several parishes in northwest Louisiana and several counties in East Texas. These assets also include cryogenic natural gas processing facilities, a refrigeration plant, a conditioning plant, amine treating plants, a residue gas pipeline that provides market access for natural gas from our processing plants, including connections with pipelines that provide access to the Perryville Hub and other markets in the Gulf Coast region, and an NGL pipeline that connects to a third-party that provides access to the Mont Belvieu market for NGLs produced from our processing plants. Collectively, the six natural gas processing facilities (Dubach, Lincoln, Rosewood, Mt. Olive, Sligo and Waskom) have an aggregate capacity of 0.9 Bcf/d.</w:t>
      </w:r>
    </w:p>
    <w:p>
      <w:pPr>
        <w:spacing w:after="0" w:line="79" w:lineRule="exact"/>
        <w:rPr>
          <w:rFonts w:ascii="Times New Roman" w:cs="Times New Roman" w:eastAsia="Times New Roman" w:hAnsi="Times New Roman"/>
          <w:sz w:val="18"/>
          <w:szCs w:val="18"/>
          <w:color w:val="auto"/>
        </w:rPr>
      </w:pPr>
    </w:p>
    <w:p>
      <w:pPr>
        <w:ind w:left="3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gathering and processing systems described above and their interconnections with our intrastate transportation pipelines, we offer producers wellhead-to-market services, including natural gas gathering, compression, processing, treating and transportation.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Central Texas:</w:t>
      </w:r>
    </w:p>
    <w:p>
      <w:pPr>
        <w:spacing w:after="0" w:line="119" w:lineRule="exact"/>
        <w:rPr>
          <w:sz w:val="20"/>
          <w:szCs w:val="20"/>
          <w:color w:val="auto"/>
        </w:rPr>
      </w:pPr>
    </w:p>
    <w:p>
      <w:pPr>
        <w:jc w:val="both"/>
        <w:ind w:left="340" w:hanging="332"/>
        <w:spacing w:after="0" w:line="26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North Central Texas System is an integrated system located in four counties in North Central Texas that gathers, compresses, treats, processes and transports natural gas from the Barnett and Woodford shales. Our North Central Texas assets include our Godley plant, which processes rich gas produced from the Barnett Shale and STACK play, with an aggregate capacity of 700 MMcf/d. The Godley plant is integrated with the ET Fuel System.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Permian Basin:</w:t>
      </w:r>
    </w:p>
    <w:p>
      <w:pPr>
        <w:spacing w:after="0" w:line="119" w:lineRule="exact"/>
        <w:rPr>
          <w:sz w:val="20"/>
          <w:szCs w:val="20"/>
          <w:color w:val="auto"/>
        </w:rPr>
      </w:pPr>
    </w:p>
    <w:p>
      <w:pPr>
        <w:jc w:val="both"/>
        <w:ind w:left="340" w:hanging="332"/>
        <w:spacing w:after="0" w:line="254"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Permian Basin Gathering System offers wellhead-to-market services to producers in 11 counties in West Texas and two counties in New Mexico which surround the Waha Hub, one of Texas’s developing NGL-rich natural gas market areas. As a result of the proximity of our system to the Waha Hub, the Waha Gathering System has a variety of market outlets for the natural gas that we gather and process, including several major interstate and intrastate pipelines serving California, the Midcontinent and Texas natural gas markets. The NGL market outlets includes our NGL pipeline system. With the acquisition of WTG Midstream, the Permian Basin Gathering System now includes 20 processing facilities (Waha, Red Bluff, Halley, Keystone, Tippet, Panther, Rebel, Grey Wolf, Bear, Arrowhead, Carlsbad, Orla I, Orla II, Martin County, Red Lake, Sale Ranch, Benedum, Sonora, St. Lawrence and Jameson) with an aggregate processing capacity of 4.9 Bcf/d and one natural gas conditioning facility with an aggregate capacity of 200 MMcf/d.</w:t>
      </w:r>
    </w:p>
    <w:p>
      <w:pPr>
        <w:spacing w:after="0" w:line="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own a 50% membership interest in Mi Vida JV LLC, a joint venture which owns a 200 MMcf/d cryogenic processing plant in West Texas. We operate the plant and related facilities on behalf of the joint venture. We also own a 50% equity interest in Crestwood Permian Basin LLC, a joint venture which owns the Nautilus natural gas gathering system in West Texas. We operate the gathering system on behalf of the joint venture.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Midcontinent:</w:t>
      </w:r>
    </w:p>
    <w:p>
      <w:pPr>
        <w:spacing w:after="0" w:line="119" w:lineRule="exact"/>
        <w:rPr>
          <w:sz w:val="20"/>
          <w:szCs w:val="20"/>
          <w:color w:val="auto"/>
        </w:rPr>
      </w:pPr>
    </w:p>
    <w:p>
      <w:pPr>
        <w:jc w:val="both"/>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Midcontinent Systems are located in three large natural gas producing regions in the United States: the Hugoton Basin in southwest Kansas, the Anadarko Basin in the Texas Panhandle and Oklahoma, including the STACK and SCOOP plays, and the Arkoma Basin in eastern Oklahoma and Arkansas. These mature basins have continued to provide generally long-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lived, predictable production volumes. Our Midcontinent assets are extensive systems that gather, compress and dehydrate low-pressure gas. The Midcontinent Systems include 16 natural gas processing facilities (Mocane, Beaver, Wheeler I, Sunray, Spearman, Rose Valley, Hopeton, Bradley, McClure, Wheeler II, South Canadian, Clinton, Roger Mills, Canute, Cox City and Grady) with an aggregate capacity of approximately 2.9 Bcf/d.</w:t>
      </w:r>
    </w:p>
    <w:p>
      <w:pPr>
        <w:spacing w:after="0" w:line="68" w:lineRule="exact"/>
        <w:rPr>
          <w:sz w:val="20"/>
          <w:szCs w:val="20"/>
          <w:color w:val="auto"/>
        </w:rPr>
      </w:pPr>
    </w:p>
    <w:p>
      <w:pPr>
        <w:ind w:left="34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our Midcontinent Systems at low pressures to maximize the total throughput volumes from the connected wells. Wellhead pressures are therefore adequate to allow for flow of natural gas into the gathering lines without the cost of wellhead compression.</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the Hugoton Gathering System that has 1,900 miles of pipeline extending across parts of southwest Kansas and northwest Oklahoma. This system is operated by a third-party.</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50% membership interest in Atoka Midstream LLC, which owns a natural gas gathering system in Oklahoma.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Williston Basin:</w:t>
      </w:r>
    </w:p>
    <w:p>
      <w:pPr>
        <w:spacing w:after="0" w:line="119" w:lineRule="exact"/>
        <w:rPr>
          <w:sz w:val="20"/>
          <w:szCs w:val="20"/>
          <w:color w:val="auto"/>
        </w:rPr>
      </w:pPr>
    </w:p>
    <w:p>
      <w:pPr>
        <w:jc w:val="both"/>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and operate the Arrow and Rough Rider systems which include natural gas gathering systems and processing facilities (Bear Den and Wild Basin). These processing facilities have an aggregate capacity of 400 MMcf/d. The Arrow and Rough Rider systems are in the core of the Bakken Shale primarily in McKenzie and Dunn Counties, North Dakota, with the Arrow system primarily located on the Fort Berthold Indian Reservation.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Powder River Basin:</w:t>
      </w:r>
    </w:p>
    <w:p>
      <w:pPr>
        <w:spacing w:after="0" w:line="119" w:lineRule="exact"/>
        <w:rPr>
          <w:sz w:val="20"/>
          <w:szCs w:val="20"/>
          <w:color w:val="auto"/>
        </w:rPr>
      </w:pPr>
    </w:p>
    <w:p>
      <w:pPr>
        <w:ind w:left="340" w:hanging="332"/>
        <w:spacing w:after="0" w:line="282"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and operate the Jackalope rich natural gas gathering system, the Continental Express high-pressure pipeline and the Bucking Horse gas processing facility in Converse County, Wyoming. The Bucking Horse gas processing facility has an aggregate processing capacity of 345 MMcf/d.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w:t>
      </w:r>
    </w:p>
    <w:p>
      <w:pPr>
        <w:spacing w:after="0" w:line="119" w:lineRule="exact"/>
        <w:rPr>
          <w:sz w:val="20"/>
          <w:szCs w:val="20"/>
          <w:color w:val="auto"/>
        </w:rPr>
      </w:pPr>
    </w:p>
    <w:p>
      <w:pPr>
        <w:jc w:val="both"/>
        <w:ind w:left="340" w:hanging="332"/>
        <w:spacing w:after="0" w:line="261"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Eastern region assets are located in eleven counties in Pennsylvania, four counties in Ohio and three counties in West Virginia, which gather natural gas from the Marcellus and Utica shales. Our Eastern region assets include more than 600 miles of natural gas gathering pipelines, natural gas trunklines and fresh-water pipelines, nine gathering and processing systems and the 200 MMcf/d Revolution processing plant, which feeds into our Mariner East and Rover pipeline systems.</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75% membership interest in ORS. On behalf of ORS, we operate its Ohio Utica River System, which consists of 47 miles of 36-inch, 13 miles of 30-inch and 3 miles of 24-inch gathering trunklines, and which delivers up to 3.6 Bcf/d to Rockies Express Pipeline, Texas Eastern Transmission, Leach Xpress, Rover and DEO TPL-18.</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NGL and Refined Products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122555</wp:posOffset>
            </wp:positionV>
            <wp:extent cx="5863590" cy="3686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the assets in our NGL and refined products transportation and services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NGL Fractionation</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Working Storage</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Miles of Liquids</w:t>
            </w:r>
          </w:p>
        </w:tc>
        <w:tc>
          <w:tcPr>
            <w:tcW w:w="15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 Processing</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Capacity</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Capacity</w:t>
            </w:r>
          </w:p>
        </w:tc>
        <w:tc>
          <w:tcPr>
            <w:tcW w:w="0" w:type="dxa"/>
            <w:vAlign w:val="bottom"/>
          </w:tcPr>
          <w:p>
            <w:pPr>
              <w:spacing w:after="0"/>
              <w:rPr>
                <w:sz w:val="1"/>
                <w:szCs w:val="1"/>
                <w:color w:val="auto"/>
              </w:rPr>
            </w:pPr>
          </w:p>
        </w:tc>
      </w:tr>
      <w:tr>
        <w:trPr>
          <w:trHeight w:val="243"/>
        </w:trPr>
        <w:tc>
          <w:tcPr>
            <w:tcW w:w="48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Description of Assets</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Pipeline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(MBbls/d)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(MBbls)</w:t>
            </w: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Liquids Pipelines:</w:t>
            </w:r>
          </w:p>
        </w:tc>
        <w:tc>
          <w:tcPr>
            <w:tcW w:w="1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Gulf Coast NGL Express</w:t>
            </w:r>
          </w:p>
        </w:tc>
        <w:tc>
          <w:tcPr>
            <w:tcW w:w="3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West Texas Gateway</w:t>
            </w:r>
          </w:p>
        </w:tc>
        <w:tc>
          <w:tcPr>
            <w:tcW w:w="3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Permian Basin NGL</w:t>
            </w:r>
          </w:p>
        </w:tc>
        <w:tc>
          <w:tcPr>
            <w:tcW w:w="3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Mariner East</w:t>
            </w:r>
          </w:p>
        </w:tc>
        <w:tc>
          <w:tcPr>
            <w:tcW w:w="3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Mariner West</w:t>
            </w:r>
          </w:p>
        </w:tc>
        <w:tc>
          <w:tcPr>
            <w:tcW w:w="3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Mont Belvieu to Nederland</w:t>
            </w:r>
          </w:p>
        </w:tc>
        <w:tc>
          <w:tcPr>
            <w:tcW w:w="3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White Cliffs</w:t>
            </w:r>
            <w:r>
              <w:rPr>
                <w:rFonts w:ascii="Times New Roman" w:cs="Times New Roman" w:eastAsia="Times New Roman" w:hAnsi="Times New Roman"/>
                <w:sz w:val="23"/>
                <w:szCs w:val="23"/>
                <w:color w:val="auto"/>
                <w:vertAlign w:val="superscript"/>
              </w:rPr>
              <w:t>(1)</w:t>
            </w:r>
          </w:p>
        </w:tc>
        <w:tc>
          <w:tcPr>
            <w:tcW w:w="3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NGL</w:t>
            </w:r>
          </w:p>
        </w:tc>
        <w:tc>
          <w:tcPr>
            <w:tcW w:w="3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Liquids Fractionation and Storage Facilities:</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Mont Belvieu NGL Complex</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Spindletop</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Crestwood assets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ET Geismar Olefins</w:t>
            </w:r>
            <w:r>
              <w:rPr>
                <w:rFonts w:ascii="Times New Roman" w:cs="Times New Roman" w:eastAsia="Times New Roman" w:hAnsi="Times New Roman"/>
                <w:sz w:val="23"/>
                <w:szCs w:val="23"/>
                <w:color w:val="auto"/>
                <w:vertAlign w:val="superscript"/>
              </w:rPr>
              <w:t>(2)</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Hattiesburg</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Cedar Bayou</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850"/>
        </w:trPr>
        <w:tc>
          <w:tcPr>
            <w:tcW w:w="4820" w:type="dxa"/>
            <w:vAlign w:val="bottom"/>
          </w:tcPr>
          <w:p>
            <w:pPr>
              <w:spacing w:after="0"/>
              <w:rPr>
                <w:sz w:val="24"/>
                <w:szCs w:val="24"/>
                <w:color w:val="auto"/>
              </w:rPr>
            </w:pPr>
          </w:p>
        </w:tc>
        <w:tc>
          <w:tcPr>
            <w:tcW w:w="18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NGL Terminals:</w:t>
            </w:r>
          </w:p>
        </w:tc>
        <w:tc>
          <w:tcPr>
            <w:tcW w:w="3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Nederland</w:t>
            </w:r>
          </w:p>
        </w:tc>
        <w:tc>
          <w:tcPr>
            <w:tcW w:w="3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Marcus Hook</w:t>
            </w:r>
          </w:p>
        </w:tc>
        <w:tc>
          <w:tcPr>
            <w:tcW w:w="3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Inkster</w:t>
            </w:r>
          </w:p>
        </w:tc>
        <w:tc>
          <w:tcPr>
            <w:tcW w:w="3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Refined Products Pipelines:</w:t>
            </w:r>
          </w:p>
        </w:tc>
        <w:tc>
          <w:tcPr>
            <w:tcW w:w="3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 region</w:t>
            </w:r>
          </w:p>
        </w:tc>
        <w:tc>
          <w:tcPr>
            <w:tcW w:w="3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1,580</w:t>
            </w:r>
          </w:p>
        </w:tc>
        <w:tc>
          <w:tcPr>
            <w:tcW w:w="1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Midcontinent region</w:t>
            </w:r>
          </w:p>
        </w:tc>
        <w:tc>
          <w:tcPr>
            <w:tcW w:w="3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480</w:t>
            </w:r>
          </w:p>
        </w:tc>
        <w:tc>
          <w:tcPr>
            <w:tcW w:w="1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region</w:t>
            </w:r>
          </w:p>
        </w:tc>
        <w:tc>
          <w:tcPr>
            <w:tcW w:w="3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590</w:t>
            </w:r>
          </w:p>
        </w:tc>
        <w:tc>
          <w:tcPr>
            <w:tcW w:w="1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Inland</w:t>
            </w:r>
          </w:p>
        </w:tc>
        <w:tc>
          <w:tcPr>
            <w:tcW w:w="3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610</w:t>
            </w:r>
          </w:p>
        </w:tc>
        <w:tc>
          <w:tcPr>
            <w:tcW w:w="1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J.C. Nolan Pipeline</w:t>
            </w:r>
          </w:p>
        </w:tc>
        <w:tc>
          <w:tcPr>
            <w:tcW w:w="3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500</w:t>
            </w:r>
          </w:p>
        </w:tc>
        <w:tc>
          <w:tcPr>
            <w:tcW w:w="1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Refined Products Terminals:</w:t>
            </w:r>
          </w:p>
        </w:tc>
        <w:tc>
          <w:tcPr>
            <w:tcW w:w="3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Eagle Point</w:t>
            </w:r>
          </w:p>
        </w:tc>
        <w:tc>
          <w:tcPr>
            <w:tcW w:w="3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r>
      <w:tr>
        <w:trPr>
          <w:trHeight w:val="23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Marcus Hook Terminal</w:t>
            </w:r>
          </w:p>
        </w:tc>
        <w:tc>
          <w:tcPr>
            <w:tcW w:w="3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Marcus Hook Tank Farm</w:t>
            </w:r>
          </w:p>
        </w:tc>
        <w:tc>
          <w:tcPr>
            <w:tcW w:w="3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3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Terminals</w:t>
            </w:r>
          </w:p>
        </w:tc>
        <w:tc>
          <w:tcPr>
            <w:tcW w:w="3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r>
      <w:tr>
        <w:trPr>
          <w:trHeight w:val="22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J.C. Nolan Terminal</w:t>
            </w:r>
          </w:p>
        </w:tc>
        <w:tc>
          <w:tcPr>
            <w:tcW w:w="3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bl>
    <w:p>
      <w:pPr>
        <w:spacing w:after="0" w:line="154"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White Cliffs Pipeline consists of two parallel, 12-inch common carrier pipelines: one crude oil pipeline and one NGL pipeline.</w:t>
      </w:r>
    </w:p>
    <w:p>
      <w:pPr>
        <w:spacing w:after="0" w:line="68" w:lineRule="exact"/>
        <w:rPr>
          <w:rFonts w:ascii="Times New Roman" w:cs="Times New Roman" w:eastAsia="Times New Roman" w:hAnsi="Times New Roman"/>
          <w:sz w:val="23"/>
          <w:szCs w:val="23"/>
          <w:color w:val="auto"/>
          <w:vertAlign w:val="superscript"/>
        </w:rPr>
      </w:pPr>
    </w:p>
    <w:p>
      <w:pPr>
        <w:ind w:left="320" w:hanging="312"/>
        <w:spacing w:after="0" w:line="231" w:lineRule="auto"/>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Additionally, the ET Geismar Olefins off-gas processing facility has inlet volume capacity of 54 MMcf/d.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principal NGL and refined products transportation and services assets:</w:t>
      </w:r>
    </w:p>
    <w:p>
      <w:pPr>
        <w:spacing w:after="0" w:line="117" w:lineRule="exact"/>
        <w:rPr>
          <w:sz w:val="20"/>
          <w:szCs w:val="20"/>
          <w:color w:val="auto"/>
        </w:rPr>
      </w:pPr>
    </w:p>
    <w:p>
      <w:pPr>
        <w:jc w:val="both"/>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Gulf Coast NGL Express (formerly known as Lone Star Express) is an interstate NGL pipeline consisting of 24-inch and 30-inch long-haul transportation pipelines, with throughput capacity of approximately 900 MBbls/d, that delivers mixed NGLs from processing plants in the Permian Basin, the Barnett Shale and from East Texas to our Mont Belvieu NGL Complex.</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 Texas Gateway transports mixed NGLs produced in the Permian Basin and the Eagle Ford Shale to Mont Belvieu, Texas and has a throughput capacity of approximately 240 MBbls/d.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Mariner East Pipeline System, consisting of Mariner East 2 and Mariner East 2x, has an aggregate capacity of 350 to 375 MBbls/d and transports NGLs from the Marcellus and Utica shales in western Pennsylvania, West Virginia and eastern Ohio to destinations in Pennsylvania, including our Marcus Hook Terminal on the Delaware River, where they are processed, stored and distributed to local, domestic and waterborne markets.</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Mariner West Pipeline provides transportation of ethane from the Marcellus Shale processing and fractionating areas in Houston, Pennsylvania to Marysville, Michigan and the Canadian border and has a throughput capacity of approximately 50 MBbls/d.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 Belvieu to Nederland Pipeline System consists of four pipelines, which deliver export-grade propane, butane, ethane and natural gasoline from our Mont Belvieu NGL Complex to our Nederland Terminal, having a total throughput capacity of approximately 730 MBbls/d. The ethane pipeline is part of the Orbit Gulf Coast NGL Exports joint venture, as described below.</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Sabina 2 Pipeline, placed in service in 2024, provides an additional 40 MBbls/d of service for multiple products from Mont Belvieu to Nederland.</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White Cliffs NGL pipeline, in which we have 54.3% ownership interest, transports mixed NGLs produced in the DJ Basin to Cushing, Oklahoma where it interconnects with the Southern Hills Pipeline to move NGLs to Mont Belvieu, Texas and has a throughput capacity of approximately 90 MBbls/d.</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NGL pipelines include the 127-mile Justice pipeline, 63-mile Blue Ridge pipeline, the 45-mile Freedom pipeline, the 20-mile Spirit pipeline and a 50% interest in the 87 mile Liberty pipeline. We also own an undivided interest in 80 MBbls/d of capacity in a segment of the EPIC Y-Grade Pipeline, LP (EPIC) pipeline from Orla, Texas to Benedum, Texas.</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Mont Belvieu NGL Complex is an integrated liquids storage and fractionation facility. The storage facility has approximately 62 MMBbls of salt dome capacity providing 100% fee-based cash flows. The storage facility has access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multiple NGL and refined products pipelines, the Houston Ship Channel trading hub, numerous chemical plants, refineries and fractionators.</w:t>
      </w:r>
    </w:p>
    <w:p>
      <w:pPr>
        <w:spacing w:after="0" w:line="11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fractionation facility includes eight fractionators, which process NGLs delivered from several sources, including our Gulf Coast NGL Express, West Texas Gateway and Justice pipelines.</w:t>
      </w:r>
    </w:p>
    <w:p>
      <w:pPr>
        <w:spacing w:after="0" w:line="54"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Spindletop storage facilities, located in Beaumont, Texas, have 8 MMBbls of salt dome capacity.</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Crestwood assets, acquired in 2023, include 11 LPG terminals which offer 10 MMBbls of storage capacity located in Pennsylvania, South Carolina, Mississippi, Michigan, New York and Indiana, with receipts and deliveries that are supported by both rail cars and third-party pipelines.</w:t>
      </w:r>
    </w:p>
    <w:p>
      <w:pPr>
        <w:spacing w:after="0" w:line="53"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Crestwood assets include a fleet of rail and rolling stock with approximately 1.6 MMBbls/d of NGL pipeline, terminal and transportation capacity, which also includes rail-to-truck terminals located in Michigan, Indiana, Ohio, New Hampshire, Pennsylvania, New Jersey, New York, Rhode Island, North Carolina, South Carolina and Mississippi.</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 Geismar Olefins consists of a refinery off-gas processing unit and an o-grade NGL fractionation / Refinery-Grade Propylene (“RGP”) splitting complex located along the Mississippi River refinery corridor in southern Louisiana. The off-gas processing unit cryogenically processes refinery off-gas, and the fractionation / RGP splitting complex fractionates the streams into higher value components. The o-grade fractionator and RGP splitting complex, located in Geismar, Louisiana, is connected by approximately 100 miles of pipeline to the Chalmette processing plant, which has a processing capacity of 54 MMcf/d.</w:t>
      </w:r>
    </w:p>
    <w:p>
      <w:pPr>
        <w:spacing w:after="0" w:line="7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Hattiesburg storage facility is an integrated liquids storage facility with approximately 5 MMBbls of salt dome capacity, providing 100% fee-based cash flows.</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Cedar Bayou storage facility is an integrated liquids storage facility with approximately 1.6 MMBbls of tank storage, generating revenues from fixed fee storage contracts, throughput fees and revenue from blending butane into refined gasoline.</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Nederland Terminal, in addition to crude oil activities, also provides approximately 3.1 MMBbls of storage and distribution services for NGLs delivered from our Mont Belvieu NGL Complex via our Mont Belvieu to Nederland Pipeline System, where such products can be exported via ship. The ethane refrigeration facility is part of the Orbit Gulf Coast NGL Exports joint venture, as described below.</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Orbit Gulf Coast NGL Exports joint venture consists of a 70-mile, 20-inch ethane pipeline with a throughput capacity of approximately 200 MBbls/d which delivers from our Mont Belvieu NGL Complex to our Nederland Terminal. It also includes a 180 MBbls/d ethane refrigeration facility and a 1.2 MMBbls storage facility at our Nederland Terminal. Energy Transfer owns a 58.1% interest in the joint venture.</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Marcus Hook Terminal includes fractionation, terminalling and storage assets with a capacity of approximately 2 MMBbls of NGL storage capacity in underground caverns, 4 MMBbls of above-ground NGL refrigerated storage and related commercial agreements. The terminal has a total active refined products storage capacity of approximately 1 MMBbls. The facility can receive NGLs and refined products via marine vessel, pipeline, truck and rail, and can deliver via marine vessel, pipeline and truck. In addition to providing NGL storage and terminalling services to both affiliates and third-party customers, the Marcus Hook Terminal serves as an offtake outlet for our Mariner East Pipeline System.</w:t>
      </w:r>
    </w:p>
    <w:p>
      <w:pPr>
        <w:spacing w:after="0" w:line="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Marcus Hook Terminal also has a tank farm with total refined products storage capacity of approximately 2 MMBbls. The terminal receives and delivers refined products via pipeline and primarily provides terminalling services to support movements on our refined products pipelines.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Inkster Terminal, located near Detroit, Michigan, consists of multiple salt caverns with a total storage capacity of approximately 860 MBbls of NGLs. We use the Inkster Terminal’s storage in connection with the Toledo North pipeline system and for the storage of NGLs from local producers and a refinery in western Ohio. The terminal can receive and ship by pipeline in both directions and has a truck loading and unloading rack.</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Eastern region refined products pipelines consist of 6-inch to 16-inch diameter refined product pipelines in eastern, central and north central Pennsylvania, 8-inch refined products pipeline in western New York and various diameter refined products pipelines in New Jersey (including 80 miles of the 16-inch diameter Harbor Pipeline).</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Midcontinent region refined products pipelines primarily consist of 3-inch to 12-inch refined products pipelines in Ohio and 6-inch and 8-inch refined products pipeline in Michigan.</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Southwest region refined products pipelines are located in East Texas and consist primarily of 8-inch and 12-inch diameter refined products pipeline.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Inland refined products pipeline consists of 12-, 10-, 8- and 6-inch diameter pipelines in the western, northwestern, and northeastern regions of Ohio.</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J.C. Nolan Pipeline, a joint venture between a wholly owned subsidiary of the Partnership and a wholly owned subsidiary of Sunoco LP, transports diesel fuel from a tank farm in Hebert, Texas to Midland, Texas, and has a throughput capacity of approximately 36 MBbls/d.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35 refined products terminals with an aggregate storage capacity of approximately 8 MMBbls that facilitate the movement of refined products to or from storage or transportation systems, such as a pipeline, to other transportation systems, such as trucks or other pipelines. Each facility typically consists of multiple storage tanks and is equipped with automated truck loading equipment that is operational 24 hours a day.</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Eagle Point Terminal can accommodate three marine vessels (ships or barges) to receive and deliver refined products to outbound ships and barges. The tank farm has a total active refined products storage capacity of approximately 7 MMBbls and provides customers with access to the facility via ship, barge, rail and pipeline. The terminal can deliver via ship, barge, rail, truck or pipeline, providing customers with access to various markets. The terminal generates revenue primarily by charging fees based on throughput, blending services and storage.</w:t>
      </w:r>
    </w:p>
    <w:p>
      <w:pPr>
        <w:spacing w:after="0" w:line="7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J.C. Nolan Terminal, a joint venture between a wholly owned subsidiary of the Partnership and a wholly owned subsidiary of Sunoco LP, provides diesel fuel storage in Midland, Texas.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segment also includes the following joint ventures: a 15% membership interest in Explorer, a 1,850-mile pipeline which originates from refining centers in Beaumont, Port Arthur and Houston, Texas and extends to Chicago, Illinois; a 31% membership interest in the Wolverine Pipe Line Company, a 1,055-mile pipeline that originates from Chicago, Illinois and extends to Detroit, Grand Haven, and Bay City, Michigan; a 17% membership interest in the West Shore Pipe Line Company, a 650-mile pipeline which originates in Chicago, Illinois and extends to Madison and Green Bay, Wisconsin; a 14% membership interest in the Yellowstone Pipe Line Company, a 710-mile pipeline which originates from Billings, Montana and extends to Moses Lake, Washington.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Crude Oil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122555</wp:posOffset>
            </wp:positionV>
            <wp:extent cx="5863590" cy="3531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63590"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our pipelines and terminals in our crude oil transportation and services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Miles of Crude</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Working Storage</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40" w:type="dxa"/>
            <w:vAlign w:val="bottom"/>
            <w:gridSpan w:val="2"/>
          </w:tcPr>
          <w:p>
            <w:pPr>
              <w:jc w:val="center"/>
              <w:ind w:right="40"/>
              <w:spacing w:after="0" w:line="176" w:lineRule="exact"/>
              <w:rPr>
                <w:sz w:val="20"/>
                <w:szCs w:val="20"/>
                <w:color w:val="auto"/>
              </w:rPr>
            </w:pPr>
            <w:r>
              <w:rPr>
                <w:rFonts w:ascii="Times New Roman" w:cs="Times New Roman" w:eastAsia="Times New Roman" w:hAnsi="Times New Roman"/>
                <w:sz w:val="18"/>
                <w:szCs w:val="18"/>
                <w:color w:val="auto"/>
                <w:w w:val="99"/>
              </w:rPr>
              <w:t>Capacity</w:t>
            </w:r>
          </w:p>
        </w:tc>
        <w:tc>
          <w:tcPr>
            <w:tcW w:w="0" w:type="dxa"/>
            <w:vAlign w:val="bottom"/>
          </w:tcPr>
          <w:p>
            <w:pPr>
              <w:spacing w:after="0"/>
              <w:rPr>
                <w:sz w:val="1"/>
                <w:szCs w:val="1"/>
                <w:color w:val="auto"/>
              </w:rPr>
            </w:pPr>
          </w:p>
        </w:tc>
      </w:tr>
      <w:tr>
        <w:trPr>
          <w:trHeight w:val="243"/>
        </w:trPr>
        <w:tc>
          <w:tcPr>
            <w:tcW w:w="48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Description of Assets</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Ownership Interest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Pipeline</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(MBbls)</w:t>
            </w: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Dakota Access Pipeline</w:t>
            </w: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Transfer Crude Oil Pipeline</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Bayou Bridge Pipeline</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Texas Gulf Pipeline</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Express Pipelines</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ET-S Permian</w:t>
            </w:r>
            <w:r>
              <w:rPr>
                <w:rFonts w:ascii="Times New Roman" w:cs="Times New Roman" w:eastAsia="Times New Roman" w:hAnsi="Times New Roman"/>
                <w:sz w:val="23"/>
                <w:szCs w:val="23"/>
                <w:color w:val="auto"/>
                <w:vertAlign w:val="superscript"/>
              </w:rPr>
              <w:t>(1)</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Wattenberg Oil Trunkline</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White Cliffs Pipeline</w:t>
            </w:r>
            <w:r>
              <w:rPr>
                <w:rFonts w:ascii="Times New Roman" w:cs="Times New Roman" w:eastAsia="Times New Roman" w:hAnsi="Times New Roman"/>
                <w:sz w:val="23"/>
                <w:szCs w:val="23"/>
                <w:color w:val="auto"/>
                <w:vertAlign w:val="superscript"/>
              </w:rPr>
              <w:t>(2)</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Maurepas Pipeline</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 Valley Pipeline</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Cushing Pipeline</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Wink to Webster Pipeline</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crude gathering and water gathering and disposal</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Nederland Terminal</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Marcus Hook Terminal</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Houston Terminal</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Cushing Terminal</w:t>
            </w:r>
          </w:p>
        </w:tc>
        <w:tc>
          <w:tcPr>
            <w:tcW w:w="3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Patoka Terminal</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1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4800" w:type="dxa"/>
            <w:vAlign w:val="bottom"/>
          </w:tcPr>
          <w:p>
            <w:pPr>
              <w:spacing w:after="0"/>
              <w:rPr>
                <w:sz w:val="24"/>
                <w:szCs w:val="24"/>
                <w:color w:val="auto"/>
              </w:rPr>
            </w:pPr>
          </w:p>
        </w:tc>
        <w:tc>
          <w:tcPr>
            <w:tcW w:w="17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River Terminal</w:t>
            </w:r>
          </w:p>
        </w:tc>
        <w:tc>
          <w:tcPr>
            <w:tcW w:w="4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55 %</w:t>
            </w:r>
          </w:p>
        </w:tc>
        <w:tc>
          <w:tcPr>
            <w:tcW w:w="1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Colt Hub</w:t>
            </w:r>
          </w:p>
        </w:tc>
        <w:tc>
          <w:tcPr>
            <w:tcW w:w="4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100 %</w:t>
            </w:r>
          </w:p>
        </w:tc>
        <w:tc>
          <w:tcPr>
            <w:tcW w:w="1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bl>
    <w:p>
      <w:pPr>
        <w:spacing w:after="0" w:line="179" w:lineRule="exact"/>
        <w:rPr>
          <w:sz w:val="20"/>
          <w:szCs w:val="20"/>
          <w:color w:val="auto"/>
        </w:rPr>
      </w:pPr>
    </w:p>
    <w:p>
      <w:pPr>
        <w:ind w:left="340" w:hanging="332"/>
        <w:spacing w:after="0" w:line="229" w:lineRule="auto"/>
        <w:tabs>
          <w:tab w:leader="none" w:pos="32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joint venture between Energy Transfer and Sunoco LP formed in 2024. Energy transfer holds a 67.5% interest in ET-S Permian, with Sunoco LP holding the remaining 32.5% interest.</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White Cliffs Pipeline consists of two parallel, 12-inch common carrier pipelines: one crude oil pipeline and one NGL pipeline.</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crude oil operations consist of an integrated set of pipeline, terminalling, trucking and acquisition and marketing assets that service the movement of crude oil from producers to end-user markets. The following details our assets in the crude oil transportation and services segment: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Crude Oil Pipelines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crude oil pipelines (through wholly owned subsidiaries or joint venture interests) consist of approximately 17,950 miles of crude oil trunk pipelines as well as crude oil and produced water gathering pipelines throughout the Southwest, Midcontinent and Midwest United States. Our crude oil pipelines provide access to several trading hubs, including the largest trading hub for crude oil in the United States located in Cushing, Oklahoma, and other trading hubs located in Midland, Colorado City and Longview, Texas. Our crude oil pipelines also deliver to and connect with other pipelines that deliver crude oil to a number of refineries.</w:t>
      </w:r>
    </w:p>
    <w:p>
      <w:pPr>
        <w:spacing w:after="0" w:line="73" w:lineRule="exact"/>
        <w:rPr>
          <w:sz w:val="20"/>
          <w:szCs w:val="20"/>
          <w:color w:val="auto"/>
        </w:rPr>
      </w:pPr>
    </w:p>
    <w:p>
      <w:pPr>
        <w:jc w:val="both"/>
        <w:ind w:left="340" w:hanging="332"/>
        <w:spacing w:after="0" w:line="258" w:lineRule="auto"/>
        <w:tabs>
          <w:tab w:leader="none" w:pos="3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Bakken Pipeline. </w:t>
      </w:r>
      <w:r>
        <w:rPr>
          <w:rFonts w:ascii="Times New Roman" w:cs="Times New Roman" w:eastAsia="Times New Roman" w:hAnsi="Times New Roman"/>
          <w:sz w:val="18"/>
          <w:szCs w:val="18"/>
          <w:color w:val="auto"/>
        </w:rPr>
        <w:t>The Dakota Access Pipeline and Energy Transfer Crude Oil Pipeline are collectively referred to as the “Bakken Pipeline.”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Bakken Pipeline is a 1,915-mile pipeline that transports domestically produced crude oil from the Bakken/Three Forks production areas in North Dakota to a storage and terminal hub outside of Patoka, Illinois, or to Gulf Coast connections including our crude terminal in Nederland, Texas. The Bakken Pipeline has a capacity of up to 750 MBbls/d. The pipeline transports light, sweet crude oil from North Dakota to major refining markets in the Midwest and Gulf Coast regions.</w:t>
      </w:r>
    </w:p>
    <w:p>
      <w:pPr>
        <w:spacing w:after="0" w:line="77" w:lineRule="exact"/>
        <w:rPr>
          <w:rFonts w:ascii="Times New Roman" w:cs="Times New Roman" w:eastAsia="Times New Roman" w:hAnsi="Times New Roman"/>
          <w:sz w:val="18"/>
          <w:szCs w:val="18"/>
          <w:i w:val="1"/>
          <w:iCs w:val="1"/>
          <w:color w:val="auto"/>
        </w:rPr>
      </w:pPr>
    </w:p>
    <w:p>
      <w:pPr>
        <w:jc w:val="both"/>
        <w:ind w:left="3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Dakota Access Pipeline consists of approximately 1,170 miles of 12, 20, 24 and 30-inch diameter pipeline traversing North Dakota, South Dakota, Iowa and Illinois. Crude oil transported on the Dakota Access Pipeline originates at six terminal locations in the North Dakota counties of Mountrail, Williams and McKenzie. The pipeline delivers the crude oil to a hub outside of Patoka, Illinois where it can be delivered to the Energy Transfer Crude Oil Pipeline for delivery to the Gulf Coast or can be transported via other pipelines to refining markets throughout the Midwest.</w:t>
      </w:r>
    </w:p>
    <w:p>
      <w:pPr>
        <w:spacing w:after="0" w:line="71" w:lineRule="exact"/>
        <w:rPr>
          <w:rFonts w:ascii="Times New Roman" w:cs="Times New Roman" w:eastAsia="Times New Roman" w:hAnsi="Times New Roman"/>
          <w:sz w:val="18"/>
          <w:szCs w:val="18"/>
          <w:i w:val="1"/>
          <w:iCs w:val="1"/>
          <w:color w:val="auto"/>
        </w:rPr>
      </w:pPr>
    </w:p>
    <w:p>
      <w:pPr>
        <w:ind w:left="3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Energy Transfer Crude Oil Pipeline consists of approximately 745 miles of mostly 30-inch diameter pipeline from Patoka, Illinois to Nederland, Texas, where the crude oil can be refined or further transported to additional refining markets.</w:t>
      </w:r>
    </w:p>
    <w:p>
      <w:pPr>
        <w:spacing w:after="0" w:line="51" w:lineRule="exact"/>
        <w:rPr>
          <w:rFonts w:ascii="Times New Roman" w:cs="Times New Roman" w:eastAsia="Times New Roman" w:hAnsi="Times New Roman"/>
          <w:sz w:val="18"/>
          <w:szCs w:val="18"/>
          <w:i w:val="1"/>
          <w:iCs w:val="1"/>
          <w:color w:val="auto"/>
        </w:rPr>
      </w:pPr>
    </w:p>
    <w:p>
      <w:pPr>
        <w:jc w:val="both"/>
        <w:ind w:left="340" w:hanging="332"/>
        <w:spacing w:after="0" w:line="258" w:lineRule="auto"/>
        <w:tabs>
          <w:tab w:leader="none" w:pos="3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Bayou Bridge Pipeline. </w:t>
      </w:r>
      <w:r>
        <w:rPr>
          <w:rFonts w:ascii="Times New Roman" w:cs="Times New Roman" w:eastAsia="Times New Roman" w:hAnsi="Times New Roman"/>
          <w:sz w:val="18"/>
          <w:szCs w:val="18"/>
          <w:color w:val="auto"/>
        </w:rPr>
        <w:t>The Bayou Bridge Pipeline is a joint venture between Energy Transfer and a subsidiary of Phillips 66, in which we have a 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interest and serve as the operator of the pipeline. The Bayou Bridge Pipeline consists of a 30-inch pipeline from Nederland, Texas to Lake Charles, Louisiana, and a 24-inch pipeline from Lake Charles, Louisiana to St. James, Louisiana. Bayou Bridge Pipeline has a capacity of approximately 480 MBbls/d of light and heavy crude oil from different sources to the St. James crude oil hub, which is home to important refineries located in the Gulf Coast region.</w:t>
      </w:r>
    </w:p>
    <w:p>
      <w:pPr>
        <w:spacing w:after="0" w:line="75"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West Texas Gulf Pipeline. </w:t>
      </w:r>
      <w:r>
        <w:rPr>
          <w:rFonts w:ascii="Times New Roman" w:cs="Times New Roman" w:eastAsia="Times New Roman" w:hAnsi="Times New Roman"/>
          <w:sz w:val="18"/>
          <w:szCs w:val="18"/>
          <w:color w:val="auto"/>
        </w:rPr>
        <w:t>West Texas Gulf Pipeline is a 26-inch and 20-inch pipeline system that transports barrels from Colorado City, Texas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Longview, Texas for delivery onto Mid Valley Pipeline and additional delivery points along the Gulf Coast via joint tariff.</w:t>
      </w:r>
    </w:p>
    <w:p>
      <w:pPr>
        <w:spacing w:after="0" w:line="50" w:lineRule="exact"/>
        <w:rPr>
          <w:rFonts w:ascii="Times New Roman" w:cs="Times New Roman" w:eastAsia="Times New Roman" w:hAnsi="Times New Roman"/>
          <w:sz w:val="18"/>
          <w:szCs w:val="18"/>
          <w:i w:val="1"/>
          <w:iCs w:val="1"/>
          <w:color w:val="auto"/>
        </w:rPr>
      </w:pPr>
    </w:p>
    <w:p>
      <w:pPr>
        <w:jc w:val="both"/>
        <w:ind w:left="340" w:hanging="332"/>
        <w:spacing w:after="0" w:line="261" w:lineRule="auto"/>
        <w:tabs>
          <w:tab w:leader="none" w:pos="3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Permian Express Pipelines. </w:t>
      </w:r>
      <w:r>
        <w:rPr>
          <w:rFonts w:ascii="Times New Roman" w:cs="Times New Roman" w:eastAsia="Times New Roman" w:hAnsi="Times New Roman"/>
          <w:sz w:val="18"/>
          <w:szCs w:val="18"/>
          <w:color w:val="auto"/>
        </w:rPr>
        <w:t>The Permian Express pipelines are part of the PEP joint venture and include the Permian Express 1, Permian Express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Permian Express 3, Permian Express 4, Permian Longview and Louisiana Access, Longview to Louisiana and Nederland Access pipelines. These pipelines are comprised of crude oil trunk pipelines and crude oil gathering pipelines in Texas and Oklahoma and provide takeaway capacity from the Permian Basin, with origins in multiple locations in West Texas.</w:t>
      </w:r>
    </w:p>
    <w:p>
      <w:pPr>
        <w:spacing w:after="0" w:line="71" w:lineRule="exact"/>
        <w:rPr>
          <w:rFonts w:ascii="Times New Roman" w:cs="Times New Roman" w:eastAsia="Times New Roman" w:hAnsi="Times New Roman"/>
          <w:sz w:val="18"/>
          <w:szCs w:val="18"/>
          <w:i w:val="1"/>
          <w:iCs w:val="1"/>
          <w:color w:val="auto"/>
        </w:rPr>
      </w:pPr>
    </w:p>
    <w:p>
      <w:pPr>
        <w:jc w:val="both"/>
        <w:ind w:left="340" w:hanging="332"/>
        <w:spacing w:after="0" w:line="267" w:lineRule="auto"/>
        <w:tabs>
          <w:tab w:leader="none" w:pos="3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ET-S Permian. </w:t>
      </w:r>
      <w:r>
        <w:rPr>
          <w:rFonts w:ascii="Times New Roman" w:cs="Times New Roman" w:eastAsia="Times New Roman" w:hAnsi="Times New Roman"/>
          <w:sz w:val="18"/>
          <w:szCs w:val="18"/>
          <w:color w:val="auto"/>
        </w:rPr>
        <w:t>ET-S Permian includes over 5,000 miles of crude oil and water gathering pipelines in the Permian Basin. It also has total crude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storage capacity in excess of 11 million barrels in two terminals in Midland, Texas (described below), one terminal in Colorado City, Texas and several other storage facilities throughout the Permian Basin.</w:t>
      </w:r>
    </w:p>
    <w:p>
      <w:pPr>
        <w:spacing w:after="0" w:line="65" w:lineRule="exact"/>
        <w:rPr>
          <w:rFonts w:ascii="Times New Roman" w:cs="Times New Roman" w:eastAsia="Times New Roman" w:hAnsi="Times New Roman"/>
          <w:sz w:val="18"/>
          <w:szCs w:val="18"/>
          <w:i w:val="1"/>
          <w:iCs w:val="1"/>
          <w:color w:val="auto"/>
        </w:rPr>
      </w:pPr>
    </w:p>
    <w:p>
      <w:pPr>
        <w:ind w:left="340" w:right="20" w:hanging="332"/>
        <w:spacing w:after="0" w:line="284"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White Cliffs Pipeline. </w:t>
      </w:r>
      <w:r>
        <w:rPr>
          <w:rFonts w:ascii="Times New Roman" w:cs="Times New Roman" w:eastAsia="Times New Roman" w:hAnsi="Times New Roman"/>
          <w:sz w:val="18"/>
          <w:szCs w:val="18"/>
          <w:color w:val="auto"/>
        </w:rPr>
        <w:t>White Cliffs Pipeline owns a 12-inch common carrier, crude oil pipeline, with a throughput capacity of 100 MBbls/d,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transports crude oil from Platteville, Colorado to Cushing, Oklahoma.</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1" w:lineRule="exact"/>
        <w:rPr>
          <w:sz w:val="20"/>
          <w:szCs w:val="20"/>
          <w:color w:val="auto"/>
        </w:rPr>
      </w:pPr>
    </w:p>
    <w:p>
      <w:pPr>
        <w:ind w:left="340" w:hanging="332"/>
        <w:spacing w:after="0" w:line="284"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Maurepas Pipeline. </w:t>
      </w:r>
      <w:r>
        <w:rPr>
          <w:rFonts w:ascii="Times New Roman" w:cs="Times New Roman" w:eastAsia="Times New Roman" w:hAnsi="Times New Roman"/>
          <w:sz w:val="18"/>
          <w:szCs w:val="18"/>
          <w:color w:val="auto"/>
        </w:rPr>
        <w:t>The Maurepas Pipeline consists of three pipelines, with an aggregate throughput capacity of 460 MBbls/d, which service refineries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Gulf Coast region.</w:t>
      </w:r>
    </w:p>
    <w:p>
      <w:pPr>
        <w:spacing w:after="0" w:line="50"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Mid Valley Pipeline. </w:t>
      </w:r>
      <w:r>
        <w:rPr>
          <w:rFonts w:ascii="Times New Roman" w:cs="Times New Roman" w:eastAsia="Times New Roman" w:hAnsi="Times New Roman"/>
          <w:sz w:val="18"/>
          <w:szCs w:val="18"/>
          <w:color w:val="auto"/>
        </w:rPr>
        <w:t>The Mid Valley Pipeline originates in Longview, Texas and passes through Louisiana, Arkansas, Mississippi, Tennessee,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Kentucky and Ohio and terminates in Samaria, Michigan. This pipeline provides crude oil to a number of refineries, primarily in the Midwest United States.</w:t>
      </w:r>
    </w:p>
    <w:p>
      <w:pPr>
        <w:spacing w:after="0" w:line="65" w:lineRule="exact"/>
        <w:rPr>
          <w:rFonts w:ascii="Times New Roman" w:cs="Times New Roman" w:eastAsia="Times New Roman" w:hAnsi="Times New Roman"/>
          <w:sz w:val="18"/>
          <w:szCs w:val="18"/>
          <w:color w:val="auto"/>
        </w:rPr>
      </w:pPr>
    </w:p>
    <w:p>
      <w:pPr>
        <w:ind w:left="340" w:hanging="332"/>
        <w:spacing w:after="0" w:line="284" w:lineRule="auto"/>
        <w:tabs>
          <w:tab w:leader="none" w:pos="3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Cushing Pipeline. </w:t>
      </w:r>
      <w:r>
        <w:rPr>
          <w:rFonts w:ascii="Times New Roman" w:cs="Times New Roman" w:eastAsia="Times New Roman" w:hAnsi="Times New Roman"/>
          <w:sz w:val="18"/>
          <w:szCs w:val="18"/>
          <w:color w:val="auto"/>
        </w:rPr>
        <w:t>The Cushing Pipeline consists of two 16-inch crude oil pipelines, providing service from the Permian Basin to Cushing, Oklahoma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third-party systems in North Texas.</w:t>
      </w:r>
    </w:p>
    <w:p>
      <w:pPr>
        <w:spacing w:after="0" w:line="50"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Wink to Webster Pipeline. </w:t>
      </w:r>
      <w:r>
        <w:rPr>
          <w:rFonts w:ascii="Times New Roman" w:cs="Times New Roman" w:eastAsia="Times New Roman" w:hAnsi="Times New Roman"/>
          <w:sz w:val="18"/>
          <w:szCs w:val="18"/>
          <w:color w:val="auto"/>
        </w:rPr>
        <w:t>The Wink to Webster Pipeline is capable of transporting approximately 1,000 MBbl/d from origin points at Wink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Midland in the Permian Basin for delivery to multiple Houston area locations.</w:t>
      </w:r>
    </w:p>
    <w:p>
      <w:pPr>
        <w:spacing w:after="0" w:line="50"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Crude Gathering and Water Gathering and Disposal. </w:t>
      </w:r>
      <w:r>
        <w:rPr>
          <w:rFonts w:ascii="Times New Roman" w:cs="Times New Roman" w:eastAsia="Times New Roman" w:hAnsi="Times New Roman"/>
          <w:sz w:val="18"/>
          <w:szCs w:val="18"/>
          <w:color w:val="auto"/>
        </w:rPr>
        <w:t>We own integrated crude oil and water gathering systems across multiple basins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Permian Basin: </w:t>
      </w:r>
      <w:r>
        <w:rPr>
          <w:rFonts w:ascii="Times New Roman" w:cs="Times New Roman" w:eastAsia="Times New Roman" w:hAnsi="Times New Roman"/>
          <w:sz w:val="18"/>
          <w:szCs w:val="18"/>
          <w:color w:val="auto"/>
        </w:rPr>
        <w:t>Our Permian Basin gathering assets in West Texas and eastern New Mexico encompass multiple systems in highly active areas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the Delaware and Midland basins, with the ability to deliver virtually all gathered crude to major market hubs, including Midland, Wink and Crane, as well as our own long-haul pipelines that provide service to the Gulf Coast and Cushing. Our Permian Basin operations also consist of produced water gathering and disposal services in the Delaware Basin.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8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Williston Basin: </w:t>
      </w:r>
      <w:r>
        <w:rPr>
          <w:rFonts w:ascii="Times New Roman" w:cs="Times New Roman" w:eastAsia="Times New Roman" w:hAnsi="Times New Roman"/>
          <w:sz w:val="18"/>
          <w:szCs w:val="18"/>
          <w:color w:val="auto"/>
        </w:rPr>
        <w:t>Our Williston Basin gathering assets in North Dakota and eastern Montana include several systems built for gathering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transporting crude production from the wellhead to long-haul pipelines, including our Bakken Pipeline. Additionally, we have multiple water gathering systems in the Williston Basin that transport produced water to wholly owned and third-party disposal wells.</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Midcontinent: </w:t>
      </w:r>
      <w:r>
        <w:rPr>
          <w:rFonts w:ascii="Times New Roman" w:cs="Times New Roman" w:eastAsia="Times New Roman" w:hAnsi="Times New Roman"/>
          <w:sz w:val="18"/>
          <w:szCs w:val="18"/>
          <w:color w:val="auto"/>
        </w:rPr>
        <w:t>Our Midcontinent gathering assets in Oklahoma and Kansas primarily transport wellhead and truck-delivered volumes to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refineries as well as to Cushing, Oklahoma. A portion of these operations are conducted through Enable South Central Pipeline, a joint venture with a subsidiary of CVR Energy, Inc., which is operated by us and in which we own a 60% membership interest.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Crude Oil Terminals</w:t>
      </w:r>
    </w:p>
    <w:p>
      <w:pPr>
        <w:spacing w:after="0" w:line="117" w:lineRule="exact"/>
        <w:rPr>
          <w:sz w:val="20"/>
          <w:szCs w:val="20"/>
          <w:color w:val="auto"/>
        </w:rPr>
      </w:pPr>
    </w:p>
    <w:p>
      <w:pPr>
        <w:jc w:val="both"/>
        <w:ind w:left="340" w:hanging="332"/>
        <w:spacing w:after="0" w:line="261"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Nederland, TX. </w:t>
      </w:r>
      <w:r>
        <w:rPr>
          <w:rFonts w:ascii="Times New Roman" w:cs="Times New Roman" w:eastAsia="Times New Roman" w:hAnsi="Times New Roman"/>
          <w:sz w:val="18"/>
          <w:szCs w:val="18"/>
          <w:color w:val="auto"/>
        </w:rPr>
        <w:t>The Nederland Terminal, located on the Sabine-Neches waterway between Beaumont and Port Arthur, Texas, is a large marine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terminal providing storage and distribution services for refiners and other large transporters of crude oil and NGLs. The terminal receives, stores and distributes crude oil, NGLs, feedstocks, petrochemicals and bunker oils (used for fueling ships and other marine vessels). The terminal currently has a total storage capacity of approximately 30 MMBbls in more than 80 above ground storage tanks with individual capacities of up to 660 MBbls.</w:t>
      </w:r>
    </w:p>
    <w:p>
      <w:pPr>
        <w:spacing w:after="0" w:line="73"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Nederland Terminal can receive crude oil at three of its six ship docks and three of its four barge berths. The three ship docks are capable of receiving over 2 MMBbls/d of crude oil. In addition to our crude oil pipelines, the terminal can also receive crude oil through a number of other pipelines, including the DOE. The DOE pipelines connect the terminal to the United States Strategic Petroleum Reserve’s West Hackberry caverns at Hackberry, Louisiana and Big Hill caverns near Winnie, Texas, which have an aggregate storage capacity of approximately 395 MMBbls. The terminal also has crude oil rail unloading facilities, including steam availability for heating heavy oils prior to loading.</w:t>
      </w:r>
    </w:p>
    <w:p>
      <w:pPr>
        <w:spacing w:after="0" w:line="75"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Nederland Terminal can deliver crude oil and other petroleum products via pipeline, barge and ship. The terminal has three ship docks and three barge berths that are capable of delivering crude oils for international transport. In total, the terminal is capable of delivering over 2 MMBbls/d of crude oil to our crude oil pipelines or a number of third-party pipelines including the DOE. The Nederland Terminal generates crude oil revenues primarily by providing term or spot storage services and throughput capabilities to a number of customers.</w:t>
      </w:r>
    </w:p>
    <w:p>
      <w:pPr>
        <w:spacing w:after="0" w:line="69"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Midland, TX. </w:t>
      </w:r>
      <w:r>
        <w:rPr>
          <w:rFonts w:ascii="Times New Roman" w:cs="Times New Roman" w:eastAsia="Times New Roman" w:hAnsi="Times New Roman"/>
          <w:sz w:val="18"/>
          <w:szCs w:val="18"/>
          <w:color w:val="auto"/>
        </w:rPr>
        <w:t>We have two terminals in Midland, Texas. Midland South includes approximately 1 MMBbls of crude oil storage and a combined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lanes of truck loading and unloading; the terminal provides access to the Permian Express pipelines. Midland North offers 2 MMBbls of crude oil storage capacity and additional supply and demand connectivity.</w:t>
      </w:r>
    </w:p>
    <w:p>
      <w:pPr>
        <w:spacing w:after="0" w:line="65"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Marcus Hook, PA. </w:t>
      </w:r>
      <w:r>
        <w:rPr>
          <w:rFonts w:ascii="Times New Roman" w:cs="Times New Roman" w:eastAsia="Times New Roman" w:hAnsi="Times New Roman"/>
          <w:sz w:val="18"/>
          <w:szCs w:val="18"/>
          <w:color w:val="auto"/>
        </w:rPr>
        <w:t>The Marcus Hook Terminal can receive crude oil via marine vessel and can deliver via marine vessel and pipeline. The terminal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total active crude oil storage capacity of approximately 1 MMBbls.</w:t>
      </w:r>
    </w:p>
    <w:p>
      <w:pPr>
        <w:spacing w:after="0" w:line="50"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Houston, TX. </w:t>
      </w:r>
      <w:r>
        <w:rPr>
          <w:rFonts w:ascii="Times New Roman" w:cs="Times New Roman" w:eastAsia="Times New Roman" w:hAnsi="Times New Roman"/>
          <w:sz w:val="18"/>
          <w:szCs w:val="18"/>
          <w:color w:val="auto"/>
        </w:rPr>
        <w:t>The Houston Terminal consists of storage tanks located on the Houston Ship Channel with an aggregate storage capacity of 18.2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MMBbls used to store, blend and transport refinery products and refinery feedstocks via pipeline, barge, rail, truck and ship. This facility has five deep-water ship docks on the Houston Ship Channel capable of loading and unloading Suezmax cargo vessels, and seven barge docks that can accommodate 23 barges simultaneously, three inbound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crude oil pipelines, two outbound crude oil pipelines connecting to three refineries, and numerous rail and truck loading spots.</w:t>
      </w:r>
    </w:p>
    <w:p>
      <w:pPr>
        <w:spacing w:after="0" w:line="115" w:lineRule="exact"/>
        <w:rPr>
          <w:sz w:val="20"/>
          <w:szCs w:val="20"/>
          <w:color w:val="auto"/>
        </w:rPr>
      </w:pPr>
    </w:p>
    <w:p>
      <w:pPr>
        <w:jc w:val="both"/>
        <w:ind w:left="340" w:hanging="332"/>
        <w:spacing w:after="0" w:line="267"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Cushing, OK. </w:t>
      </w:r>
      <w:r>
        <w:rPr>
          <w:rFonts w:ascii="Times New Roman" w:cs="Times New Roman" w:eastAsia="Times New Roman" w:hAnsi="Times New Roman"/>
          <w:sz w:val="18"/>
          <w:szCs w:val="18"/>
          <w:color w:val="auto"/>
        </w:rPr>
        <w:t>The Cushing Terminal has approximately 9.5 MMBbls of crude oil storage. The storage terminal has inbound connections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White Cliffs Pipeline from Platteville, Colorado, the Great Salt Plains Pipeline from Cherokee, Oklahoma, the Cimarron Pipeline from Boyer, Kansas and two-way connections with all of the other major storage terminals in Cushing. The Cushing Terminal also includes truck unloading facilities.</w:t>
      </w:r>
    </w:p>
    <w:p>
      <w:pPr>
        <w:spacing w:after="0" w:line="65" w:lineRule="exact"/>
        <w:rPr>
          <w:rFonts w:ascii="Times New Roman" w:cs="Times New Roman" w:eastAsia="Times New Roman" w:hAnsi="Times New Roman"/>
          <w:sz w:val="18"/>
          <w:szCs w:val="18"/>
          <w:color w:val="auto"/>
        </w:rPr>
      </w:pPr>
    </w:p>
    <w:p>
      <w:pPr>
        <w:ind w:left="340" w:hanging="332"/>
        <w:spacing w:after="0" w:line="284"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Patoka, IL. </w:t>
      </w:r>
      <w:r>
        <w:rPr>
          <w:rFonts w:ascii="Times New Roman" w:cs="Times New Roman" w:eastAsia="Times New Roman" w:hAnsi="Times New Roman"/>
          <w:sz w:val="18"/>
          <w:szCs w:val="18"/>
          <w:color w:val="auto"/>
        </w:rPr>
        <w:t>The Patoka Terminal is a tank farm owned by the PEP joint venture and is located in Marion County, Illinois. The facility includes 234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acres of owned land and provides for approximately 1.9 MMBbls of crude oil storage.</w:t>
      </w:r>
    </w:p>
    <w:p>
      <w:pPr>
        <w:spacing w:after="0" w:line="50" w:lineRule="exact"/>
        <w:rPr>
          <w:rFonts w:ascii="Times New Roman" w:cs="Times New Roman" w:eastAsia="Times New Roman" w:hAnsi="Times New Roman"/>
          <w:sz w:val="18"/>
          <w:szCs w:val="18"/>
          <w:color w:val="auto"/>
        </w:rPr>
      </w:pPr>
    </w:p>
    <w:p>
      <w:pPr>
        <w:ind w:left="340" w:hanging="332"/>
        <w:spacing w:after="0" w:line="284"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River Terminal. </w:t>
      </w:r>
      <w:r>
        <w:rPr>
          <w:rFonts w:ascii="Times New Roman" w:cs="Times New Roman" w:eastAsia="Times New Roman" w:hAnsi="Times New Roman"/>
          <w:sz w:val="18"/>
          <w:szCs w:val="18"/>
          <w:color w:val="auto"/>
        </w:rPr>
        <w:t>The Price River Terminal is a rail terminal joint venture in Carbon County, Utah, capable of transloading local waxy crude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as well as other bulk materials. The terminal has 200 MBbls of heated storage and more than 60 MBbls/d of rail loading capacity.</w:t>
      </w:r>
    </w:p>
    <w:p>
      <w:pPr>
        <w:spacing w:after="0" w:line="50" w:lineRule="exact"/>
        <w:rPr>
          <w:rFonts w:ascii="Times New Roman" w:cs="Times New Roman" w:eastAsia="Times New Roman" w:hAnsi="Times New Roman"/>
          <w:sz w:val="18"/>
          <w:szCs w:val="18"/>
          <w:color w:val="auto"/>
        </w:rPr>
      </w:pPr>
    </w:p>
    <w:p>
      <w:pPr>
        <w:ind w:left="340" w:hanging="332"/>
        <w:spacing w:after="0" w:line="284" w:lineRule="auto"/>
        <w:tabs>
          <w:tab w:leader="none" w:pos="33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Colt Hub. </w:t>
      </w:r>
      <w:r>
        <w:rPr>
          <w:rFonts w:ascii="Times New Roman" w:cs="Times New Roman" w:eastAsia="Times New Roman" w:hAnsi="Times New Roman"/>
          <w:sz w:val="18"/>
          <w:szCs w:val="18"/>
          <w:color w:val="auto"/>
        </w:rPr>
        <w:t>The Colt Hub is located in the heart of the Williston Basin in Williams County, North Dakota. The Colt Hub has approximately 1.2 MMBbls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crude oil storage capacity and 160 MBbls/d of rail loading capacity.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Crude Oil Acquisition and Marketing</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crude oil acquisition and marketing operations are conducted using our assets, which include approximately 380 crude oil transport trucks, 350 trailers and 242 crude oil truck unloading facilities as well as third-party truck, rail, pipeline and marine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Sunoco 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Sunoco LP purchases motor fuel primarily from independent refiners and major oil companies and distributes it throughout the United States,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Hawaii and Puerto Rico, to:</w:t>
      </w:r>
    </w:p>
    <w:p>
      <w:pPr>
        <w:spacing w:after="0" w:line="99"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company-operated retail stores;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 independently operated commission agent locations where Sunoco LP sells motor fuel to customers under commission agent arrangements with such operators;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6,965 retail stores operated by independent operators, which are referred to as “dealers” or “distributors,” pursuant to long-term distribution agreements; and</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2,000 other commercial customers, including unbranded retail stores, other fuel distributors, school districts and municipalities and other industrial customers.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Sunoco LP’s fuel distributions operations also include one terminal, lease income from properties that it leases or subleases, retail operations in Hawaii and New Jersey, credit card services and franchise royalties.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Sunoco LP’s pipeline systems operations is comprised of approximately 6,000 miles of refined product pipeline (including the pipeline in the J.C. Nolan joint venture), approximately 6,000 miles of crude oil pipeline (including the pipeline in the ET-S Permian joint venture), approximately 2,000 miles of ammonia pipeline and 67 terminals (including the J.C. Nolan and ET-S Permian joint ventures).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Sunoco LP’s terminals operations include four transmix processing facilities and 56 refined product terminals (two in Europe, six in Hawaii and 48 in the continental United States). Transmix is the mixture of various refined products (primarily gasoline and diesel) created in the supply chain (primarily in pipelines and terminals) when various products interface with each other. Transmix processing plants separate this mixture and return it to salable products of gasoline and diesel. Sunoco LP’s refined product terminals provide storage and distribution services used to supply its own retail stations as well as third-party customers. In addition, Sunoco LP provides services at its terminals to various third-party throughput customers.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USAC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the assets of USAC:</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USAC’s standardized compression unit fleet is powered primarily by the Caterpillar, Inc.’s 3400, 3500 and 3600 engine classes, which range from 400 to 5,000 horsepower per unit. These larger horsepower units, which USAC defines as 400 horsepower per unit or greater, represented 87.2% of its total fleet horsepower as of December 31, 2024. The remainder of its fleet consists of smaller horsepower units ranging from 40 horsepower to 399 horsepower that are primarily used in gas lift applications.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USAC’s compression units by horsepower as of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Fleet</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Number of</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Horsepower on</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Number of</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Number of</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Percent of Fleet</w:t>
            </w: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1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Units on</w:t>
            </w:r>
          </w:p>
        </w:tc>
        <w:tc>
          <w:tcPr>
            <w:tcW w:w="12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Unit Horsepower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Horsepower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Units</w:t>
            </w:r>
          </w:p>
        </w:tc>
        <w:tc>
          <w:tcPr>
            <w:tcW w:w="128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8"/>
                <w:szCs w:val="18"/>
                <w:color w:val="auto"/>
                <w:w w:val="93"/>
              </w:rPr>
              <w:t xml:space="preserve">Order </w:t>
            </w:r>
            <w:r>
              <w:rPr>
                <w:rFonts w:ascii="Times New Roman" w:cs="Times New Roman" w:eastAsia="Times New Roman" w:hAnsi="Times New Roman"/>
                <w:sz w:val="23"/>
                <w:szCs w:val="23"/>
                <w:color w:val="auto"/>
                <w:w w:val="93"/>
                <w:vertAlign w:val="superscript"/>
              </w:rPr>
              <w:t>(1)</w:t>
            </w:r>
          </w:p>
        </w:tc>
        <w:tc>
          <w:tcPr>
            <w:tcW w:w="114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color w:val="auto"/>
                <w:w w:val="93"/>
              </w:rPr>
              <w:t xml:space="preserve">Order </w:t>
            </w:r>
            <w:r>
              <w:rPr>
                <w:rFonts w:ascii="Times New Roman" w:cs="Times New Roman" w:eastAsia="Times New Roman" w:hAnsi="Times New Roman"/>
                <w:sz w:val="23"/>
                <w:szCs w:val="23"/>
                <w:color w:val="auto"/>
                <w:w w:val="93"/>
                <w:vertAlign w:val="superscript"/>
              </w:rPr>
              <w:t>(1)</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Horsepower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Units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Horsepower</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Units</w:t>
            </w:r>
          </w:p>
        </w:tc>
        <w:tc>
          <w:tcPr>
            <w:tcW w:w="0" w:type="dxa"/>
            <w:vAlign w:val="bottom"/>
          </w:tcPr>
          <w:p>
            <w:pPr>
              <w:spacing w:after="0"/>
              <w:rPr>
                <w:sz w:val="1"/>
                <w:szCs w:val="1"/>
                <w:color w:val="auto"/>
              </w:rPr>
            </w:pPr>
          </w:p>
        </w:tc>
      </w:tr>
      <w:tr>
        <w:trPr>
          <w:trHeight w:val="223"/>
        </w:trPr>
        <w:tc>
          <w:tcPr>
            <w:tcW w:w="1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Small horsepower</w:t>
            </w: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&lt;400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495,258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495,258</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Large horsepower</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&gt;400 and &lt;1,000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419,980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419,980</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&gt;1,000</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2,946,864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2,956,864</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large horsepower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3,366,844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3,376,844</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horsepower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3,862,102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3,872,102</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line="229"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USAC had no horsepower units on order. Subsequent to December 31, 2024, USAC ordered four large horsepower units, consisting of 10,000 horsepower, for expected delivery during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the significant assets in the “All Other”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Compression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Dual Drive Technologies, Ltd, which provides compression services to customers engaged in the transportation of natural gas, including our other segments.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Resources Operations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Natural Resources operations primarily involve the management and leasing of coal properties and the subsequent collection of royalties. We also earn revenues from other land management activities, such as selling standing timber, leasing fee-based coal-related infrastructure facilities to certain lessees and end-user industrial plants, collecting oil and gas royalties and from coal transportation, or wheelage fees. As of December 31, 2024, we owned or controlled approximately 729 million tons of proven and probable coal reserves in central and northern Appalachia, properties in eastern Kentucky, southwestern Virginia and southern West Virginia, and in the Illinois Basin, properties in southern Illinois, Indiana, and western Kentucky and as the operator of end-user coal handling facilities.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we have engaged, and will continue to engage, in a well-balanced plan for growth through strategic acquisitions, internally generated expansion, measures aimed at increasing the profitability of our existing assets and executing cost control measures where appropriate to manage our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continue to operate as a diversified, growth-oriented limited partnership. We believe that by pursuing independent operating and growth strategies we will be best positioned to achieve our objectives. We balance our desire for growth with our goal of preserving a strong balance sheet, ample liquidity and investment grade credit metrics.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business strategies of our core businesses: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through acquisitions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continue to make strategic acquisitions that offer the opportunity for operational efficiencies and the potential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increased utilization and expansion of our existing assets while supporting our investment grade credit ratings.</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Engage in construction and expansion opportunities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leverage our existing infrastructure and customer relationships by constructing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expanding systems to meet new or increased demand for midstream and transportation services.</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 cash flow from fee-based businesses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increase the percentage of our business conducted with third parties under fee-based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in order to provide for stable, consistent cash flows over long contract periods while reducing exposure to changes in commodity prices.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 profitability of existing 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increase the profitability of our existing asset base by adding new volumes under long-term producer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undertaking additional initiatives to enhance utilization and reducing costs by improving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of providing natural gas gathering, compression, treating, transportation, storage and marketing services is highly competitive. Since pipelines are generally the only practical mode of transportation for natural gas over land, the most significant competitors of our transportation and storage segment are other pipelines. Pipelines typically compete with each other based on location, capacity, price and reliability.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competition with respect to retaining and obtaining significant natural gas supplies under terms favorable to us for the gathering, treating and marketing portions of our business. Our competitors include major integrated oil and gas companies, interstate and intrastate pipelines and other companies that gather, compress, treat, process, transport and market natural gas. Many of our competitors, such as major oil and gas and pipeline companies, have capital resources and control supplies of natural gas substantially greater than ours.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marketing natural gas, we have numerous competitors, including marketing affiliates of interstate pipelines, major integrated oil and gas companies, and local and national natural gas gatherers, brokers and marketers of widely varying sizes, financial resources and experience. Local utilities and distributors of natural gas are, in some cases, engaged directly, and through affiliates, in marketing activities that compete with our marketing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markets served by our NGL pipelines, we face competition with other pipeline companies, including those affiliated with major oil, petrochemical and natural gas companies, and barge, rail and truck fleet operations. In general, our NGL pipelines compete with these entities in terms of transportation fees, reliability and quality of customer service. We face competition with other storage facilities based on fees charged and the ability to receive and distribute the customer’s products. We compete with a number of NGL fractionators in Texas and Louisiana. Competition for such services is primarily based on the fractionation fee charged.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and Refined Products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markets served by our crude oil and refined products pipelines, we face competition from other pipelines as well as rail and truck transportation. Generally, pipelines are the safest, lowest cost method for long-haul, overland movement of products and crude oil. Therefore, the most significant competitors for large volume shipments in the areas served by our pipelines are other pipelines. In addition, pipeline operations face competition from rail and trucks that deliver products in a number of areas that our pipeline operations serve. While their costs may not be competitive for longer hauls or large volume shipments, rail and trucks compete effectively for incremental and marginal volume in many areas served by our pipelines.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competition from other pipelines, the primary competitive factors consist of transportation charges, access to crude oil supply and market demand. Competitive factors in crude oil purchasing and marketing include price and contract flexibility, quantity and quality of services, and accessibility to end markets.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refined product terminals compete with other independent terminals with respect to price, versatility and services provided. The competition primarily comes from integrated petroleum companies, refining and marketing companies, independent terminal companies and distribution companies with marketing and trading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Fuel Distribution and Retail Marketing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wholesale fuel distribution business, we compete primarily with other independent motor fuel distributors. The markets for distribution of wholesale motor fuel and the large and growing convenience store industry are highly competitive and fragmented, which results in narrow margins. We have numerous competitors, some of which may have significantly greater resources and name recognition than we do. Significant competitive factors include the availability of major brands, customer service, price, range of services offered and quality of service, among others. We rely on our ability to provide value-added and reliable service and to control our operating costs in order to maintain our margins and competitive position.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retail business, we face strong competition in the market for the sale of retail gasoline and merchandise. Our competitors include service stations of large integrated oil companies, independent gasoline service stations, convenience stores, fast food stores, supermarkets, drugstores, dollar stores, club stores and other similar retail outlets, some of which are well-recognized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national or regional retail systems. The number of competitors varies depending on the geographical area. It also varies with gasoline and convenience store offerings. The principal competitive factors affecting our retail marketing operations include gasoline and diesel acquisition costs, site location, product price, selection and quality, site appearance and cleanliness, hours of operation, store safety, customer loyalty and brand recognition. We compete by pricing gasoline competitively, combining our retail gasoline business with convenience stores that provide a wide variety of products, and using advertising and promotional campaigns.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and Customers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natural gas transportation and midstream revenues are derived significantly from companies that engage in exploration and production activities. In addition to oil and gas producers, the Partnership’s counterparties consist of a diverse portfolio of customers across the energy industry, including petrochemical companies, commercial and industrial end-users,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3" w:lineRule="exact"/>
        <w:rPr>
          <w:sz w:val="20"/>
          <w:szCs w:val="20"/>
          <w:color w:val="auto"/>
        </w:rPr>
      </w:pPr>
    </w:p>
    <w:p>
      <w:pPr>
        <w:ind w:right="1220"/>
        <w:spacing w:after="0" w:line="435" w:lineRule="auto"/>
        <w:rPr>
          <w:sz w:val="20"/>
          <w:szCs w:val="20"/>
          <w:color w:val="auto"/>
        </w:rPr>
      </w:pPr>
      <w:r>
        <w:rPr>
          <w:rFonts w:ascii="Times New Roman" w:cs="Times New Roman" w:eastAsia="Times New Roman" w:hAnsi="Times New Roman"/>
          <w:sz w:val="18"/>
          <w:szCs w:val="18"/>
          <w:color w:val="auto"/>
        </w:rPr>
        <w:t xml:space="preserve">During the year ended December 31, 2024, none of our customers individually accounted for more than 10% of our consolidated revenues. </w:t>
      </w:r>
      <w:r>
        <w:rPr>
          <w:rFonts w:ascii="Times New Roman" w:cs="Times New Roman" w:eastAsia="Times New Roman" w:hAnsi="Times New Roman"/>
          <w:sz w:val="18"/>
          <w:szCs w:val="18"/>
          <w:b w:val="1"/>
          <w:bCs w:val="1"/>
          <w:u w:val="single" w:color="auto"/>
          <w:color w:val="auto"/>
        </w:rPr>
        <w:t>Regulation</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Interstate Natural Gas Pipelines. </w:t>
      </w:r>
      <w:r>
        <w:rPr>
          <w:rFonts w:ascii="Times New Roman" w:cs="Times New Roman" w:eastAsia="Times New Roman" w:hAnsi="Times New Roman"/>
          <w:sz w:val="18"/>
          <w:szCs w:val="18"/>
          <w:color w:val="auto"/>
        </w:rPr>
        <w:t>The FERC has broad regulatory authority over the business and operations of interstate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pipelines. Under the NGA, the FERC generally regulates the transportation of natural gas in interstate commerce. For FERC regulatory purposes, “transportation” includes natural gas pipeline transmission (forwardhauls and backhauls), storage and other services. FGT, Transwestern, Panhandle, Trunkline, Tiger, Fayetteville Express, Rover, Sea Robin, Midcontinent Express, EGT, MRT, SESH, Stingray, Gulf Run and Southwest Gas transport natural gas in interstate commerce and thus each qualifies as a “natural-gas company” under the NGA subject to the FERC’s regulatory jurisdiction. We also hold certain natural gas storage facilities that are subject to the FERC’s regulatory oversight under the NGA.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FERC’s NGA authority includes the power to:</w:t>
      </w:r>
    </w:p>
    <w:p>
      <w:pPr>
        <w:spacing w:after="0" w:line="117"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siting, construction and operation of new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transportation rates;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types of services our regulated assets are permitted to perform;</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terms and conditions associated with these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extension or abandonment of services and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maintenance of accounts and records;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acquisition and disposition of facilities.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NGA, interstate natural gas companies must charge rates that are just and reasonable. In addition, the NGA prohibits natural gas companies from unduly preferring or unreasonably discriminating against any person with respect to pipeline rates or terms and conditions of service.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rates to be charged by NGA-jurisdictional natural gas companies and their terms and conditions for service are required to be on file with the FERC. Most natural gas companies are authorized to offer discounts from their FERC-approved maximum just and reasonable rates when competition warrants such discounts. Natural gas companies are also generally permitted to offer negotiated rates different from rates established in their tariff if, among other requirements, such companies’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tariffs offer a cost-based recourse rate to a prospective shipper as an alternative to the negotiated rate. Natural gas companies must make offers of rate discounts and negotiated rates on a basis that is not unduly discriminatory. Existing tariff rates may be challenged by complaint or on the FERC’s own motion, and if found unjust and unreasonable in a FERC order, may be altered on a prospective basis from no earlier than the date of such FERC order. The FERC must also approve all rate changes. We cannot guarantee that the FERC will allow us to charge rates that fully recover our costs or continue to pursue its approach of pro-competitive policies.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FERC’s rules promulgated under the Energy Policy Act of 2005 (the “EPAct of 2005”), it is unlawful for any entity, directly or indirectly, in connection with the purchase or sale of electric energy or natural gas or the purchase or sale of transmission or transportation services subject to FERC jurisdiction: (i) to defraud using any device, scheme or artifice; (ii) to make any untrue statement of material fact or omit a material fact; or (iii) to engage in any act, practice or course of business that operates or would operate as a fraud or deceit. The Commodity Futures Trading Commission (“CFTC”) also holds authority to monitor certain segments of the physical and futures energy commodities market pursuant to the Commodity Exchange Act (“CEA”). In addition, the Federal Trade Commission has the authority under the Federal Trade Commission Act of 1914 and the Energy Independence and Security Act of 2007 to regulate wholesale petroleum markets. With regard to our physical purchases and sales of natural gas, NGLs or other energy commodities; our transportation of these energy commodities; and any related hedging activities that we undertake, we are required to observe these anti-market manipulation laws and related regulations enforced by the FERC, the CFTC and/or the Federal Trade Commission. These agencies hold substantial enforcement authority, including the ability to assess or seek civil penalties of up to approximately $1.5 million per day per violation, to order disgorgement of profits and to recommend criminal penalties. Should we violate the anti-market manipulation laws and regulations, we could also be subject to related third-party damage claims by, among others, sellers, royalty owners and taxing authorities.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comply with the NGA, the EPAct of 2005, the CEA and the other federal laws and regulations governing our operations and business activities can result in the imposition of administrative, civil and criminal remedies.</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Intrastate Natural Gas and NGL Pipelines. </w:t>
      </w:r>
      <w:r>
        <w:rPr>
          <w:rFonts w:ascii="Times New Roman" w:cs="Times New Roman" w:eastAsia="Times New Roman" w:hAnsi="Times New Roman"/>
          <w:sz w:val="18"/>
          <w:szCs w:val="18"/>
          <w:color w:val="auto"/>
        </w:rPr>
        <w:t>Intrastate transportation of natural gas and NGLs is largely regulated by the state in which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transportation takes place. To the extent that our intrastate natural gas transportation systems transport natural gas in interstate commerce, the rates and terms and conditions of such services are subject to FERC jurisdiction under Section 311 of the NGPA. The NGPA regulates, among other things, the provision of transportation services by an intrastate natural gas pipeline on behalf of a local distribution company or an interstate natural gas pipeline. The rates and terms and conditions of some transportation and storage services provided on our pipeline systems of Enable Oklahoma Intrastate Transmission, LLC, Oasis Pipeline, LP, Houston Pipe Line Company LP, ETC Katy Pipeline, LLC, Energy Transfer Fuel, LP, Lobo Pipeline Company, LLC, Pelico Pipeline, LLC, Regency Intrastate Gas LP, Red Bluff Express Pipeline, LLC, Trans-Pecos Pipeline, LLC and Comanche Trail Pipeline, LLC are subject to FERC regulation pursuant to Section 311 of the NGPA. Under Section 311, rates charged for intrastate transportation must be fair and equitable, and amounts collected that are determined to be in excess of fair and equitable rates are subject to refund with interest. The terms and conditions of service set forth in the intrastate facility’s statement of operating conditions are also subject to FERC review and approval. Should the FERC determine not to authorize rates equal to or greater than our currently approved Section 311 rates, our business may be adversely affected. Failure to observe the service limitations applicable to transportation and storage services under Section 311, failure to comply with the rates approved by the FERC for Section 311 service, and failure to comply with the terms and conditions of service established in the pipeline’s FERC-approved statement of operating conditions could result in an alteration of jurisdictional status, and/or the imposition of administrative, civil and criminal remedies.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intrastate natural gas operations are also subject to regulation by various agencies in Texas, principally the TRRC. Our intrastate pipeline and storage operations in Texas are also subject to the Texas Utilities Code, as implemented by the TRRC. Generally, the TRRC is vested with authority to ensure that rates, operations and services of gas utilities, including intrastate pipelines, are just and reasonable and not discriminatory. The rates we charge for transportation services are deemed just and reasonable under Texas law unless challenged in a customer or TRRC complaint. We cannot predict whether such a complaint will be filed against us or whether the TRRC will change its regulation of these rates. Failure to comply with the Texas Utilities Code can result in the imposition of administrative, civil and criminal remedies.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NGL pipelines and operations are subject to state statutes and regulations which could impose additional environmental, safety and operational requirements relating to the design, siting, installation, testing, construction, operation, replacement and management of NGL transportation systems. In some jurisdictions, state public utility commission oversight may include the possibility of fines, penalties and delays in construction related to these regulations. In addition, the rates, terms and conditions of service for shipments of NGLs on our pipelines are subject to regulation by the FERC under the Interstate Commerce Act (“ICA”) and the Energy Policy Act of 1992 (the “EPAct of 1992”) if the NGLs are transported in interstate or foreign commerce whether by our pipelines or other means of transportation. Since we do not control the entire transportation path of all NGLs shipped on our pipelines, FERC regulation could be triggered by our customers’ transportation decisions.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Sales of Natural Gas and NGLs. </w:t>
      </w:r>
      <w:r>
        <w:rPr>
          <w:rFonts w:ascii="Times New Roman" w:cs="Times New Roman" w:eastAsia="Times New Roman" w:hAnsi="Times New Roman"/>
          <w:sz w:val="18"/>
          <w:szCs w:val="18"/>
          <w:color w:val="auto"/>
        </w:rPr>
        <w:t>The price at which we buy and sell natural gas currently is not subject to federal regulation and,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part, is not subject to state regulation. The price at which we sell NGLs is not subject to federal or state regulation.</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we enter into transportation contracts with natural gas pipelines that are subject to FERC regulation, we are subject to FERC requirements related to the use of such capacity. Any failure on our part to comply with the FERC’s regulations and policies, or with an interstate pipeline’s tariff, could result in the imposition of civil and criminal penalties.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of natural gas are affected by the availability, terms and cost of pipeline transportation. As noted above, the price and terms of access to pipeline transportation are subject to extensive federal and state regulation. The FERC frequently proposes and implements new rules and regulations affecting those segments of the natural gas industry. These initiatives also may affect the intrastate transportation of natural gas under certain circumstances. The stated purpose of many of these regulatory changes is to promote competition among the various sectors of the natural gas industry and these initiatives generally reflect more light-handed regulation. We cannot predict the ultimate impact of these regulatory changes to our natural gas marketing operations, and we note that some of the FERC’s regulatory changes may adversely affect the availability and reliability of interruptible transportation service on interstate pipelines. We do not believe that we will be affected by any such FERC action in a manner that is materially different from other natural gas marketers with whom we compete.</w:t>
      </w:r>
    </w:p>
    <w:p>
      <w:pPr>
        <w:spacing w:after="0" w:line="1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Gathering Pipelines. </w:t>
      </w:r>
      <w:r>
        <w:rPr>
          <w:rFonts w:ascii="Times New Roman" w:cs="Times New Roman" w:eastAsia="Times New Roman" w:hAnsi="Times New Roman"/>
          <w:sz w:val="18"/>
          <w:szCs w:val="18"/>
          <w:color w:val="auto"/>
        </w:rPr>
        <w:t>Section 1(b) of the NGA exempts natural gas gathering facilities from the jurisdiction of the FERC under the NGA.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own a number of natural gas pipelines in Texas, Louisiana and West Virginia that we believe meet the traditional tests the FERC uses to establish a pipeline’s status as a gathering pipeline not subject to FERC jurisdiction. However, the distinction between FERC-regulated transmission services and federally unregulated gathering services has been the subject of substantial litigation and varying interpretations, so the classification and regulation of our gathering facilities could be subject to change based on future determinations by the FERC, the courts and Congress. State regulation of gathering facilities generally includes various safety, environmental and, in some circumstances, nondiscriminatory take requirements and complaint-based rate regulation.</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Texas, our gathering facilities are subject to regulation by the TRRC under the Texas Utilities Code in the same manner as described above for our intrastate pipeline facilities. Louisiana’s Pipeline Operations Section of the Department of Natural Resources’ Office of Conservation is generally responsible for regulating intrastate pipelines and gathering facilities in Louisiana and has authority to review and authorize natural gas transportation transactions and the construction, acquisition, abandonment and interconnection of physical facilities.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apart from pipeline safety, Louisiana has not acted to exercise this jurisdiction respecting gathering facilities. In Louisiana, our Chalkley System is regulated as an intrastate transporter, and the Louisiana Office of Conservation has determined that our Whiskey Bay System is a gathering system.</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state ratable take and common purchaser statutes in all of the states in which we operate. The ratable take statutes generally require gatherers to take, without undue discrimination, natural gas production that may be tendered to the gatherer for handling. Similarly, common purchaser statutes generally require gatherers to purchase without undue discrimination as to source of supply or producer. These statutes are designed to prohibit discrimination in favor of one producer over another producer or one source of supply over another source of supply. These statutes have the effect of restricting the right of an owner of gathering facilities to decide with whom it contracts to purchase or transport natural gas.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Natural gas gathering may receive greater regulatory scrutiny at both the state and federal levels. For example, the TRRC has approved changes to its regulations governing transportation and gathering services performed by intrastate pipelines and gatherers, which prohibit such entities from unduly discriminating in favor of their affiliates. Many of the producing states have adopted some form of complaint-based regulation that generally allows natural gas producers and shippers to file complaints with state regulators in an effort to resolve grievances relating to natural gas gathering access and rate discrimination allegations. Our gathering operations could be adversely affected should they be subject in the future to the application of additional or different state or federal regulation of rates and services. Our gathering operations also may be or become subject to safety and operational regulations relating to the design, installation, testing, construction, operation, replacement and management of gathering facilities. Additional rules and legislation pertaining to these matters are considered or adopted from time to time. We cannot predict what effect, if any, such changes might have on our operations, but the industry could be required to incur additional capital expenditures and increased costs depending on future legislative and regulatory changes.</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Interstate Crude Oil, NGL and Products Pipelines. </w:t>
      </w:r>
      <w:r>
        <w:rPr>
          <w:rFonts w:ascii="Times New Roman" w:cs="Times New Roman" w:eastAsia="Times New Roman" w:hAnsi="Times New Roman"/>
          <w:sz w:val="18"/>
          <w:szCs w:val="18"/>
          <w:color w:val="auto"/>
        </w:rPr>
        <w:t>Interstate common carrier pipeline operations are subject to rate regulation by the FERC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ICA, the EPAct of 1992, and related rules and orders. The ICA requires that tariff rates for petroleum pipelines be “just and reasonable” and not unduly discriminatory and that such rates and terms and conditions of service be filed with the FERC. This statute also permits interested persons to challenge proposed new or changed rates. The FERC is authorized to suspend the effectiveness of such rates for up to seven months, though rates are typically not suspended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maximum allowable period. If the FERC finds that the new or changed rate is unlawful, it may require the carrier to pay refunds for the period that the rate was in effect. The FERC also may investigate, upon complaint or on its own motion, rates that are already in effect and may order a carrier to change its rates prospectively. Upon an appropriate showing, a shipper may obtain reparations for damages sustained for a period of up to two years prior to the filing of a complaint.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FERC generally has not investigated interstate rates on its own initiative when those rates, like those we charge, have not been the subject of a protest or a complaint by a shipper. However, the FERC could investigate our rates at the urging of a third-party if the third-party is either a current shipper or has a substantial economic interest in the tariff rate level. Although no assurance can be given that the tariff rates charged by us ultimately will be upheld if challenged, management believes that the tariff rates now in effect for our pipelines are within the maximum rates allowed under current FERC policies and precedents.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many locations served by our product and crude pipelines, we are able to establish negotiated rates. Otherwise, we are permitted to charge cost-based rates, or in many cases, grandfathered rates based on historical charges or settlements with our customers. To the extent we rely on cost-of-service ratemaking to establish or support our rates, the issue of the proper allowance for federal and state income taxes could arise. In July 2016, the United States Court of Appeals for the District of Columbia Circuit issued an opinion in United Airlines, Inc., et al. v. FERC, finding that the FERC had failed to demonstrate that permitting an interstate petroleum products pipeline organized as a master limited partnership, or MLP, to include an income tax allowance in the cost of service underlying its rates, in addition to the discounted cash flow return on equity, would not result in the pipeline partnership owners double recovering their income taxes. The court vacated the FERC’s order and remanded to the FERC to consider mechanisms for demonstrating that there is no double recovery as a result of the income tax allowance.</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2018, the FERC issued a Revised Policy Statement on Treatment of Income Taxes in which the FERC found that an impermissible double recovery results from granting an MLP pipeline both an income tax allowance and a return on equity pursuant to the FERC’s discounted cash flow methodology. The FERC revised its previous policy, stating that it would no longer permit an MLP pipeline to recover an income tax allowance in its cost of service. The FERC stated it will address the application of the United Airlines decision to non-MLP partnership forms as those issues arise in subsequent proceedings. In July 2018, the FERC dismissed requests for rehearing and clarification of the March 2018 Revised Policy Statement, but provided further guidance, clarifying that a pass-through entity will not be precluded in a future proceeding from arguing and providing evidentiary support that it is entitled to an income tax allowance and demonstrating that its recovery of an income tax allowance does not result in a double recovery of investors’ income tax costs. On July 31, 2020, the United States Court of Appeals for the District of Columbia Circuit issued an opinion upholding FERC’s March 2018 Revised Policy Statement, as clarified and revised on rehearing. In light of the rehearing order’s clarification regarding individual entities’ ability to argue in support of recovery of an income tax allowance and the court’s subsequent opinion upholding denial of an income tax allowance to a master limited partnership, the impacts the FERC’s policy on the treatment of income taxes may have on the rates an interstate pipeline held in a tax-pass-through entity can charge for the FERC regulated transportation services are unknown at this time. Please see “Item 1A. Risk Factors - Regulatory Matters.”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January 2018, the 2017 Tax Cuts and Jobs Act changed several provisions of the federal tax code, including a reduction in the maximum corporate tax rate. With the lower tax rate, and as discussed immediately above, the maximum tariff rates allowed by the FERC under its rate base methodology may be impacted by a lower income tax allowance component. Many of our interstate pipelines, such as Tiger, Midcontinent Express and Fayetteville Express, have negotiated market rates that were agreed to by customers in connection with long-term contracts entered into to support the construction of the pipelines, and the rate base methodology does not apply directly to these contracts. Other systems, such as FGT, Transwestern and Panhandle, have a mix of tariff rate, discount rate, and negotiated rate agreements. In addition, several of these pipelines are covered by approved settlements, pursuant to which rate filings will be made in the future. As such, the timing and impact to these systems of any tax-related policy change is unknown at this time and varies based on the circumstances of each pipeline.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EPAct of 1992 required the FERC to establish a simplified and generally applicable methodology to adjust tariff rates for inflation for interstate petroleum pipelines. As a result, the FERC adopted an indexing rate methodology which, as currently in effect, allows common carriers to change their rates within prescribed ceiling levels that are tied to changes in the Producer Price Index for Finished Goods, or PPI-FG. The FERC’s indexing methodology is subject to review every five years.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2020, FERC issued an order setting the indexed rate at PPI-FG plus 0.78% during the five-year period commencing July 1, 2021 and ending June 30, 2026. The FERC received requests for rehearing of its December 17, 2020 order and on January 20, 2022, granted rehearing and modified the oil index. Specifically, for the five-year period commencing July 1, 2021 and ending June 30, 2026, FERC-regulated liquids pipelines charging indexed rates are permitted to adjust their indexed ceilings annually by PPI-FG minus 0.21%. FERC directed liquids pipelines to recompute their ceiling levels for July 1, 2021 through June 30, 2022, as well as the ceiling levels for the period July 1, 2022 through June 30, 2023, based on the new index level. Where an oil pipeline’s filed rates exceed its ceiling levels, FERC ordered such oil pipelines to reduce the rate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bring it into compliance with the recomputed ceiling level to be effective March 1, 2022. Some parties sought rehearing of the January 20 order with FERC, which was denied by FERC on May 6, 2022. Certain parties appealed the January 20 and May 6 orders. On July 26, 2024, the D.C. Circuit ruled in </w:t>
      </w:r>
      <w:r>
        <w:rPr>
          <w:rFonts w:ascii="Times New Roman" w:cs="Times New Roman" w:eastAsia="Times New Roman" w:hAnsi="Times New Roman"/>
          <w:sz w:val="18"/>
          <w:szCs w:val="18"/>
          <w:i w:val="1"/>
          <w:iCs w:val="1"/>
          <w:color w:val="auto"/>
        </w:rPr>
        <w:t xml:space="preserve">LEPA v. FERC </w:t>
      </w:r>
      <w:r>
        <w:rPr>
          <w:rFonts w:ascii="Times New Roman" w:cs="Times New Roman" w:eastAsia="Times New Roman" w:hAnsi="Times New Roman"/>
          <w:sz w:val="18"/>
          <w:szCs w:val="18"/>
          <w:color w:val="auto"/>
        </w:rPr>
        <w:t>that FERC violated the Administrative Procedure Act because the January 20 order modified the index without following notice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comment. As a result, the D.C. Circuit vacated the January 20 order and on September 17, 2024, the Commission reinstated the index level established by its original December 17 order, directed pipelines to file an informational filing to show their recomputed ceiling levels reflecting the reinstated index level and stated that pipelines may file to prospectively increase their indexed rates to their recomputed levels. On October 17, 2024, FERC issued a Supplemental Notice of Proposed Rulemaking (“Supplemental NOPR”) that proposes a reduction to the currently effective index by one percent. The Supplemental NOPR, which remains pending before FERC, could result in the reimplementation through a notice-and-comment rulemaking of the same rulings that were vacated by the D.C. Circuit in </w:t>
      </w:r>
      <w:r>
        <w:rPr>
          <w:rFonts w:ascii="Times New Roman" w:cs="Times New Roman" w:eastAsia="Times New Roman" w:hAnsi="Times New Roman"/>
          <w:sz w:val="18"/>
          <w:szCs w:val="18"/>
          <w:i w:val="1"/>
          <w:iCs w:val="1"/>
          <w:color w:val="auto"/>
        </w:rPr>
        <w:t>LEPA v. FERC</w:t>
      </w:r>
      <w:r>
        <w:rPr>
          <w:rFonts w:ascii="Times New Roman" w:cs="Times New Roman" w:eastAsia="Times New Roman" w:hAnsi="Times New Roman"/>
          <w:sz w:val="18"/>
          <w:szCs w:val="18"/>
          <w:color w:val="auto"/>
        </w:rPr>
        <w:t>. The indexing methodology is applicable to existing rates, including grandfathered rates, with the exclusion of market-based rates. A pipeline is not required to raise its rates up to the index ceiling, but it is permitted to do so and rate increases made under the index are presumed to be just and reasonable unless a protesting party can demonstrate that the portion of the rate increase resulting from application of the index is substantially in excess of the pipeline’s increase in costs. Under the indexing rate methodology, in any year in which the index is negative, pipelines must file to lower their rates if those rates would otherwise be above the rate ceiling.</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2017, the FERC responded to a petition for declaratory order and issued an order that may have significant impacts on the way a marketer of crude oil or petroleum products that is affiliated with an interstate pipeline can price its services if those services include transportation on an affiliate’s interstate pipeline. In particular, the FERC’s November 2017 order prohibits buy/sell arrangements by a marketing affiliate if: (i) the transportation differential applicable to its affiliate’s interstate pipeline transportation service is at a discount to the affiliated pipeline’s filed rate for that service; and (ii) the pipeline affiliate subsidizes the loss. Several parties have requested that the FERC clarify its November 2017 order or, in the alternative, grant rehearing of the November 2017 order. On December 15, 2022, the FERC provided further clarification of its November 2017 order but denied requests for rehearing.</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Finally, on December 15, 2022, the FERC issued a Proposed Policy Statement on Oil Pipeline Affiliate Committed Service, which addresses whether a contract for committed transportation service complies with the Interstate Commerce Act where the only shipper to obtain the committed service is an affiliate of the regulated entity. If adopted, the proposed policy statement would create a rebuttable presumption that affiliate contracts are unduly discriminatory and not just and reasonable in certain circumstances and require a pipeline to produce additional evidentiary support for affiliate contracts rates and terms. This follows a trend of increased scrutiny by FERC on affiliated contracts across all industries regulated by the FERC. Initial comments on the proposed policy statement were due on February 13, 2023. The FERC has taken no further action on the proposed policy statement since that time.</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Intrastate Crude Oil, NGL and Products Pipelines. </w:t>
      </w:r>
      <w:r>
        <w:rPr>
          <w:rFonts w:ascii="Times New Roman" w:cs="Times New Roman" w:eastAsia="Times New Roman" w:hAnsi="Times New Roman"/>
          <w:sz w:val="18"/>
          <w:szCs w:val="18"/>
          <w:color w:val="auto"/>
        </w:rPr>
        <w:t>Some of our crude oil, NGL and products pipelines are subject to regulation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TRRC, the Pennsylvania Public Utility Commission and the Oklahoma Corporation Commission. The operations of our joint venture interests are also subject to regulation in the states in which they operate. The applicable state statutes require that pipeline rates be nondiscriminatory and provide no more than a fair return on the aggregate value of the pipeline property used to render services. State commissions generally have not initiated an investigation of rates or practices of petroleum pipelines in the absence of shipper complaints. Complaints to state agencies have been infrequent and are usually resolved informally. Although management cannot be certain that our intrastate rates ultimately would be upheld if challenged, we believe that, given this history, the tariffs now in effect are not likely to be challenged or, if challenged, are not likely to be ordered to be reduced.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noted above, the rates, terms and conditions for shipments of crude oil, NGLs or products on our pipelines could be subject to regulation by the FERC under the ICA and the EPAct of 1992 if the crude oil, NGLs or products are transported in interstate or foreign commerce whether by our pipelines or other means of transportation. Since we do not control the entire transportation path of all crude oil, NGLs or products shipped on our pipelines, FERC regulation could be triggered by our customers’ transportation decisions.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LNG Liquefaction Facilities and LNG Exports. </w:t>
      </w:r>
      <w:r>
        <w:rPr>
          <w:rFonts w:ascii="Times New Roman" w:cs="Times New Roman" w:eastAsia="Times New Roman" w:hAnsi="Times New Roman"/>
          <w:sz w:val="18"/>
          <w:szCs w:val="18"/>
          <w:color w:val="auto"/>
        </w:rPr>
        <w:t>The design, construction, operation, maintenance and expansion of our liquefaction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and the import or export of LNG are highly regulated activities subject to the jurisdiction of the FERC pursuant to the NGA. In contrast to pipeline regulation, the FERC does not require LNG terminal owners to provide open-access services at cost-based or regulated rates.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site, construct and operate our LNG terminal, we received and are required to maintain authorizations from the FERC under Section 3 of the NGA as well as other material governmental and regulatory approvals and permits. The EPAct of 2005 amended Section 3 of the NGA to establish or clarify the FERC’s exclusive authority to approve or deny an application for the siting, construction, expansion or operation of LNG terminals, unless specifically provided otherwise in the EPAct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2005 amendments to the NGA. For example, nothing in the EPAct amendments to the NGA were intended to affect otherwise applicable law related to any other federal agency’s authorities or responsibilities related to LNG terminals or those of a state acting under federal law.</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other material governmental and regulatory approvals and permits are required throughout the life of our LNG terminal. Our FERC authorizations require us to comply with certain ongoing conditions and reporting obligations and to maintain other regulatory agency approvals throughout the life of our facilities. For example, throughout the life of our LNG terminal, we are subject to regular reporting requirements to the FERC, PHMSA, and applicable federal and state regulatory agencies regarding the operation and maintenance of our facilities. To date, we have been able to obtain and maintain required approvals as needed, and the need for these approvals and reporting obligations have not materially affected our construction or operations.</w:t>
      </w:r>
    </w:p>
    <w:p>
      <w:pPr>
        <w:spacing w:after="0" w:line="1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export of LNG produced by any liquefaction facility in the United States requires export authorization from the DOE. The NGA requires the DOE to approve applications for LNG exports unless such approval would be “inconsistent with the public interest.” In March 2013, Lake Charles LNG Export obtained a DOE authorization to export LNG to countries with which the United States has or will have FTA Authorization. FTA countries currently recognized by the DOE for exports of LNG include Australia, Bahrain, Canada, Chile, Colombia, Dominican Republic, El Salvador, Guatemala, Honduras, Jordan, Mexico, Morocco, Nicaragua, Oman, Panama, Peru, Republic of Korea and Singapore. In July 2016, Lake Charles LNG Export also obtained a conditional DOE authorization to export LNG to countries that do not have an FTA for trade in natural gas subject to commencement of exports no later than December 2020. Lake Charles LNG Export applied for an extension of the deadline to commence exports under the Non-FTA Authorization to December 2025 and the DOE approved such extension request in October 2020. Lake Charles LNG Export applied for a second extension of the deadline to commence exports and in April 2023 the DOE denied this request in connection with a new DOE policy related to extension requests. In light of this new policy, in August 2023, Lake Charles LNG Export applied for a new Non-FTA Authorization which, if approved, would provide for a new deadline to commence exports to Non-FTA countries, which deadline would be seven years from the date of such approval. In January 2024, the Biden Administration announced a moratorium on the approval of LNG export authorizations by the DOE and instructed the DOE to conduct studies related to the cumulative impact of LNG exports on domestic natural gas prices, climate change and other matters. The Biden Administration stated that these studies were necessary to enable the DOE to make determinations related to the statutory “public interest” standard. The DOE stated that these studies would take several months to complete, after which they would be made available for public comment. This process was not completed prior to the U.S. Presidential election in November 2024. On July 1, 2024, the federal court for the Western District of Louisiana ordered that the DOE was enjoined and restrained from halting or pausing the approval process for pending and future applications for LNG exports to non-FTA countries. On December 17, 2024, the DOE released an updated study of U.S. LNG exports with a 60-day comment period that was later extended to March 20, 2025. On January 20, 2025, President Trump issued the Unleashing American Energy executive order directing the DOE Secretary to restart reviews of applications for approvals of LNG export projects as expeditiously as possible, consistent with applicable law. The executive order stated that in assessing the “public interest” to be advanced by any particular application, the DOE Secretary shall consider the economic and employment impacts to the United States and the impact to the security of allies and partners that would result from granting the application. On January 21, 2025, the DOE announced that it was ending the moratorium imposed by the Biden Administration on the approvals of LNG export authorizations by the DOE and returning to regular order following direction given by President Trump in the Unleashing American Energy executive order. At this time, it is unclear what actions the Trump Administration may take, if any at all, with respect to the DOE study.</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Pipeline Safety. </w:t>
      </w:r>
      <w:r>
        <w:rPr>
          <w:rFonts w:ascii="Times New Roman" w:cs="Times New Roman" w:eastAsia="Times New Roman" w:hAnsi="Times New Roman"/>
          <w:sz w:val="18"/>
          <w:szCs w:val="18"/>
          <w:color w:val="auto"/>
        </w:rPr>
        <w:t>Our pipeline operations are subject to regulation by the DOT, through PHMSA, pursuant to the Natural Gas Pipeline Safety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of 1968, as amended (“NGPSA”), with respect to natural gas and the Hazardous Liquids Pipeline Safety Act of 1979, as amended (“HLPSA”), with respect to crude oil, NGLs and condensates. The NGPSA and HLPSA, as amended, govern the design, installation, testing, construction, operation, replacement and management of natural gas as well as crude oil, NGL and condensate pipeline facilities. Pursuant to these acts, PHMSA has promulgated regulations governing pipeline wall thickness, design pressures, maximum operating pressures, pipeline patrols and leak surveys, minimum depth requirements, and emergency procedures, as well as other matters intended to ensure adequate protection for the public and to prevent accidents and failures. Additionally, PHMSA has established a series of rules requiring pipeline operators to develop and implement integrity management programs for certain gas and hazardous liquid pipelines that, in the event of a pipeline leak or rupture, could affect high consequence areas, which are areas where a release could have the most significant adverse consequences, including high population areas, certain drinking water sources and unusually sensitive ecological areas. Failure to comply with the pipeline safety laws and regulations may result in the assessment of sanctions, including administrative, civil or criminal penalties, the imposition of investigatory, remedial or corrective action obligations, the occurrence of delays in permitting or the performance of projects, or the issuance of injunctions limiting or prohibiting some or all of our operations in the affected area.</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HLPSA and NGPSA have been amended by the Pipeline Safety, Regulatory Certainty, and Job Creation Act of 2011 (“2011 Pipeline Safety Act”) and the Protecting Our Infrastructure of Pipelines and Enhancing Safety Act of 2016. The 2011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Pipeline Safety Act increased the penalties for safety violations, established additional safety requirements for newly constructed pipelines and required studies of safety issues that could result in the adoption of new regulatory requirements by PHMSA for existing pipelines. The 2011 Pipeline Safety Act doubled the maximum administrative fines for safety violations from $0.1 million to $0.2 million for a single violation and from $1 million to $2 million for a related series of violations, but provided that these maximum penalty caps do not apply to certain civil enforcement actions. In May 2021, PHMSA issued a final rule increasing those maximum civil penalties to approximately $0.2 million per day, with a maximum of approximately $2 million for a series of violations, to account for inflation. Upon reauthorization of PHMSA, Congress often directs the agency to complete certain rulemakings. For example, in the Consolidated Appropriations Bill for Fiscal Year 2021, Congress reauthorized PHMSA through fiscal year 2023 and directed the agency to move forward with several regulatory actions, including the “Pipeline Safety: Class Location Change Requirements” and the “Pipeline Safety: Safety of Gas Transmission and Gathering Pipelines” proposed rulemaking. To that end, in November 2021, PHMSA issued a final rule significantly expanding reporting and safety requirements of operators of gas gathering pipelines. The rule imposes safety regulations on approximately 400,000 miles of previously unregulated onshore gas gathering lines that, among other things, will impose criteria for inspection and repair of fugitive emissions, extend reporting requirements to all gas gathering operators and apply a set of minimum safety requirements to certain gas gathering pipelines with large diameters and high operating pressures. In May 2023, PHMSA published a proposed rule that would enhance requirements for detecting and repairing leaks on new and existing natural gas distribution, gas transmission and gas gathering pipelines and, separately, in September 2023, published a proposed rule that would enhance the safety requirements for gas distribution pipelines and would require updates to distribution integrity management programs, emergency response plans, operations and maintenance manuals, and other safety practices. PHMSA finalized the May 2023 rule in January 2025; however, it is not certain at this time if this May 2023 rule, or the September 2023 rule, will not be repealed, revoked or modified as a result of the change in U.S. presidential administrations.</w:t>
      </w:r>
    </w:p>
    <w:p>
      <w:pPr>
        <w:spacing w:after="0" w:line="1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states have adopted regulations, similar to existing PHMSA regulations, for intrastate gathering and transmission lines. The states in which we conduct operations typically have developed regulatory programs that parallel the federal regulatory scheme and are applicable to intrastate pipelines. Under such state regulatory programs, states have the authority to conduct pipeline inspections, to investigate accidents and to oversee compliance and enforcement, safety programs and record maintenance and reporting. Congress, PHMSA and individual states may pass or implement additional safety requirements that could result in increased compliance costs for us and other companies in our industry. For example, federal construction, maintenance and inspection standards under the NGPSA that apply to pipelines in relatively populated areas may not apply to gathering lines running through rural regions. However, in October 2019, PHMSA published two further final rules, in addition to the November 2021 rule discussed above, that create or expand reporting, inspection, maintenance, and other pipeline safety obligations, including, among other things, extending pipeline integrity assessments to pipelines in certain locations, including newly-defined “Moderate Consequence Areas” (“MCAs”). Specifically, PHMSA issued a final rule imposing numerous requirements on onshore gas transmission pipelines relating to maximum allowable operating pressure (“MAOP”), reconfirmation and exceedance reporting, the integrity assessment of additional pipeline mileage found in MCAs, non-High Consequence Area (“HCAs”), and Class 3 and Class 4 areas by 2023, and the consideration of seismicity as a risk factor in integrity management. Establishing MAOP through reliance on historical pipeline design, construction, inspection, testing, and other records requires that such records be traceable, verifiable, and complete. Locating such records and, in the absence of any such records, verifying maximum pressures through physical testing (including hydrotesting) or modifying or replacing facilities to meet the demands of such pressures, could significantly increase our costs. Failure to locate such records or verify maximum pressures could result in reductions of allowable operating pressures, which would reduce available capacity on our pipelines. PHMSA’s second final rule, published in October 2019, applicable to hazardous liquid transmission and gathering pipelines, significantly extended and expanded the reach of certain integrity management requirements, use of in-line inspection tools by 2039 (unless the pipeline cannot be modified to permit such use), increased annual, accident, and safety-related conditional reporting requirements, and expanded use of leak detection systems beyond HCAs. The integrity-related requirements and other provisions of the 2011 Pipeline Safety Act, the 2016 Pipeline Safety Act, and the PIPES Act of 2020, as well as any implementation of PHMSA rules thereunder, could require us to pursue additional capital projects or conduct integrity or maintenance programs on an accelerated basis and incur increased operating costs that could have a material adverse effect on our results of operations and financial condition.</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another example of how future legal requirements could result in increased compliance costs, notwithstanding the applicability of the federal OSHA’s Process Safety Management (“PSM”) regulations and the EPA’s Risk Management Planning (“RMP”) requirements at regulated facilities, PHMSA and one or more state regulators, including the TRRC, have in recent years, expanded the scope of their regulatory inspections to include certain in-plant equipment and pipelines found within NGL fractionation facilities and associated storage facilities, in order to assess compliance of such equipment and pipelines with hazardous liquid pipeline safety requirements. To the extent that these actions are pursued by PHMSA, midstream operators of NGL fractionation facilities and associated storage facilities subject to such inspection may be required to make operational changes or modifications at their facilities to meet standards beyond current PSM and RMP requirements,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changes or modifications may result in additional capital costs, possible operational delays and increased costs of operation that, in some instances, may be significant.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operation of processing plants, pipelines and associated facilities, including compression, in connection with the gathering,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storage and transmission of natural gas and the storage and transportation of NGLs, crude oil and refined products is subject to stringent U.S. federal, tribal, state and local laws and regulations, including those governing, among other things, air emissions, wastewater discharges, the use, management and disposal of hazardous and nonhazardous materials and wastes, and the cleanup of contamination. Similar or more stringent laws also exist in Canada. Noncompliance with such laws and regulations, or incidents resulting in environmental releases, could cause us to incur substantial costs, penalties, fines and criminal sanctions, third-party claims for personal injury or property damage, capital expenditures to retrofit or upgrade our facilities and programs, or curtailment or cancellation of permits on operations. As with the industry generally, compliance with existing and anticipated environmental laws and regulations increases our overall cost of doing business, including our cost of planning, permitting, constructing and operating our plants, pipelines and other facilities. As a result of these laws and regulations, our construction and operation costs include capital, operating and maintenance cost items necessary to maintain or upgrade our equipment and facilities.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implemented procedures designed to ensure that governmental environmental approvals for both existing operations and those under construction are updated as circumstances require. Historically, our environmental compliance costs have not had a material adverse effect on our business, results of operations or financial condition; however, there can be no assurance that such costs will not be material in the future. For example, we cannot be certain that identification of presently unidentified conditions, more rigorous enforcement by regulatory agencies, enactment of more stringent environmental laws and regulations or unanticipated events will not arise in the future and give rise to environmental liabilities that could have a material adverse effect on our business, financial condition or results of operations.</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Hazardous Substances and Waste Materials. </w:t>
      </w:r>
      <w:r>
        <w:rPr>
          <w:rFonts w:ascii="Times New Roman" w:cs="Times New Roman" w:eastAsia="Times New Roman" w:hAnsi="Times New Roman"/>
          <w:sz w:val="18"/>
          <w:szCs w:val="18"/>
          <w:color w:val="auto"/>
        </w:rPr>
        <w:t>To a large extent, the environmental laws and regulations affecting our operations relate to the release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hazardous substances and waste materials into soils, groundwater and surface water and include measures to prevent, minimize or remediate contamination of the environment. These laws and regulations generally regulate the generation, storage, treatment, transportation and disposal of hazardous substances and waste materials and may require investigatory and remedial actions at sites where such material has been released or disposed. For example, the Comprehensive Environmental Response, Compensation and Liability Act, as amended, (“CERCLA”), also known as the “Superfund” law, and comparable state laws, impose liability without regard to fault or the legality of the original conduct on certain classes of persons that contributed to a release of a “hazardous substance” into the environment. These persons include the owner and operator of the site where a release occurred and companies that disposed or arranged for the disposal of the hazardous substance that has been released into the environment. Under CERCLA, these persons may be subject to strict, joint and several liability, without regard to fault, for, among other things, the costs of investigating and remediating the hazardous substances that have been released into the environment, for damages to natural resources and for the costs of certain health studies. CERCLA and comparable state law also authorize the federal EPA, its state counterparts, and, in some instances, third parties to take actions in response to threats to the public health or the environment and to seek to recover from the responsible classes of persons the costs they incur. It is not uncommon for neighboring landowners and other third parties to file claims for personal injury and property damage allegedly caused by hazardous substances or other pollutants released into the environment. Although “petroleum” as well as natural gas and NGLs are excluded from CERCLA’s definition of a “hazardous substance,” in the course of our ordinary operations we generate wastes that may fall within that definition or that may be subject to other waste disposal laws and regulations. We may be responsible under CERCLA or state laws for all or part of the costs required to clean up sites at which such substances or wastes have been disposed.</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generate both hazardous and nonhazardous wastes that are subject to requirements of the federal Resource Conservation and Recovery Act, as amended, (“RCRA”) and comparable state statutes. We are not currently required to comply with a substantial portion of the RCRA hazardous waste requirements at many of our facilities because the minimal quantities of hazardous wastes generated there make us subject to less stringent non-hazardous management standards. From time to time, the EPA has considered or third parties have petitioned the agency on the adoption of stricter handling, storage and disposal standards for nonhazardous wastes, including certain wastes associated with the exploration, development and production of crude oil and natural gas. For example, in 2016, the EPA entered into an agreement with several environmental groups to analyze certain Subtitle D criteria regulations pertaining to oil and gas wastes and, if necessary, revise them. In response to the decree, in April 2019, the EPA signed a determination that revision of the regulations is not necessary at this time. It is possible that some wastes generated by us that are currently classified as nonhazardous may in the future be designated as “hazardous wastes,” resulting in the wastes being subject to more rigorous and costly disposal requirements, or that the full complement of RCRA standards could be applied to facilities that generate lesser amounts of hazardous waste. Changes such as these examples in applicable regulations may result in a material increase in our capital expenditures or plant operating and maintenance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 and, in the case of our oil and natural gas exploration and production customers, could result in increased operating costs for those customers and a corresponding decrease in demand for our processing, transportation and storage services.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own or lease sites that have been used over the years by prior owners and lessees and by us for various activities related to gathering, processing, storage and transmission of natural gas, NGLs, crude oil and refined products. Waste disposal practices within the oil and gas industry have improved over the years with the passage and implementation of various environmental laws and regulations. Nevertheless, some hydrocarbons and wastes have been disposed of or otherwise released on or under various sites during the operating history of those facilities that are now owned or leased by us. Notwithstanding the possibility that these releases may have occurred during the ownership or operation of these assets by others, these sites may be subject to CERCLA, RCRA and comparable state laws. Under these laws, we could be required to remove or remediate previously disposed wastes (including wastes disposed of or released by prior owners or operators) or contamination (including soil and groundwater contamination) or to prevent the migration of contamination.</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accruals of $278 million and $277 million, respectively, were recorded in our consolidated balance sheets as accrued and other current liabilities and other non-current liabilities for estimated environmental liabilities.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Partnership is subject to extensive and frequently changing federal, tribal, state and local laws and regulations, including those relating to the discharge of materials into the environment or that otherwise relate to the protection of the environment, waste management and the characteristics and composition of fuels. These laws and regulations require environmental assessment and remediation efforts at many of ETC Sunoco’s facilities and at formerly owned or third-party sites. Accruals for these environmental remediation activities amounted to $197 million and $213 million at December 31, 2024 and 2023, respectively, which is included in the total accruals above. These legacy sites that are subject to environmental assessments include formerly owned terminals and other logistics assets, retail sites that are no longer operated by ETC Sunoco, closed and/or sold refineries and other formerly owned sites. We have established a wholly owned captive insurance company for these legacy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 As of December 31, 2024, the captive insurance company held $122 million of cash and investments.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Partnership’s accrual for environmental remediation activities reflects anticipated work at identified sites where an assessment has indicated that cleanup costs are probable and reasonably estimable. The accrual for known claims is undiscounted and is based on currently available information, estimated timing of remedial actions and related inflation assumptions, existing technology and presently enacted laws and regulations. It is often extremely difficult to develop reasonable estimates of future site remediation costs due to changing regulations, changing technologies and their associated costs, and changes in the economic environment. Engineering studies, historical experience and other factors are used to identify and evaluate remediation alternatives and their related costs in determining the estimated accruals for environmental remediation activities.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various environmental laws, including the RCRA, the Partnership has initiated corrective remedial action at certain of its facilities, formerly owned facilities and at certain third-party sites. At the Partnership’s major manufacturing facilities, we have typically assumed continued industrial use and a containment/remediation strategy focused on eliminating unacceptable risks to human health or the environment. The remediation accruals for these sites reflect that strategy. Accruals include amounts designed to prevent or mitigate off-site migration and to contain the impact on the facility property, as well as to address known, discrete areas requiring remediation within the plants. Remedial activities include, for example, closure of RCRA waste management units, recovery of hydrocarbons, handling of impacted soil, mitigation of surface water impacts and prevention or mitigation of off-site migration. A change in this approach as a result of changing the intended use of a property or a sale to a third-party could result in a comparatively higher cost remediation strategy in the future.</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a remediation site or issue is typically evaluated on an individual basis based upon information available for the site or issue and no pooling or statistical analysis is used to evaluate an aggregate risk for a group of similar items (for example, service station sites) in determining the amount of probable loss accrual to be recorded. The estimates of environmental remediation costs also frequently involve evaluation of a range of estimates. In many cases, it is difficult to determine that one point in the range of loss estimates is more likely than any other. In these situations, existing accounting guidance allows us the minimum amount of the range to accrue. Accordingly, the low end of the range often represents the amount of loss which has been recorded. The Partnership’s consolidated balance sheet reflected $278 million in environmental accruals as of December 31, 2024.</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total future costs for environmental remediation activities will depend upon, among other things, the identification of any additional sites, the determination of the extent of the contamination at each site, the timing and nature of required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remedial actions, the nature of operations at each site, the technology available and needed to meet the various existing legal requirements, the nature and terms of cost-sharing arrangements with other potentially responsible parties, the availability of insurance coverage, the nature and extent of future environmental laws and regulations, inflation rates, terms of consent agreements or remediation permits with regulatory agencies and the determination of the Partnership’s liability at the sites, if any, in light of the number, participation level and financial viability of the other parties. The recognition of additional losses, if and when they were to occur, would likely extend over many years, but management can provide no assurance that it would be over many years. If changes in environmental laws or regulations occur or the assumptions used to estimate losses at multiple sites are adjusted, such changes could materially and adversely impact multiple facilities, formerly owned facilities and third-party sites at the same time. As a result, from time to time, significant charges against income for environmental remediation may occur. And while management does not believe that any such charges would have a material adverse impact on the Partnership’s consolidated financial position, it can provide no assurance.</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Transwestern conducts soil and groundwater remediation at a number of its facilities. Some of the cleanup activities include remediation of several compressor sites on the Transwestern system for contamination by PCBs, and the costs of this work are not eligible for recovery in rates. The total accrued future estimated cost of remediation activities expected to continue through 2025 is $3 million, which is included in the total environmental accruals mentioned above. Transwestern received FERC approval for rate recovery of projected soil and groundwater remediation costs not related to PCBs effective April 1, 2007. Transwestern, as part of ongoing arrangements with customers, continues to incur costs associated with containing and removing potential PCB contamination. Future costs cannot be reasonably estimated because remediation activities are undertaken as potential claims are made by customers and former customers. Such future costs are not expected to have a material impact on our financial position, results of operations or cash flows, but management can provide no assurance.</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Air Emissions. </w:t>
      </w:r>
      <w:r>
        <w:rPr>
          <w:rFonts w:ascii="Times New Roman" w:cs="Times New Roman" w:eastAsia="Times New Roman" w:hAnsi="Times New Roman"/>
          <w:sz w:val="18"/>
          <w:szCs w:val="18"/>
          <w:color w:val="auto"/>
        </w:rPr>
        <w:t>Our operations are subject to the federal Clean Air Act, as amended, and comparable state laws and regulations. These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 emissions of air pollutants from various industrial sources, including our processing plants, and also impose various monitoring and reporting requirements. Such laws and regulations may require that we obtain pre-approval for the construction or modification of certain projects or facilities, such as our processing plants and compression facilities, expected to produce air emissions or to result in the increase of existing air emissions, that we obtain and strictly comply with air permits containing various emissions and operational limitations, or that we utilize specific emission control technologies to limit emissions. We will incur capital expenditures in the future for air pollution control equipment in connection with obtaining and maintaining operating permits and approvals for air emissions. In addition, our processing plants, pipelines and compression facilities are subject to increasingly stringent regulations, including regulations that require the installation of control technology or the implementation of work practices to control hazardous air pollutants. Moreover, the Clean Air Act requires an operating permit for major sources of emissions and this requirement applies to some of our facilities. Historically, our costs for compliance with existing Clean Air Act and comparable state law requirements have not had a material adverse effect on our results of operations; however, there can be no assurance that such costs will not be material in the future. The EPA and state agencies are often considering, proposing or finalizing new regulations that could impact our existing operations and the costs and timing of new infrastructure development. For example, in October 2015, the EPA published a final rule under the Clean Air Act, lowering the National Ambient Air Quality Standard (“NAAQS”) for ground-level ozone to 70 parts per billion for the 8-hour primary and secondary ozone standards. The EPA completed attainment/non-attainment designations in 2018, and states with moderate or high non-attainment areas must submit state implementation plans to the EPA by October 2021. By law, the EPA must review each NAAQS every five years. In December 2020, the EPA announced that it was retaining without revision the 2015 NAAQS for ozone. However, several groups filed litigation over the December 2020 decision, and the Biden Administration subsequently announced plans to reconsider the December 2020 final action. In August 2023, the EPA announced a new review of the ozone NAAQS to reflect updated ozone science in combination with the reconsideration of the December 2020 decision. The review remains ongoing and is not expected to be completed before the EPA’s five-year cycle for NAAQs review in December 2025. At this time, it is not clear what actions the Trump Administration may take with respect to the review. However, compliance with this or other new regulations could, among other things, require installation of new emission controls on some of our equipment, result in longer permitting timelines, and significantly increase our capital expenditures and operating costs, which could adversely impact our business.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Clean Water Act. The Federal Water Pollution Control Act of 1972, as amended, (“Clean Water Act”) and comparable state laws impose restrictions and strict controls regarding the discharge of pollutants, including hydrocarbon-bearing wastes, into state waters and waters of the United States. Pursuant to the Clean Water Act and similar state laws, a National Pollutant Discharge Elimination System, or state permit, or both, must be obtained to discharge pollutants into federal and state waters. In addition, the Clean Water Act and comparable state laws require that individual permits or coverage under general permits be obtained by subject facilities for discharges of storm water runoff. The Clean Water Act also prohibits the discharge of dredge and fill material in regulated waters, including wetlands, unless authorized by permit. In June 2015, the EPA and the USACE published a final rule attempting to clarify the federal jurisdictional reach over “waters of the United States” (“WOTUS”), but legal challenges to this rule followed. In January 2023, the EPA and the USACE published a final rule that would restore water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protections that were in place prior to 2015. However, the January 2023 rule was challenged and is currently enjoined in 27 states. Separately, in May 2023, the U.S. Supreme Court released its opinion in Sackett v. EPA, which used the “continuous surface connection” test to determine whether wetlands qualify as WOTUS. The Sackett decision invalidated certain parts of the January 2023 rule and significantly narrowed its scope, resulting in a revised rule being issued in September 2023; however, the September 2023 rule did not define the term “continuous surface connection.” Due to the injunction, implementation of the rule currently varies by state, and it remains unclear how broadly the agencies will interpret the term “continuous surface connection.” At this time, it is also unclear what actions the Trump Administration may take with respect to any of these regulations and the timing with respect to the same. As a result, the scope of jurisdiction under the Clean Water Act is uncertain at this time, but to the extent any rule expands the scope of the Clean Water Act’s jurisdiction, our operations as well as our exploration and production customers’ drilling programs could incur increased costs and delays with respect to obtaining permits for dredge and fill activities in wetland areas.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for over 35 years, the USACE has authorized construction, maintenance, and repair of pipelines under a streamlined Nationwide Permit (“NWP”) program. From time to time, environmental groups have challenged the NWP program, and, in April 2020, the U.S. District Court for the District of Montana determined that NWP 12 failed to comply with consultation requirements under the federal Endangered Species Act. The district court vacated NWP 12 and enjoined the issuance of new authorizations for oil and gas pipeline projects under the permit. In January 2021, the EPA and USACE issued a final rule reissuing and restricting NWP 12 to oil and gas pipelines and creating a new nationwide permit to authorize certain dredge and fill activities associated with utility lines conveying other substances such as brine, potable water, wastewater, and other substances excluding oil, natural gas, products derived from oil or natural gas, and electricity. The Biden Administration was asked to examine the final rule. Additionally, an October 2021 decision by the District Court for the Northern District of California resulted in the vacatur of a 2020 rule revising the Clean Water Act Section 401 certification process, following which, in November 2021, USACE announced that it has temporarily suspended finalization of certain permitting decisions, including under NWP 12, that rely on a Section 401 certification or waiver under the 2020 rule. This vacatur was subsequently stayed by the U.S. Supreme Court in April 2022, and the EPA published a final rule to update and replace the relevant regulations in September 2023. We could face significant delays and financial costs if we must obtain individual permit coverage from USACE for our projects as a result of any future actions.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Spills. </w:t>
      </w:r>
      <w:r>
        <w:rPr>
          <w:rFonts w:ascii="Times New Roman" w:cs="Times New Roman" w:eastAsia="Times New Roman" w:hAnsi="Times New Roman"/>
          <w:sz w:val="18"/>
          <w:szCs w:val="18"/>
          <w:color w:val="auto"/>
        </w:rPr>
        <w:t>Our operations can result in the discharge of regulated substances, including NGLs, crude oil or other products. The Clean Water Act, as amended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federal Oil Pollution Act of 1990, as amended, (“OPA”), and comparable state laws impose restrictions and strict controls regarding the discharge of regulated substances into state waters or waters of the United States. The Clean Water Act and comparable state laws can impose substantial administrative, civil and criminal penalties for non-compliance including spills and other non-authorized discharges. The OPA subjects owners of covered facilities to strict joint and potentially unlimited liability for removal costs and other consequences of a release of oil, where the release is into navigable waters, along shorelines or in the exclusive economic zone of the United States. Spill prevention control and countermeasure requirements of the Clean Water Act and some state laws require that containment dikes and similar structures be installed to help prevent the impact on navigable waters in the event of a release of oil. PHMSA, the EPA, or various state regulatory agencies, has approved our oil spill emergency response plans that are to be used in the event of a spill incident.</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some states maintain groundwater protection programs that require permits for discharges or operations that may impact groundwater conditions. Our management believes that compliance with existing permits and compliance with foreseeable new permit requirements will not have a material adverse effect on our results of operations, financial position or expected cash flows.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Endangered Species. </w:t>
      </w:r>
      <w:r>
        <w:rPr>
          <w:rFonts w:ascii="Times New Roman" w:cs="Times New Roman" w:eastAsia="Times New Roman" w:hAnsi="Times New Roman"/>
          <w:sz w:val="18"/>
          <w:szCs w:val="18"/>
          <w:color w:val="auto"/>
        </w:rPr>
        <w:t>The Endangered Species Act, as amended, restricts activities that may affect endangered or threatened species or their habitat.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protections are offered to migratory birds under the Migratory Bird Treaty Act. We may operate in areas that are currently designated as a habitat for endangered or threatened species or where the discovery of previously unidentified endangered species, or the designation of additional species as endangered or threatened may occur in which event such one or more developments could cause us to incur additional costs, to develop habitat conservation plans, to become subject to expansion or operating restrictions, or bans in the affected areas. Moreover, such designation of previously unprotected species as threatened or endangered in areas where our oil and natural gas exploration and production customers operate could cause our customers to incur increased costs arising from species protection measures and could result in delays or limitations in our customers’ performance of operations, which could reduce demand for our services.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Climate Change. </w:t>
      </w:r>
      <w:r>
        <w:rPr>
          <w:rFonts w:ascii="Times New Roman" w:cs="Times New Roman" w:eastAsia="Times New Roman" w:hAnsi="Times New Roman"/>
          <w:sz w:val="18"/>
          <w:szCs w:val="18"/>
          <w:color w:val="auto"/>
        </w:rPr>
        <w:t>Climate change continues to attract considerable public, governmental and scientific attention. As a result, numerous proposals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and are likely to continue to be made at the international, national, regional and state levels of government to monitor and limit emissions of greenhouse gases (“GHGs”). These efforts have included consideration of cap-and-trade programs, carbon taxes and GHG reporting and tracking programs, and regulations that directly limit GHG emissions from certain sources. In the United States, no comprehensive climate change legislation has been implemented at the federal level to date. However, Canada has implemented a federal carbon pricing regime. On January 26, 2024, President Biden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announced a temporary pause on pending decisions on new exports of LNG to countries that the United States does not have free trade agreements with, pending DOE review of the underlying analyses for authorizations. However, upon taking office, President Trump signed an executive order resuming the processing of permit applications for such projects. Additionally, the EPA has adopted rules under authority of the Clean Air Act that, among other things, establish Potential for Significant Deterioration (“PSD”) construction and Title V operating permit reviews for GHG emissions from certain large stationary sources that are also potential major sources of certain principal, or criteria, pollutant 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 2015, the EPA amended and expanded the GHG reporting requirements to all segments of the oil and natural gas industry, including gathering and boosting facilities and blowdowns of natural gas transmission pipelines.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Federal agencies also have begun directly regulating GHG emissions, such as methane, from oil and natural gas operations. In June 2016, the EPA published New Source Performance Standards (“NSPS”), known as Subpart OOOOa, that require certain new, modified or reconstructed facilities in the oil and natural gas sector to reduce these methane gas and volatile organic compound (“VOC”) emissions. These Subpart OOOOa standards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In September 2020, the EPA removed natural gas transmission and storage operations from this sector and rescinded the methane-specific requirements of the rule for production and processing facilities. However, Congress passed, and President Biden signed into law, a revocation of the 2020 rulemaking, effectively reinstating the 2016 standards. Additionally, in December 2023, the EPA issued a final rule that established OOOOb new source and OOOOc first-time existing source standards of performance for GHG and VOC emissions for the crude oil and natural gas well sites, natural gas gathering and boosting compressor stations, natural gas processing plants, and transmission and storage facilities. Owners or operators of affected emission units or processes will have to comply with specific standards of performance that include leak detection using optical gas imaging and subsequent repair requirements, reduction of emissions by 95% through capture and control systems, zero-emission requirements, operations and maintenance requirements, and so-called “green well” completion requirements. The December 2023 rule also establishes a “super-emitter” response program that would allow third parties to make reports to the EPA of large methane emission events, triggering certain investigation and repair requirements. Fines and penalties for violations of these rules could be substantial. However, the EPA’s final rule is currently being challenged by 23 states and a coalition of industry groups in the U.S. Circuit Court of Appeals for the D.C. Circuit. To the extent not timely repealed or modified by the Trump Administration, GHG emission standards, including methane emissions imposed on the oil and gas sector, could result in increased costs to our operations as well as result in delays or curtailment in such operations, which costs, delays or curtailment could adversely affect our business. Several states have also adopted, or are considering adopting, regulations related to GHG emissions, some of which are more stringent than those implemented by the federal government.</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international level, in December 2015, the United States joined the international community at the 21st Conference of the Parties of the United Nations Framework Convention on Climate Change in Paris, France in signing the “Paris Agreement,” a treaty that requires member countries to submit individually-determined, non-binding emission reduction goals every five years beginning in 2020. Although the United States withdrew from the Paris Agreement under the Trump Administration, President Biden recommitted the United States in February 2021, and, in April 2021, announced a new, more rigorous nationally determined emissions reduction level of 50-52% reduction from 2005 levels in economy-wide net GHG emissions by 2030. However, in January 2025, President Trump signed an executive order once again withdrawing the United States from the Paris Agreement and from any other commitments made under the United Nations Framework Convention on Climate Change. Additionally, President Trump revoked any purported financial commitments made by the United States pursuant to the same. The full impact of these recent developments is uncertain at this time.</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adoption and implementation of any international, federal or state legislation or regulations that require reporting of GHGs or otherwise restrict emissions of GHGs could result in increased compliance costs or additional operating restrictions, and could have a material adverse effect on our business, financial condition, demand for our services, results of operations, and cash flows. Litigation risks are also increasing, as several oil and gas companies have been sued for allegedly causing climate-related damages due to their production and sale of fossil fuel products or for allegedly being aware of the impacts of climate change for some time but failing to adequately disclose such risks to their investors or customers. Various investors are becoming increasingly concerned about the potential effects of climate change and may elect in the future to shift some or all of their investments into other sectors. Institutional lenders who provide financing for fossil fuel energy companies also have become more attentive to sustainable lending practices that favor “clean” power sources such as wind and solar photovoltaic, making those sources more attractive for investment, and some of them may elect not to provide funding for fossil fuel energy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Such efforts could make it more difficult to secure funding for exploration and production or midstream activities and could also increase the cost of obtaining financings and/or negatively affect terms of financings.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Finally, climatic events in the areas in which we operate, whether from climate change or otherwise, can cause disruptions and, in some cases, delays in, or suspension of, our services. These events, including but not limited to drought, winter storms, wildfire, extreme temperatures or flooding, may become more intense or more frequent as a result of climate change and could have an adverse effect on our continued operations. If such effects were to occur, our operations could be adversely affected in various ways, including damages to our facilities or our customers’ facilities from powerful winds or rising waters, or increased costs for, or difficulty obtaining, insurance. Another possible consequence of climate change is increased volatility in seasonal temperatures. The market for our NGLs and natural gas is generally improved by periods of colder weather and impaired by periods of warmer weather, so any changes in climate could affect the market for the fuels that we transport, and thus demand for our services. Despite the use of the term “global warming” as a shorthand for climate change, some studies indicate that climate change could cause some areas to experience temperatures substantially colder than their historical averages. As a result, it is difficult to predict how the market for our products could be affected by increased temperature volatility, although if there is an overall trend of warmer temperatures, it would be expected to have an adverse effect on our business.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need to decrease emissions and integrate alternative energy sources into our operations, and we actively pursue economically beneficial opportunities to reduce our environmental footprint throughout our operations. Protecting public health and the environment is the primary initiative of our environmental management teams, both in the construction and operation of our assets. These teams have worked to reduce our emissions and minimize our environmental impact. Some examples of our teams’ efforts include:</w:t>
      </w:r>
    </w:p>
    <w:p>
      <w:pPr>
        <w:spacing w:after="0" w:line="72" w:lineRule="exact"/>
        <w:rPr>
          <w:sz w:val="20"/>
          <w:szCs w:val="20"/>
          <w:color w:val="auto"/>
        </w:rPr>
      </w:pPr>
    </w:p>
    <w:p>
      <w:pPr>
        <w:ind w:left="34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natural gas compression business, the use of our proprietary dual-drive technology, which offers the ability to switch compression drivers between an electric motor and a natural gas engine, allowed us to reduce our emissions of nitrogen oxide, carbon monoxide, CO2 and VOCs;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installation of approximately 12,000 low-emission pneumatic devices throughout our pipeline systems has allowed us to safely and efficiently adjust and control our operations and reduce methane emissions;</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installation of thermal oxidizers, which destroy VOCs and convert methane to CO2 (a less carbon-intense GHG), thereby reducing VOC and methane emissions by 98% or more at many of our more than 50 natural gas processing and sweetening plants;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an innovative liquids management process throughout much of our natural gas gathering pipeline system has allowed us to minimize flash emissions and methane emissions;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optical gas imaging cameras at our more than 2,200 gas gathering and processing facilities as part of our leak detection and repair program allow us to reduce emissions, improve safety, reduce costs, prevent product loss, and maintain equipment integrity;</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in-line inspection tools, or smart pigs, allow us to detect corrosion, cracks or other defects along our pipeline systems thereby protecting the environment and the safety of our communities, employees and landowners; and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other methods, including pipeline blowdown direct injection, liquids pipeline system optimization, crude oil truck unloading and direct injection, all of which help to reduce emissions and the release of methane into the atmosphere across our operations.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Powering our assets through renewable energy sources is an established part of our operations where it is economically viable to do so. We have reduced our carbon footprint by using a diversified mix of energy sources, including solar and wind power to generate electrical power. The percentage of electrical energy we purchase on a given day originating from solar and wind sources is approaching 20%. Since 2019, we have entered into dedicated solar contracts to purchase 148 megawatts of solar power to support the operations of our assets. We also operate approximately 37,100 solar panel-powered metering stations across the United States.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we announced the formation of our alternative energy group. This group is tasked with increasing our efforts to support renewable energy projects such as solar and/or wind farms, either as a power purchaser, or in a partnership with third-party developers, when they make economic sense. This group is also focused on developing alternative energy projects aimed at reducing the environmental footprint throughout our operations, including a variety of projects related to carbon capture, utilization and sequestration of CO2.</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environmental management initiatives have not materially impacted our capital expenditures or results of operations, we recognize that the non-financial impacts of these initiatives are of interest to our investors and other stakeholders. We voluntarily publish additional information on those initiatives; however, much of that separately published information 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excluded from this annual report on Form 10-K if it is not material in the context of the consolidated Partnership and/or if it is not required by the instructions to Form 10-K. For additional information on our environmental management initiatives, including our efforts to curb GHG emissions and to integrate alternative energy sources, please see our Corporate Responsibility Report available on our website at http://www.energytransfer.com/corporate-responsibility. Information contained on our website is not part of this report.</w:t>
      </w:r>
    </w:p>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w:t>
      </w:r>
      <w:r>
        <w:rPr>
          <w:rFonts w:ascii="Times New Roman" w:cs="Times New Roman" w:eastAsia="Times New Roman" w:hAnsi="Times New Roman"/>
          <w:sz w:val="18"/>
          <w:szCs w:val="18"/>
          <w:color w:val="auto"/>
        </w:rPr>
        <w:t>We are subject to the requirements of the federal OSHA and comparable state laws that regulate the protection of the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safety of workers. In addition, the Occupational Safety and Health Administration’s hazard communication standard requires that information be maintained about hazardous materials used or produced in operations and that this information be provided to employees, state and local government authorities and citizens. Historically, our costs for OSHA required activities, including general industry standards, recordkeeping requirements, and monitoring of occupational exposure to regulated substances, have not had a material adverse effect on our results of operations but there is no assurance that such costs will not be material in the future.</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Natural Resource Reviews. </w:t>
      </w:r>
      <w:r>
        <w:rPr>
          <w:rFonts w:ascii="Times New Roman" w:cs="Times New Roman" w:eastAsia="Times New Roman" w:hAnsi="Times New Roman"/>
          <w:sz w:val="18"/>
          <w:szCs w:val="18"/>
          <w:color w:val="auto"/>
        </w:rPr>
        <w:t>The National Environmental Policy Act (“NEPA”) provides for an environmental impact assessment process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projects that involve federal lands or require approvals by federal agencies. The NEPA process implicates a number of other environmental laws and regulations, including the Endangered Species Act, Migratory Bird Treaty Act, Rivers and Harbors Act, Clean Water Act, Bald and Golden Eagle Protection Act, Fish and Wildlife Coordination Act, Marine Mammal Protection Act and National Historic Preservation Act, often requiring coordination with numerous governmental authorities. The NEPA review process can be lengthy and subjective, resulting in delays in obtaining federal approvals for projects. Our projects that are subject to the NEPA can include pipeline construction and pipeline integrity projects that involve federal lands or require approvals by federal agencies. In July 2020, the Council on Environmental Quality (“CEQ”) issued final revisions to NEPA regulations that seek to conform the scope of direct, indirect, and cumulative impact analyses for proposed projects subject to NEPA with existing case law. And, in May 2024, the CEQ published a final rule revising the implementing regulations of the procedural provisions of NEPA and implementing amendments to NEPA included in the Fiscal Responsibility Act. The final rule was challenged by various states and the litigation remains ongoing. More recently, in November 2024, the U.S. Court of Appeals for the D.C. Circuit held that the CEQ lacks authority to issue NEPA regulations. Additionally, upon taking office, President Trump signed an energy-related executive order which included ordering the CEQ to propose rescinding its NEPA regulations. As a result, there is currently significant uncertainty with respect to the scope of environmental analysis required under NEPA.</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Indigenous Protections. </w:t>
      </w:r>
      <w:r>
        <w:rPr>
          <w:rFonts w:ascii="Times New Roman" w:cs="Times New Roman" w:eastAsia="Times New Roman" w:hAnsi="Times New Roman"/>
          <w:sz w:val="18"/>
          <w:szCs w:val="18"/>
          <w:color w:val="auto"/>
        </w:rPr>
        <w:t>Part of our operations cross land that has historically been apportioned to various Native American/First Nations tribes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 For example, in 2020, the U.S. Supreme Court ruled in </w:t>
      </w:r>
      <w:r>
        <w:rPr>
          <w:rFonts w:ascii="Times New Roman" w:cs="Times New Roman" w:eastAsia="Times New Roman" w:hAnsi="Times New Roman"/>
          <w:sz w:val="18"/>
          <w:szCs w:val="18"/>
          <w:i w:val="1"/>
          <w:iCs w:val="1"/>
          <w:color w:val="auto"/>
        </w:rPr>
        <w:t>McGirt v. Oklahoma</w:t>
      </w:r>
      <w:r>
        <w:rPr>
          <w:rFonts w:ascii="Times New Roman" w:cs="Times New Roman" w:eastAsia="Times New Roman" w:hAnsi="Times New Roman"/>
          <w:sz w:val="18"/>
          <w:szCs w:val="18"/>
          <w:color w:val="auto"/>
        </w:rPr>
        <w:t xml:space="preserve"> that the Muscogee (Creek) Nation reservation in Eastern Oklahoma has not been disestablished. Although the court’s ruling indicates that it is limited to criminal law, as applied within the Muscogee (Creek) Nation reservation, the ruling may have significant potential implications for civil law, both in the Muscogee (Creek) Nation reservation and other reservations that may similarly be found to not have been disestablished. State courts in Oklahoma have applied the analysis in </w:t>
      </w:r>
      <w:r>
        <w:rPr>
          <w:rFonts w:ascii="Times New Roman" w:cs="Times New Roman" w:eastAsia="Times New Roman" w:hAnsi="Times New Roman"/>
          <w:sz w:val="18"/>
          <w:szCs w:val="18"/>
          <w:i w:val="1"/>
          <w:iCs w:val="1"/>
          <w:color w:val="auto"/>
        </w:rPr>
        <w:t>McGirt</w:t>
      </w:r>
      <w:r>
        <w:rPr>
          <w:rFonts w:ascii="Times New Roman" w:cs="Times New Roman" w:eastAsia="Times New Roman" w:hAnsi="Times New Roman"/>
          <w:sz w:val="18"/>
          <w:szCs w:val="18"/>
          <w:color w:val="auto"/>
        </w:rPr>
        <w:t xml:space="preserve"> in ruling that the Cherokee, Chickasaw, Seminole, and Choctaw reservations likewise had not been disestablished.</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October 1, 2020, the EPA granted approval to the State of Oklahoma under Section 10211(a) of the Safe, Accountable, Flexible, Efficient Transportation Equity Act of 2005 (the “SAFETE Act”) to administer all of the State’s existing EPA-approved regulatory programs to Indian Country within the state except: Indian allotments to which Indians titles have not been extinguished; lands that are held in trust by the United States on behalf of any Indian or Tribe; lands that are owned in fee by any Tribe where title was acquired through a treaty with the United States to which such tribe is a party and that have never been allotted to any citizen or member of such Tribe. The approval extends the State’s authority for existing EPA-approved regulatory programs to all lands within the State to which the State applied such programs prior to the U.S. Supreme Court’s ruling in </w:t>
      </w:r>
      <w:r>
        <w:rPr>
          <w:rFonts w:ascii="Times New Roman" w:cs="Times New Roman" w:eastAsia="Times New Roman" w:hAnsi="Times New Roman"/>
          <w:sz w:val="18"/>
          <w:szCs w:val="18"/>
          <w:i w:val="1"/>
          <w:iCs w:val="1"/>
          <w:color w:val="auto"/>
        </w:rPr>
        <w:t>McGirt</w:t>
      </w:r>
      <w:r>
        <w:rPr>
          <w:rFonts w:ascii="Times New Roman" w:cs="Times New Roman" w:eastAsia="Times New Roman" w:hAnsi="Times New Roman"/>
          <w:sz w:val="18"/>
          <w:szCs w:val="18"/>
          <w:color w:val="auto"/>
        </w:rPr>
        <w:t>. However, several Tribes expressed dissatisfaction with the consultation process performed in relation to this approval, and, in December 2021, the EPA proposed to withdraw and reconsider the October 2020 decision. Additionally, the SAFETE Act provides that any Tribe in Oklahoma may seek “Treatment as a State” by the EPA, and it is possible that one or more of the Tribes in Oklahoma may seek such an approval from the EPA. At this time, we cannot predict how these jurisdictional issues may ultimately be resolved.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Management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Energy Transfer and its consolidated subsidiaries employed an aggregate of 16,248 employees, 1,467 of which are represented by labor unions. We believe that our relations with our employees are good.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are our greatest asset, and we seek to attract and retain top talent by fostering a culture that is guided by our core values and that respects all people and cultures, promotes safety, and focuses on the protection of public health and being a good steward of the environment.</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Ethics and Values</w:t>
      </w:r>
      <w:r>
        <w:rPr>
          <w:rFonts w:ascii="Times New Roman" w:cs="Times New Roman" w:eastAsia="Times New Roman" w:hAnsi="Times New Roman"/>
          <w:sz w:val="18"/>
          <w:szCs w:val="18"/>
          <w:color w:val="auto"/>
        </w:rPr>
        <w:t>. We are committed to operating our business in a manner that honors and respects all people and the communities in which we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We recognize that people are our most valued resource, and we are committed to hiring and investing in employees who strive for excellence and live by our core values: working safely, corporate stewardship, ethics and integrity, entrepreneurial mindset, our people, excellence and results, and social responsibility. We value our employees for what they bring to our organization by embracing those from all backgrounds, cultures, and experiences. We also believe that the keys to our successes have been the cultivation of an atmosphere of belonging and respect within our family of partnerships and sustaining organizations that promote equal employment opportunity in the workplace and support all communities in which we do business. These are the principles upon which we build and strengthen relationships among our people, our stakeholders, and those within the communities in which we do business.</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Respecting All People and All Cultures</w:t>
      </w:r>
      <w:r>
        <w:rPr>
          <w:rFonts w:ascii="Times New Roman" w:cs="Times New Roman" w:eastAsia="Times New Roman" w:hAnsi="Times New Roman"/>
          <w:sz w:val="18"/>
          <w:szCs w:val="18"/>
          <w:color w:val="auto"/>
        </w:rPr>
        <w:t>. We believe strict adherence to our Code of Business Conduct and Ethics is not only right, but is in the best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Partnership, its Unitholders, its customers, and the industry in general. In all applicable instances, the policies of the Partnership require that the business of the Partnership be conducted in a lawful and ethical manner. Every employee acting on behalf of the Partnership must adhere to these policies. Please refer to “Item 10. Directors, Executive Officers and Corporate Governance” for additional information on our Code of Business Conduct and Ethics.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Commitment to Public Health, Safety and the Environment. </w:t>
      </w:r>
      <w:r>
        <w:rPr>
          <w:rFonts w:ascii="Times New Roman" w:cs="Times New Roman" w:eastAsia="Times New Roman" w:hAnsi="Times New Roman"/>
          <w:sz w:val="18"/>
          <w:szCs w:val="18"/>
          <w:color w:val="auto"/>
        </w:rPr>
        <w:t>Protecting public health and being a good steward of the environment is an important initiative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environmental management teams, both in the construction and operation of our assets. These teams consist of environmental engineers, scientists and geologists who seek to responsibly and efficiently reduce emissions associated with our operations, be a good steward of the land, water and air in the areas where we operate, and remain in compliance with all applicable regulations. Our environmental, health and safety department’s more than 200 environmental and safety professionals provide environmental and safety training to our field representatives. This group also assists others throughout the organization by identifying continuous training for personnel, including training that is required by applicable laws, regulations, standards, and permit conditions. It is our policy to communicate our safety standards and expectations to all employees and contractors with the expectation that each individual has the obligation to make safety the highest priority. Our safety culture aims to promote an open environment for discovering, resolving, and sharing safety challenges. We strive to eliminate unwanted safety events through a comprehensive process that promotes leadership, employee involvement, communication, personal responsibility to comply with standard operating procedures and regulatory requirements, effective risk reduction processes, maintaining clean facilities, contractor safety, and personal wellness. Energy Transfer’s goal is operational excellence, which means an injury- and incident-free workplace. To achieve this, we strive to hire and maintain the most qualified and dedicated workforce in the industry and make safety and safety accountability part of our daily operations. We believe that the OSHA Total Reportable Incident Rate (“TRIR”) is a key performance indicator that we use to evaluate our safety programs. TRIR can provide companies with a look at their safety record performance for the year by calculating the number of recordable injury and illness incidents per 200,000 hours worked. Our TRIR was 0.70 for 2024, out of approximately 20.4 million hours worked during the year, compared to a TRIR of 0.77 for 2023. We believe the Partnership’s low TRIR speaks to the Partnership’s investment in and focus on safety and environmental compliance as well as the reliability of our assets.</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note that the preceding internet address is for information purposes only and is not intended to be a hyperlink. Accordingly, no information found and/or provided at such internet address or contained on our website in general is intended or deemed to be incorporated by reference in this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or furnish annual reports on Form 10-K, quarterly reports on Form 10-Q, current reports on Form 8-K and any related amendments and supplements thereto with the SEC. From time to time, we may also file registration statements and related documents pertaining to equity or debt offerings. The SEC maintains an internet website at http://www.sec.gov that contains reports, proxy and information statements and other information regarding issuers that file electronically with the SEC.</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electronic access, free of charge, to our periodic and current reports, and amendments to these reports, on our internet website located at http://www.energytransfer.com. These reports are available on our website as soon as reasonably practicable after we electronically file such materials with the SEC. Information contained on our website is not part of this report.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important risk factors that are specific to our business, industry and partnership structure that could materially impact our future performance and results of operations. These risk factors should be reviewed when considering an investment in our securities. These are not all the risks we face. Other factors that we face in the ordinary course of business that are currently considered immaterial or that are currently unknown to us may impact our future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the Partnership’s Business</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Results of Operations and Financial Condition</w:t>
      </w:r>
      <w:r>
        <w:rPr>
          <w:rFonts w:ascii="Times New Roman" w:cs="Times New Roman" w:eastAsia="Times New Roman" w:hAnsi="Times New Roman"/>
          <w:sz w:val="18"/>
          <w:szCs w:val="18"/>
          <w:color w:val="auto"/>
        </w:rPr>
        <w:t>. Our results of operations and financial condition could be impacted by many risks that are beyond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including the following:</w:t>
      </w:r>
    </w:p>
    <w:p>
      <w:pPr>
        <w:spacing w:after="0" w:line="2"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demand for and price of natural gas, NGLs, crude oil and refined products;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financial and political conditions, including the impact of tariffs, to the extent enacted;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or increase of tariffs on steel or other raw materials, or changes in trade agreements or trade relations;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goodwill and intangible assets;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interruption of supply of crude oil to our facilities;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key producers or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replace existing customers or volumes due to declining demand or increased competition;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natural gas price spreads between two or more physical locations;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declines over time, which we may not be able to replace with production from newly drilled wells;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water resources or limitations on water usage for hydraulic fracturing;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use our pipelines and third-party pipelines over which we have no control;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access or continue to access lands owned by third parties;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forward market for crude oil and other products we store;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disaster, catastrophe, terrorist attack or other similar event;</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weather events that may be more severe or frequent than historically experienced and that may be attributable to changes in climate due to the adverse effects of an industrialized economy;</w:t>
      </w: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union disputes and strikes or work stoppages by unionized employees;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and other disruptions or failures of our information systems;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or maintain adequate corporate governance;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and litigation, or increased insurance costs including as a result of increased risks due to the potential adverse effects of changes in climate;</w:t>
      </w: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certain of our joint ventures that we do not control;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levels of congestion in the Houston Ship Channel;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providing pension and other postretirement health care benefits and related funding requirements;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among customers and competitors;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activity or misuse of proprietary data involving our outsourcing partners;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resulting from the use of derivative financial instruments.</w:t>
      </w:r>
    </w:p>
    <w:p>
      <w:pPr>
        <w:spacing w:after="0" w:line="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Our business, results of operations, cash flows and financial condition, as well as our ability to make distributions, could be impacted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w:t>
      </w:r>
    </w:p>
    <w:p>
      <w:pPr>
        <w:spacing w:after="0" w:line="2"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and debt agreements, or increases in interest rates;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and risk profile of our general partner and its owners;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of our credit ratings.</w:t>
      </w:r>
    </w:p>
    <w:p>
      <w:pPr>
        <w:spacing w:after="0" w:line="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color w:val="auto"/>
        </w:rPr>
        <w:t>Capital Projects and Future Growth</w:t>
      </w:r>
      <w:r>
        <w:rPr>
          <w:rFonts w:ascii="Times New Roman" w:cs="Times New Roman" w:eastAsia="Times New Roman" w:hAnsi="Times New Roman"/>
          <w:sz w:val="18"/>
          <w:szCs w:val="18"/>
          <w:color w:val="auto"/>
        </w:rPr>
        <w:t>. Our business, results of operations, cash flows, financial condition, and future growth could be impacted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w:t>
      </w:r>
    </w:p>
    <w:p>
      <w:pPr>
        <w:spacing w:after="0" w:line="2"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acquisitions on economically acceptable terms, or to successfully integrate acquired assets;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secure debt and equity financing for capital projects on acceptable terms, including as a result of recent increases in cost of capital resulting from changes in monetary policy by the Federal Reserve and/or changes in financial institutions’ policies or practices concerning businesses linked to fossil fuels;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increased costs or reduced demand for crude oil and natural gas as a result of the Inflation Reduction Act of 2022 (“IRA 2022”) or otherwise;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construct new pipelines or to do so efficiently;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execute our growth strategy due to increased competition within any of our core businesses;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qualified employees;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liquefaction project to secure long-term contractual arrangements or necessary approvals.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Our business, results of operations, cash flows, financial condition, and future growth could be impacted by the following:</w:t>
      </w:r>
    </w:p>
    <w:p>
      <w:pPr>
        <w:spacing w:after="0" w:line="65"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of hydraulic fracturing or produced water disposal;</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or regulatory actions related to the Dakota Access Pipeline;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policies governing the rates, terms and conditions of our services;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recover the full amount of increases in the costs of our pipeline operations;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regulation on assets not previously subject to regulation;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liabilities resulting from performance of pipeline integrity programs and related repairs;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more stringent pipeline safety controls or enforcement of legal requirements;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liabilities associated with environmental and worker health and safety laws and regulations;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legislation or regulations restricting emissions of GHGs, limiting oil and gas leases on federal lands, discouraging oil and gas development or otherwise increasing our or our customers’ costs;</w:t>
      </w: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attention to environmental, social, and governance (“ESG”) matters and conservation measures;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provisions of the Dodd-Frank Act and the rules adopted thereunder;</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deepwater drilling laws and regulations, delays in the processing and approval of drilling permits and exploration, development, oil spill-response and decommissioning plans, and related developments; and</w:t>
      </w: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governing the specifications of products that we store and transport.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Our Partnership Structure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 to Unitholders</w:t>
      </w:r>
      <w:r>
        <w:rPr>
          <w:rFonts w:ascii="Times New Roman" w:cs="Times New Roman" w:eastAsia="Times New Roman" w:hAnsi="Times New Roman"/>
          <w:sz w:val="18"/>
          <w:szCs w:val="18"/>
          <w:color w:val="auto"/>
        </w:rPr>
        <w:t>. Our cash distributions could be impacted by the following:</w:t>
      </w:r>
    </w:p>
    <w:p>
      <w:pPr>
        <w:spacing w:after="0" w:line="65" w:lineRule="exact"/>
        <w:rPr>
          <w:sz w:val="20"/>
          <w:szCs w:val="20"/>
          <w:color w:val="auto"/>
        </w:rPr>
      </w:pPr>
    </w:p>
    <w:p>
      <w:pPr>
        <w:ind w:left="340" w:hanging="332"/>
        <w:spacing w:after="0" w:line="261"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partner’s absolute discretion in issuing an unlimited number of limited partner interests or other classes of equity without the consent of our Unitholders;</w:t>
      </w: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distributions are not guaranteed and may fluctuate with our performance and other external factors;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available cash that are imposed by our distribution policy;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partner’s absolute discretion in determining the level of cash reserves;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potential liability to repay distributions.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General Partner</w:t>
      </w:r>
      <w:r>
        <w:rPr>
          <w:rFonts w:ascii="Times New Roman" w:cs="Times New Roman" w:eastAsia="Times New Roman" w:hAnsi="Times New Roman"/>
          <w:sz w:val="18"/>
          <w:szCs w:val="18"/>
          <w:color w:val="auto"/>
        </w:rPr>
        <w:t>. Our stakeholders could be impacted by risks related to our general partner, including:</w:t>
      </w:r>
    </w:p>
    <w:p>
      <w:pPr>
        <w:spacing w:after="0" w:line="65"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control of our general partner to a third-party without unitholder consent;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majority owner of our general partner that protect him against dilution;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 reimbursements due to our general partner.</w:t>
      </w:r>
    </w:p>
    <w:p>
      <w:pPr>
        <w:spacing w:after="0" w:line="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color w:val="auto"/>
        </w:rPr>
        <w:t>Our Subsidiaries</w:t>
      </w:r>
      <w:r>
        <w:rPr>
          <w:rFonts w:ascii="Times New Roman" w:cs="Times New Roman" w:eastAsia="Times New Roman" w:hAnsi="Times New Roman"/>
          <w:sz w:val="18"/>
          <w:szCs w:val="18"/>
          <w:color w:val="auto"/>
        </w:rPr>
        <w:t>. Risks that are unique to our subsidiaries and/or our relationship to our subsidiaries could reduce our subsidiaries’ cash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to us, including:</w:t>
      </w:r>
    </w:p>
    <w:p>
      <w:pPr>
        <w:spacing w:after="0" w:line="2"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issuance of additional common units by Sunoco LP or USAC;</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demand for or the price of motor fuel in the areas Sunoco LP serves;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Sunoco LP’s operations due to dangers inherent in motor fuel transportation;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industry trends, which may cause Sunoco LP’s operating costs to fluctuate;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for Sunoco LP resulting from negative events or developments;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retain necessary land use, which could disrupt Sunoco LP’s operations;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and regulations that govern the industries in which our subsidiaries operate.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Conflicts of Interest</w:t>
      </w:r>
      <w:r>
        <w:rPr>
          <w:rFonts w:ascii="Times New Roman" w:cs="Times New Roman" w:eastAsia="Times New Roman" w:hAnsi="Times New Roman"/>
          <w:sz w:val="18"/>
          <w:szCs w:val="18"/>
          <w:color w:val="auto"/>
        </w:rPr>
        <w:t>. Our stakeholders could be impacted by conflicts of interest, including:</w:t>
      </w:r>
    </w:p>
    <w:p>
      <w:pPr>
        <w:spacing w:after="0" w:line="63"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favor its own interests to the detriment of our Unitholders;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fiduciary duties owed to Sunoco LP, USAC and their respective unitholders by their general partners;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conflicts of interest faced by directors and officers in managing our business.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Risks</w:t>
      </w:r>
      <w:r>
        <w:rPr>
          <w:rFonts w:ascii="Times New Roman" w:cs="Times New Roman" w:eastAsia="Times New Roman" w:hAnsi="Times New Roman"/>
          <w:sz w:val="18"/>
          <w:szCs w:val="18"/>
          <w:color w:val="auto"/>
        </w:rPr>
        <w:t>. Our stakeholders could be impacted by tax risks, including:</w:t>
      </w:r>
    </w:p>
    <w:p>
      <w:pPr>
        <w:spacing w:after="0" w:line="63" w:lineRule="exact"/>
        <w:rPr>
          <w:sz w:val="20"/>
          <w:szCs w:val="20"/>
          <w:color w:val="auto"/>
        </w:rPr>
      </w:pPr>
    </w:p>
    <w:p>
      <w:pPr>
        <w:ind w:left="340" w:right="20" w:hanging="332"/>
        <w:spacing w:after="0" w:line="261"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tax treatment depends on our status as a partnership for federal income tax purposes, and not being subject to a material amount of entity-level taxation;</w:t>
      </w:r>
    </w:p>
    <w:p>
      <w:pPr>
        <w:jc w:val="both"/>
        <w:ind w:left="340" w:hanging="332"/>
        <w:spacing w:after="0" w:line="250"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available for distribution to Unitholders may be substantially reduced if we become subject to entity-level taxation as a result of the IRS treating us as a corporation or legislative, judicial or administrative changes, and may also be reduced by any audit adjustments if imposed directly on the partnership;</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Unitholders do not receive any cash distributions from us, Unitholders will be required to pay taxes on their share of our taxable income;</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Unitholder’s share of our taxable income may be increased as a result of the IRS successfully contesting any of the federal income tax positions we take;</w:t>
      </w: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and non-U.S. Unitholders face unique tax issues from owning our units that may result in adverse tax consequences to them;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Energy Transfer Preferred Units is uncertain and distributions on Energy Transfer Preferred Units (other than Series I Preferred Units) may not be eligible for the 20% deduction for qualified publicly traded partnership income.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Discussion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additional information regarding each of our risk factors listed above. In addition, Sunoco LP and USAC file Annual Reports on Form 10-K that include risk factors that can be reviewed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Relating to the Partnership’s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and Financial Condition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cash flow depends primarily on the cash distributions we receive from our subsidiaries, as well as our partnership interests in Sunoco LP and USAC, including the IDRs in Sunoco LP and, therefore, our cash flow is dependent upon the ability of our subsidiaries, Sunoco LP and USAC to make distributions in respect of those partnership interests.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significant assets other than our interests in our subsidiaries. As a result, our cash flow depends on the performance of our subsidiaries, including Sunoco LP and USAC, and their ability to make cash distributions, which is dependent on the results of operations, cash flows and financial condition of our subsidiaries, including Sunoco LP and USAC.</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cash that our subsidiaries distribute to us each quarter depends upon the amount of cash generated from our subsidiaries’ operations, which will fluctuate from quarter to quarter and will depend upon, among other things:</w:t>
      </w:r>
    </w:p>
    <w:p>
      <w:pPr>
        <w:spacing w:after="0" w:line="54"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natural gas, NGLs, crude oil and refined products transported through our subsidiaries’ pipelines;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throughput in processing and treating operations;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charged and the margins realized by our subsidiaries, including Sunoco LP and USAC, for their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natural gas, NGLs, crude oil and refined products;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natural gas, NGL and crude oil prices;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weather in their respective operating areas;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from other midstream, transportation and storage and retail marketing companies and other energy providers;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their respective operating costs and maintenance and integrity capital expenditures;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profile on any blocker entities treated as corporations for federal income tax purposes that are owned by any of our subsidiaries;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results of their respective derivative activities.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actual amount of cash that our subsidiaries, including Sunoco LP and USAC, will have available for distribution will also depend on other factors, such as:</w:t>
      </w:r>
    </w:p>
    <w:p>
      <w:pPr>
        <w:spacing w:after="0" w:line="54"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capital expenditures they make;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costs related to litigation and regulatory compliance matters;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 if any;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any margin calls that result from changes in commodity prices;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working capital needs;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ability to borrow under their respective revolving credit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ability to access capital markets;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distributions contained in their respective debt agreements; and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if any, of cash reserves established by the board of directors and their respective general partners in their discretion for the proper conduct of their respective businesses.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Energy Transfer does not have any control over many of these factors, including the level of cash reserves established by the board of directors. Accordingly, we cannot guarantee that our subsidiaries, including Sunoco LP and USAC, will have sufficient available cash to pay a specific level of cash distributions to their respective partners.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Unitholders should be aware that the amount of cash that our subsidiaries have available for distribution depends primarily upon cash flow and is not solely a function of profitability, which is affected by non-cash items. As a result, our subsidiaries may declare and/or pay cash distributions during periods when they record net losses.</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Income from our midstream, transportation, terminalling and storage operations is exposed to risks due to fluctuations in the demand for and price of natural gas, NGLs, crude oil and refined products that are beyond our control.</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prices for natural gas, NGLs, crude oil and refined products reflect market demand that fluctuates with changes in global and United States economic conditions and other factors, including:</w:t>
      </w:r>
    </w:p>
    <w:p>
      <w:pPr>
        <w:spacing w:after="0" w:line="54"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domestic natural gas, NGL, refined products and oil production;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natural gas, NGL, refined products and oil imports and exports, including liquefied natural gas;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natural gas and oil producing nations;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or other events affecting natural gas and oil producing nations;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geopolitical events such as the armed conflict in Ukraine and political instability in the Middle East, public health crises, and other events of nature on the demand for natural gas, NGLs, refined products and oil;</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storage, terminal and transportation systems, and refining, processing and treating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availability and marketing of competitive fuels;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and inflation;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electricity;</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by non-governmental organizations to limit certain sources of funding for the energy sector or restrict the exploration, development and production of oil and natural gas and related products;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 and slowing economic growth;</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capital needed to maintain or increase production levels and to construct and expand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energy conservation and fuel efficiency efforts;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governmental regulations, taxation, fees and duties.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past, the prices of natural gas, NGLs, refined products and oil have been extremely volatile, and we expect this volatility to continue.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loss of business from existing customers or our inability to attract new customers due to a decline in demand for natural gas, NGLs, refined products or oil could have a material adverse effect on our revenues and results of operations. In addition, significant price fluctuations for natural gas, NGL, refined products and oil commodities could materially affect our profitability.</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General economic, financial, and political conditions, including the impact of tariffs to the extent enacted, may materially adversely affect our results of operations and financial condition.</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economic, financial, and political conditions may have a material adverse effect on our results of operations and financial condition. For example, following the election of President Trump and the implementation of certain tariffs, it is possible that our operations may be affected by volatility in pricing and demand. Similarly, declines in consumer confidence and/or consumer spending, changes in unemployment, significant inflationary or deflationary changes or disruptive regulatory or geopolitical events could contribute to increased volatility and diminished expectations for the economy and our markets, including the market for our goods and services, and lead to demand or cost pressures that could negatively and adversely impact our business. These conditions could affect both of our business segments.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such conditions could include:</w:t>
      </w:r>
    </w:p>
    <w:p>
      <w:pPr>
        <w:spacing w:after="0" w:line="117"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or prolonged decline in, or shocks to, regional or broader macro-economies;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could impact the markets in which we operate, such as immigration, tariffs or trade reform laws, which could reduce demand for or supply of our goods and services or lead to pricing, currency, or other pressures; and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deflationary economic pressures, which could hinder our ability to operate profitably in view of the challenges inherent in making corresponding deflationary adjustments to our cost structure.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nature of these types of risks, which are often unpredictable, makes them difficult to plan for, or otherwise mitigate, and they are generally uninsurable —which compounds their potential impact on our business.</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Changes in U.S. administrative policy, including the imposition of or increases in tariffs on steel and/or other raw materials, changes to existing trade agreements and any resulting changes in international trade relations, may have an adverse effect on us.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and operate pipelines and terminals and, like others in our industry, we use significant amounts of steel in our projects and rely on our ability to obtain that steel in an affordable way to maintain our operating margins. Any imposition of or increase in tariffs on steel and/or other raw materials could increase our growth project costs, which may impact the profitability of new projects.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Recently, the Trump Administration announced plans to implement or increase tariffs, and on February 10, confirmed extension of 25 percent import tariffs on steel globally to go into effect on March 12. The ultimate impact of this tariff is unknown at this time. Additionally, ongoing changes in U.S. and foreign government trade policies, including potential modifications to existing trade agreements and further restrictions on free trade, could introduce additional uncertainty. Any escalation of trade tensions, additional tariffs, retaliatory measures by foreign governments or shifts in U.S. or international trade policies could adversely impact our supply chain and increase costs, particularly on our expansion projects. A trade war or other significant changes in trade regulations could have an adverse effect on our business and results of operations.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could be negatively impacted by inflationary pressures which may decrease our operating margins and increase working capital investments required to operate our business.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inflation rate steadily rose in 2021 and into 2022 before eventually declining modestly throughout 2023 and 2024. A sustained increase in inflation may continue to increase our costs for labor, services, and materials, which, in turn, could cause our operating costs and capital expenditures to increase. Further, our producer suppliers and customers face inflationary pressures and resulting impacts, such as the tight labor market, availability of drilling and hydraulic fracturing equipment, and supply chain disruptions, which could increase the cost of production which in turn may limit the level of drilling activity in the regions in which we operate. Our throughput volumes may be impacted if producers are constrained. The rate and scope of these various inflationary factors may increase our operating costs and capital expenditures materially, which may not be readily recoverable in the prices of our services and may have an adverse effect on our results of operations and financial condition.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Federal Reserve and other central banks have implemented policies in an effort to curb inflationary pressure on the costs of goods and services across the U.S., including the significant increases in prevailing interest rates that occurred during 2022 and 2023 as a result of the 525 aggregate basis point increase in the federal funds rate, and the associated macroeconomic impact on slowdown in economic growth could negatively impact our business. While the Federal Reserve reduced benchmark interest rates by 75 basis points in late 2024, the continuation of rates at the current level could have the effects of raising the cost of capital and depressing economic growth, either of which—or the combination thereof—could hurt the financial and operating results of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 impairment of goodwill and intangible assets could reduce our earnings.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our consolidated balance sheet reflected $3.90 billion of goodwill and $5.97 billion of intangible assets. Goodwill is recorded when the purchase price of a business exceeds the fair value of the tangible and separately measurable intangible net assets. Accounting principles generally accepted in the United States require us to test goodwill for impairment on an annual basis or when events or circumstances occur, indicating that goodwill might be impaired. Long-lived assets such as intangible assets with finite useful lives are reviewed for impairment whenever events or changes in circumstances indicate that the carrying amount may not be recoverable. If we determine that any of our goodwill or intangible assets were impaired, we would be required to take an immediate charge to earnings with a correlative effect on partners’ capital and balance sheet leverage as measured by debt to total capitalization.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depend on certain key producers for our supply of natural gas and the loss of any of these key producers could adversely affect our financial results.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producers who are connected to our systems represent a material source of our supply of natural gas. We are not the only option available to these producers for disposition of the natural gas they produce. To the extent that these and other producers may reduce the volumes of natural gas that they supply us, we would be adversely affected unless we were able to acquire comparable supplies of natural gas from other producers.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intrastate transportation and storage and interstate transportation and storage operations depend on key customers to transport natural gas through our pipelines and the pipelines of our joint ventures.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two customers accounted for approximately 23% of our intrastate transportation and storage revenues. During 2024, four customers collectively accounted for 29% of our interstate transportation and storage revenues.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joint ventures also depend on key customers. Citrus has long-term agreements with its top two customers which accounted for 57% of its 2024 revenue. For the Trans-Pecos and Comanche Trail pipelines, a single customer is the primary shipper.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of the major shippers on our and our joint ventures’ intrastate and interstate transportation and storage pipelines to fulfill their contractual obligations could have a material adverse effect on our cash flow and results of operations if we or our joint ventures were unable to replace these customers under arrangements that provide similar economic benefits as these existing contracts.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be unable to retain or replace existing midstream, transportation, terminalling and storage customers or volumes due to declining demand or increased competition in crude oil, refined products, natural gas and NGL markets, which would reduce our revenues and limit our future profitability.</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retention or replacement of existing customers and the volume of services that we provide at rates sufficient to maintain or increase current revenues and cash flows depends on a number of factors beyond our control, including the price of and demand for crude oil, refined products, natural gas and NGLs in the markets we serve and competition from other service providers.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sales of natural gas are to industrial customers and utilities. As a consequence of the volatility of natural gas prices and increased competition in the industry and other factors, industrial customers, utilities and other gas customers are increasingly reluctant to enter into long-term purchase contracts. Many customers purchase natural gas from more than one supplier and have the ability to change suppliers at any time. Some of these customers also have the ability to switch between gas and alternate fuels in response to relative price fluctuations in the market. Because there are many companies of greatly varying size and financial capacity that compete with us in the marketing of natural gas, we often compete in natural gas sales markets primarily on the basis of price.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receive a substantial portion of our revenues by providing natural gas gathering, processing, treating, transportation and storage services. While a substantial portion of our services are sold under long-term contracts for reserved service, we also provide service on an unreserved or short-term basis. Demand for our services may be substantially reduced due to changing market prices. Declining prices may result in lower rates of natural gas production resulting in less use of services, while rising prices may diminish consumer demand and also limit the use of services. In addition, our competitors may attract our customers’ business. If demand declines or competition increases, we may not be able to sustain existing levels of unreserved service or renew or extend long-term contracts as they expire or we may reduce our rates to meet competitive pressures.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our NGL transportation systems and refined products storage is also exposed to risks due to fluctuations in demand for transportation and storage service as a result of unfavorable commodity prices, competition from nearby pipelines, and other factors. We receive substantially all of our transportation revenues through dedicated contracts under which the customer agrees to deliver the total output from particular processing plants that are connected only to our transportation system. Reduction in demand for natural gas or NGLs due to unfavorable prices or other factors, however, may result lower rates of production under dedicated contracts and lower demand for our services. In addition, our refined products storage revenues are primarily derived from fixed capacity arrangements between us and our customers, a portion of our revenue is derived from fungible storage and throughput arrangements, under which our revenue is more dependent upon demand for storage from our customers.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volume of crude oil and refined products transported through our crude oil and refined products pipelines and terminal facilities depends on the availability of attractively priced crude oil and refined products in the areas serviced by our assets. A period of sustained price reductions for crude oil or refined products could lead to a decline in drilling activity, production and refining of crude oil or import levels in these areas. A period of sustained increases in the price of crude oil or refined products supplied from or delivered to any of these areas could materially reduce demand for crude oil or refined products in these areas. In either case, the volumes of crude oil or refined products transported in our crude oil and refined products pipelines and terminal facilities could decline.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loss of existing customers by our midstream, transportation, terminalling and storage facilities or a reduction in the volume of the services our customers purchase from us, or our inability to attract new customers and service volumes would negatively affect our revenues, be detrimental to our growth, and adversely affect our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and our subsidiaries, including Sunoco LP and USAC, are exposed to the credit risk of our customers and derivative counterparties, and an increase in the nonpayment and nonperformance by our customers or derivative counterparties could reduce our ability to make distributions to our Unitholders.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Sunoco LP and USAC are subject to risks of loss resulting from nonpayment or nonperformance by our, Sunoco LP’s and USAC’s customers. Commodity price volatility and/or the tightening of credit in the financial markets may make it more difficult for customers to obtain financing and, depending on the degree to which this occurs, there may be a material increase in the nonpayment and nonperformance by our customers. In addition, our risk management activities are subject to the risks that a counterparty may not perform its obligation under the applicable derivative instrument, the terms of the derivative instruments are imperfect, and our risk management policies and procedures are not properly followed. Any material nonpayment or nonperformance by our customers or our derivative counterparties could reduce our ability to make distributions to our Unitholders. Any substantial increase in the nonpayment and nonperformance by our customers could have a material effect on our, Sunoco LP’s and USAC’s results of operations and operating cash flows.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Severe market disruptions could cause some of our counterparties to file for bankruptcy protection, in which case our existing contracts with those counterparties may be rejected by the bankruptcy court. Following the request of one of our FERC-regulated natural gas pipelines, the FERC commenced a proceeding to determine whether the public interest requires abrogation or modification of a firm transportation agreement with one of our shippers. By order dated November 9, 2020, FERC held that the record did not support a finding that the public interest presently required abrogation or modification of the subject firm transportation agreement. The shipper subsequently filed for bankruptcy. Thereafter, on July 19, 2022, the Fifth Circuit Court of Appeals rejected FERC’s jurisdictional basis for its earlier public interest decision, vacated the November 9, 2020 order and a settlement has been reached regarding the agreement in the underlying bankruptcy proceeding. We will attempt to remarket the subject capacity and, depending on the availability of alternatives to our services, any resulting contracts may have terms that are less favorable to us than the former shipper’s contract.</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profitability of certain activities in our natural gas gathering, processing, transportation and storage operations are largely dependent upon natural gas commodity prices, price spreads between two or more physical locations and market demand for natural gas and NGLs.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portion of the natural gas gathered on our systems, we purchase natural gas from producers at the wellhead and then gather and deliver the natural gas to pipelines where we typically resell the natural gas under various arrangements, including sales at index prices. Generally, the gross margins we realize under these arrangements decrease in periods of low natural gas prices.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enter into percent-of-proceeds arrangements, keep-whole arrangements, and processing fee agreements pursuant to which we agree to gather and process natural gas received from the producers.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percent-of-proceeds arrangements, we generally sell the residue gas and NGLs at market prices and remit to the producers an agreed upon percentage of the proceeds based on an index price. In other cases, instead of remitting cash payments to the producer, we deliver an agreed upon percentage of the residue gas and NGL volumes to the producer and sell the volumes we keep to third parties at market prices. Under these arrangements, our revenues and gross margins decline when natural gas prices and NGL prices decrease. Accordingly, a decrease in the price of natural gas or NGLs could have an adverse effect on our revenues and results of operations.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keep-whole arrangements, we generally sell the NGLs produced from our gathering and processing operations at market prices. Because the extraction of the NGLs from the natural gas during processing reduces the Btu content of the natural gas, we must either purchase natural gas at market prices for return to producers or make a cash payment to producers equal to the value of this natural gas. Under these arrangements, our gross margins generally decrease when the price of natural gas increases relative to the price of NGLs.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process the gas for a fee under processing fee agreements, we may guarantee recoveries to the producer. If recoveries are less than those guaranteed to the producer, we may suffer a loss by having to supply liquids or its cash equivalent to keep the producer whole.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receive fees and retain gas in kind from our natural gas transportation and storage customers. Our fuel retention fees and the value of gas that we retain in kind are directly affected by changes in natural gas prices. Decreases in natural gas prices tend to decrease our fuel retention fees and the value of retained gas.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receive revenue from our off-gas processing and fractionating system in south Louisiana primarily through customer agreements that are a combination of keep-whole and percent-of-proceeds arrangements, as well as from transportation and fractionation fees. Consequently, a large portion of our off-gas processing and fractionation revenue 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exposed to risks due to fluctuations in commodity prices. In addition, a decline in NGL prices could cause a decrease in demand for our off-gas processing and fractionation services and could have an adverse effect on our results of operations.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midstream facilities and transportation pipelines provide services related to natural gas wells that experience production declines over time, which we may not be able to replace with natural gas production from newly drilled wells in the same natural gas basins or in other new natural gas producing areas.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maintain or increase throughput levels on our gathering systems and transportation pipeline systems and asset utilization rates at our treating and processing plants, we must continually contract for new natural gas supplies and natural gas transportation services.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substantial portion of our assets, including our gathering systems and our processing and treating plants, are connected to natural gas reserves and wells that experience declining production over time. Our gas transportation pipelines are also dependent upon natural gas production in areas served by our gathering systems or in areas served by other gathering systems or transportation pipelines that connect with our transportation pipelines. We may not be able to obtain additional contracts for natural gas supplies for our natural gas gathering systems, and we may be unable to maintain or increase the levels of natural gas throughput on our transportation pipelines. The primary factors affecting our ability to connect new supplies of natural gas to our gathering systems include our success in contracting for existing natural gas supplies that are not committed to other systems and the level of drilling activity and production of natural gas near our gathering systems or in areas that provide access to our transportation pipelines or markets to which our systems connect. We have no control over the level of drilling activity in our areas of operation, the amount of reserves underlying the wells and the rate at which production from a well will decline. In addition, we have no control over producers or their production and contracting decisions.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a substantial portion of our services are provided under long-term contracts for reserved service, we also provide service on an unreserved basis. The reserves available through the supply basins connected to our gathering, processing, treating, transportation and storage facilities may decline and may not be replaced by other sources of supply. A decrease in development or production activity could cause a decrease in the volume of unreserved services we provide and a decrease in the number and volume of our contracts for reserved transportation service over the long run, which in each case would adversely affect our revenues and results of operations.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replace any significant volume declines with additional volumes from other sources, our results of operations and cash flows could be materially and adversely affected.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revenues depend on our customers’ ability to use our pipelines and third-party pipelines over which we have no control.</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natural gas transportation, storage and NGL businesses depend, in part, on our customers’ ability to obtain access to pipelines to deliver gas to us and receive gas from us. Many of these pipelines are owned by parties not affiliated with us. Any interruption of service on our pipelines or third-party pipelines due to testing, line repair, reduced operating pressures, or other causes or adverse change in terms and conditions of service could have a material adverse effect on our ability, and the ability of our customers, to transport natural gas to and from our pipelines and facilities and a corresponding material adverse effect on our transportation and storage revenues. In addition, the rates charged by interconnected pipelines for transportation to and from our facilities affect the utilization and value of our storage services. Significant changes in the rates charged by those pipelines or the rates charged by other pipelines with which the interconnected pipelines compete could also have a material adverse effect on our storage revenues.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Shippers using our oil pipelines and terminals are also dependent upon our pipelines and connections to third-party pipelines to receive and deliver crude oil and products. Any interruptions or reduction in the capabilities of these pipelines due to testing, line repair, reduced operating pressures, or other causes could result in reduced volumes transported in our pipelines or through our terminals. Similarly, if additional shippers begin transporting volume over interconnecting oil pipelines, the allocations of pipeline capacity to our existing shippers on these interconnecting pipelines could be reduced, which also could reduce volumes transported in its pipelines or through our terminals. Allocation reductions of this nature are not infrequent and are beyond our control. Any such interruptions or allocation reductions that, individually or in the aggregate, are material or continue for a sustained period of time could have a material adverse effect on our results of operations, financial position, or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inability to continue to access lands owned by third parties could adversely affect our ability to operate and our financial results.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operate our pipeline systems on certain lands owned by third parties will depend on our success in maintaining existing rights-of-way and obtaining new rights-of-way on those lands. We are parties to rights-of-way agreements, permits and licenses authorizing land use with numerous parties, including, private land owners, governmental entities, Native American tribes, rail carriers, public utilities and others. For more information, see our regulatory disclosure titled “Indigenous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Protections.” Our ability to secure extensions of existing agreements, permits and licenses is essential to our continuing business operations, and securing additional rights-of-way will be critical to our ability to pursue expansion projects. We cannot provide any assurance that we will be able to maintain access to existing rights-of-way upon the expiration of the current grants, that all of the rights-of-way will be obtained in a timely fashion or that we will acquire new rights-of-way as needed.</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whether we have the power of eminent domain for our pipelines varies from state to state, depending upon the type of pipeline and the laws of the particular state and the ownership of the land to which we seek access. When we exercise eminent down rights or negotiate private agreements cases, we must compensate landowners for the use of their property and, in eminent domain actions, such compensation may be determined by a court. The inability to exercise the power of eminent domain could negatively affect our business if we were to lose the right to use or occupy the property on which our pipelines are located. For example, following a decision issued in May 2017 by the federal Tenth Circuit Court of Appeals, tribal ownership of even a very small fractional interest in an allotted land, that is,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impediment for pipeline operators. Any loss of rights with respect to our real property, through our inability to renew right-of-way contracts or otherwise, could have a material adverse effect on our business, results of operations, financial condition and ability to make cash distributions to Unitholders.</w:t>
      </w:r>
    </w:p>
    <w:p>
      <w:pPr>
        <w:spacing w:after="0" w:line="1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storage operations are influenced by the overall forward market for crude oil and other products we store, and certain market conditions may adversely affect our financial and operating results.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storage operations are influenced by the overall forward market for crude oil and other products we store. A contango market (meaning that the price of crude oil or other products for future delivery is higher than the current price) is associated with greater demand for storage capacity, because a party can simultaneously purchase crude oil or other products at current prices for storage and sell at higher prices for future delivery. A backwardated market (meaning that the price of crude oil or other products for future delivery is lower than the current price) is associated with lower demand for storage capacity because a party can capture a premium for prompt delivery of crude oil or other products rather than storing it for future sale. A prolonged backwardated market, or other adverse market conditions, could have an adverse impact on its ability to negotiate favorable prices under new or renewing storage contracts, which could have an adverse impact on our storage revenues. As a result, the overall forward market for crude oil or other products may have an adverse effect on our financial condition or results of operations.</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Competition for water resources or limitations on water usage for hydraulic fracturing could disrupt crude oil and natural gas production from shale formations.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Hydraulic fracturing is the process of creating or expanding cracks by pumping water, sand and chemicals under high pressure into an underground formation in order to increase the productivity of crude oil and natural gas wells. Water used in the process is generally fresh water, recycled produced water or salt water. There is competition for fresh water from municipalities, farmers, ranchers and industrial users. In addition, the available supply of fresh water can also be reduced directly by drought. Prolonged drought conditions increase the intensity of competition for fresh water. Limitations on oil and gas producers’ access to fresh water may restrict their ability to use hydraulic fracturing and could reduce new production. Such disruptions could potentially have a material adverse impact on our financial condition or results of operations.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natural disaster, catastrophe or other event could result in severe personal injury, property damage and environmental damage, which could curtail our operations and otherwise materially adversely affect our cash flow.</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operations involve risks of personal injury, property damage and environmental damage, which could curtail our operations and otherwise materially adversely affect our cash flow. For example, natural gas pipeline and other facilities operate at high pressures. Virtually all of our operations are exposed to potential natural disasters, including hurricanes, tornadoes, storms, floods and/or earthquakes.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one or more facilities that are owned by us, or that deliver natural gas or other products to us, are damaged by severe weather or any other disaster, accident, catastrophe or event, our operations could be significantly interrupted. Similar interruptions could result from damage to production or other facilities that supply our facilities or other stoppages arising from factors beyond our control. These interruptions might involve significant damage to people, property or the environment, and repairs might take from a week or less for a minor incident to six months or more for a major interruption. Any event that interrupts the revenues generated by our operations, or which causes us to make significant expenditures not covered by insurance, could reduce our cash available for paying distributions to Unitholders.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market conditions, premiums and deductibles for certain insurance policies can increase substantially, and in some instances, certain insurance may become unavailable or available only for reduced amounts of coverage. As a result, we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may not be able to renew existing insurance policies or procure other desirable insurance on commercially reasonable terms, if at all. If we were to incur a significant liability for which we were not fully insured, it could have a material adverse effect on our financial position and results of operations. In addition, the proceeds of any such insurance may not be paid in a timely manner and may be insufficient if such an event were to occur.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Terrorist attacks aimed at our facilities could adversely affect our business, results of operations, cash flows and financial condition.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United States government has issued warnings that energy assets, including our nation’s pipeline infrastructure, may be the future target of terrorist organizations. Some of our facilities are subject to standards and procedures required by the Chemical Facility Anti-Terrorism Standards. We believe we are in compliance with all material requirements; however, such compliance may not prevent a terrorist attack from causing material damage to our facilities or pipelines. Any such terrorist attack on our facilities or pipelines, those of our customers, or in some cases, those of other pipelines could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affected adversely by union disputes and strikes or work stoppages by unionized employees.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approximately 9% of our workforce is covered by a number of collective bargaining agreements with various terms and dates of expiration. There can be no assurances that we will not experience a work stoppage in the future as a result of labor disagreements. Any work stoppage could, depending on the affected operations and the length of the work stoppage, have a material adverse effect on our business, financial position, results of operations or cash flows.</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Cybersecurity attacks, data breaches and other disruptions affecting us, or our service providers, could materially and adversely affect our business, operations, reputation, and financial results.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security and integrity of our information and operational technology infrastructure and physical assets are critical to our business and our ability to perform day-to-day operations and deliver services. In addition, in the ordinary course of our business, we collect, process, transmit and store sensitive data, including intellectual property, our proprietary business information and that of our customers, suppliers and business partners, as well as personally identifiable information, in our data centers and on our networks. We also engage third parties, such as service providers and vendors, who provide a broad array of software, technologies, tools, and other products, services and functions (e.g., human resources, finance, data transmission, communications, risk, compliance, among others) that enable us to conduct, monitor and/or protect our business, operations, systems and data assets. If these third parties fail to adequately safeguard our data or their systems, or if they experience security breaches, our operations and reputation may be adversely affected.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information and operational technology and infrastructure, physical assets and data, may be vulnerable to unauthorized access, computer viruses, malicious attacks and other events (e.g., distributed denial of service attacks, ransomware attacks) that are beyond our control. These events can result from malfeasance by external parties, such as hackers, or due to human error or malfeasance by our or our service providers’ employees and contractors (e.g., due to social engineering or phishing attacks). In addition, work-from-home arrangements may present additional operational and cybersecurity risks to our information technology infrastructure and physical assets.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have, from time to time, been subject to cyber attacks and security incidents. The frequency and magnitude of cyber attacks globally is increasing and attackers are becoming more sophisticated. Cyber attacks, including, but not limited to, malicious software, surveillance, credential stuffing, spear phishing, social engineering, use of deepfakes (i.e., highly realistic synthetic media generated by artificial intelligence), attempts to gain unauthorized access to data, and other electronic security breaches that could lead to disruptions in critical systems, unauthorized release of confidential or otherwise protected information and corruption of data, are evolving. Although we have implemented and maintain commercially reasonable security measures, including detection and prevention systems, regular cybersecurity assessments, employee training programs, and an incident response plan, there is no guarantee that these measures will successfully prevent security threats, detect them in a timely manner, or mitigate their impact. We may be unable to anticipate, detect or prevent future attacks, particularly as the methodologies used by attackers change frequently or are not recognized until launched, and we may be unable to investigate or remediate incidents because attackers are increasingly using techniques and tools designed to circumvent controls, to avoid detection, and to remove or obfuscate forensic evidence.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Breaches of our information and operational technology infrastructure or physical assets, or other disruptions, could result in damage to our assets, safety incidents, damage to the environment, potential liability or the loss of contracts, data loss or corruption, misdirected wire transfers, an inability to maintain our books and records or an inability to prevent environmental damage, any or all of which could, in turn, have a material adverse effect on our operations, financial position and results of operations. A successful cyber attack or other security incident could compromise our networks and the information stored there could be accessed, publicly disclosed, lost or stolen. Any such access, disclosure or loss could result in legal claims 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proceedings, significant litigation costs, regulatory investigations and enforcement, penalties and fines, increased costs for system remediation and compliance requirements, disruption of our operations, damage to our reputation, or loss of confidence in our products and services, any or all of which could have a material adverse effect on our business and results. We may be required to invest significant additional resources to comply with evolving cybersecurity and data privacy laws and regulations and to modify and enhance our information and operational security and controls, and to investigate and remediate any security vulnerabilities. Any losses, costs or liabilities may not be covered by, or may exceed the coverage limits of, any or all of our applicable insurance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could be disrupted if our information systems fail, causing increased expenses and loss of sales.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highly dependent on financial, accounting and other data processing systems and other communications and information systems, including our enterprise resource planning tools. We process a large number of transactions on a daily basis and rely upon the proper functioning of computer systems. If a key system was to fail or experience unscheduled downtime for any reason, even if only for a short period, our operations and financial results could be affected adversely. Our systems could be damaged or interrupted by a security breach, fire, flood, power loss, telecommunications failure or similar event. We have a formal disaster recovery plan in place, but this plan may not entirely prevent delays or other complications that could arise from an information systems failure. Our insurance may not compensate us adequately for losses that may occur. Prolonged outages or disruptions in our information technology infrastructure could impair our ability to deliver services, meet customer expectations or comply with regulatory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liability claims and litigation could adversely affect our business and results of operations.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liability is a significant commercial risk. Substantial damage awards have been made in certain jurisdictions against manufacturers and resellers based upon claims for injuries caused by the use of or exposure to various products. There can be no assurance that product liability claims against us would not have a material adverse effect on our business or results of operations.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Along with other refiners, manufacturers and sellers of gasoline, ETC Sunoco is a defendant in numerous lawsuits that allege MTBE contamination in groundwater. Plaintiffs, who include water purveyors and municipalities responsible for supplying drinking water and private well owners, are seeking compensatory damages (and in some cases injunctive relief, punitive damages and attorneys’ fees) for claims relating to the alleged manufacture and distribution of a defective product (MTBE-containing gasoline) that contaminates groundwater, and general allegations of product liability, nuisance, trespass, negligence, violation of environmental laws and deceptive business practices. There has been insufficient information developed about the plaintiffs’ legal theories or the facts that would be relevant to an analysis of the ultimate liability to ETC Sunoco. An adverse determination of liability related to these allegations or other product liability claims against ETC Sunoco could have a material adverse effect on our business or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do not control, and therefore may not be able to cause or prevent certain actions by, certain of our joint ventures.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operations are conducted through joint ventures, some of which have their own governing boards. With respect to our joint ventures, we share ownership and management responsibilities with partners that may not share our goals and objectives. Consequently, it may be difficult or impossible for us to cause the joint venture entity to take actions that we believe would be in their or the joint venture’s best interests. Likewise, we may be unable to prevent actions of the joint venture. Differences in views among joint venture partners may result in delayed decisions or failures to agree on major matters, such as large expenditures or contractual commitments, the construction or acquisition of assets or borrowing money, among others. Delay or failure to agree may prevent action with respect to such matters, even though such action may serve our best interest or that of the joint venture. Accordingly, delayed decisions and disagreements could adversely affect the business and operations of the joint ventures and, in turn, our business and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use of derivative financial instruments could result in material financial losses by us.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and/or our subsidiaries have sought to reduce our exposure to fluctuations in commodity prices and interest rates by using derivative financial instruments and other risk management mechanisms and by our trading, marketing and/or system optimization activities. To the extent that we hedge our commodity price and interest rate exposures, we forgo the benefits we would otherwise experience if commodity prices or interest rates were to change in our favor.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standards regarding hedge accounting are very complex, and even when we engage in hedging transactions that are effective economically (whether to mitigate our exposure to fluctuations in commodity prices, or to balance our exposure to fixed and variable interest rates), these transactions may not be considered effective for accounting purposes. Accordingly, our consolidated financial statements may reflect some volatility due to these hedges, even when there is no underlying economic impact at that point. It is also not always possible for us to engage in a hedging transaction that completely mitigates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exposure to commodity prices. Our consolidated financial statements may reflect a gain or loss arising from an exposure to commodity prices for which we are unable to enter into a completely effective hedge.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derivatives activities can result in losses. Such losses could occur under various circumstances, including if a counterparty does not perform its obligations under the derivative arrangement, the hedge is imperfect, commodity prices move unfavorably related to our physical or financial positions or hedging policies and procedures are not followed.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Increasing levels of congestion in the Houston Ship Channel could result in a diversion of business to less busy ports.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Gulf Coast facilities are strategically situated on prime real estate located in the Houston Ship Channel, which is in close proximity to both supply sources and demand sources. In recent years, the success of the Port of Houston has led to an increase in vessel traffic driven in part by the growing overseas demand for U.S. crude, gasoline, liquefied natural gas and petrochemicals and in part by the Port of Houston’s recent decision to accept large container vessels, which can restrict the flow of other cargo. Increasing congestion in the Port of Houston, which is currently the busiest port in the U.S. by waterborne tonnage and which has increased volumes in each of the last two years, could cause our customers or potential customers to divert their business to smaller ports in the Gulf of America, which could result in lower utilization of our facilities.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costs of providing pension and other postretirement health care benefits and related funding requirements are subject to changes in pension fund values, changing demographics and fluctuating actuarial assumptions and may have a material adverse effect on our financial results.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subsidiaries provide pension plan and other postretirement healthcare benefits to certain of their employees. The costs of providing pension and other postretirement health care benefits and related funding requirements are subject to changes in pension and other postretirement fund values, changing demographics and fluctuating actuarial assumptions that may have a material adverse effect on the Partnership’s future consolidated financial results. While certain of the costs incurred in providing such pension and other postretirement healthcare benefits are recovered through the rates charged by the Partnership’s regulated businesses, the Partnership’s subsidiaries may not recover all of the costs and those rates are generally not immediately responsive to current market conditions or funding requirements. Additionally, if the current cost recovery mechanisms are changed or eliminated, the impact of these benefits on operating results could significantly increase.</w:t>
      </w:r>
    </w:p>
    <w:p>
      <w:pPr>
        <w:spacing w:after="0" w:line="1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Mergers among customers and competitors could result in lower volumes being shipped on our pipelines or products stored in or distributed through our terminals, or reduced crude oil marketing margins or volumes.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Mergers between existing customers could provide strong economic incentives for the combined entities to utilize their existing systems instead of our systems in those markets where the systems compete. As a result, we could lose some or all of the volumes and associated revenues from these customers and could experience difficulty in replacing those lost volumes and revenues, which could materially and adversely affect our results of operations, financial position, or cash flows.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Fraudulent activity or misuse of proprietary data involving our outsourcing partners could expose us to additional liability.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both affiliated entities and third parties in the processing of our information and data. Breaches of security measures or the accidental loss, inadvertent disclosure or unapproved dissemination of proprietary information, or sensitive or confidential data about us or our customers, including the potential loss or disclosure of such information or data as a result of fraud or other forms of deception, could expose us to a risk of loss, or misuse of this information, result in litigation and potential liability, lead to reputational damage, increase our compliance costs, or otherwise harm our business.</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12529"/>
        </w:rPr>
        <w:t>Our trucking fleet operations are subject to the Federal Motor Carrier Safety Regulations which are enacted, reviewed and amended by the Federal Motor Carrier Safety Administration (“FMCSA”). Our fleet currently has a “satisfactory” safety rating; however, if our safety rating were downgraded to “unsatisfactory,” our business and results of operations could be adversely affected.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its operating authority by the FMCSA could have an adverse effect on our business, results of operations and financial condition.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level and debt agreements may limit our ability to make distributions to Unitholders and may limit our future financial and operating flexibility.</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we had approximately $59.76 billion of consolidated debt, excluding the debt of our unconsolidated joint ventures. Our level of indebtedness affects our operations in several ways, including, among other things:</w:t>
      </w:r>
    </w:p>
    <w:p>
      <w:pPr>
        <w:spacing w:after="0" w:line="54" w:lineRule="exact"/>
        <w:rPr>
          <w:sz w:val="20"/>
          <w:szCs w:val="20"/>
          <w:color w:val="auto"/>
        </w:rPr>
      </w:pPr>
    </w:p>
    <w:p>
      <w:pPr>
        <w:ind w:left="340" w:right="20" w:hanging="332"/>
        <w:spacing w:after="0" w:line="282"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and our subsidiaries’ cash flow from operations will be dedicated to the payment of principal and interest on outstanding debt and will not be available for other purposes, including payment of distributions;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contained in our and our subsidiaries’ existing debt agreements require us and them, as applicable, to meet financial tests that may adversely affect our flexibility in planning for and reacting to changes in our business;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ability to obtain additional financing for working capital, capital expenditures, acquisitions and general partnership, corporate or limited liability company purposes, as applicable, may be limited;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at a competitive disadvantage relative to similar companies that have less debt;</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adverse economic and industry conditions as a result of our significant debt level; and</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312" w:lineRule="auto"/>
        <w:tabs>
          <w:tab w:leader="none" w:pos="33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or our subsidiaries to comply with the various restrictive covenants of our respective debt agreements could negatively impact our ability to incur additional debt, including our ability to utilize the available capacity under our revolving credit facility, and our ability to pay our distributions.</w:t>
      </w:r>
    </w:p>
    <w:p>
      <w:pPr>
        <w:spacing w:after="0" w:line="8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debt level and debt agreements of our subsidiaries, including Sunoco LP and USAC, may limit the distributions we receive from these subsidiaries, as well as our future financial and operating flexibility.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subsidiaries’ levels of indebtedness affect their operations in several ways, including, among other things:</w:t>
      </w:r>
    </w:p>
    <w:p>
      <w:pPr>
        <w:spacing w:after="0" w:line="117" w:lineRule="exact"/>
        <w:rPr>
          <w:sz w:val="20"/>
          <w:szCs w:val="20"/>
          <w:color w:val="auto"/>
        </w:rPr>
      </w:pPr>
    </w:p>
    <w:p>
      <w:pPr>
        <w:ind w:left="340" w:hanging="332"/>
        <w:spacing w:after="0" w:line="282"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subsidiaries’ cash flows from operations will be dedicated to the payment of principal and interest on outstanding debt and will not be available for other purposes, including payment of distributions to us;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contained in our subsidiaries’ existing debt agreements require the respective subsidiaries, as applicable, to meet financial tests that may adversely affect their flexibility in planning for and reacting to changes in their respective businesses;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ability to obtain additional financing for working capital, capital expenditures, acquisitions and general partnership, corporate or limited liability company purposes, as applicable, may be limited;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may be at a competitive disadvantage relative to similar companies that have less debt;</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may be more vulnerable to adverse economic and industry conditions as a result of their debt levels;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subsidiaries to comply with the various restrictive covenants of the respective debt agreements could negatively impact the respective subsidiaries’ ability to incur additional debt, including their ability to utilize the available capacity under their revolving credit facilities, and to pay distributions to us and their unitholders.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do not have the same flexibility as other types of organizations to accumulate cash, which may limit cash available to service our debt or to repay debt at maturity.</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Unlike a corporation, our Partnership Agreement requires us to distribute, on a quarterly basis, 100% of our Available Cash (as defined in our Partnership Agreement) to our Unitholders of record and our general partner. Available Cash is generally all of our cash on hand as of the end of a quarter, adjusted for cash distributions and net changes to reserves. Our general partner will determine the amount and timing of such distributions and has broad discretion to establish and make additions to our reserves or the reserves of our operating subsidiaries in amounts it determines in its reasonable discretion to be necessary or appropriate:</w:t>
      </w:r>
    </w:p>
    <w:p>
      <w:pPr>
        <w:spacing w:after="0" w:line="75" w:lineRule="exact"/>
        <w:rPr>
          <w:sz w:val="20"/>
          <w:szCs w:val="20"/>
          <w:color w:val="auto"/>
        </w:rPr>
      </w:pPr>
    </w:p>
    <w:p>
      <w:pPr>
        <w:ind w:left="340" w:hanging="332"/>
        <w:spacing w:after="0" w:line="282" w:lineRule="auto"/>
        <w:tabs>
          <w:tab w:leader="none" w:pos="3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proper conduct of our business and the businesses of our operating subsidiaries (including reserves for future capital expenditures and for our anticipated future credit needs);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Unitholders and our general partner for any one or more of the next four calendar quarters; or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law or any of our loan or other agreements.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in interest rates could materially adversely affect our business, results of operations, cash flows and financial condition.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exposure to commodity prices, we have significant exposure to changes in interest rates, including the significant increases in prevailing interest rates as a result of changes in federal monetary and fiscal policy. Approximately $4.33 billion of our consolidated debt as of December 31, 2024 bears interest at variable interest rates and the remainder bears interest at fixed rates. To the extent that we have debt with floating interest rates, our results of operations, cash flows and financial condition could be materially adversely affected by increases in interest rates.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 increase in interest rates could impact demand for our storage capacity.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financing cost for a storage capacity user to own crude oil while it is stored. That financing cost is impacted by the cost of capital or interest rate incurred by the storage user, in addition to the commodity cost of the crude oil in inventory. Absent other factors, a higher financing cost adversely impacts the economics of storing crude oil for future sale. As a result, a significant increase in interest rates could adversely affect the demand for our storage capacity independent of other market factors.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increase in interest rates may also cause a corresponding decline in demand for equity investments, in general, and in particular for yield-based equity investments such as our Common Units. Any such reduction in demand for our Common Units resulting from other more attractive investment opportunities may cause the trading price of our Common Units to decline.</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downgrade of our credit ratings could impact our and our subsidiaries’ liquidity, access to capital and costs of doing business, and maintaining credit ratings is under the control of independent third parties.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downgrade of our credit ratings may increase our and our subsidiaries’ cost of borrowing and could require us to post collateral with third parties, negatively impacting our available liquidity. Our and our subsidiaries’ ability to access capital markets could also be limited by a downgrade of our credit ratings and other disruptions. Such disruptions could include:</w:t>
      </w:r>
    </w:p>
    <w:p>
      <w:pPr>
        <w:spacing w:after="0" w:line="68"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capital market conditions;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market prices for crude oil, natural gas, NGLs and other commodities;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or threatened attacks on our facilities or those of other energy companies;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health of the energy industry, including the bankruptcy or insolvency of other companies.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rating agencies perform independent analysis when assigning credit ratings. The analysis includes a number of criteria including, but not limited to, business composition, market and operational risks, as well as various financial tests. Credit rating agencies continue to review the criteria for industry sectors and various debt ratings and may make changes to those criteria from time to time. Credit ratings are not recommendations to buy, sell or hold investments in the rated entity. Ratings are subject to revision or withdrawal at any time by the rating agencies, and we cannot assure you that we will maintain our current credit ratings.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Projects and Future Growth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and our subsidiaries do not make acquisitions on economically acceptable terms, our future growth could be limited.</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of operations and our ability to grow and to make distributions to Unitholders will depend in part on our ability to make acquisitions that are accretive to our distributable cash flow per unit.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be unable to make accretive acquisitions for any of the following reasons, among others:</w:t>
      </w:r>
    </w:p>
    <w:p>
      <w:pPr>
        <w:spacing w:after="0" w:line="117"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unable to identify attractive acquisition candidates or negotiate acceptable purchase contracts with them;</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unable to raise financing for such acquisitions on economically acceptable terms;</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recent heightened antitrust focus in the energy industry creating potential risk, expense and delays in connection with prospective acquisitions and consolidations; or</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outbid by competitors, particularly as a trend of consolidation within the energy industry continues, some of which are substantially larger than us and have greater financial resources and lower costs of capital then we do.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Furthermore, even if we consummate acquisitions that we believe will be accretive, those acquisitions may in fact adversely affect our results of operations or result in a decrease in distributable cash flow per unit. Any acquisition involves potential risks, including the risk that we may:</w:t>
      </w:r>
    </w:p>
    <w:p>
      <w:pPr>
        <w:spacing w:after="0" w:line="54"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realize anticipated benefits, such as new customer relationships, cost-savings or cash flow enhancements;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our liquidity by using a significant portion of our available cash or borrowing capacity to finance acquisitions;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our interest expense or financial leverage if we incur additional debt to finance acquisitions;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operating in new geographic areas or new lines of business;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unanticipated liabilities, losses or costs associated with the business or assets acquired for which we are not indemnified or for which the indemnity is inadequate;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hire, train or retrain qualified personnel to manage and operate our growing business and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effectively manage our historical assets, due to the diversion of management’s attention from other business concerns; or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other significant charges, such as impairment of goodwill or other intangible assets, asset devaluation or restructuring charges.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consummate future acquisitions, our capitalization and results of operations may change significantly. As we determine the application of our funds and other resources, Unitholders will not have an opportunity to evaluate the economic, financial and other relevant information that we will consider.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projects may require significant amounts of debt and equity financing, which may not be available to us on acceptable terms, or at all.</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fund our growth capital expenditures, including any new pipeline construction projects and improvements or repairs to existing facilities that we may undertake, with proceeds from sales of our debt and equity securities and borrowings under our revolving credit facility; however, we cannot be certain that we will be able to issue our debt and equity securities on terms satisfactory to us, or at all. If we are required to seek alternative financing, the terms of which may not be attractive to us, or to revise or cancel our expansion plans.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increase in our indebtedness that is proportionately greater than our issuance of equity could negatively impact our and our subsidiaries’ credit ratings or our ability to remain in compliance with the financial covenants under our revolving credit agreement, which could have a material adverse effect on our financial condition, results of operations and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Inflation Reduction Act of 2022 could decrease demand for crude oil and natural gas and could impose new costs on our operations.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2022, President Biden signed the IRA 2022, which contains hundreds of billions in incentives for the development of renewable energy, clean hydrogen, clean fuels, electric vehicles and supporting infrastructure and carbon capture and sequestration, amongst other provisions. In addition, the IRA 2022 imposes the first-ever federal fee on the emission of GHGs through a methane emissions charge. The IRA 2022 amends the federal Clean Air Act to impose a fee on the emission of methane from sources required to report their GHG emissions to the EPA, including those sources in the onshore petroleum and natural gas production categories. The methane emissions charge started in calendar year 2024 at $900 per ton of methane, increased to $1,200 in 2025, and will be set at $1,500 for 2026 and each year after. Calculation of the fee is based on certain thresholds established in the IRA 2022. In addition, the multiple incentives offered for various clean energy industries referenced above could decrease demand for crude oil and natural gas, increase our compliance and operating costs and consequently adversely affect our business. We cannot predict if Congress may take action to repeal or revise the IRA 2022, including with respect to the methane emissions charge. Thus, at this time, it is currently uncertain which programs will be affected and what impact such changes may have.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do not continue to construct new pipelines, our future growth could be limited.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and ability to grow and to increase distributable cash flow per unit will depend, in part, on our ability to construct pipelines that are accretive to our distributable cash flow. We may be unable to construct pipelines that are accretive to distributable cash flow for any of the following reasons, among others:</w:t>
      </w:r>
    </w:p>
    <w:p>
      <w:pPr>
        <w:spacing w:after="0" w:line="68"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identify pipeline construction opportunities with favorable projected financial returns;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obtain necessary governmental approvals and contracts with qualified contractors and vendors on acceptable terms;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raise financing for our identified pipeline construction opportunities; or</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secure sufficient transportation commitments from potential customers due to competition from other pipeline construction projects or for other reasons.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even if we construct a pipeline that we believe will be accretive, the pipeline may in fact adversely affect our results of operations or results from those projected prior to commencement of construction and other factors.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Expanding our business by constructing new pipelines and related facilities subjects us to risks.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One of the ways that we have grown our business is through the construction of additions to our existing gathering, compression, treating, processing and transportation systems. The construction of new pipelines and related facilities (or the improvement and repair of existing facilities) involves numerous regulatory, environmental, political and legal uncertainties beyond our control and requires the expenditure of significant amounts of capital that we will be required to finance through borrowings, the issuance of additional equity or from operating cash flow. If we undertake these projects, they may not be completed on schedule, at all, or at the budgeted cost. A variety of factors outside our control, such as weather, natural disasters and difficulties in obtaining permits and rights-of-way or other regulatory approvals, as well as the performance by third-party contractors, may result in increased costs or delays in construction. For example, in recent years, pipeline projects by many companies have been subject to several challenges by environmental groups, such as challenges to agency reviews under the NEPA and to the USACE NWP program. Any changes to the USACE NWP program that exclude our projects from coverage could require us to reroute pipeline projects, or seek individual permits that involve longer permitting timelines, leading to construction delays. For more information on the NWP program, see our regulatory disclosure titled “Clean Water Act.” Separately, cost overruns or delays in completing a project could have a material adverse effect on our results of operations and cash flows. Moreover, our revenues may not increase immediately following the completion of a particular project. For instance, if we build a new pipeline, the construction will occur over an extended period of time, but we may not materially increase our revenues until long after the project’s completion. In addition, the success of a pipeline construction project will likely depend upon the level of oil and natural gas exploration and development drilling activity and the demand for pipeline transportation in the areas proposed to be serviced by the project as well as our ability to obtain commitments from producers in the area to utilize the newly constructed pipelines. In this regard, we may construct facilities to capture anticipated future growth in oil or natural gas production in a region in which such growth does not materialize. As a result, new facilities may be unable to attract enough throughput or contracted capacity reservation commitments to achieve our expected investment return, which could adversely affect our results of operations and financial condition.</w:t>
      </w:r>
    </w:p>
    <w:p>
      <w:pPr>
        <w:spacing w:after="0" w:line="1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liquefaction project is dependent upon securing long-term contractual arrangements for the offtake of LNG on terms sufficient to support the financial viability of the project.</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Lake Charles LNG Export, our wholly owned subsidiary, is in the process of developing a liquefaction project at the site of our existing regasification facility in Lake Charles, Louisiana. The project would utilize existing dock and storage facilities owned by us located on the Lake Charles site. The parties’ determination as to the feasibility of the project will be particularly dependent upon the prospects for securing long-term contractual arrangements for the offtake of LNG which in turn will be dependent upon supply and demand factors affecting the price of LNG in foreign markets. The financial viability of the project will also be dependent upon a number of other factors, including the expected cost to construct the liquefaction facility, the terms and conditions of the financing for the construction of the liquefaction facility, the cost of the natural gas supply, the costs to transport natural gas to the liquefaction facility, the costs to operate the liquefaction facility and the costs to transport LNG from the liquefaction facility to customers in foreign markets (particularly Europe and Asia). Some of these costs fluctuate based on a variety of factors, including supply and demand factors affecting the price of natural gas in the United States, supply and demand factors affecting the costs for construction services for large infrastructure projects in the United States, and general economic conditions, there can be no assurance that the parties will determine to proceed to develop this project.</w:t>
      </w:r>
    </w:p>
    <w:p>
      <w:pPr>
        <w:spacing w:after="0" w:line="13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construction of the liquefaction project remains subject to further approvals and some approvals may be subject to further conditions, review and/or revocation.</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2015, the FERC authorized Lake Charles LNG Export to site, construct and operate the liquefaction project subject to various condition, including a condition requiring all phases of the liquefaction project to be completed and in-service within five years of the date of the FERC authorization order. The order also requires the modifications to our Trunkline pipeline facilities that connect to our Lake Charles facility and additionally requires execution of a transportation contract for natural gas supply to the liquefaction facility prior to the initiation of construction of the liquefaction facility. In December 2019, the FERC granted an extension of time until and including December 16, 2025, to complete construction of the liquefaction project and pipeline facilities modifications and place the facilities into service. In May 2022, the FERC granted a second extension of time until and including December 16, 2028 to complete construction of the liquefaction facilities modifications and place the facilities into service.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export of LNG produced by any liquefaction facility in the United States requires export authorization from the DOE. The NGA requires the DOE to approve applications for LNG exports unless such approval would be “inconsistent with the public interest.” In March 2013, Lake Charles LNG Export obtained a DOE authorization to export LNG to countries with which the United States has or will have Free Trade Agreements (“FTA”) for trade in natural gas (the “FTA Authorization”). In July 2016, Lake Charles LNG Export also obtained a conditional DOE authorization to export LNG to countries that do not have an FTA for trade in natural gas (the “Non-FTA Authorization”) subject to commencement of exports no later than December 2020. Lake Charles LNG Export applied for an extension of the deadline to commerce exports under the Non-FTA Authorization to December 2025 and the DOE approved such extension request in October 2020. Lake Charles LNG Export applied for a second extension of the deadline to commence exports and in April 2023 the DOE denied this request in connection with a new DOE policy related to extension requests.</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light of this new policy, in August 2023, Lake Charles LNG Export applied for a new Non-FTA Authorization which, if approved, would provide for a new deadline to commence exports to Non-FTA countries, which deadline would be seven years from the date of such approval. In January 2024, the Biden Administration announced a moratorium on the approval of LNG export authorizations by the DOE and instructed the DOE to conduct studies related to the cumulative impact of LNG exports on domestic natural gas prices, climate change and other matters. The Biden Administration stated that these studies were necessary to enable the DOE to make determinations related to the statutory “public interest” standard. The DOE stated that these studies would take several months to complete, after which they would be made available for public comment. This process was not completed prior to the U.S. Presidential election in November 2024. On July 1, 2024, the federal court for the Western District of Louisiana ordered that the DOE was enjoined and restrained from halting or pausing the approval process for pending and future applications for LNG exports to non-FTA countries. On December 17, 2024, the DOE released an updated study of U.S. LNG exports with a 60-day comment period that was later extended to March 20, 2025. On January 20, 2025, President Trump issued the Unleashing American Energy executive order directing the DOE Secretary to restart reviews of applications for approvals of LNG export projects as expeditiously as possible, consistent with applicable law. The executive order stated that in assessing the “public interest” to be advanced by any particular application, the DOE Secretary shall consider the economic and employment impacts to the United States and the impact to the security of allies and partners that would result from granting the application. On January 21, 2025, the DOE announced that it was ending the moratorium imposed by the Biden Administration on the approvals of LNG export authorizations by the DOE and returning to regular order following direction given by President Trump in the Unleashing American Energy executive order. At this time, it is unclear what actions the Trump Administration may take, if any at all, with respect to the DOE study.</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while President Trump’s executive order resumes permitting applications, there can be no assurance as to whether Lake Charles LNG Export will receive approval of its application for a Non-FTA Authorization.</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Integration of assets acquired in past acquisitions or future acquisitions with our existing business will be a complex and time-consuming process. A failure to successfully integrate the acquired assets with our existing business in a timely manner may have a material adverse effect on our business, financial condition, results of operations or cash available for distribution to Unitholders.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difficulties of integrating past and future acquisitions with our business include, among other things:</w:t>
      </w:r>
    </w:p>
    <w:p>
      <w:pPr>
        <w:spacing w:after="0" w:line="117"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 larger combined organization in new geographic areas and new lines of business;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or retaining qualified personnel to manage and operate our growing business and assets;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management teams and employees into existing operations and establishing effective communication and information exchange with such management teams and employees;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acquired assets and operations, including additional regulatory programs;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key employees;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 in compliance with the Sarbanes-Oxley Act of 2002 as well as other regulatory compliance and corporate governance matters;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new technology systems for financial reporting.</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these risks or other unanticipated liabilities or costs were to materialize, then desired benefits from past acquisitions and future acquisitions resulting in a negative impact to our future results of operations. In addition, acquired assets may perform at levels below the forecasts used to evaluate their acquisition, due to factors beyond our control. If the acquired assets perform at levels below the forecasts, then our future results of operations could be negatively impacted.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our reviews of proposed business or asset acquisitions are inherently imperfect because it is generally not feasible to perform an in-depth review of each such proposal given time constraints imposed by sellers. Even if performed, a detailed review of assets and businesses may not reveal existing or potential problems and may not provide sufficient familiarity with such business or assets to fully assess their deficiencies and potential. Inspections may not be performed on every asset, and environmental problems, may not be observable even when an inspection is undertaken.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affected by competition from other midstream, transportation, terminalling and storage companies.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 competition in all of our business segments. With respect to our midstream operations, we compete for both natural gas supplies and customers for our services. Our competitors include major integrated oil companies, interstate and intrastate pipelines and companies that gather, compress, treat, process, transport, store and market natural gas.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natural gas and NGL transportation pipelines and storage facilities compete with other interstate and intrastate pipeline companies and storage providers in the transportation and storage of natural gas and NGLs. The principal elements of competition among pipelines are rates, terms of service, access to sources of supply and the flexibility and reliability of service. Natural gas and NGLs also compete with other forms of energy, including electricity, coal, fuel oils and renewable or alternative energy. Competition among fuels and energy supplies is primarily based on price; however, non-price factors, including governmental regulation, environmental impacts, efficiency, ease of use and handling, and the availability of subsidies and tax benefits also affects competitive outcomes.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markets served by our NGL pipelines, we compete with other pipeline companies and barge, rail and truck fleet operations. We also face competition with other storage and fractionation facilities based on fees charged and the ability to receive, distribute and/or fractionate the customer’s products.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crude oil and refined petroleum products pipelines face significant competition from other pipelines for large volume shipments. These operations also face competition from trucks for incremental and marginal volumes in the areas we serve. Further, our crude and refined product terminals compete with terminals owned by integrated petroleum companies, refining and marketing companies, independent terminal companies and distribution companies with marketing and trading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Sunoco LP and USAC may not be able to fully execute our growth strategy if we encounter increased competition for qualified assets.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contemplates growth through the development and acquisition of a wide range of midstream, transportation, storage and other energy infrastructure assets while maintaining a strong balance sheet. This strategy includes constructing and acquiring additional assets and businesses to enhance our ability to compete effectively and diversify our asset portfolio, thereby providing more stable cash flow. We regularly consider and enter into discussions regarding the acquisition of additional assets and businesses, stand-alone development projects or other transactions that we believe will present opportunities to realize synergies and increase our cash flow.</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our strategy, we may, from time to time, engage in discussions with potential sellers regarding the possible acquisition of additional assets or businesses. Such acquisition efforts may involve our participation in processes that involve a number of potential buyers, commonly referred to as “auction” processes, as well as situations in which we believe we are the only party or one of a very limited number of potential buyers in negotiations with the potential seller. We cannot give assurance that our acquisition efforts will be successful or that any acquisition will be completed on terms considered favorable to us.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experience increased competition for the assets we purchase or contemplate purchasing. Increased competition for a limited pool of assets could result in us losing to other bidders more often or acquiring assets at higher prices, both of which would limit our ability to fully execute our growth strategy. Inability to execute our growth strategy may materially adversely impact our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compete with other businesses in our market with respect to attracting and retaining qualified employees.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continued success depends on our ability to attract and retain qualified personnel in all areas of our business. We compete with other businesses in our market with respect to attracting and retaining qualified employees. A tight labor market, increased overtime and a higher full-time employee ratio may cause labor costs to increase. A shortage of qualified employees may require us to enhance wage and benefits packages in order to compete effectively in the hiring and retention of such employees or to hire more expensive temporary employees. No assurance can be given that our labor costs will not increase, or that such increases can be recovered through increased prices charged to customers. We are especially vulnerable to labor shortages in oil and gas drilling areas when energy prices drive higher exploration and production activity.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Increased regulation of hydraulic fracturing or produced water disposal could result in reductions or delays in crude oil and natural gas production in our areas of operation, which could adversely impact our business and results of operations.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hydraulic fracturing process has come under considerable scrutiny from sections of the public as well as environmental and other groups asserting that chemicals used in the hydraulic fracturing process could adversely affect drinking water supplies and may have other detrimental impacts on public health, safety, welfare and the environment. In addition, the water disposal process has come under scrutiny from sections of the public as well as environmental and other groups asserting that the operation of certain water disposal wells has caused increased seismic activity. Additionally, several candidates for political office in both state and federal government have announced intentions to impose greater restrictions on hydraulic fracturing or produced water disposal. For example, on January 27, 2021, the Biden Administration issued an executive order temporarily suspending the issuance of new authorizations, and suspending the issuance of new leases pending completion of a review of current practices, for oil and gas development on federal lands and waters (but not tribal lands that the federal government merely holds in trust). The suspension of these federal leasing activities prompted legal action by several states against the Biden Administration, resulting in issuance of a nationwide preliminary injunction by a federal district judge in Louisiana in June 2021, followed by a permanent injunction in August 2022, effectively halting implementation of the leasing suspension. Relatedly, the Department of the Interior (“DOI”) released its report on federal gas leasing and permitting practices in November 2021, referencing a number of recommendations and an overarching intent to modernize the federal oil and gas leasing program, including by adjusting royalty and bonding rates, prioritizing leasing in areas with known resource potential, and avoiding leasing that conflicts with recreation, wildlife habitat, conservation, and historical and cultural resources. In 2022, the recommendations in this report resulted in a reduction in the volume of onshore land held for lease and an increased royalty rate, and in 2024, the DOI finalized a rule to modernize the fiscal terms of the leasing program. Implementation of many of the recommendations in the DOI report will require Congressional action and we cannot predict the extent to which the recommendations may be implemented now or in the future, but restrictions on federal oil and gas activities have the potential to result in increased costs on us and our customers, decrease demand for our services on federal lands, and adversely impact our business. Separately, in March 2024, the Bureau of Land Management (“BLM”) finalized a rule that requires operators to limit flaring from well sites on federal lands, as well as allow the delay or denial of permits if the BLM finds that an operator’s methane waste minimization plan is insufficient. The rule was challenged by various states in the District Court for the District of North Dakota and, in September 2024, the court ordered that the rule cannot be enforced against the plaintiff states pending the outcome of the litigation. Although the rule is currently being implemented against leases not covered by the order, the future of the rule is uncertain. In addition, the Colorado Energy and Carbon Management Commission (formerly the Colorado Oil and Gas Conservation Commission) adopted new rules to cover a variety of matters related to public health, safety, welfare, wildlife, and environmental resources, and has issued new rules regarding the cumulative impacts of oil and gas projects; most significantly, these rule changes establish more stringent setbacks (2,000-foot, instead of the prior 500-foot) on new oil and gas development and eliminate routine flaring and venting of natural gas at new or existing wells across the state, each subject to only limited exceptions. Some local communities have adopted, or are considering adopting, additional restrictions for oil and gas activities, such as requiring even greater setbacks. While the final impacts of these developments cannot be predicted, the adoption of new laws or regulations imposing additional permitting, disclosures, restrictions or costs related to hydraulic fracturing or produced water disposal or prohibiting hydraulic fracturing in proximity to areas considered to be environmentally sensitive could make drilling certain wells impossible or less economically attractive. As a result, the volume of crude oil and natural gas we gather, transport and store for our customers could be substantially reduced which could have an adverse effect on our financial condition or results of operations.</w:t>
      </w:r>
    </w:p>
    <w:p>
      <w:pPr>
        <w:spacing w:after="0" w:line="1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Legal or regulatory actions related to the Dakota Access Pipeline could cause an interruption to current or future operations, which could have an adverse effect on our business and results of operations.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27, 2016, the Standing Rock Sioux Tribe and other Native American tribes (the “Tribes”) filed a lawsuit in the United States District Court for the District of Columbia (“District Court”) challenging permits issued by the USACE permitting Dakota Access to cross the Missouri River at Lake Oahe in North Dakota. The case was subsequently amended to challenge an easement issued by the USACE allowing the pipeline to cross land owned by the USACE adjacent to the Missouri River. As a result of this litigation, the District Court vacated the easement, ordered USACE to prepare an Environmental Impact Statement (“EIS”), and order the pipeline shutdown and drained of oil. Dakota Access and USACE appealed this decision and moved for a stay of the District Court’s orders. On August 5, 2020, the Court of Appeals granted a stay of the portion of the District Court order that required Dakota Access to shut the pipeline down and empty it of oil, but the Court of Appeals denied a stay of the easement vacatur. The August 5, 2020 order also stated that the Court of Appeals expected the USACE to clarify its position with respect to whether USACE intends to allow the continued operation of the pipeline notwithstanding the vacatur of the easement and that the District Court may consider additional relief, if necessary. Following this order, the Tribes filed a motion with the District Court seeking an injunction to prevent the continued operation of the pipeline. On January 26, 2021, the Court of Appeals affirmed the District Court’s order requiring an EIS and its order vacating the easement. In the same January 26</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 the Court of Appeals also overturned the District Court’s July 6, 2020 order that the pipeline be shut down and emptied of oil because of the lack of findings sufficient to satisfy the legal requirements for injunctive relief, including a finding of irreparable harm to the Tribes in the absence of an injunction. Dakota Access filed for rehearing en banc on April 12, 2021, which the Court of Appeals denied. On September 20, 2021, Dakota Access filed a petition with the U.S. Supreme Court to hear the case. Oppositions were filed by the Solicitor General and plaintiffs, and Dakota Access has filed its reply.</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District Court scheduled a status conference for February 10, 2021 to discuss the impact of the Court of Appeals’ ruling on the pending motion for injunctive relief, as well as USACE’s expectations as to how it will proceed in light of the Court of Appeals’ recent vacatur ruling. USACE filed a motion for a continuance of the status conference until April 9, 2021, and this motion was approved by the District Court on February 9, 2021. Dakota Access and the Tribes filed their supplemental declarations on April 19, 2021 and April 26, 2021, respectively. On April 26, 2021, the District Court requested that USACE advise it by May 3, 2021 as to USACE’s current position, if it has one, with respect to the motion. On May 3, 2021, USACE advised the District Court that it had not changed its position with respect to its opposition to the Tribes’ motion for injunction. The USACE also advised the District Court that it expected that the EIS will be completed by March 2022. On May 21, 2021 the District Court denied the plaintiffs’ request for an injunction. The District Court further directed the parties to file a joint status report by June 11, 2021 concerning potential next steps in the litigation. On June 22, 2021, the District Court terminated the consolidated lawsuits and dismissed all remaining outstanding counts without prejudice. On January 20, 2022, the Standing Rock Sioux Tribe withdrew as a cooperating agency on the draft EIS, prompting the USACE to temporarily pause on the draft EIS. On September 8, 2023, the USACE published the Draft EIS. Comments to the Draft EIS were due on December 13, 2023. The USACE anticipates that a Final EIS will be issued in December 2025 and a Record of Decision will be issued in early 2026. For further information, see Note 11 to our consolidated financial statements included in “Item 8. Financial Statements and Supplementary Data” in this annual report.</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interstate natural gas pipelines are subject to laws, regulations and policies governing the rates they are allowed to charge for their services, which may prevent us from fully recovering our costs.</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Laws, regulations and policies governing interstate natural gas pipeline rates could affect the ability of our interstate pipelines to establish rates, to charge rates that would cover future increases in its costs, or to continue to collect rates that cover current costs.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file with the FERC tariff rates (also known as recourse rates) that shippers may pay for interstate natural gas transportation services. We may also agree to discount these rates on a not unduly discriminatory basis or negotiate rates with shippers who elect not to pay the recourse rates. The FERC must approve or accept all rate filings for us to be allowed to charge such tariff rates.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FERC may review existing tariff rates on its own initiative or upon receipt of a complaint filed by a third-party. The FERC may, on a prospective basis, order refunds of amounts collected if it finds the rates to have been shown not to be just and reasonable or to have been unduly discriminatory. The FERC has recently exercised this authority with respect to several pipeline companies, including Panhandle. If the FERC were to initiate additional proceedings against us and find that our rates were not just and reasonable or were unduly discriminatory, the maximum rates we are permitted to charge may be reduced and the reduction could have an adverse effect on our revenues and results of operations.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costs of our interstate pipeline operations may increase, and we may not be able to recover all of those costs due to FERC regulation of our rates. If we propose to change our tariff rates, our proposed rates may be challenged by the FERC or third parties, and the FERC may deny, modify or limit our proposed changes if we are unable to persuade the FERC that changes would result in just and reasonable rates that are not unduly discriminatory. We also may be limited by the terms of rate case settlement agreements or negotiated rate agreements with individual customers from seeking future rate increases, or we may be constrained by competitive factors from charging our tariff rates.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our costs increase in an amount greater than our revenues increase, or there is a lag between our cost increases and our ability to file for and obtain rate increases, our operating results would be negatively affected. Even if a rate increase is permitted by the FERC to become effective, the rate increase may not be adequate. We cannot guarantee that our interstate pipelines will be able to recover all of our costs through existing or future rates.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ability of interstate pipelines held in tax-pass-through entities, like us, to include an allowance for income taxes as a cost-of-service element in their regulated rates has been subject to extensive litigation before the FERC and the courts for a number of years. 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(“ROE”) calculated using the discounted cash flow methodology. On July 18, 2018,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 On July 31, 2020, the United States Court of Appeals for the District of Columbia Circuit issued an opinion upholding FERC’s decision denying a separate master limited partnership recovery of an income tax allowance and its decision not to require the master limited partnership to refund accumulated deferred income tax balances. In light of the rehearing order’s clarification regarding individual entities’ ability to argue in support of recovery of an income tax allowance and the court’s subsequent opinion upholding denial of an income tax allowance to a master limited partnership, the impacts that FERC’s policy on the treatment of income taxes may have on the rates an interstate pipeline held in a tax-pass-through entity can charge for the FERC regulated transportation services are unknown at this time.</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without application of FERC’s recent rate making-related policy statements and rulemakings, under the NGA, FERC or our shippers may challenge the cost-of-service rates we charge. The FERC’s establishment of a just and reasonable rate is based on many components, including ROE and tax-related components, but also other pipeline costs that will continue to affect FERC’s determination of just and reasonable cost of service rate. Moreover, we receive revenues from our pipelines based on a variety of rate structures, including cost-of-service rates, negotiated rates, discounted rates and market-based rates. Many of our interstate pipelines, such as Tiger, Midcontinent Express and Fayetteville Express, have negotiated market rates that were agreed to by customers in connection with long-term contracts entered into to support the construction of the pipelines. Other systems, such as FGT, Transwestern and Panhandle, have a mix of tariff rate, discount rate, and negotiated rate agreements. The revenues we receive from natural gas transportation services we provide pursuant to cost-of-service based rates may decrease in the future as a result of changes to FERC policies, combined with the reduced corporate federal income tax rate established in the Tax Act. The extent of any revenue reduction related to our cost-of-service rates, if any, will depend on a detailed review of all of a pipeline’s cost-of-service components and the outcomes of any challenges to our rates by the FERC or our shippers.</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By an order issued on January 16, 2019, the FERC initiated a review of Panhandle’s then existing rates pursuant to Section 5 of the Natural Gas Act to determine whether the rates charged by Panhandle are just and reasonable and set the matter for hearing. On August 30, 2019, Panhandle filed a general rate proceeding under Section 4 of the Natural Gas Act. The Natural Gas Act Section 5 and Section 4 proceedings were consolidated by order of the Chief Judge on October 1, 2019. The initial decision by the administrative law judge was issued on March 26, 2021, and on December 16, 2022, the FERC issued its order on the initial decision. On January 17, 2023, Panhandle and the Michigan Public Service Commission each filed a request for rehearing of FERC’s order on the initial decision, which were denied by operation of law as of February 17, 2023. On March 23, 2023, Panhandle appealed these orders to the United States Court of Appeals for the District of Columbia Circuit (“Court of Appeals”), and the Michigan Public Service Commission also subsequently appealed these orders. On April 25, 2023, the Court of Appeals consolidated Panhandle’s and Michigan Public Service Commission’s appeals and stayed the consolidated appeal proceeding while the FERC further considered the requests for rehearing of its December 16, 2022 order. On September 25, 2023, the FERC issued its order addressing arguments raised on rehearing and compliance, which denied our requests for rehearing. Panhandle filed its Petition for Review with the Court of Appeals regarding the September 25, 2023 order. On October 25, 2023, Panhandle filed a limited request for rehearing of the September 25 order addressing arguments raised on rehearing and compliance, which was subsequently denied by operation of law on November 27, 2023. On November 17, 2023, Panhandle provided refunds to shippers and on November 30, 2023, Panhandle submitted a refund report regarding the consolidated rate proceedings, which was protested by several parties. On January 5, 2024, the FERC issued a second order addressing arguments raised on rehearing in which it modified certain discussion from its September 25, 2023 order and sustained its prior conclusions. Panhandle has timely filed its Petition for Review with the Court of Appeals regarding the January 5, 2024 order. On May 28, 2024, the FERC issued an order rejecting Panhandle’s refund report. On June 27, 2024, Panhandle filed a revised refund report in compliance with the FERC’s May 28, 2024 order rejecting Panhandle’s refund report and a request for rehearing of the FERC’s May 28, 2024 order rejecting Panhandle’s refund report, and provided revised refunds to shippers, or in the case of shippers whose revised refunds are less than the original amounts refunded, notices of upcoming debits. One party protested Panhandle’s revised refund report, and Panhandle submitted a response to the protest on July 24, 2024. By notice issued July 29, 2024, Panhandle’s rehearing request was deemed denied. In an ordered issued September 9, 2024, FERC addressed arguments raised on rehearing, modified the discussion in the May 28, 2024 order and continued to reach the same result. On September 18, 2024, Panhandle petitioned the Court of Appeals for review of the September 9, 2024, July 29, 2024, and May 28, 2024 orders. On December 5, 2024, the FERC issued an order rejecting Panhandle’s June 27, 2024, refund report, ordering a corrected refund report and directing the issuance of additional refunds. On January 3, 2025, Panhandle submitted an adjusted refund report as well as a request for rehearing of the FERC’s December 5, 2024 order. The FERC approved the adjusted refund report by letter order dated January 23, 2025. On February 3, 2025,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FERC issued a Notice of Denial of Rehearing by Operation of Law and Providing for Further Consideration. The request for rehearing will be addressed in a future order.</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2022, Transwestern filed a rate case pursuant to Section 4 of the NGA. By order dated September 9, 2022, a procedural schedule was adopted in this proceeding, setting the commencement of the hearing for June 22, 2023 with an initial decision anticipated by November 15, 2023. By a subsequent order dated February 14, 2023, the procedural schedule was suspended based on representations that the participants have reached an agreement in principle to resolve all issues in this proceeding and a settlement is being prepared for filing at FERC. A settlement was filed with the FERC on April 5, 2023, and approved by order dated June 30, 2023.</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interstate natural gas pipelines are subject to laws, regulations and policies governing terms and conditions of service, which could adversely affect our business and results of operations.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rate oversight, the FERC’s regulatory authority extends to many other aspects of the business and operations of our interstate natural gas pipelines, including:</w:t>
      </w:r>
    </w:p>
    <w:p>
      <w:pPr>
        <w:spacing w:after="0" w:line="54"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conditions of service;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types of services interstate pipelines may or must offer their customers;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siting and construction of new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extension or abandonment of services or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and information posting requirements;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records;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affiliated companies involved in all aspects of the natural gas and energy businesses.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these requirements can be costly and burdensome. In addition, we cannot guarantee that the FERC will authorize tariff changes and other activities we might propose and to undertake in a timely manner and free from potentially burdensome conditions. Future changes to laws, regulations, policies and interpretations thereof may impair our access to capital markets or may impair the ability of our interstate pipelines to compete for business, may impair their ability to recover costs or may increase the cost and burden of operation.</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FERC issued a Notice of Inquiry (“NOI”) on April 19, 2018 initiating a review of its policies on certification of natural gas pipelines, including an examination of its long-standing Policy Statement on Certification of New Interstate Natural Gas Pipeline Facilities (“1999 Policy Statement”), issued in 1999, that is used to determine whether to grant certificates for new pipeline projects. On February 18, 2021, the FERC issued another NOI (“2021 NOI”), reopening its review of the 1999 Policy Statement. Comments on the 2021 NOI were due on May 26, 2021. In September 2021, FERC issued a Notice of Technical Conference on Greenhouse Gas Mitigation related to natural gas infrastructure projects authorized under Sections 3 and 7 of the NGA. A technical conference was held on November 19, 2021, and post-technical conference comments were submitted to the FERC on January 7, 2022. On February 18, 2022, the FERC issued two new policy statements: (1) an Updated Policy Statement on the Certificate of New Interstate Natural Gas Facilities (“2022 Certificate Policy Statement”) and (2) a Policy Statement on the Consideration of Greenhouse Gas Emissions in Natural Gas Infrastructure Project Reviews (“GHG Policy Statement), to be effective that same day. On March 24, 2022, the FERC issued an order designating the 2022 Certificate Policy Statement and the GHG Policy Statement as draft policy statements, and requested further comments. The FERC stated that it will not apply the now draft policy statements to pending applications or applications to be filed at FERC until it issues any final guidance on these topics. Comments on the 2022 Certificate Policy Statement and the GHG Policy Statement were due on April 25, 2022, and reply comments were due on May 25, 2022. On January 24, 2025, the FERC issued an order withdrawing the draft GHG Policy Statement and terminating the proceeding. The FERC has taken no further action on the 2022 Certificate Policy Statement. We are unable to predict what, if any, changes may be proposed as a result of the 2022 Certificate Policy Statement that might affect our natural gas pipeline or LNG facility projects, or when such new policy, if any, might become effective. We do not expect that any change in this policy statement would affect us in a materially different manner than any other natural gas pipeline company operating in the United States.</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Rate regulation or market conditions may not allow us to recover the full amount of increases in the costs of our crude oil, NGL and refined products pipeline operations.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Transportation provided on our common carrier interstate crude oil, NGL and refined products pipelines is subject to rate regulation by the FERC, which requires that tariff rates for transportation on these oil pipelines be just and reasonable and not unduly discriminatory. If we propose new or changed rates, the FERC or interested persons may challenge those rates and the FERC is authorized to suspend the effectiveness of such rates for up to seven months and to investigate such rates. If, upon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completion of an investigation, the FERC finds that the proposed rate is unjust or unreasonable, it is authorized to require the carrier to refund revenues in excess of the prior tariff during the term of the investigation. The FERC also may investigate, upon complaint or on its own motion, rates that are already in effect and may order a carrier to change its rates prospectively. Upon an appropriate showing, a shipper may obtain reparations for damages sustained for a period of up to two years prior to the filing of a complaint.</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ratemaking methodology used by the FERC to authorize increases in the tariff rates of petroleum pipelines is price indexing. The FERC’s ratemaking methodologies may limit our ability to set rates based on our costs or may delay the use of rates that reflect increased costs. On March 25, 2020, the FERC issued a Notice of Inquiry seeking comment on a proposal to change the preliminary screen for complaints against oil pipeline index rate increases to a “Percentage Comparison Test” consistent with the preliminary screen used by the FERC for protests against oil pipeline index rate increases. The FERC also requested comment on whether the appropriate threshold for the screen is a 10% or more differential between a proposed index rate increase and the annual percentage change in cost of service reported by the pipeline. Initial comments were due June 16, 2020, and reply comments were due July 16, 2020.</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20, 2022, the FERC issued a policy statement on the Standard Applied to Complaints Against Oil Pipeline Index Rate Changes to establish guidelines regarding how the FERC will evaluate shipper complaints against oil pipeline index rate increases. Specifically, the policy statement adopted the proposal in the FERC’s earlier Notice of Inquiry issued on March 25, 2020 to eliminate the “Substantially Exacerbate Test” as the preliminary screen applied to complaints against index rate increases and instead adopt the proposal to apply the “Percentage Comparison Test” as the preliminary screen for both protests and complaints against index rate increases. At this time, we cannot determine the effect of a change in the FERC’s preliminary screen for complaints against index rates changes, however, a revised screen would result in a threshold aligned with the existing threshold for protests against index rate increases. Any complaint or protest raised by a shipper could materially and adversely affect our financial condition, results of operations or cash flows.</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18, 2020, FERC issued a NOI requesting comments on a proposed oil pipeline index for the five-year period commencing July 1, 2021 and ending June 30, 2026, and requested comments on whether and how the index should reflect the Revised Policy Statement and FERC’s treatment of accumulated deferred income taxes as well as FERC’s revised ROE methodology.</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December 17, 2020, FERC issued an order establishing a new index of PPI-FG plus 0.78%. The FERC received requests for rehearing of its December 17, 2020 order and on January 20, 2022, granted rehearing and modified the oil index. Specifically, for the five-year period commencing July 1, 2021 and ending June 30, 2026, FERC-regulated liquids pipelines charging indexed rates are permitted to adjust their indexed ceilings annually by PPI-FG minus 0.21%. FERC directed liquids pipelines to recompute their ceiling levels for July 1, 2021 through June 30, 2022, as well as the ceiling levels for the period July 1, 2022 to June 30, 2023, based on the new index level. Where an oil pipeline’s filed rates exceed its ceiling levels, FERC ordered such oil pipelines to reduce the rate to bring it into compliance with the recomputed ceiling level to be effective March 1, 2022. Some parties sought rehearing of the January 20 order with FERC, which was denied by FERC on May 6, 2022. Certain parties have appealed the January 20 and May 6 orders. On July 26, 2024, the D.C. Circuit ruled in </w:t>
      </w:r>
      <w:r>
        <w:rPr>
          <w:rFonts w:ascii="Times New Roman" w:cs="Times New Roman" w:eastAsia="Times New Roman" w:hAnsi="Times New Roman"/>
          <w:sz w:val="18"/>
          <w:szCs w:val="18"/>
          <w:i w:val="1"/>
          <w:iCs w:val="1"/>
          <w:color w:val="auto"/>
        </w:rPr>
        <w:t>LEPA v. FERC</w:t>
      </w:r>
      <w:r>
        <w:rPr>
          <w:rFonts w:ascii="Times New Roman" w:cs="Times New Roman" w:eastAsia="Times New Roman" w:hAnsi="Times New Roman"/>
          <w:sz w:val="18"/>
          <w:szCs w:val="18"/>
          <w:color w:val="auto"/>
        </w:rPr>
        <w:t xml:space="preserve"> that FERC violated the Administrative Procedure Act because the January 20 order modified the index without following notice and comment. As a result, the D.C. Circuit vacated the January 20 order and on September 17, 2024, the Commission reinstated the index level established by its original December 17 order, directed pipelines to file an informational filing to show their recomputed ceiling levels reflecting the reinstated index level and stated that pipelines may file to prospectively increase their indexed rates to their recomputed levels. On October 17, 2024, FERC issued a Supplemental NOPR that proposes a reduction to the currently effective index by one percent. The Supplemental NOPR, which remains pending before FERC, could result in the reimplementation through a notice-and-comment rulemaking of the same rulings that were vacated by the D.C. Circuit in </w:t>
      </w:r>
      <w:r>
        <w:rPr>
          <w:rFonts w:ascii="Times New Roman" w:cs="Times New Roman" w:eastAsia="Times New Roman" w:hAnsi="Times New Roman"/>
          <w:sz w:val="18"/>
          <w:szCs w:val="18"/>
          <w:i w:val="1"/>
          <w:iCs w:val="1"/>
          <w:color w:val="auto"/>
        </w:rPr>
        <w:t>LEPA v. FERC</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EPAct of 1992, certain interstate pipeline rates were deemed just and reasonable or “grandfathered.” Revenues are derived from such grandfathered rates on most of our FERC-regulated pipelines. A person challenging a grandfathered rate must, as a threshold matter, establish a substantial change since the date of enactment of the EPAct of 1992, in either the economic circumstances or the nature of the service that formed the basis for the rate. If the FERC were to find a substantial change in circumstances, then the existing rates could be subject to detailed review and there is a risk that some rates could be found to be in excess of levels justified by the pipeline’s costs. In such event, the FERC could order us to reduce pipeline rates prospectively and to pay refunds to shippers.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FERC’s petroleum pipeline ratemaking methodologies procedures changes, the new methodology or procedures could adversely affect our business and results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regulatory measures could adversely affect the business and operations of our midstream and intrastate pipeline and storage assets.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midstream and intrastate transportation and storage operations are generally exempt from FERC regulation under the NGA, but FERC regulation still significantly affects our business and the market for our products. The rates, terms and conditions of service for the interstate services we provide in our intrastate gas pipelines and gas storage are subject to FERC regulation under Section 311 of the NGPA. Our pipeline systems of Enable Oklahoma Intrastate Transmission, LLC, Oasis Pipeline, LP, Houston Pipe Line Company LP, ETC Katy Pipeline, LLC, Energy Transfer Fuel, LP, Lobo Pipeline Company, LLC, Pelico Pipeline, LLC, Regency Intrastate Gas LP, Red Bluff Express Pipeline, LLC, Trans-Pecos Pipeline, LLC and Comanche Trail Pipeline, LLC provide such services. Under Section 311, rates charged for transportation and storage must be fair and equitable. Amounts collected that are determined to be in excess of fair and equitable rates are subject to refund with interest, and the terms and conditions of service, set forth in the pipeline’s statement of operating conditions, are subject to FERC review and approval. Should the FERC determine not to authorize rates equal to or greater than our costs of service, our cash flow would be negatively affected.</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midstream and intrastate gas and oil transportation pipelines and our intrastate gas storage operations are subject to state regulation. All of the states in which we operate midstream assets, intrastate pipelines or intrastate storage facilities have adopted some form of complaint-based regulation, which allow producers and shippers to file complaints with state regulators in an effort to resolve grievances relating to the fairness of rates and terms of access. The states in which we operate have ratable take statutes, which generally require gathering pipelines to take, without undue discrimination, production that may be tendered to the gatherer for handling. Similarly, common purchaser statutes generally require gatherers to purchase without undue discrimination as to source of supply or producer. These statutes have the effect of restricting our right as an owner of gathering facilities to decide with whom we contract to purchase or transport natural gas. Should a complaint be filed in any of these states or should regulation become more active, our business may be adversely affected.</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intrastate transportation operations located in Texas are also subject to regulation as gas utilities by the TRRC. Texas gas utilities must publish the rates they charge for transportation and storage services in tariffs filed with the TRRC, although such rates are deemed just and reasonable under Texas law unless challenged in a complaint.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other forms of state regulation, including requirements to obtain operating permits, reporting requirements, and safety rules (see description of federal and state pipeline safety regulation below). Violations of state laws, regulations, orders and permit conditions can result in the modification, cancellation or suspension of a permit, civil penalties and other relief.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of our assets may become subject to regulation.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distinction between federally unregulated gathering facilities and FERC-regulated transmission pipelines under the NGA has been the subject of extensive litigation and may be determined by the FERC on a case-by-case basis, although the FERC has made no determinations as to the status of our facilities. Consequently, the classification and regulation of our gathering facilities could change based on future determinations by the FERC, the courts or Congress. If our gas gathering operations become subject to FERC jurisdiction, the result may adversely affect the rates we are able to charge and the services we currently provide, and may include the potential for a termination of our gathering agreements with our customers.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Intrastate transportation of NGLs is largely regulated by the state in which such transportation takes place. Energy Transfer GC NGL’s pipeline transports NGLs within the state of Texas and is subject to regulation by the TRRC. This NGLs transportation system offers services pursuant to an intrastate transportation tariff on file with the TRRC. In 2013, Energy Transfer GC NGL’s pipeline also commenced the interstate transportation of NGLs, which is subject to the FERC’s jurisdiction under ICA and the EPAct of 1992. Both intrastate and interstate NGL transportation services must be provided in a manner that is just, reasonable, and non-discriminatory. The tariff rates established for interstate services were based on a negotiated agreement; however, if the FERC’s ratemaking methodologies were imposed, they may, among other things, delay the use of rates that reflect increased costs and subject us to potentially burdensome and expensive operational, reporting and other requirements. In addition, the rates, terms and conditions for shipments of crude oil, petroleum products and NGLs on our pipelines are subject to regulation by the FERC if the NGLs are transported in interstate or foreign commerce, whether by our pipelines or other means of transportation. Since we do not control the entire transportation path of all crude oil, petroleum products and NGLs on our pipelines, FERC regulation could be triggered by our customers’ transportation decisions.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any of our pipelines were found to have provided services or otherwise operated in violation of the NGA, NGPA, or ICA, this could result in the imposition of administrative and criminal remedies and civil penalties, as well as a requirement to disgorge charges collected for such services in excess of the rate established by the FERC. Any of the foregoing could adversely affect revenues and cash flow related to these assets.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incur significant costs and liabilities resulting from performance of pipeline integrity programs and related repairs.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authority under the NGPSA and HLPSA, PHMSA has established a series of rules requiring pipeline operators to develop and implement integrity management programs for natural gas transmission and hazardous liquid pipelines that, in the event of a pipeline leak or rupture, could affect high consequence areas (“HCAs”) which are areas where a release could have the most significant adverse consequences, including high population areas, certain drinking water sources, and unusually sensitive ecological areas. These regulations require operators of covered pipelines to:</w:t>
      </w:r>
    </w:p>
    <w:p>
      <w:pPr>
        <w:spacing w:after="0" w:line="72"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ongoing assessments of pipeline integrity;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characterize applicable threats to pipeline segments that could impact a high consequence area;</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data collection, integration and analysis;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and remediate the pipeline as necessary;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preventive and mitigating actions.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states have adopted regulations similar to existing PHMSA regulations for intrastate gathering and transmission lines. At this time, we cannot predict the ultimate cost of compliance with applicable pipeline integrity management regulations, as the cost will vary significantly depending on the number and extent of any repairs found to be necessary as a result of the pipeline integrity testing. We will continue our pipeline integrity testing programs to assess and maintain the integrity of our pipelines. The results of these tests could cause us to incur significant and unanticipated capital and operating expenditures for repairs or upgrades deemed necessary to ensure the continued safe and reliable operation of our pipelines. Any changes to pipeline safety laws by Congress and regulations by PHMSA that result in more stringent or costly safety standards could have a significant adverse effect on us and similarly situated midstream operators. For example, in October 2019, PHMSA published the first of three regulations relating to new or more stringent requirements for certain natural gas lines and gathering lines, that had originally been proposed in 2016 as part of PHMSA’s “Gas Megarule.” The rulemaking imposed numerous requirements on onshore gas transmission pipelines relating to MAOP, reconfirmation and exceedance reporting, the integrity assessment of additional pipeline mileage found in MCAs, non-HCAs, Class 3 and Class 4 areas by 2023, and the consideration of seismicity as a risk factor in integrity management. PHMSA’s second final rule, applicable to hazardous liquid transmission and gathering pipelines, significantly extended and expanded the reach of certain integrity management requirements, use of in-line inspection tools by 2039 (unless the pipeline cannot be modified to permit such use), increased annual, accident, and safety-related conditional reporting requirements, and expanded use of leak detection systems beyond HCAs. The third final rule was published in August 2022, which adjusted the repair criteria for pipelines in HCAs, created new criteria for pipelines in non-HCAs, and strengthened integrity management assessment requirements, among other items. The changes adopted by these rulemakings could have a material adverse effect on our results of operations and costs of transportation services.</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Federal and state legislative and regulatory initiatives relating to pipeline safety that require the use of new or more stringent safety controls or result in more stringent enforcement of applicable legal requirements could subject us to increased capital costs, operational delays and costs of operation.</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NGPSA and HLPSA were amended by the Pipeline Safety, Regulatory Certainty, and Job Creation Act of 2011 (“2011 Pipeline Safety Act”). Among other things, the 2011 Pipeline Safety Act increased the penalties for safety violations and directed the Secretary of Transportation to promulgate rules or standards relating to expanded integrity management requirements, automatic or remote-controlled valve use, excess flow valve use, leak detection system installation, testing to confirm that the material strength of certain pipelines are above 30% of specified minimum yield strength, and operator verification of records confirming the MAOP of certain interstate natural gas transmission pipelines. PHMSA is required to adjust the maximum penalties it may impose for violations for inflation; these maximum civil penalties were most recently increased in December 2023 to $266,015 per violation per day, with a maximum of $2,660,135 for a related series of violations. Upon reauthorization of PHMSA, Congress directed the agency to move forward with several regulatory actions, including the “Pipeline Safety: Class Location Change Requirements” and the “Pipeline Safety: Safety of Gas Transmission and Gathering Pipelines” proposed rulemaking, To that end, PHMSA issued the three final rules discussed above, significantly expanding reporting and safety requirements of operators of gas gathering pipelines, imposing safety regulations on approximately 400,000 miles of previously unregulated onshore gas gathering lines that, among other things, will impose criteria for inspection and repair of fugitive emissions, extend reporting requirements to all gas gathering operators, and apply a set of minimum safety requirements to certain gas gathering pipelines with large diameters and high operating pressures. The safety enhancement requirements and other provisions of Congressional mandates to PHMSA, as well as any implementation of PHMSA rules thereunder or any issuance or reinterpretation of guidance by PHMSA or any state agencies with respect thereto, could require us to install new or modified safety controls, pursue additional capital projects, or conduct maintenance programs on an accelerated basis, any or all of which tasks could result in our incurring increased operating costs that could be significant and have a material adverse effect on our results of operations or financial condition.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Our business involves the generation, handling and disposal of hazardous substances, hydrocarbons and </w:t>
      </w:r>
      <w:r>
        <w:rPr>
          <w:rFonts w:ascii="Times New Roman" w:cs="Times New Roman" w:eastAsia="Times New Roman" w:hAnsi="Times New Roman"/>
          <w:sz w:val="18"/>
          <w:szCs w:val="18"/>
          <w:color w:val="auto"/>
        </w:rPr>
        <w:t>w</w:t>
      </w:r>
      <w:r>
        <w:rPr>
          <w:rFonts w:ascii="Times New Roman" w:cs="Times New Roman" w:eastAsia="Times New Roman" w:hAnsi="Times New Roman"/>
          <w:sz w:val="18"/>
          <w:szCs w:val="18"/>
          <w:i w:val="1"/>
          <w:iCs w:val="1"/>
          <w:color w:val="auto"/>
        </w:rPr>
        <w:t>astes which activities are subject to environmental and worker health and safety laws and regulations that may cause us to incur significant costs and liabilities.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business is subject to stringent federal, tribal, state, and local laws and regulations governing the discharge of materials into the environment, worker health and safety and protection of the environment. These laws and regulations may require the acquisition of permits for the construction and operation of our pipelines, plants and facilities, result in capital expenditures to manage, limit or prevent emissions, discharges or releases of various materials from our pipelines, plants and facilities, impose specific health and safety standards addressing worker protection, and impose substantial liabilities for pollution resulting from our construction and operations activities. Several governmental authorities, such as the EPA and analogous state agencies have the power to enforce compliance with these laws and regulations and the permits issued under them and frequently mandate difficult and costly remediation measures and other actions. Failure to comply with these laws, regulations and permits may result in the assessment of significant administrative, civil and criminal penalties, the imposition of investigatory remedial and corrective action obligations, suspension and debarment from federal contracting opportunities, the occurrence of delays in permitting and completion of projects, and the issuance of injunctive relief. For example, following a state grand jury investigation and the filing of charges alleging criminal misconduct involving the construction and related activities of the Mariner East 2 pipeline (“Mariner 2”), in August 2022 we entered into a plea of no contest with the Pennsylvania Attorney General’s Office that requires us to pay fines to the Commonwealth, pay for independent evaluations of potential water quality impacts to residential water supplies and compensate any affected homeowners, and to also pay $10 million to support water quality improvement projects. Any additional requirements from the PADEP regarding Mariner 2 or other of our pipeline projects may result in delays in the completion of these projects. Subsequently, the EPA issued a Notice of Proposed Debarment (“NPD”) on October 28, 2022, arising from SPLP’s and ETC Northeast Pipeline, LLC’s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plea agreements and convictions for violations of Pennsylvania’s Clean Streams Law related to the Revolution and Mariner 2 pipelines. The following entities were proposed for debarment: (1) SPLP (pleading entity); (2) ETC Northeast Pipeline, LLC (pleading entity); (3) Energy Transfer LP; (4) SemGroup LLC; and (5) LE GP, LLC. The NPD presently prevents the named entities from pursuing or renewing Federal government contracts or Federal financial assistance agreements. While we are engaging with the EPA to attempt to resolve the matter, at this time there can be no assurance that the EPA will not finalize a debarment applicable to the named entities for a set period of time, or expand the debarment to other Energy Transfer affiliates. Currently, none of the entities named in the NPD are party to any Federal government contracts or Federal financial assistance agreements.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environmental laws impose strict, joint and several liability for costs required to clean up and restore sites where hazardous substances, hydrocarbons or wastes have been disposed or released, even under circumstances where the substances, hydrocarbons or wastes have been released by a predecessor operator. Moreover, it is not uncommon for neighboring landowners and other third parties to file claims for personal injury and property and natural resource damage allegedly caused by noise, odor or the release of hazardous substances, hydrocarbons or wastes into the environment.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incur substantial environmental costs and liabilities because of the underlying risk arising out of our operations. Although we have established financial reserves for our estimated environmental remediation liabilities, additional contamination or conditions may be discovered, resulting in increased remediation costs, liabilities or natural resource damages that could substantially increase our costs for site remediation projects. Accordingly, we cannot assure you that our current reserves are adequate to cover all future liabilities, even for currently known contamination.</w:t>
      </w:r>
    </w:p>
    <w:p>
      <w:pPr>
        <w:spacing w:after="0" w:line="1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Changes in environmental laws and regulations occur frequently, and any such changes that result in more stringent and costly waste handling, emission standards, or storage, transport, disposal or remediation requirements could have a material adverse effect on our operations or financial position. For example, in October 2015, the EPA published a final rule under the Clean Air Act, lowering the National Ambient Air Quality Standard (“NAAQS”) for ground-level ozone to 70 parts per billion for the 8-hour primary and secondary ozone standards, and the EPA finalized its attainment/non-attainment designations in 2018, though these are subject to change. In December 2020, the EPA announced that it was retaining without revision the 2015 NAAQS for ozone. However, several groups filed litigation over the December 2020 decision, and the Biden Administration announced plans to formally review this decision. In August 2023, the EPA announced a new review of the ozone NAAQS to reflect updated ozone science in combination with the reconsideration of the December 2020 decision. However, the review remains ongoing and is not expected to be completed before the EPA’s five-year cycle for NAAQS review in December 2025. At this time, it is not clear what actions the Trump Administration may take with respect to the review. However, reclassification of areas or imposition of more stringent standards may make it more difficult to construct new or modified sources of air pollution in newly designated non-attainment areas. Also, states are expected to implement more stringent requirements as a result of this new final rule, which could apply to our customers’ operations. Compliance with this final rule or any other new regulations could, among other things, require installation of new emission controls on some of our equipment, result in longer permitting timelines or new restrictions or prohibitions with respect to permits or projects, and significantly increase our capital expenditures and operating costs, which could adversely impact our business. Historically, we have been able to satisfy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 stringent nitrogen oxide emission reduction requirements that affect our compressor units in ozone non-attainment areas at reasonable cost, but there is no assurance that we will not incur material costs in the future to meet the new, more stringent ozone standard.</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Regulations under the Clean Water Act, the OPA, and state laws impose regulatory burdens on terminal operations. Spill prevention control and countermeasure requirements of federal and state laws require containment to mitigate or prevent contamination of waters in the event of a refined product overflow, rupture, or leak from above-ground pipelines and storage tanks. The Clean Water Act also requires us to maintain spill prevention control and countermeasure plans at our terminal facilities with above-ground storage tanks and pipelines. In addition, OPA requires that most fuel transport and storage companies maintain and update various oil spill prevention and oil spill contingency plans. Facilities that are adjacent to water require the engagement of Federally Certified Oil Spill Response Organizations to be available to respond to a spill on water from above-ground storage tanks or pipelines.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Transportation and storage of refined products over and adjacent to water involves risk and potentially subjects us to strict, joint, and potentially unlimited liability for removal costs and other consequences of an oil spill where the spill is into navigable waters, along shorelines or in the exclusive economic zone of the United States.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 oil spill into navigable waters, substantial liabilities could be imposed upon us. The Clean Water Act imposes restrictions and strict controls regarding the discharge of pollutants into navigable waters, with the potential of substantial liability for the violation of permits or permitting requirements.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Terminal operations and associated facilities are subject to the Clean Air Act as well as comparable state and local statutes. Under these laws, permits may be required before construction can commence on a new source of potentially significant air emissions, and operating permits may be required for sources that are already constructed. If regulations become more stringent, additional emission control technologies.</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Climate change legislation or regulations restricting emissions of GHGs could result in increased operating costs and reduced demand for the services we provide.</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Climate change continues to attract considerable public, governmental and scientific attention. As a result, numerous proposals have been made at the international, national, regional and state levels of government to monitor and limit emissions of GHGs. These efforts have included consideration of cap-and-trade programs, carbon taxes and GHG reporting and tracking programs, and regulations that directly limit GHG emissions from certain sources. In the United States, no comprehensive climate change legislation has been implemented at the federal level to date. However, Canada has implemented a federal carbon pricing regime. In August 2022, the IRA 2022 was signed into law, which appropriates significant federal funding for renewable energy initiatives and amends the federal Clean Air Act to impose a first-time fee on the emission of methane from sources required to report their GHG emissions to the EPA. The IRA 2022 imposes a methane emissions charge on sources required to report their GHG emissions to the EPA, which started in calendar year 2024 at $900 per ton of methane, increased to $1,200 in 2025, and will be set at $1,500 for 2026 and each year after. Calculation of the fee is based on certain thresholds established in the IRA 2022. We cannot predict if Congress may take actions to repeal or revise the IRA 2022, including with respect to the methane emissions charge. Additionally, the EPA has adopted rules under authority of the Clean Air Act that, among other things, establish PSD construction and Title V operating permit reviews for GHG emissions from certain large stationary sources that are also potential major sources of certain principal, or criteria, pollutant 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 2015, the EPA amended and expanded the GHG reporting requirements to all segments of the oil and natural gas industry, including gathering and boosting facilities and blowdowns of natural gas transmission.</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Federal agencies also have begun directly regulating GHG emissions, such as methane, from oil and natural gas operations. In June 2016, the EPA published NSPS, known as Subpart OOOOa, that require certain new, modified or reconstructed facilities in the oil and natural gas sector to reduce these methane gas and VOC emissions. These Subpart OOOOa standards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In September 2020, the EPA finalized amendments to Subpart OOOOa that rescind the methane limits for new, reconstructed and modified oil and natural gas production sources while leaving in place the general emission limits for VOCs. In addition, the rulemaking removes from the oil and natural gas category the natural gas transmission and storage segment. However, Congress passed, and President Biden signed into law, a revocation of the 2020 rulemaking, effectively reinstating the 2016 standards. Additionally, 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December 2023, the EPA issued a final rule that established OOOOb new source and OOOOc first-time existing source standards of performance for GHG and VOC emissions for crude oil and natural gas well sites, natural gas gathering and boosting compressor stations, natural gas processing plants, and transmission and storage facilities, Owners or operators of affected emission units or processes will have to comply with specific standards of performance that may include leak detection using optical gas imaging and subsequent repair requirements, reduction of emissions by 95% through capture and control systems, zero-emission requirements, operations and maintenance requirements, and so-called “green well” completion requirements. The December 2023 rule also revises requirements for fugitive emissions monitoring and repair as well as equipment leaks and the frequency of monitoring surveys, establishes a “super-emitter” response program to timely mitigate emissions events, triggering certain response and repair requirements, and provides additional options for the use of advanced monitoring to encourage the deployment of innovative technologies to detect and reduce methane emissions. Fines and penalties for violations of these rules can be substantial. However, the EPA’s final rule is currently being challenged by 23 states and a coalition of industry groups in the U.S. Circuit Court of Appeals for the D.C. Circuit. Several states have also adopted, or are considering, adopting, regulations related to GHG emissions, some of which are more stringent than those implemented by the federal government. Methane emission standards imposed on the oil and gas sector could result in increased costs to our operations or those of our customers as well as result in delays or curtailment in such operations, which costs, delays or curtailment could adversely affect our business.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international level, in December 2015, the United States joined the international community at the 21st Conference of the Parties of the United Nations Framework Convention on Climate Change in Paris, France in signing the “Paris Agreement,” a treaty that requires member countries to submit individually-determined, non-binding GHG emission reduction goals every five years beginning in 2020. Although the United States withdrew from the Agreement under the Trump Administration, President Biden recommitted the United States in February 2021, and, in April 2021, announced a new, more rigorous nationally determined emissions reduction level of 50-52% reduction from 2005 levels in economy-wide net GHG emissions by 2030. However, in January 2025, President Trump signed an executive order once again withdrawing the United States from the Paris Agreement and from any other commitments made under the United Nations Framework Convention on Climate Change. Additionally, President Trump revoked any purported financial commitments made by the United States pursuant to the same. The full impact of these recent developments is uncertain at this time</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adoption, strengthening and implementation of any international, federal or state legislation or regulations that require reporting of GHGs or otherwise restrict emissions of GHGs could result in increased compliance costs or additional operating restrictions, and could have a material adverse effect on our business, financial condition, demand for our services, results of operations, and cash flows. Litigation risks are also increasing, as several oil and gas companies have been sued for allegedly causing climate-related damages due to their production and sale of fossil fuel products or for allegedly being aware of the impacts of climate change for some time but failing to adequately disclose such risks to their investors or customers.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also increasing financing risks for fossil fuel energy companies, as various investors become increasingly concerned about the potential effects of climate change and may elect in the future to shift some or all of their investments into other sectors. Institutional lenders who provide financing for fossil fuel energy companies also have become more attentive to sustainable lending practices that favor “clean” power sources such as wind and solar photovoltaic, making those sources more attractive for investment, and some of them may elect not to provide funding for fossil fuel energy companies. Such efforts could make it more difficult for exploration and production companies and midstream companies, like us, to secure funding as well as negatively affect the cost of, and terms for, financings to fund growth projects or other aspects of our business. Additionally, in March 2024 the SEC released a final rule requiring climate disclosures. However, the future of the rule is uncertain at this time given that its implementation has been stayed pending the outcome of legal challenges. Moreover, the SEC may, under the current administration, seek to change or revoke the rule, though we cannot predict whether such action will occur or its timing.</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Climatic events in the areas in which we operate, whether from climate change or otherwise, can cause disruptions, and in some cases, delays in, or suspension of, our services. These event, including but not limited to drought, winter storms, wildfire, extreme temperatures or flooding, may become more intense or more frequent as a result of climate change and could have an adverse effect on our continued operations. If such effects were to occur, our operations could be adversely affected in various ways, including damages to our facilities or our customers’ facilities from powerful winds or rising waters. We may experience increased insurance costs, or difficulty obtaining adequate insurance coverage, for our assets in areas subject to more frequent severe weather. We may not be able to recoup these increased costs through the rates we charge our customers. Extreme weather events could cause damage to property or facilities that could exceed our insurance coverage and our business, financial condition and results of operations could be adversely affected.</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Another possible consequence of climate change is increased volatility in seasonal temperatures. The market for our NGLs and natural gas is generally improved by periods of colder weather and impaired by periods of warmer weather, so any changes in climate could affect the market for the fuels that we transport, and thus demand for our services. Despite the use of the term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warming” as a shorthand for climate change, some studies indicate that climate change could cause some areas to experience temperatures substantially colder than their historical averages. As a result, it is difficult to predict how the market for our products could be affected by increased temperature volatility, although if there is an overall trend of warmer temperatures, it would be expected to have an adverse effect on our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climate-related decrease in demand for crude oil, natural gas and other hydrocarbon products could negatively affect our business.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Supply and demand for crude oil, natural gas and other hydrocarbon products we handle is dependent upon a variety of factors, many of which are beyond our control. These factors include, among others, the potential adoption of new government regulations, including those related to fuel conservation measures and climate change regulations, technological advances in fuel economy and energy generation devices. For example, legislative, regulatory or executive actions intended to reduce emissions of GHGs could increase the cost of consuming crude oil, natural gas and other hydrocarbon products, thereby potentially causing a reduction in the demand for such products. A broader transition to alternative fuels or energy sources, whether resulting from potential new government regulation, carbon taxes, governmental incentives and funding such as those provided in the IRA 2022, or consumer preferences could result in decreased demand for hydrocarbon products like crude oil, natural gas and NGLs that we handle. Any decrease in demand for these products could consequently reduce demand for our services and could have a negative effect on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Increased attention to ESG matters and conservation measures may adversely impact our business.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Increasing attention from investors, customers, employees, regulatory bodies and other stakeholders to, and societal expectations on companies to address climate change and other environmental and social impacts, investor and societal expectations regarding voluntary ESG disclosures, and consumer demand for alternative forms of energy may result in increased costs, reduced demand for fossil fuels and consequently demand for our midstream services, reduced profits, increased risk of investigations and litigation, heightened scrutiny of our statements and initiatives, and negative impacts on the value of our assets and access to capital. Increasing attention to climate change and environmental conservation, for example, may result in reduced demand for oil and natural gas products and additional governmental investigations and private litigation against us or our customers. To the extent that societal pressures or political or other factors are involved, it is possible that such liability could be imposed without regard to our causation of or contribution to climate change or asserted damage to the environment, or to other mitigating factors. While we may participate in various voluntary frameworks and certification programs to improve the ESG profile of our operations and products, we cannot guarantee that such participation or certification will have the intended results on our ESG profile. Moreover, while we are pursuing various low-carbon opportunities such as renewable power generation, renewable fuels, and carbon capture and storage projects through our alternative energy initiatives to address potential energy transition related risks, we cannot guarantee that we will be able to execute these projects in a timely manner because of permitting, technology, or other risks or that such opportunities will ultimately be successful.</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while we create and publish voluntary disclosures regarding ESG matters from time to time, many of the statements in those voluntary disclosures will be based on expectations, assumptions and hypothetical scenarios. Such expectations, assumptions and hypothetical scenarios are necessarily uncertain and may be prone to error or subject to misinterpretation given the long timelines involved and the lack of an established single approach to identifying, measuring, and reporting on many ESG matters. Additionally, while we may have or may announce various voluntary ESG targets in the future, such targets are often aspirational. We may not be able to meet such targets in the manner or on such a timeline as initially contemplated, including, but not limited to as a result of unforeseen costs or technical difficulties associated with achieving such results. To the extent we meet such targets, it may be achieved through various contractual arrangements, including the purchase of various credits or offsets that may be deemed to mitigate our ESG impact instead of actual changes in our business operations. Some of these arrangements may receive scrutiny from certain constituencies. Also, despite any aspirational goals, we may receive pressure from investors, lenders, or other groups to adopt more aggressive climate or other ESG-related goals, but we cannot guarantee that we will be able to implement such goals because of potential costs or technical or operational obstacles.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or initiatives with respect to ESG matters that we may pursue or assert are increasingly subject to heightened scrutiny from the public and governmental authorities, as well as other parties. For example, the SEC has recently taken enforcement action against companies for ESG-related misconduct, including alleged “greenwashing,” (i.e., the process of conveying misleading information or making false claims that overstate potential ESG benefits). Certain regulators, such as the SEC and various state agencies, as well as nongovernmental organizations and other private actors have filed lawsuits under various securities and consumer protection laws alleging that certain ESG statements, goals or standards were misleading, false or otherwise deceptive. Certain employment practices and social initiatives are the subject of scrutiny by both those calling for the continued advancement of such policies, as well as those who believe they should be curbed, including government actors, and the complex regulatory and legal frameworks applicable to such initiatives continue to evolve. More recent political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developments could mean that the Partnership faces increasing criticism or litigation risks from certain “anti-ESG” parties, including various governmental agencies. Such sentiment may focus on the Partnership’s environmental commitments (such as reducing GHG emissions) or its pursuit of certain employment practices or social initiatives that are alleged to be political or polarizing in nature or are alleged to violate laws based, in part, on changing priorities of, or interpretations by, federal agencies or state governments. Consideration of ESG-related factors in the Partnership’s decision-making could be subject to increasing scrutiny and objection from such anti-ESG parties. We cannot be certain of the impact of such regulatory, legal and other developments on our business. As a result, the Partnership may be subject to pressure in the media or through other means, such as governmental investigations, enforcement actions, or other proceedings, all of which could adversely affect our reputation, business, financial performance, market access and growth. Accordingly, there may be increased costs related to reviewing, implementing and managing such policies, as well as compliance and litigation risks based both on positions we do or do not take, or work we do or do not perform.</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ESG matters. While such ratings do not impact all investors’ investment or voting decisions, unfavorable ESG ratings and recent activism directed at shifting funding away from companies with energy-related assets could lead to increased negative investor sentiment toward us and our industry and to the diversion of investment to other industries, which could have a negative impact on our access to and costs of capital. Additionally, to the extent ESG matters negatively impact our reputation, we may not be able to compete as effectively to recruit or retain employees, which may adversely affect our operations.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ESG-related matters may also impact our customers or suppliers, which may adversely impact our business, financial condition, or results of operations.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swaps regulatory provisions of the Dodd-Frank Act and the rules adopted thereunder could have an adverse effect on our ability to use derivative instruments to mitigate the risks of changes in commodity prices and interest rates and other risks associated with our business.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“Dodd-Frank Act”) requires that certain classes of swaps be cleared on a derivatives clearing organization and traded on a designated contract markets or other regulated exchange, unless exempt from such clearing and trading requirements, which could result in the application of certain margin requirements imposed by derivatives clearing organizations and their members. The CFTC and prudential regulators have also adopted mandatory margin requirements for uncleared swaps entered into between swap dealers and certain other counterparties. We currently qualify for and rely upon an end-user exception from such clearing and margin requirements for the swaps we enter into to hedge our commercial risks. However, the application of the mandatory clearing and trade execution requirements and the uncleared swaps margin requirements to other market participants, such as swap dealers, may adversely affect the cost and availability of the swaps that we use for hedging.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Dodd-Frank Act, the European Union and other foreign regulators have adopted and are implementing local reforms generally comparable with the reforms under the Dodd-Frank Act. Implementation and enforcement of these regulatory provisions may reduce our ability to hedge our market risks with non-U.S. counterparties and may make transactions involving cross-border swaps more expensive and burdensome. Additionally, the lack of regulatory equivalency across jurisdictions may increase compliance costs and make it more difficult to satisfy our regulatory obligations.</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Additional deepwater drilling laws and regulations, delays in the processing and approval of drilling permits and exploration, development, oil spill-response and decommissioning plans, and other related developments may have a material adverse effect on our business, financial condition, or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Bureau of Ocean Energy Management (“BOEM”) and the federal Bureau of Safety and Environmental Enforcement (“BSEE”), each agencies of the DOI, have imposed more stringent permitting procedures and regulatory safety and performance requirements for new wells to be drilled in federal waters. Compliance with these more stringent regulatory requirements and with existing environmental and oil spill regulations, together with any uncertainties or inconsistencies in decisions and rulings by governmental agencies, delays in the processing and approval of drilling permits or exploration, development, oil spill-response and decommissioning plans, and possible additional regulatory initiatives could result in difficult and more costly actions and adversely affect or delay new drilling and ongoing development efforts.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new regulatory initiatives may be adopted or enforced by the BOEM or the BSEE in the future that could result in additional costs, delays, restrictions, or obligations with respect to oil and natural gas exploration and production operations conducted offshore by certain of our customers. Separately, in April 2024, BOEM issued a final rule which significantly increases the amount of new supplemental financial assurance required for offshore oil and gas lessees and other operators. The final rule, which became effective in June 2024, adopts a three-year phased compliance period for full payment of a supplemental financial assurance demand. BOEM anticipates it will take up to 24 months to complete the processing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financial assurance demands for execution. Rules such as this, as well as any new rules, regulations, or legal initiatives, could delay or disrupt our customers’ operations, increase the risk of expired leases due to the time required to develop new technology, result in increased supplemental bonding and costs, limit activities in certain areas, or cause our customers’ to incur penalties, or shut-in production or lease cancellation. Also, if material spill events were to occur in the future, the United States or other countries could elect to issue directives to temporarily cease drilling activities offshore and, in any event, may from time to time issue further safety and environmental laws and regulations regarding offshore oil and gas exploration and development. The overall costs imposed on our customers to implement and complete any such spill response activities or any decommissioning obligations could exceed estimated accruals, insurance limits, or supplemental bonding amounts, which could result in the incurrence of additional costs to complete. Separately, in January 2021, the Biden Administration issued orders temporarily suspending the issuance of new authorizations and suspending the issuance of new leases pending completion of a review of current practices, for oil and gas development on federal lands and waters. The suspension of these federal leasing activities prompted legal action by several states against the Biden Administration, resulting in issuance of a nationwide preliminary injunction by a federal district judge in Louisiana in June 2021 and permanent injunction in August 2022, effectively halting implementation of the leasing suspension. In September 2023, the DOI published a proposed final offshore leasing program for 2024 – 2029, which was then approved by the Secretary of the Interior and authorized three Gulf of America leasing sales. Relatedly, the DOI released its report on federal gas leasing and permitting practices in November 2021, referencing a number of recommendations and an overarching intent to modernize the federal oil and gas leasing program, including by adjusting royalty and bonding rates, prioritizing leasing in areas with known resource potential, and avoiding leasing that conflicts with recreation, wildlife habitat, conservation, and historical and cultural resources. Implementation of many of the recommendations in the DOI report will require Congressional action and we cannot predict the extent to which the recommendations may be implemented now or in the future, but restrictions on federal oil and gas activities have the potential to result in increased costs on us and our customers, decrease demand for our services on federal lands, and adversely impact our business and adversely impact our business. For example, in 2024, the DOI finalized a rule to modernize the fiscal terms of the leasing program, increase costs associated with such leases and add new criteria for the DOI to consider when deciding whether to lease nominated lands. We cannot predict with any certainty the full impact of any new laws or regulations on our customers’ drilling operations or on the cost or availability of insurance to cover some or all of the risks associated with such operations. The occurrence of any one or more of these developments could result in decreased demand for our services, which could have a material adverse effect on our business as well as our financial position, results of operation and liquidity.</w:t>
      </w:r>
    </w:p>
    <w:p>
      <w:pPr>
        <w:spacing w:after="0" w:line="14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is subject to federal, state and local laws and regulations that govern the product quality specifications of the petroleum products that we store and transport.</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petroleum products that we store and transport are sold by our customers for consumption into the public market. Various federal, state and local agencies have the authority to prescribe specific product quality specifications to commodities sold into the public market. Changes in product quality specifications could reduce our throughput volume, require us to incur additional handling costs or require the expenditure of significant capital. In addition, different product specifications for different markets impact the fungibility of products transported and stored in our pipeline systems and terminal facilities and could require the construction of additional storage to segregate products with different specifications. We may be unable to recover these costs through increased revenues.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patented butane blending services are reliant upon gasoline vapor pressure specifications. Significant changes in such specifications could reduce butane blending opportunities, which would affect our ability to market our butane blending service licenses and which would ultimately affect our ability to recover the costs incurred to acquire and integrate our butane blending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Partnership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Units or Other Classes of Equity</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may issue an unlimited number of limited partner interests or other classes of equity without the consent of our Unitholders, which will dilute Unitholders’ ownership interest in us and may increase the risk that we will not have sufficient available cash to maintain or increase our per unit distribution level.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Partnership Agreement allows us to issue an unlimited number of additional limited partner interests, including securities senior to the Common Units, without the approval of our Unitholders. The issuance of additional Common Units or other equity securities by us will have the following effects:</w:t>
      </w:r>
    </w:p>
    <w:p>
      <w:pPr>
        <w:spacing w:after="0" w:line="54"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Unitholders’ current proportionate ownership interest in us will decrease;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for distribution on each Common Unit or partnership security may decrease;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Unit and/or Preferred Unit may be diminished;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Units and/or Preferred Units may decline.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 to Unitholders and Governance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 are not guaranteed and may fluctuate with our performance and other external factors.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cash we can distribute to our Unitholders depends upon the amount of cash we generate from our operations and from our subsidiaries, Sunoco LP and USAC. The amount of cash we generate from our operations will fluctuate from quarter to quarter and will depend upon, among other things:</w:t>
      </w:r>
    </w:p>
    <w:p>
      <w:pPr>
        <w:spacing w:after="0" w:line="68"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natural gas, NGLs, crude oil and refined products transported in our pipelines;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throughput in our processing and treating operations;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we charge and the margins we realize for our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natural gas, NGLs, crude oil and refined products;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natural gas, NGL and crude oil prices;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weather in our operating areas;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from other midstream, transportation and storage and other energy providers;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operating costs;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results of our derivative activities.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actual amount of cash we and our subsidiaries, including Sunoco LP and USAC, will have available for distribution will also depend on other factors, such as:</w:t>
      </w:r>
    </w:p>
    <w:p>
      <w:pPr>
        <w:spacing w:after="0" w:line="54"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capital expenditures we and our subsidiaries make;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costs related to litigation and regulatory compliance matters;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 if any;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any margin calls that result from changes in commodity prices;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debt service requirements;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and our subsidiaries’ working capital needs;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ability to borrow under our revolving credit facility;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subsidiaries’ ability to access capital markets;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distributions contained in our and our subsidiaries’ debt agreements;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reserves established by our general partner in its discretion for the proper conduct of our business.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all these factors, we cannot guarantee that in the future we will be able to pay distributions or that any distributions we do make will be at or above our current quarterly distribution. The actual amount of cash that is available for distribution to our Unitholders will depend on numerous factors, many of which are beyond our control or the control of our general partner.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our Unitholders should be aware that the amount of cash we have available for distribution depends primarily upon our cash flow and is not solely a function of profitability, which is affected by non-cash items. As a result, we may declare and/or pay cash distributions during periods when we record net losses.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general partner’s absolute discretion in determining the level of cash reserves may adversely affect our ability to make cash distributions to Unitholders.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Partnership Agreement requires our general partner to deduct from operating surplus cash reserves that in its reasonable discretion are necessary to fund our future operating expenditures. In addition, our Partnership Agreement permits our general partner to reduce available cash by establishing cash reserves for the proper conduct of our business, to comply with applicable law or agreements to which we are a party or to provide funds for future distributions to partners. These cash reserves will affect the amount of cash available for distribution to Unitholders.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Unitholders may have liability to repay distributions.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certain circumstances, Unitholders may have to repay us amounts wrongfully distributed to them. Under Delaware law, we may not make a distribution to Unitholders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NYSE does not require a publicly traded partnership like us to comply with certain corporate governance requirements.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units and Series I Preferred Units are listed on the NYSE. Because we are a publicly traded partnership, the NYSE does not require us to have a majority of independent directors on our general partner’s board of directors or to establish a compensation committee or a nominating and corporate governance committee. Accordingly, our Unitholders do not have the same protections afforded to stockholders of corporations that are subject to all of the corporate governance requirements of the applicable stock exchange.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control of our general partner may be transferred to a third-party without Unitholder consent.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third-party without the consent of the Unitholders. Any new owner of the general partner would be in a position to replace the officers and directors of the general partner with its own designees and thereby exert significant influence over the decisions made by such officers and directors.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majority owner of our general partner has rights that protect him against dilution.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his controlling interest in our general partner, Kelcy Warren owns all of the outstanding Energy Transfer Class A Units, which represents an approximately 20% voting interest in the Partnership. Under the terms of the Energy Transfer Class A Units, upon the issuance by the Partnership of additional common units or any securities that have voting rights that are pari passu with the Partnership common units, the Partnership will issue to the general partner additional Energy Transfer Class A Units such that Mr. Warren maintains a voting interest in the Partnership that is equivalent to his voting interest in the Partnership with respect to such Energy Transfer Class A Units (approximately 20%) prior to such issuance of common units. As a result, Mr. Warren is partially protected against the dilutive effect of additional common unit issuances by the Partnership with respect to voting. As of December 31, 2024, the Partnership had outstanding 847,443,096 Energy Transfer Class A Units.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reimbursements due to our general partner may be substantial and may reduce our ability to pay the distributions to Unitholders.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making any distributions to our Unitholders, we will reimburse our general partner for all expenses it has incurred on our behalf. In addition, our general partner and its affiliates may provide us with services for which we will be charged reasonable fees as determined by the general partner. The reimbursement of these expenses and the payment of these fees could adversely affect our ability to make distributions to the Unitholders. Our general partner has sole discretion to determine the amount of these expenses and fees.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 of our common units have limited voting rights and are not entitled to elect our general partner or its directors.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Unlike the holders of common stock in a corporation, our common unitholders have only limited voting rights on matters affecting our business and, therefore, limited ability to influence management’s decisions regarding our business. Our Unitholders have no right to elect our general partner or the board of directors of our general partner. Our general partner has the right to appoint and replace the members of the board, including all of its independent directors. Mr. Warren owns an 81.2% membership interest in our general partner and controls our general partner and therefore has the ability to direct our general partner with respect to the exercise of these governance rights.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Unitholders are dissatisfied with the general partner’s performance, they have limited ability to remove the general partner. The vote of the holders of at least 66 2/3% of all outstanding common units is required to remove the general partner; however, Mr. Warren owns a significant number of common units and, through his controlling interest in the general partner, owns all of the outstanding Energy Transfer Class A Units, which vote together with the common units and entitle the holders of the Energy Transfer Class A Units to maintain the voting percentage in Energy Transfer represented by such Energy Transfer Class A Units as of the date the initial Energy Transfer Class A Units were issued (approximately 20%) any time new common units are issued. As of February 7, 2025, Mr. Warren’s combined common unit and Energy Transfer Class A Unit ownership</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in a voting interest in the Partnership of 25%. As a result of this and other limitations, it may be more difficult to remove the general partner.</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our Partnership Agreement contains provisions limiting the ability of common unitholders to call meetings or to obtain information about our operations, as well as other provisions limiting our common unitholders’ ability to influence the manner or direction of management. Common unitholders’ voting rights are further restricted by a provision of our Partnership Agreement providing that any units held by a person or group that owns 20% or more of such class of units then outstanding, other than, with respect to our common units, the general partner, its affiliates, their direct transferees and their indirect transferees approved by our general partner (which approval may be granted in its sole discretion) and persons who acquired such common units with the prior approval of the general partner, cannot vote on any matter.</w:t>
      </w:r>
    </w:p>
    <w:p>
      <w:pPr>
        <w:spacing w:after="0" w:line="1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Kelcy Warren owns a majority interest in, and controls, our general partner, and our general partner has sole responsibility for conducting our business and managing our operations. The general partner may have conflicts of interest with us and limited fiduciary duties, and it may favor its own interests to the detriment of us and our Unitholders.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Warren owns an 81.2% membership interest in, and therefore controls, the general partner and accordingly has the right to appoint and replace all of the officers and directors of the general partner. Although our general partner has a fiduciary duty to manage us in a manner that is beneficial to us and our Unitholders, the directors and officers of the general partner also have a fiduciary duty to manage the general partner in a manner that is beneficial to its majority owner, Mr. Warren. Conflicts of interest will arise between the general partner and its owner, on the one hand, and us and our Unitholders, on the other hand. In resolving these conflicts of interest, the general partner may favor its own interests and the interests of its owner over our interests and the interests of our Unitholders.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Unitholders may not have limited liability if a court finds that limited partner actions constitute control of our business.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Delaware law, unitholders could be held liable for our obligations to the same extent as a general partner if a court determined that the right of limited partners to remove our general partner or to take other action under the Partnership Agreement constituted participation in the “control” of our business. Additionally, under Delaware law, our general partner has unlimited liability for the obligations of Energy Transfer, such as our debts and environmental liabilities, except for those contractual obligations of Energy Transfer that are expressly made without recourse to the general partner.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limitations on the liability of holders of limited partner interests for the obligations of a limited partnership have not been clearly established in some of the states in which we do business. Unitholders could have unlimited liability for obligations of the Partnership if a court or government agency determined that (i) we were conducting business in a state, but had not complied with that particular state’s partnership statute; or (ii) a Unitholder’s right to act with other Unitholders to remove or replace our general partner, to approve some amendments to our Partnership Agreement or to take other actions under the Partnership Agreement constituted “control” of our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general partner has a limited call right that may require Unitholders to sell their units at an undesirable time or price.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at any time our general partner and its affiliates own more than 90% of our outstanding units, our general partner will have the right, but not the obligation, which it may assign to any of its affiliates or to us, to acquire all, but not less than all, of the units held by unaffiliated persons at a price not less than their then-current market price. As a result, Unitholders may be required to sell their units at an undesirable time or price and may not receive any return on their investment. Unitholders may also incur a tax liability upon a sale of their units. As of December 31, 2024, the directors and executive officers of our general partner owned approximately 7% of our Common Units.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Subsidiaries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a holding company structure in which our subsidiaries conduct our operations and own our operating assets.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 operating assets. We do not have significant assets other than the partnership interests and the equity in our subsidiaries. As a result, our ability to pay distributions to our Unitholders and to service our debt depends on the performance of our subsidiaries and their ability to distribute funds to us. The ability of our subsidiaries to make distributions to us may be restricted by, among other things, credit facilities and applicable state partnership laws and other laws and regulations. In particular, our Five-Year Credit Facility, limits our and certain of our subsidiaries’ ability to make distributions. If we are unable to obtain funds from our subsidiaries, we may not be able to pay distributions to our Unitholders or to pay interest or principal on our debt when due.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interruption of distributions to us from our operating subsidiaries and equity investees may affect our ability to satisfy our obligations and to make distributions to our partners.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holding company with no business operations other than that of our operating subsidiaries. Our only significant assets are the equity interests we own in our operating subsidiaries and equity investees. As a result, we depend upon the earnings and cash flow of our operating subsidiaries and equity investees and any interruption of distributions to us may affect our ability to meet our obligations, including any obligations under our debt agreements, and to make distributions to our partners.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subsidiaries are not prohibited from competing with us.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our Partnership Agreement nor the partnership agreements of our subsidiaries, including Sunoco LP and USAC, prohibit our subsidiaries from owning assets or engaging in businesses that compete directly or indirectly with us. In addition, our subsidiaries may acquire, construct or dispose of any assets in the future without any obligation to offer us the opportunity to purchase or construct any of those assets.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Sunoco LP and USAC may issue additional common units, which may increase the risk that each Partnership will not have sufficient available cash to maintain or increase its per unit distribution level.</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agreements of Sunoco LP and USAC allow each partnership to issue an unlimited number of additional limited partner interests. The issuance of additional common units or other equity securities by each respective partnership will have the following effects:</w:t>
      </w:r>
    </w:p>
    <w:p>
      <w:pPr>
        <w:spacing w:after="0" w:line="54" w:lineRule="exact"/>
        <w:rPr>
          <w:sz w:val="20"/>
          <w:szCs w:val="20"/>
          <w:color w:val="auto"/>
        </w:rPr>
      </w:pPr>
    </w:p>
    <w:p>
      <w:pPr>
        <w:ind w:left="320" w:hanging="312"/>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current proportionate ownership interest in each partnership will decrease;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for distribution on each common unit or partnership security may decrease;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unit may be diminished;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each partnership’s common units may decline.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payment of distributions on any additional units issued by Sunoco LP and USAC may increase the risk that either partnership may not have sufficient cash available to maintain or increase its per unit distribution level, which in turn may impact the available cash that we have to meet our obligations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reduction in Sunoco LP’s distributions will disproportionately affect the amount of cash distributions to which Energy Transfer is entitled.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Energy Transfer indirectly owns all of the IDRs of Sunoco LP. These IDRs entitle the holder to receive increasing percentages of total cash distributions made by Sunoco LP as such entity reaches established target cash distribution levels as specified in its partnership agreement. Energy Transfer currently receives its pro rata share of cash distributions from Sunoco LP based on the highest sharing level of 50% in respect of the Sunoco LP IDRs.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decrease in the amount of distributions by Sunoco LP to less than $0.65625 per unit per quarter would reduce Energy Transfer’s percentage of the incremental cash distributions from Sunoco LP above $0.546875 per unit per quarter from 50% to 25%. As a result, any such reduction in quarterly cash distributions from Sunoco LP would have the effect of disproportionately reducing the amount of all distributions that Energy Transfer receives, based on its ownership interest in the IDRs as compared to cash distributions received from its Sunoco LP common units.</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significant decrease in demand for motor fuel, crude oil or refined products, including increased consumer preference for alternative motor fuels, improvements in fuel efficiency or a material shift toward electric or other alternative-power vehicles, in the areas Sunoco LP serves would reduce their ability to make distributions to its unitholders.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sales of refined motor fuels accounted for approximately 95% of Sunoco LP’s total revenues and 47% of gross profit. A significant decrease in demand for motor fuel in the areas Sunoco LP serves could significantly reduce revenues and Sunoco LP’s ability to make distributions to its unitholders, including Energy Transfer. Sunoco LP revenues are dependent on various trends, such as trends in commercial truck traffic, travel and tourism in their areas of operation, and these trends can change. Regulatory action, including government imposed fuel efficiency standards, may also affect demand for motor fuel. Because certain of Sunoco LP’s operating costs and expenses are fixed and do not vary with the volumes of motor fuel distributed, their costs and expenses might not decrease ratably or at all should they experience such a reduction. As a result, Sunoco LP may experience declines in their profit margin if fuel distribution volumes decrease.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technological advancements, regulatory changes or changes in consumer preferences causing a significant shift toward alternative motor fuels could reduce demand for the conventional petroleum based motor fuels Sunoco LP currently sells. Additionally, a shift toward electric, hydrogen, natural gas or other alternative-power vehicles could fundamentally change customers’ shopping habits or lead to new forms of fueling destinations or new competitive pressures.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New technologies have been developed and governmental mandates have been implemented to improve fuel efficiency, which may result in decreased demand for petroleum-based fuel. For example, in March 2024, the EPA finalized new emissions standards for light and medium-duty vehicles, including passenger cars, vans, pickups, sedans and sport utility vehicles for model years 2027 through 2032 and beyond. The final rule sets new, strict standards intended to reduce air pollutant emissions, including greenhouse gas emissions; however, the new standards are now subject to legal challenge. Moreover, it remains uncertain what actions, if any, the Trump Administration may take to repeal or otherwise modify this rule. Additionally, laws such as the Bipartisan Infrastructure Act and the IRA 2022 allocate funds to the development of electric vehicle infrastructure and provide incentives for consumers and manufacturers related to their use or development of electric vehicles, and the adoption rate of electric vehicles in the U.S. has continued to accelerate, with projections for the future rate of adoption in some reports more than doubling in recent years. However, in January 2025, President Trump signed an Executive Order, </w:t>
      </w:r>
      <w:r>
        <w:rPr>
          <w:rFonts w:ascii="Times New Roman" w:cs="Times New Roman" w:eastAsia="Times New Roman" w:hAnsi="Times New Roman"/>
          <w:sz w:val="18"/>
          <w:szCs w:val="18"/>
          <w:i w:val="1"/>
          <w:iCs w:val="1"/>
          <w:color w:val="auto"/>
        </w:rPr>
        <w:t>Unleashing American Energy</w:t>
      </w:r>
      <w:r>
        <w:rPr>
          <w:rFonts w:ascii="Times New Roman" w:cs="Times New Roman" w:eastAsia="Times New Roman" w:hAnsi="Times New Roman"/>
          <w:sz w:val="18"/>
          <w:szCs w:val="18"/>
          <w:color w:val="auto"/>
        </w:rPr>
        <w:t>, which directs all agencies to immediately pause the disbursement of funds appropriated through the IRA 2022 or the Infrastructure Investment and Jobs Act, including funds for electric vehicle charging stations made available through the National Electric Vehicle Infrastructure Formula Program and the Charging and Fueling Infrastructure Discretionary Grant Program, though this pause is generally currently subject to legal challenge. While the Trump Administration may ultimately take steps to reduce or eliminate incentives for zero-emission vehicles, at this time Sunoco LP cannot predict what actions the new administration may take or the timing of such actions. Any of these or similar actions could result in fewer visits to Sunoco LP’s convenience stores or independently operated commission agents and dealer locations, a reduction in demand from Sunoco LP’s wholesale customers, decreases in both fuel and merchandise sales revenue, or reduced profit margins, any of which could have a material adverse effect on our business, financial condition, results of operations and cash available for distribution to our unitholders.</w:t>
      </w:r>
    </w:p>
    <w:p>
      <w:pPr>
        <w:spacing w:after="0" w:line="127" w:lineRule="exact"/>
        <w:rPr>
          <w:sz w:val="20"/>
          <w:szCs w:val="20"/>
          <w:color w:val="auto"/>
        </w:rPr>
      </w:pPr>
    </w:p>
    <w:p>
      <w:pPr>
        <w:ind w:left="340" w:hanging="332"/>
        <w:spacing w:after="0" w:line="234" w:lineRule="auto"/>
        <w:tabs>
          <w:tab w:leader="none" w:pos="335" w:val="left"/>
        </w:tabs>
        <w:numPr>
          <w:ilvl w:val="0"/>
          <w:numId w:val="64"/>
        </w:numPr>
        <w:rPr>
          <w:rFonts w:ascii="Arial" w:cs="Arial" w:eastAsia="Arial" w:hAnsi="Arial"/>
          <w:sz w:val="22"/>
          <w:szCs w:val="22"/>
          <w:color w:val="auto"/>
        </w:rPr>
      </w:pPr>
      <w:r>
        <w:rPr>
          <w:rFonts w:ascii="Times New Roman" w:cs="Times New Roman" w:eastAsia="Times New Roman" w:hAnsi="Times New Roman"/>
          <w:sz w:val="18"/>
          <w:szCs w:val="18"/>
          <w:color w:val="auto"/>
        </w:rPr>
        <w:t>a recession, high interest rates, inflation or other adverse economic conditions that result in lower spending by consumers on gasoline, diesel and travel;</w:t>
      </w:r>
    </w:p>
    <w:p>
      <w:pPr>
        <w:spacing w:after="0" w:line="113" w:lineRule="exact"/>
        <w:rPr>
          <w:rFonts w:ascii="Arial" w:cs="Arial" w:eastAsia="Arial" w:hAnsi="Arial"/>
          <w:sz w:val="22"/>
          <w:szCs w:val="22"/>
          <w:color w:val="auto"/>
        </w:rPr>
      </w:pPr>
    </w:p>
    <w:p>
      <w:pPr>
        <w:ind w:left="320" w:hanging="312"/>
        <w:spacing w:after="0"/>
        <w:tabs>
          <w:tab w:leader="none" w:pos="3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events that negatively impact global economic activity, travel and demand generally;</w:t>
      </w:r>
    </w:p>
    <w:p>
      <w:pPr>
        <w:spacing w:after="0" w:line="11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higher fuel taxes or other governmental or regulatory actions that increase, directly or indirectly, the cost of gasoline;</w:t>
      </w:r>
    </w:p>
    <w:p>
      <w:pPr>
        <w:spacing w:after="0" w:line="12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increase in aggregate automotive engine fuel economy;</w:t>
      </w:r>
    </w:p>
    <w:p>
      <w:pPr>
        <w:spacing w:after="0" w:line="11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new government and regulatory actions or court decisions requiring the phase out or reduced use of gasoline-fueled vehicles;</w:t>
      </w:r>
    </w:p>
    <w:p>
      <w:pPr>
        <w:spacing w:after="0" w:line="11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increased use of and public demand for use of alternative fuel sources or electric vehicles;</w:t>
      </w:r>
    </w:p>
    <w:p>
      <w:pPr>
        <w:spacing w:after="0" w:line="130" w:lineRule="exact"/>
        <w:rPr>
          <w:rFonts w:ascii="Times New Roman" w:cs="Times New Roman" w:eastAsia="Times New Roman" w:hAnsi="Times New Roman"/>
          <w:sz w:val="22"/>
          <w:szCs w:val="22"/>
          <w:color w:val="auto"/>
        </w:rPr>
      </w:pPr>
    </w:p>
    <w:p>
      <w:pPr>
        <w:ind w:left="340" w:hanging="332"/>
        <w:spacing w:after="0" w:line="234" w:lineRule="auto"/>
        <w:tabs>
          <w:tab w:leader="none" w:pos="33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increase in the market price of crude oil that increases refined product prices, which may reduce demand for refined products and increase demand for alternative products; and</w:t>
      </w:r>
    </w:p>
    <w:p>
      <w:pPr>
        <w:spacing w:after="0" w:line="9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events resulting in decreased corn acres planted, which may reduce demand for anhydrous ammonia.</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Sunoco LP’s financial condition and results of operations are influenced by changes in the prices of motor fuel, which may adversely impact margins, customers’ financial condition and the availability of trade credit.</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Sunoco LP’s operating results are influenced by prices for motor fuel. General economic and political conditions, acts of war or terrorism and instability in oil producing regions, particularly in the Middle East and South America, could significantly impact crude oil supplies and petroleum costs. Significant increases or high volatility in petroleum costs could impact consumer demand for motor fuel and convenience merchandise. Such volatility makes it difficult to predict the impact that future petroleum costs fluctuations may have on Sunoco LP’s operating results and financial condition. Sunoco LP is subject to dealer tank wagon pricing structures at certain locations further contributing to margin volatility. A significant change in any of these factors could materially impact both wholesale and retail fuel margins, the volume of motor fuel distributed or sold at retail, and overall customer traffic, each of which in turn could have a material adverse effect on Sunoco LP’s business, financial condition, results of operations and cash available for distribution to its unitholders.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increases in wholesale motor fuel prices could impact Sunoco LP as some of their customers may have insufficient credit to purchase motor fuel from us at their historical volumes. Higher prices for motor fuel may also reduce access to trade credit support or cause it to become more expensive.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industries in which Sunoco LP operates are subject to seasonal trends, which may cause its operating costs to fluctuate, affecting its cash flow.</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Sunoco LP relies in part on customer travel and spending patterns and may experience more demand for gasoline in the late spring and summer months than during the fall and winter. Travel, recreation and construction are typically higher in these months in the geographic areas in which Sunoco LP or its commission agents and dealers operate, increasing the demand for motor fuel that they sell and distribute. Therefore, Sunoco LP’s revenues and cash flows are typically higher in the second and third quarters of our fiscal year. As a result, Sunoco LP’s results from operations may vary widely from period to period, affecting Sunoco LP’s cash flow.</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dangers inherent in the storage and transportation of motor fuel, crude oil, refined petroleum products and anhydrous ammonia could cause disruptions in Sunoco LP’s operations and could expose them to potentially significant losses, costs or liabilities.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Sunoco LP’s operations are subject to significant hazards and risks inherent in transporting and storing motor fuel, crude oil, refined petroleum products and anhydrous ammonia. These hazards and risks include, but are not limited to, traffic accidents, fires, explosions, spills, discharges, and other releases, any of which could result in distribution difficulties and disruptions, environmental pollution, governmentally-imposed fines or clean-up obligations, personal injury or wrongful death claims, and other damage to its properties and the properties of others. Any such event not covered by Sunoco LP’s insurance could have a material adverse effect on its business, financial condition, results of operations and cash available for distribution to its unitholders. Additionally, Sunoco LP’s pipelines, terminals and storage assets are generally long-lived assets, and some have been in service for many years. The age and condition of Sunoco LP’s assets could result in increased maintenance or repair expenditures in the future. If any of Sunoco LP’s facilities, or those of its customers or suppliers, suffer significant damage or are forced to shut down for a significant period of time, it may have a material adverse effect on Sunoco LP’s results of operations and financial condition as a whole.</w:t>
      </w:r>
    </w:p>
    <w:p>
      <w:pPr>
        <w:spacing w:after="0" w:line="13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Sunoco LP’s pipelines and fuel storage terminals are subject to operational and business risks which may adversely affect its financial condition, results of operations, cash flows and ability to make distributions to its unitholders.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Sunoco LP’s pipelines and fuel storage terminals are subject to operational and business risks, the most significant of which include the following:</w:t>
      </w:r>
    </w:p>
    <w:p>
      <w:pPr>
        <w:spacing w:after="0" w:line="117"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renew a ground lease for certain of its pipelines or fuel storage terminals on similar terms or at all;</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on third parties to supply its fuel storage terminals;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at its pipelines or fuel storage terminals or interrupted operations due to weather-related or other natural causes;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that the nation’s terminal infrastructure may be a future target of terrorist organizations;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in the prices of the products transported on its pipelines or stored at its fuel storage terminals and the resulting fluctuations in demand for storage services;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sustained recession or other adverse economic conditions;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federal and/or state regulations that may discourage its customers from transporting or storing gasoline, diesel fuel, ethanol and jet fuel at its fuel storage terminals or reduce the demand by consumers for petroleum products;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pipelines and fuel storage terminals that are able to provide its customers with comparable transportation service or storage capacity at lower prices; and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legislation or regulations that restrict emissions of GHGs could result in increased operating and capital costs and reduced demand for its transportation and storage services.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occurrence of any of the above situations, amongst others, may affect operations at their fuel storage terminals and may adversely affect Sunoco LP’s business, financial condition, results of operations, cash flows and ability to make distributions to its unitholders.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events or developments associated with Sunoco LP’s branded suppliers could have an adverse impact on its revenues.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Sunoco LP believes that the success of its operations is dependent, in part, on the continuing favorable reputation, market value, and name recognition associated with the motor fuel brands sold at Sunoco LP’s convenience stores and at stores operated by its independent, branded dealers and commission agents. Erosion of the value of those brands could have an adverse impact on the volumes of motor fuel Sunoco LP distributes, which in turn could have a material adverse effect on its business, financial condition, results of operations and ability to make distributions to its unitholders.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Sunoco LP currently depends on a limited number of principal suppliers in each of its operating areas for a substantial portion of its merchandise inventory and its products and ingredients for its food service facilities. A disruption in supply or a change in either relationship could have a material adverse effect on its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Sunoco LP currently depends on a limited number of principal suppliers in each of its operating areas for a substantial portion of its merchandise inventory and its products and ingredients for its food service facilities. If any of Sunoco LP’s principal suppliers elect not to renew their contracts, Sunoco LP may be unable to replace the volume of merchandise inventory and products and ingredients currently purchased from them on similar terms or at all in those operating areas. Further, a disruption in supply or a significant change in Sunoco LP’s relationship with any of these suppliers could have a material adverse effect on Sunoco LP’s business, financial condition and results of operations and cash available for distribution to its unitholders.</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wholesale motor fuel distribution industry and convenience store industry are characterized by intense competition and fragmentation and impacted by new entrants. Failure to effectively compete could result in lower margins.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distribution of wholesale motor fuel is highly competitive and fragmented, which results in narrow margins. Sunoco LP has numerous competitors, some of which may have significantly greater resources and name recognition than it does. Sunoco LP relies on its ability to provide value-added, reliable services and to control its operating costs in order to maintain our margins and competitive position. If Sunoco LP fails to maintain the quality of its services, certain of its customers could choose alternative distribution sources and margins could decrease. While major integrated oil companies have generally continued to divest retail sites and the corresponding wholesale distribution to such sites, such major oil companies could shift from this strategy and decide to distribute their own products in direct competition with Sunoco LP, or large customers could attempt to buy directly from the major oil companies. The occurrence of any of these events could have a material adverse effect on Sunoco LP’s business, financial condition, results of operations and cash available for distribution to its unitholders.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geographic areas in which Sunoco LP operates and supplies independently operated commission agent and dealer locations are highly competitive and marked by ease of entry and constant change in the number and type of retailers offering products and services of the type we and our independently operated commission agents and dealers sell in stores. Sunoco LP competes with other convenience store chains, independently owned convenience stores, motor fuel stations, supermarkets, drugstores, discount stores, dollar stores, club stores, mass merchants and local restaurants. Over the past two decades, several non-traditional retailers, such as supermarkets, hypermarkets, club stores and mass merchants, have impacted the convenience store industry, particularly in the geographic areas in which Sunoco LP operates, by entering the motor fuel retail business. These non-traditional motor fuel retailers have captured a significant share of the motor fuels market, and Sunoco LP expects their market share will continue to grow.</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of Sunoco LP’s markets, its competitors have been in existence longer and have greater financial, marketing, and other resources than they or their independently operated commission agents and dealers do. As a result, Sunoco LP’s competitors may be able to better respond to changes in the economy and new opportunities within the industry. To remain competitive, Sunoco LP must constantly analyze consumer preferences and competitors’ offerings and prices to ensure that they offer a selection of convenience products and services at competitive prices to meet consumer demand. Sunoco LP must also maintain and upgrade our customer service levels, facilities and locations to remain competitive and attract customer traffic to our stores. Sunoco LP may not be able to compete successfully against current and future competitors, and competitive pressures faced by Sunoco LP could have a material adverse effect on its business, results of operations and cash available for distribution to its unitholders.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Sunoco LP competes with other midstream service providers, including certain major energy and chemical companies, that possess, or have greater financial resources to acquire, assets better suited to meet customer demand, which could undermine Sunoco LP’s ability to obtain and retain customers or reduce utilization of its assets, which could adversely affect its revenues and cash flows, thereby reducing Sunoco LP’s ability to make its quarterly distributions to unitholders.</w:t>
      </w:r>
    </w:p>
    <w:p>
      <w:pPr>
        <w:spacing w:after="0" w:line="1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Sunoco LP faces competition in all aspects of its business and can give no assurances that it will be able to compete effectively against its competitors. Sunoco LP’s competitors include major energy and chemical companies, some of which have greater financial resources, more pipelines or storage terminals, greater capacity pipelines or storage terminals and greater access to supply than does Sunoco LP. Certain of Sunoco LP’s competitors also have advantages in competing for acquisitions or other new business opportunities because of their financial resources and synergies in operations. As a consequence of increased competition in the industry or market conditions, some customers are and others may be in the future reluctant to renew or enter into long-term contracts or contracts that provide for minimum throughput amounts. Sunoco LP’s inability to renew or replace a significant portion of its current contracts as they expire, to enter into contracts for newly acquired, constructed or expanded assets and to respond appropriately to changing market conditions would have a negative effect on Sunoco LP’s revenue, cash flows and ability to make quarterly distributions to its unitholders.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Sunoco LP may be subject to adverse publicity resulting from concerns over food quality, product safety, health or other negative events or developments that could cause consumers to avoid its retail locations or independently operated commission agent or dealer locations.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Sunoco LP may be the subject of complaints or litigation arising from food-related illness or product safety which could have a negative impact on its business. Negative publicity, regardless of whether the allegations are valid, concerning food quality, food safety or other health concerns, food service facilities, employee relations or other matters related to its operations may materially adversely affect demand for its food and other products and could result in a decrease in customer traffic to its retail stores or independently operated commission agent or dealer locations.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critical to Sunoco LP’s reputation that they maintain a consistent level of high quality at their food service facilities and other franchise or fast food offerings. Health concerns, poor food quality or operating issues stemming from one store or a limited number of stores could materially and adversely affect the operating results of some or all of their stores and harm the company-owned brands, continuing favorable reputation, market value and name recognition.</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Sunoco LP does not own all of the land on which its retail service stations are located, and Sunoco LP leases certain facilities and equipment, and Sunoco LP is subject to the possibility of increased costs to retain necessary land use which could disrupt its operations.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Sunoco LP does not own all of the land on which its retail service stations are located. Sunoco LP has rental agreements for approximately 38% of Sunoco LP, commission agent or dealer operated retail service stations where Sunoco LP currently controls the real estate. Sunoco LP also has rental agreements for certain logistics facilities. As such, Sunoco LP is subject to the possibility of increased costs under rental agreements with landowners, primarily through rental increases and renewals of expired agreements. Sunoco LP is also subject to the risk that such agreements may not be renewed. Additionally, certain facilities and equipment (or parts thereof) used by Sunoco LP are leased from third parties for specific periods. Sunoco LP’s inability to renew leases or otherwise maintain the right to utilize such facilities and equipment on acceptable terms, or the increased costs to maintain such rights, could have a material adverse effect on its financial condition, results of operations and cash flows.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Like other pipeline and storage logistics services providers, certain of Sunoco LP’s pipelines, storage terminals and other facilities are located on land owned by third parties and governmental agencies that Sunoco LP has obtained the right to utilize for these purposes through contract (rather than through outright purchase). Many of Sunoco LP’s rights-of-way or other property rights are perpetual in duration, but others are for a specific period of time. In addition, some of Sunoco LP’s facilities are located on leased premises. A potential loss of property rights through Sunoco LP’s inability to renew right-of-way contracts or leases or otherwise retain property rights on acceptable terms or the increased costs to renew such rights could adversely affect its financial condition, results of operations and cash flows available for distribution to its unitholders.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Sunoco LP is subject to federal laws related to the Renewable Fuel Standard.</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New laws, new interpretations of existing laws, increased governmental enforcement of existing laws or other developments could require us to make additional capital expenditures or incur additional liabilities. For example, certain independent refiners have initiated discussions with the EPA to change the way the Renewable Fuel Standard (“RFS”) is administered in an attempt to shift the burden of compliance from refiners and importers to blenders and distributors. Under the RFS, which requires an annually increasing amount of biofuels to be blended into the fuels used by U.S. drivers, refiners/importers are obligated to obtain renewable identification numbers (“RINs”) either by blending biofuel into gasoline or through purchase in the open market. If the obligation was shifted from the importer/refiner to the blender/distributor, the Partnership would potentially have to utilize the RINs it obtains through its blending activities to satisfy a new obligation and would be unable to sell RINs to other obligated parties, which may cause an impact on the fuel margins associated with Sunoco LP’s sale of gasoline. In addition, the RFS regulations are highly complex and evolving, and the RINs market is subject to significant price volatility as a result. In June 2023, the EPA released a final rule under the RFS for renewable fuel volumes for the years 2023-2025 that further increases targets for the production of renewable fuels. Subject to certain limitations, EPA now has significant discretion to set renewable fuel targets under the RFS, which could result in increased compliance obligations on refiners and importers and transportation fuels. The price of RINs to meet compliance obligations under the RFS could be substantial and adversely impact our financial condition.</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occurrence of any of the events described above could have a material adverse effect on Sunoco LP’s business, financial condition, results of operations and cash available for distribution to its unitholders.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Sunoco LP is subject to federal, state and local laws and regulations that govern the product quality specifications of refined petroleum products it purchases, stores, transports, and sells to its distribution customers.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federal, state, and local government agencies have the authority to prescribe specific product quality specifications for certain commodities, including commodities that Sunoco LP distributes. Changes in product quality specifications, such as reduced sulfur content in refined petroleum products, or other more stringent requirements for fuels, could reduce Sunoco LP’s ability to procure product, require it to incur additional handling costs and/or require the expenditure of capital. If Sunoco LP is unable to procure product or recover these costs through increased selling price, it may not be able to meet its financial obligations. Failure to comply with these regulations could result in substantial penalties for Sunoco LP.</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third-party pipelines and other facilities interconnected to Sunoco LP’s fuel storage terminals and transmix processing facilities become partially or fully unavailable to transport refined products, Sunoco LP’s revenues could be adversely affected.</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Sunoco LP depends upon third-party pipelines and other facilities that provide delivery options to and from its fuel storage terminals and transmix processing facilities. Since Sunoco LP does not own or operate these pipelines or other facilities, their continuing operation in their current manner is not within Sunoco LP’s control. If any of these third-party facilities become partially or fully unavailable, or if the quality specifications for their facilities change so as to restrict our ability to utilize them, Sunoco LP’s financial condition and results of operations could be adversely affected.</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third parties on whom Sunoco LP relies for transportation services to its fuel storage terminals and transmix processing facilities are subject to complex federal, state, and other laws that could adversely affect Sunoco LP’s financial condition and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operations of the third parties on whom Sunoco LP relies for transportation services are subject to complex and stringent laws and regulations that require obtaining and maintaining numerous permits, approvals and certifications from various federal, state and local government authorities. These third parties may incur substantial costs in order to comply with existing laws and regulations. If existing laws and regulations governing such third-party services are revised or reinterpreted, or if new laws and regulations become applicable to their operations, these changes may affect the costs that Sunoco LP pays for services. Similarly, a failure to comply with such laws and regulations by the third parties could have a material adverse effect on Sunoco LP’s financial condition and results of operations.</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Integration of assets and businesses acquired by Sunoco LP in past acquisitions or future acquisitions with its existing business will be a complex, time-consuming and costly process, particularly given that assets acquired to date significantly increased Sunoco LP’s size and diversified the geographic areas in which it operates. A failure to successfully integrate the acquired assets or businesses, such as NuStar, with Sunoco LP’s existing business in a timely manner may have a material adverse effect on its business, financial condition, results of operations or cash available for distribution to its unitholders.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difficulties of integrating past and future acquisitions with Sunoco LP’s business includes, among other things:</w:t>
      </w:r>
    </w:p>
    <w:p>
      <w:pPr>
        <w:spacing w:after="0" w:line="117" w:lineRule="exact"/>
        <w:rPr>
          <w:sz w:val="20"/>
          <w:szCs w:val="20"/>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 larger combined organization in new geographic areas and new lines of business;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or retaining qualified personnel to manage and operate Sunoco LP’s growing business and assets;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management teams and employees into existing operations and establishing effective communication and information exchange with such management teams and employees;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Sunoco LP’s existing business;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acquired assets and operations, including additional regulatory programs, operational philosophies and complex systems;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suppliers or key employees;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 in compliance with the Sarbanes-Oxley Act of 2002 as well as other regulatory compliance and corporate governance matters;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new technology systems for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contractual obligations of acquired businesses, potential unknown liabilities and unforeseeable increased expenses as a result of such acquisitions.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these risks or other unanticipated liabilities or costs were to materialize, then desired benefits from past acquisitions and future acquisitions could result in a negative impact to Sunoco LP’s future results of operations. In addition, acquired assets may perform at levels below the forecasts used to evaluate them, due to factors beyond Sunoco LP’s control. If the acquired assets perform at levels below the forecasts, then Sunoco LP’s future results of operations could be negatively impacted.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Sunoco LP’s reviews of proposed business or asset acquisitions are inherently imperfect because it is generally not feasible to perform an in-depth review of each such proposal given time constraints imposed by sellers. Even if performed, a detailed review of assets and businesses may not reveal existing or potential problems, and may not provide sufficient familiarity with such business or assets to fully assess their deficiencies and potential. Inspections may not be performed on every asset, and environmental problems, such as groundwater contamination, may not be observable even when an inspection is undertaken.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Sunoco LP’s acquisition of NuStar involved the combination of two master limited partnerships that operated as independent public partnerships until May 3, 2024. The combination of two independent businesses is complex, costly and time consuming, and Sunoco LP will be required to continue to devote significant management attention and resources to integrating the business practices and operations of NuStar into Sunoco LP to achieve, among other things, the targeted cost synergies associated with the acquisition. To the extent Sunoco LP is unable to successfully integrate its business and operations of NuStar into Sunoco LP, its business, results of operations and its ability to achieve the anticipated benefits of the acquisition may be adversely affected.</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Sunoco LP could be subject to liabilities from its assets that predate the acquisition of those assets, but that are not covered by indemnification rights Sunoco LP has against the sellers of the assets.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Sunoco LP has acquired assets and businesses and it is not always indemnified by the seller for liabilities that precede its ownership. In addition, in some cases, Sunoco LP has indemnified the previous owners and operators of acquired assets or businesses. Some of Sunoco LP’s assets have been used for many years to transport and store crude oil and refined products, and past releases could require costly future remediation. If a significant release or event occurred in the past, the liability for which was not retained by the seller, or for which indemnification by the seller is not available, it could adversely affect Sunoco LP’s financial position and results of operations. Conversely, if liabilities arise from assets Sunoco LP has sold, it could incur costs related to those liabilities if the buyer possesses valid indemnification rights against Sunoco LP with respect to those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Sunoco LP operates assets outside of the United States, which exposes it to different legal and regulatory requirements and additional risk.</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portion of Sunoco LP’s revenues are generated from its assets located in northern Mexico and Europe. Sunoco LP’s operations are subject to various risks that could have a material adverse effect on its business, results of operations and financial condition, including political and economic instability from civil unrest; labor strikes; war and other armed conflict; inflation; currency fluctuations, devaluation and conversion restrictions or other factors. Any deterioration of social, political, labor or economic conditions, including the increasing threat of terrorist organizations and drug cartels in Mexico, or affecting a customer with whom Sunoco LP does business, as well as difficulties in staffing, obtaining necessary equipment and supplies and managing foreign operations, may adversely affect Sunoco LP’s operations or financial results. Sunoco LP is also exposed to the risk of foreign and domestic governmental actions that may: impose additional costs on Sunoco LP; delay permits or otherwise impede Sunoco LP’s operations; limit or disrupt markets for Sunoco LP’s operations, restrict payments or limit the movement of funds; impose sanctions on or otherwise restrict Sunoco LP’s ability to conduct business with certain customers or persons or in certain countries; or result in the deprivation of contract rights. Sunoco LP’s operations outside the United States may also be affected by changes in trade protection laws, policies and measures, and other regulatory requirements affecting trade and investment, including the Foreign Corrupt Practices Act and foreign laws prohibiting corrupt payments, as well as travel restrictions and import and export regulations.</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USAC’s customers may choose to vertically integrate their operations by purchasing and operating their own compression fleet, increasing the number of compression units they currently own or using alternative technologies for enhancing crude oil production.</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USAC’s customers that are significant producers, processors, gatherers and transporters of natural gas and crude oil may choose to vertically integrate their operations by purchasing and operating their own compression fleets in lieu of using USAC’s compression services. The historical availability of attractive financing terms from financial institutions and equipment manufacturers facilitates this possibility by making the purchase of individual compression units more affordable to USAC’s customers. In addition, there are many technologies available for the artificial enhancement of crude oil production, and USAC’s customers may elect to use these alternative technologies instead of the gas lift compression services USAC provides. Such vertical integration, increases in vertical integration or use of alternative technologies could result in decreased demand for USAC’s compression services, which may have a material adverse effect on its business, results of operations, financial condition and reduce its cash available for distribution.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portion of USAC’s services are provided to customers on a month-to-month basis, and USAC cannot be sure that such customers will continue to utilize its services.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USAC’s contracts typically have initial terms between six months to five years, depending on the application and location of the compression unit. After the expiration of the initial term, the contract continues on a month-to-month or longer basis until terminated by USAC or USAC’s customers upon notice as provided for in the applicable contract. For the year ended December 31, 2024, approximately 14% of USAC’s compression services on a revenue basis were provided on a month-to-month basis to customers who continue to utilize its services following expiration of the primary term of their contracts. These customers can generally terminate their month-to-month compression services contracts on 30-days’ written notice. If a significant number of these customers were to terminate their month-to-month services, or attempt to renegotiate their month-to-month contracts at substantially lower rates, it could have a material adverse effect on USAC’s business, results of operations, financial condition and cash available for distribution.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USAC’s preferred units have rights, preferences and privileges that are not held by, and are preferential to the rights of, holders of its common units.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USAC’s preferred units rank senior to all of its other classes or series of equity securities with respect to distribution rights and rights upon liquidation. These preferences could adversely affect the market price for its common units or could make it more difficult for USAC to sell its common units in the future.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distributions on USAC’s preferred units accrue and are cumulative, at the rate of 9.75% per annum on the original issue price, which amounts to a quarterly distribution of $24.375 per preferred unit. If USAC does not pay the required distributions on its preferred units, USAC will be unable to pay distributions on its common units. Additionally, because distributions on USAC’s preferred units are cumulative, USAC will have to pay all unpaid accumulated distributions on the preferred units before USAC can pay any distributions on its common units. Also, because distributions on USAC’s common units are not cumulative, if USAC does not pay distributions on its common units with respect to any quarter, USAC’s common unitholders will not be entitled to receive distributions covering any prior periods if USAC later recommences paying distributions on its common units.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USAC’s preferred units are convertible into common units by the holders of USAC’s preferred units or by USAC in certain circumstances. USAC’s obligation to pay distributions on USAC’s preferred units, or on the common units issued following the conversion of USAC’s preferred units, could impact USAC’s liquidity and reduce the amount of cash flow available for working capital, capital expenditures, growth opportunities, acquisitions and other general Partnership purposes. USAC’s obligations to the holders of USAC’s preferred units could also limit its ability to obtain additional financing or increase its borrowing costs, which could have an adverse effect on its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Conflicts of Interest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fiduciary duties of our general partner’s officers and directors may conflict with those of Sunoco LP’s or USAC’s respective general partners.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Conflicts of interest may arise because of the relationships among Sunoco LP, USAC, their general partners and us. Our General Partner’s directors and officers have fiduciary duties to manage our business in a manner beneficial to us and our Unitholders. Some of our general partner’s directors or officers are also directors and/or officers of Sunoco LP’s general partner or USAC’s general partner, and have fiduciary duties to manage the respective businesses of Sunoco LP and USAC in a manner beneficial to Sunoco LP, USAC and their respective unitholders. The resolution of these conflicts may not always be in our best interest or that of our Unitholders.</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Although we control Sunoco LP and USAC through our ownership of Sunoco LP’s and USAC’s general partners, Sunoco LP’s and USAC’s general partners owe duties to Sunoco LP and Sunoco LP’s unitholders and USAC and USAC’s unitholders, respectively, which may conflict with our interests.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Conflicts of interest exist and may arise in the future as a result of the relationships between us and our affiliates, on the one hand, and Sunoco LP and USAC and their respective limited partners, on the other hand. The directors and officers of Sunoco LP’s and USAC’s general partners have duties to manage Sunoco LP and USAC, respectively, in a manner beneficial to us. At the same time, the general partners have fiduciary duties to manage Sunoco LP and USAC in a manner beneficial to Sunoco LP and USAC and their respective limited partners. The boards of directors of Sunoco LP’s and USAC’s general partner will resolve any such conflict and have broad latitude to consider the interests of all parties to the conflict. The resolution of these conflicts may not always be in our best interest.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conflicts of interest with Sunoco LP and USAC may arise in the following situations:</w:t>
      </w:r>
    </w:p>
    <w:p>
      <w:pPr>
        <w:spacing w:after="0" w:line="117" w:lineRule="exact"/>
        <w:rPr>
          <w:sz w:val="20"/>
          <w:szCs w:val="20"/>
          <w:color w:val="auto"/>
        </w:rPr>
      </w:pPr>
    </w:p>
    <w:p>
      <w:pPr>
        <w:ind w:left="320" w:hanging="312"/>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shared overhead expenses to Sunoco LP, USAC and us;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ET-S Permian joint venture;</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enforcement of contractual obligations between us and our affiliates, on the one hand, and Sunoco LP and USAC, on the other hand;</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amount of cash to be distributed to Sunoco LP’s and USAC’s partners and the amount of cash to be reserved for the future conduct of Sunoco LP’s and USAC’s businesses;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whether to make borrowings under Sunoco LP’s and USAC’s revolving credit facilities to pay distributions to their respective partners;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a business opportunity (such as a commercial development opportunity or an acquisition) that we may become aware of independently of Sunoco LP and USAC is made available for Sunoco LP and USAC to pursue;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we make in the future to engage in business activities independent of Sunoco LP and USAC.</w:t>
      </w:r>
    </w:p>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Potential conflicts of interest may arise among our general partner, its affiliates and us. Our general partner and its affiliates have limited fiduciary duties to us, which may permit them to favor their own interests to the detriment of us.</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Conflicts of interest may arise among our general partner and its affiliates, on the one hand, and us, on the other hand. As a result of these conflicts, our general partner may favor its own interests and the interests of its affiliates over our interests. These conflicts include, among others, the following:</w:t>
      </w:r>
    </w:p>
    <w:p>
      <w:pPr>
        <w:spacing w:after="0" w:line="54" w:lineRule="exact"/>
        <w:rPr>
          <w:sz w:val="20"/>
          <w:szCs w:val="20"/>
          <w:color w:val="auto"/>
        </w:rPr>
      </w:pPr>
    </w:p>
    <w:p>
      <w:pPr>
        <w:jc w:val="both"/>
        <w:ind w:left="340" w:hanging="332"/>
        <w:spacing w:after="0" w:line="266"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allowed to take into account the interests of parties other than us, including Sunoco LP and USAC, and their respective affiliates and any general partners and limited partnerships acquired in the future, in resolving conflicts of interest, which has the effect of limiting its fiduciary duties to us.</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has limited its liability and reduced its fiduciary duties under the terms of our Partnership Agreement, while also restricting the remedies available for actions that, without these limitations, might constitute breaches of fiduciary duty. As a result of purchasing our units, Unitholders consent to various actions and conflicts of interest that might otherwise constitute a breach of fiduciary or other duties under applicable state law.</w:t>
      </w:r>
    </w:p>
    <w:p>
      <w:pPr>
        <w:spacing w:after="0" w:line="7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the amount and timing of our investment transactions, borrowings, issuances of additional partnership securities and reserves, each of which can affect the amount of cash that is available for distribution.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which costs it and its affiliates have incurred are reimbursable by us.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does not restrict our general partner from causing us to pay it or its affiliates for any services rendered, or from entering into additional contractual arrangements with any of these entities on our behalf, so long as the terms of any such payments or additional contractual arrangements are fair and reasonable to us.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controls the enforcement of obligations owed to us by it and its affiliates.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decides whether to retain separate counsel, accountants or others to perform services for us.</w:t>
      </w:r>
    </w:p>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Our Partnership Agreement limits our general partner’s fiduciary duties to us and restricts the remedies available for actions taken by our general partner that might otherwise constitute breaches of fiduciary duty.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Partnership Agreement contains provisions that reduce the standards to which our general partner would otherwise be held by state fiduciary duty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our Partnership Agreement:</w:t>
      </w:r>
    </w:p>
    <w:p>
      <w:pPr>
        <w:spacing w:after="0" w:line="99" w:lineRule="exact"/>
        <w:rPr>
          <w:sz w:val="20"/>
          <w:szCs w:val="20"/>
          <w:color w:val="auto"/>
        </w:rPr>
      </w:pPr>
    </w:p>
    <w:p>
      <w:pPr>
        <w:jc w:val="both"/>
        <w:ind w:left="340" w:hanging="332"/>
        <w:spacing w:after="0" w:line="266" w:lineRule="auto"/>
        <w:tabs>
          <w:tab w:leader="none" w:pos="3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our affiliates or any limited partner;</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is entitled to make other decisions in “good faith” if it reasonably believes that the decisions are in our best interests;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provides that affiliated transactions and resolutions of conflicts of interest not approved by a conflicts committee of the board of directors of our general partner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general partner may consider the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totality of the relationships among the parties involved, including other transactions that may be particularly favorable or advantageous to us;</w:t>
      </w:r>
    </w:p>
    <w:p>
      <w:pPr>
        <w:spacing w:after="0" w:line="117"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unless our general partner has acted in bad faith, the action taken by our general partner shall not constitute a breach of its fiduciary duty;</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may resolve any conflicts of interest involving us and our general partner and its affiliates, and any resolution of a conflict of interest by our general partner that is “fair and reasonable” to us will be deemed approved by all partners, including the Unitholders, and will not constitute a breach of the Partnership Agreement;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may, but is not required, in connection with its resolution of a conflict of interest, to seek “special approval” of such resolution by appointing a conflicts committee of the general partner’s board of directors composed of two or more independent directors to consider such conflicts of interest and to recommend action to the board of directors, and any resolution of the conflict of interest by the conflicts committee shall be conclusively deemed “fair and reasonable” to us; and</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the general partner or those other persons acted in bad faith or engaged in fraud, willful misconduct or gross negligence.</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general partner’s absolute discretion in determining the level of cash reserves may adversely affect our ability to make cash distributions to our Unitholders.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Partnership Agreement requires our general partner to deduct from operating surplus cash reserves that in its reasonable discretion are necessary to fund our future operating expenditures. In addition, our Partnership Agreement permits our general partner to reduce available cash by establishing cash reserves for the proper conduct of our business, to comply with applicable law or agreements to which we are a party or to provide funds for future distributions to partners. These cash reserves will affect the amount of cash available for distribution to Unitholders.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Affiliates of our general partner may compete with us.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provided in our Partnership Agreement, affiliates and related parties of our general partner are not prohibited from engaging in other businesses or activities, including those that might be in direct competition with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Risks to Unitholders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Our tax treatment depends on our continuing status as a partnership for federal income tax purposes, as well as our not being subject to a material amount of entity-level taxation. If the IRS were to treat us and our subsidiaries, including Sunoco LP and USAC as a corporation for federal income tax purposes or if we, Sunoco LP or USAC become subject to a material amount of entity-level taxation for state tax purposes, then our cash available for distribution would be substantially reduced.</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anticipated after-tax economic benefit of an investment in our units depends largely on our being treated as a partnership for federal income tax purposes. We have not requested, and do not plan to request, a ruling from the IRS on this matter. The value of our investments in Sunoco LP and USAC, depend largely on Sunoco LP and USAC being treated as partnerships for federal income tax purposes. Despite the fact that we, Sunoco LP and USAC are each a limited partnership under Delaware law, we would each be treated as a corporation for federal income tax purposes unless we satisfy a “qualifying income” requirement. Based upon our current operations and current Treasury Regulations, we believe we, Sunoco LP and USAC satisfy the qualifying income requirement. Failing to meet the qualifying income requirement or a change in current law could cause us, Sunoco LP or USAC to be treated as a corporation for federal income tax purposes or otherwise subject us to taxation as an entity.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Sunoco LP or USAC were treated as a corporation for federal income tax purposes, we would pay federal income tax at the corporate tax rate and we would likely pay additional state income taxes at varying rates. Distributions to Unitholders would generally be taxed again as corporate distributions, and none of our income, gains, losses or deductions would flow through to Unitholders. Because a tax would be imposed upon us as a corporation, our cash available for distribution to Unitholders would be substantially reduced. Therefore, treatment of us as a corporation would result in a material reduction in the anticipated cash flow and after-tax return to the Unitholders, likely causing a substantial reduction in the value of our units.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state level, several states have been evaluating ways to subject partnerships to entity-level taxation through the imposition of state income, franchise, or other forms of taxation. We currently own property or conduct business in many states that impose a margin or franchise tax. In the future, we may expand our operations. Imposition of a similar tax on us in the jurisdictions in which we operate or in other jurisdictions to which we may expand could substantially reduce our cash available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distribution to our Unitholders. Our Partnership Agreement provides that if a law is enacted or existing law is modified or interpreted in a manner that subjects us to taxation as a corporation or otherwise subjects us to entity-level taxation for U.S. federal, state, local or foreign income tax purposes, the target distribution amounts may be adjusted to reflect the impact of that law or interpretation on us.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present United States federal income tax treatment of publicly traded partnerships, including us, or an investment in our units may be modified by administrative, legislative or judicial changes or differing interpretations at any time. Members of Congress have frequently proposed and considered substantive changes to the existing United States federal income tax laws that affect publicly traded partnerships, including proposals that would eliminate our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we rely for our partnership tax treatment. Further, while unitholders of publicly traded partnerships are, subject to certain limitations, entitled to a deduction equal to 20% of their allocable share of a publicly traded partnership’s “qualified business income,” this deduction is scheduled to expire with respect to taxable years beginning after December 31, 2025.</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U.S. Department of the Treasury has issued, and in the future may issue, regulations interpreting those laws that affect publicly traded partnerships. There can be no assurance that there will not be further changes to United States federal income tax laws or the U.S. Department of the Treasury’s interpretation of the qualifying income rules in a manner that could impact our ability to qualify as a partnership in the future.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modification to the United States federal income tax laws and interpretations thereof may or may not be retroactively applied and could make it more difficult or impossible for us to meet the exception for certain publicly traded partnerships to be treated as partnerships for United States federal income tax purposes. We are unable to predict whether any changes or other proposals will ultimately be enacted. Any future legislative changes could negatively impact the value of an investment in our units. You are urged to consult with your own tax advisor with respect to the status of regulatory or administrative developments and proposals and their potential effect on your investment in our units.</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the IRS contests the federal income tax positions we take, the market for our units may be adversely affected and the costs of any such contest will reduce cash available to pay our debt securities and for distributions to our Unitholders.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requested a ruling from the IRS with respect to our treatment as a partnership for federal income tax purposes. 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units, and the prices at which they trade. In addition, the costs of any contest between us and the IRS will result in a reduction in our cash available to pay our debt securities and for distribution to our Unitholders and thus will be borne indirectly by our Unitholders.</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If the IRS makes audit adjustments to our income tax returns, it (and some states) may assess and collect any taxes (including any applicable penalties and interest) resulting from such audit adjustments directly from us, in which case our cash available to pay our debt securities and for distribution to our Unitholders might be substantially reduced.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IRS makes audit adjustments to our income tax returns, it (and some states) may assess and collect any taxes (including any applicable penalties and interest) resulting from such audit adjustment directly from us. To the extent possible, our general partner may elect to either pay the taxes (including any applicable penalties and interest) directly to the IRS or, if we are eligible, issue an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Unitholders are required to pay taxes on their share of our income even if they do not receive any cash distributions from us.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Unitholders are required to pay any federal income taxes and, in some cases, state and local income taxes on their share of our taxable income whether or not they receive cash distributions from us. Our Unitholders may not receive cash distributions from us equal to their share of our taxable income or even equal to the actual tax liability that results from that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gain or loss on disposition of our units could be more or less than expected.</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Unitholder sells their units, the Unitholder will recognize a gain or loss equal to the difference between the amount realized and that Unitholder’s tax basis in those units. Because distributions in excess of a Unitholder’s allocable share of our net taxable income decrease such Unitholder’s tax basis in their units, the amount, if any, of such prior excess distributions with respect to the units a Unitholder sells will, in effect, become taxable income to a Unitholder if such units are sold at a price greater than their tax basis in those units, even if the price such Unitholder receives is less than their original costs. In addition, because the amount realized includes a Unitholder’s share of our nonrecourse liabilities, if a Unitholder sells their units, a Unitholder may incur a tax liability in excess of the amount of cash received from the sale.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substantial portion of the amount realized from a Unitholder’s sale of their units, whether or not representing gain, may be taxed as ordinary income to such Unitholder due to potential recapture items, including depreciation recapture. Thus, a Unitholder may recognize both ordinary income and capital loss from the sale of Common Units if the amount realized on a sale of such units is less than such Unitholder’s adjusted basis in the units. Net capital loss may only offset capital gains and, in the case of individuals, up to $3,000 of ordinary income per year. In the taxable period in which a Unitholder sells their units, such Unitholder may recognize ordinary income from our allocations of income and gain to such Unitholder prior to the sale and from recapture items that generally cannot be offset by any capital loss recognized upon the sale of units.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Tax-exempt entities face unique tax issues from owning our units that may result in adverse tax consequences to them.</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 in our units by tax-exempt entities, such as employee benefit plans and individual retirement accounts (known as IRAs) raises issues unique to them. For example, virtually all of our income allocated to organizations that are exempt from United States federal income tax, including IRAs and other retirement plans, will be unrelated business taxable income and will be taxable to them. Additionally, all or part of any gain recognized by such tax-exempt organization upon a sale or other disposition of our units may be unrelated business taxable income and may be taxable to them. Tax-exempt entities should consult a tax advisor before investing in our units.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Non-United States Unitholders will be subject to United States taxes and withholding with respect to their income and gain from owning our units.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Non-United States Unitholders are generally taxed and subject to income tax filing requirements by the United States on income effectively connected with a United States trade or business (“effectively connected income”). Income allocated to our Unitholders and any gain from the sale of our units will generally be considered to be “effectively connected” with a United States trade or business. As a result, distributions to a non-United States Unitholder will be subject to withholding at the highest applicable effective tax rate and a non-United States Unitholder who sells or otherwise disposes of a unit will also be subject to United States federal income tax on the gain realized from the sale or disposition of that unit. In addition to the withholding tax imposed on distributions of effectively connected income, distributions to a non-U.S. unitholder will also be subject to a 10% withholding tax on the amount of any distribution in excess of our cumulative net income.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 transferee of an interest in a partnership that is engaged in a United States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Current and prospective non-U.S. unitholders should consult their tax advisors regarding the impact of these rules on an investment in our units.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subsidiaries that will be treated as corporations for federal income tax purposes and subject to corporate-level income taxes.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though we (as a partnership for United States federal income tax purposes) are not subject to United States federal income tax, some of our operations are conducted through subsidiaries that are organized as corporations for United States federal income tax purposes. The taxable income, if any, of subsidiaries that are treated as corporations for United States federal income tax purposes, is subject to corporate-level United States federal income taxes, which may reduce the cash available for distribution to us and, in turn, to our Unitholders. If the IRS or other state or local jurisdictions were to successfully assert that these corporations have more tax liability than we anticipate or legislation was enacted that increased the corporate tax rate, the cash available for distribution could be further reduced. The income tax return filings positions taken by these corporate subsidiaries require significant judgment, use of estimates, and the interpretation and application of complex tax laws. Significant judgment is also required in assessing the timing and amounts of deductible and taxable items. Despite our belief that the income tax return positions taken by these subsidiaries are fully supportable, certain positions may be successfully challenged by the IRS, state or local jurisdictions.</w:t>
      </w:r>
    </w:p>
    <w:p>
      <w:pPr>
        <w:spacing w:after="0" w:line="13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treat each purchaser of units as having the same tax benefits without regard to the actual units purchased. The IRS may challenge this treatment, which could result in a Unitholder owing more tax and may adversely affect the value of the units.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cannot match transferors and transferees of units and because of other reasons, we have adopted certain methods for allocating depreciation, depletion and amortization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units and could have a negative impact on the value of our units or result in audit adjustments to tax returns of our Unitholders. Moreover, because we have subsidiaries that are organized as C corporations for federal income tax purposes, a successful IRS challenge could result in these subsidiaries having a greater tax liability than we anticipate and, therefore, reduce the cash available for distribution to our partnership and, in turn, to our Unitholders.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We generally prorate our items of income, gain, loss and deduction between transferors and transferees of our units each month based upon the ownership of our units on the first business day of each month, instead of on the basis of the date a particular unit is transferred. The IRS may challenge aspects of our proration method, and if successful, we would be required to change the allocation of items of income, gain, loss and deduction among our Unitholders.</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prorate our items of income, gain, loss and deduction between transferors and transferees of our units each month based upon the ownership of our units on the first business day of each month (the “Allocation Date”), instead of on the basis of the date a particular unit is transferred. Similarly, we generally allocate (i) certain deductions for depreciation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the proration method we have adopted. If the IRS were to challenge our proration method, we may be required to change the allocation of items of income, gain, loss and deduction among our Unitholders.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Unitholder whose common or preferred units are the subject of a securities loan (e.g. a loan to a short seller to cover a short sale of common or preferred units) may be considered as having disposed of those units. If so, such Unitholder would no longer be treated for tax purposes as a partner with respect to those units during the period of the loan and may recognize gain or loss from the disposition.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there are no specific rules governing the federal income tax consequences of loaning a partnership interest, a Unitholder whose units are the subject of a securities loan may be considered as having disposed of the loaned units. In that case, the Unitholder may no longer be treated for tax purposes as a partner with respect to those units during the period of the loan to the short seller, and the Unitholder and may recognize gain or loss from such disposition. 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units.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have adopted certain valuation methodologies in determining Unitholder’s allocations of income, gain, loss and deduction. The IRS may challenge these methods or the resulting allocations, and such a challenge could adversely affect the value of our Common Units.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we issue additional units or engage in certain other transactions, we determine the fair market value of our assets and allocate any unrealized gain or loss attributable to such assets to the capital accounts of our Unitholders and our general partner. Although we may from time to time consult with professional appraisers regarding valuation matters, including the valuation of our assets, we make many of the fair market value estimates of our assets ourselves using a methodology based on the market value of our Common Units as a means to measure the fair market value of our assets. Our methodology may be viewed as understating the value of our assets. In that case, there may be a shift of income, gain, loss and deduction between certain Unitholders and our general partner, which may be unfavorable to such Unitholders. Moreover, under our current valuation methods, subsequent purchasers of our Common Units may have a greater portion of their Internal Revenue Code Section 743(b) adjustment allocated to our tangible assets and a lesser portion allocated to our intangible assets. The IRS may challenge our valuation methods, or our allocation of Section 743(b) adjustment attributable to our tangible and intangible assets, and allocations of income, gain, loss and deduction between our general partner and certain of our Unitholders.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successful IRS challenge to these methods or allocations could adversely affect the amount of taxable income or loss being allocated to our Unitholders. It also could affect the amount of gain on the sale of Common Units by our Unitholders and could have a negative impact on the value of our Common Units or result in audit adjustments to the tax returns of our Unitholders without the benefit of additional deductions.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Unitholders will likely be subject to state and local taxes and income tax return filing requirements in jurisdictions where they do not live as a result of investing in our units.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United States federal income taxes, the Unitholders may be subject to other taxes, including state and local taxes, unincorporated business taxes and estate, inheritance or intangible taxes that are imposed by the various jurisdictions in which we or our subsidiaries conduct business or own property now or in the future, even if they do not live in any of those jurisdictions. Unitholders will likely be required to file state and local income tax returns and pay state and local income taxes in some or all of these various jurisdictions. Further, Unitholders may be subject to penalties for failure to comply with those requirements. It is the responsibility of each Unitholder to file all federal, state and local tax returns.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Unitholders may be subject to limitation on their ability to deduct interest expense incurred by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we are entitled to a deduction for interest paid or accrued on indebtedness properly allocable to our trade or business during our taxable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our deduction for “business interest” is generally limited to the sum of our business interest income and 30% of our “adjusted taxable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limitation, adjusted taxable income is computed without regard to any business interest expense or business interest income.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treatment of Energy Transfer Preferred Units is uncertain, and distributions on Energy Transfer Preferred Units (other than Series I Preferred Units) may not be eligible for the 20% deduction for qualified publicly traded partnership income.</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tax treatment of our Preferred Units is uncertain. With respect to Preferred Units (other than Series I Preferred Units), we will treat Preferred Unitholders as partners for tax purposes and will treat distributions on such Preferred Units as guaranteed payments for the use of capital that will generally be taxable to such Preferred Unitholders as ordinary income. Preferred Unitholders of our Preferred Units (other than Series I Preferred Units) will recognize taxable income from the accrual of such a guaranteed payment (even in the absence of a contemporaneous cash distribution). Otherwise, except in the case of our liquidation, Preferred Unitholders of our Preferred Units (other than Series I Preferred Units) are generally not anticipated to share in our items of income, gain, loss or deduction, nor will we allocate any share of our nonrecourse liabilities to such Preferred Unitholders. If the Energy Transfer Preferred Units (other than Series I Preferred Units) were treated as indebtedness for tax purposes, rather than as guaranteed payments for the use of capital, distributions likely would be treated as payments of interest by us to Preferred Unitholders.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expect that much of the income we earn will be eligible for the 20% deduction for qualified publicly traded partnership income for taxable years beginning before December 31, 2025, the Treasury Regulations provide that income attributable to a guaranteed payment for the use of capital is not eligible for the 20% deduction for qualified business income. As a result income attributable to a guaranteed payment for use of capital recognized by holders of our Preferred Units is not eligible for the 20% deduction for qualified business income.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Series I Preferred Units, we will treat distributions as distributions to a partner and will treat Preferred Unitholders that hold Series I Preferred Units (the “Series I Preferred Unitholders”) as receiving an allocable share of gross income from us, to the extent we have sufficient gross income to make such allocations. In the event there is not sufficient gross income to match such distributions, the distributions on the Series I Preferred Units would reduce the capital accounts of the Series I Preferred Units, requiring a subsequent allocation of income or gain to provide the Series I Preferred Units with their liquidation preference, if possible. However, if the IRS were to determine that such distributions were guaranteed payments for the use of capital, the distributions would generally be taxable to each of the Series I Preferred Unitholders as ordinary income and the Series I Preferred Unitholders would recognize taxable income from the accrual of such guaranteed payment (even in the absence of a contemporaneous cash distribution), as described above with respect to Preferred Units (other than Series I Preferred Units). If the Series I Preferred Units are not treated as partnership interests, they would likely constitute indebtedness for tax purposes, and distributions on the Series I Preferred Units likely would be treated as payments of interest by us to such Series I Preferred Unitholders.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Preferred Unitholder will be required to recognize gain or loss on a sale of Energy Transfer Preferred Units equal to the difference between the amount realized by such Preferred Unitholder and such Preferred Unitholder’s tax basis in the Energy Transfer Preferred Units sold. The amount realized generally will equal the sum of the cash and the fair market value of other property such Preferred Unitholder receives in exchange for such Energy Transfer Preferred Units. Subject to general rules requiring a blended basis among multiple partnership interests and the rules applicable in determining the exchanged tax basis of a Series I Preferred Unit received by a Unitholder pursuant to the Crestwood acquisition, the tax basis of a Preferred Unit will generally be equal to the sum of the cash and the fair market value of other property paid by the Preferred Unitholder to acquire such Energy Transfer Preferred Units. Gain or loss recognized by a Preferred Unitholder on the sale or exchange of Energy Transfer Preferred Units held for more than one year generally will be taxable as long-term capital gain or loss. Because Preferred Unitholders will generally not be allocated a share of our items of depreciation, depletion or amortization, it is not anticipated that such Preferred Unitholders would be required to recharacterize any portion of their gain as ordinary income as a result of the recapture rules.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 in our Preferred Units by tax-exempt investors, such as employee benefit plans and individual retirement accounts, and non-United States persons raises issues unique to them. With respect to Preferred Units (other than Series I Preferred Units), the treatment of guaranteed payments for the use of capital to tax-exempt investors is not certain and such payments may be treated as unrelated business taxable income for federal income tax purposes. With respect to Series I Preferred Units, virtually all of our gross income allocated to tax-exempt investors will be unrelated business taxable income and will be taxable to them. Distributions to non-United States Preferred Unitholders will be subject to withholding taxes. If the amount of withholding exceeds the amount of United States federal income tax actually due, non-United States Preferred Unitholders may be required to file United States federal income tax returns in order to seek a refund of such excess.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Preferred Unitholders are urged to consult a tax advisor with respect to the consequences of owning Energy Transfer Preferred Units.</w:t>
      </w:r>
    </w:p>
    <w:p>
      <w:pPr>
        <w:spacing w:after="0" w:line="16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Processes for Assessing, Identifying and Managing Cybersecurity Risks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and operational technology infrastructure we use is important to the operation of our business and to our ability to perform day-to-day operations. In the normal course of business, we may collect and store certain sensitive information of the Partnership, including proprietary and confidential business information, trade secrets, intellectual property, sensitive third-party and employee information, and certain personally identifiable information.</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Partnership maintains a shared services cybersecurity program for assessing, identifying and managing material risks from cybersecurity threats. This program includes processes that are modeled after the National Institute of Standards and Technology’s Cybersecurity Framework and focuses on using business drivers to guide cybersecurity activities. This program is managed by a team of full-time employees, overseen by our Chief Information Officer, that are tasked with conducting our day-to-day information technology (“IT”) operations (collectively, the “IT team”). Furthermore, the Partnership considers cybersecurity risks as part of, and has incorporated its cybersecurity program into, the Partnership’s overall risk management processes. Through engagement with the guidance of the Federal Bureau of Investigation (FBI), Cybersecurity and Infrastructure Security Agency (CISA), Transportation Security Administration (TSA) and the U.S. Coast Guard (USCG), we seek to follow industry cybersecurity standards and protect our infrastructure against cyber attacks from domestic and international threats.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use a defense-in-depth approach for cybersecurity management, layers of technology, policies and training at all levels of the enterprise designed to keep the Partnership’s assets secure and operational. We use various processes as part of our efforts to maintain the confidentiality, integrity and availability of our systems, including security threat intelligence, incident response, identity and access management, supply-chain security assessments, endpoint extended detection and response protection, network segmentation, data encryption, event monitoring and a Security Operations Center (SOC). In an effort to validate the effectiveness of our cybersecurity program and assess such program’s compliance with legal and regulatory requirements, we engage third-party service providers to perform audits, assessments and penetration tests.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awareness among our employees is promoted with regular training and awareness programs. All employees who have access to our systems are required to undergo annual cybersecurity training and, each year, our employees must review and acknowledge our cybersecurity policies. Further, our IT team is trained to understand how to manage, use and protect personally identifiable information. User access controls have been implemented to limit unauthorized access to sensitive information and critical systems. Employees are required to use multifactor authentication and keep their passwords confidential, among other measures.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that third-party service providers may introduce cybersecurity risks. In an effort to mitigate these risks, before contracting with certain technology service providers, when possible, we conduct due diligence to evaluate their cybersecurity capabilities. Additionally, we endeavor to include cybersecurity requirements in our contracts with these providers and endeavor to require them to adhere to security standards and protocols. Further, we also endeavor to engage with any third-party service providers with access to personally identifiable employee information to evaluate their security controls.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Finally, the Partnership maintains cybersecurity insurance coverage.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Risks from Cybersecurity Threats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energy industry’s increasing dependence on information technology and operational technology to support critical functions, such as energy distribution and management activities, has heightened its vulnerability to cybersecurity incidents. Consequently, the global surge in cybersecurity incidents, whether caused by intentional attacks or accidental events, presents a significant challenge to our sector. As cybersecurity threats grow in complexity and scale, preventing, detecting, mitigating and remediating these incidents remains a continuous and increasingly demanding task for the industry. Compliance with evolving cybersecurity reporting requirements, such as those mandated by FERC, presents significant challenges. These regulations necessitate timely and detailed reporting of cyber incidents, demanding substantial resources and robust internal processes to ensure adherence. Failure to comply could result in legal penalties, increased regulatory scrutiny and reputational damage. Moreover, the dynamic nature of these requirements may lead to overlapping or inconsistent obligations, further complicating compliance efforts. Monitoring these developments and integrating them into our cybersecurity and compliance frameworks is essential to mitigate potential risks.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on Form 10-K, though the Partnership and our service providers have experienced certain cybersecurity incidents, we are not aware of any cybersecurity threats that have materially affected, or are reasonably likely to materially affect, the Partnership, either financially or operationally. Cybersecurity incident response is a component of both the Partnership’s cybersecurity program and the Partnership’s business continuity plans, which are designed to limit service interruptions and provide for continued business operation in the event of disaster, whether physical, environmental or cyber in nature. However, we recognize that cybersecurity threats are continually evolving, and there remains a risk that a cybersecurity incident could potentially negatively impact the Partnership. Despite the implementation of our cybersecurity processes, we cannot guarantee that a significant cybersecurity attack will not occur. A successful attack on our information system or operational technology system could have significant consequences to the business, including the interruption of key services that our customers depend on. While we devote resources to our security measures to protect our systems and information, these measures cannot provide absolute security. Due to the number of acquisitions made by the Partnership over the past few years and the time it takes to implement technology standards across the enterprise, certain assets may be in different stages of integration and may have incomplete cybersecurity controls applied. For additional information on cybersecurity risks, see “Item 1A. Risk Factors—</w:t>
      </w:r>
      <w:r>
        <w:rPr>
          <w:rFonts w:ascii="Times New Roman" w:cs="Times New Roman" w:eastAsia="Times New Roman" w:hAnsi="Times New Roman"/>
          <w:sz w:val="18"/>
          <w:szCs w:val="18"/>
          <w:i w:val="1"/>
          <w:iCs w:val="1"/>
          <w:color w:val="auto"/>
        </w:rPr>
        <w:t>Cybersecurity attacks,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data breaches and other disruptions affecting us, or our service providers, could materially and adversely affect our business, operations, reputation, and financial results; and —Our operations could be disrupted if our information systems fail, causing increased expenses and loss of sales.”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Oversight and Management’s Role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Information Officer oversees the Partnership’s functions of IT, cybersecurity, infrastructure and IT governance (including the Partnership’s IT team) and has more than 35 years of experience leading business technology functions. The Partnership’s IT team is responsible for our efforts to comply with applicable cybersecurity standards, establish effective cybersecurity protocols and protect the integrity, confidentiality and availability of our IT infrastructure. The members of this team have over 50 years of combined experience in the field of IT, including 20 years dedicated to cybersecurity, and hold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certifications, including Global Industrial Cyber Security Professional (GICSP), Certified Information Systems Security Professional (CISSP) and Certified Ethical Hacker (CEH) certifications. This team is responsible for cybersecurity threat prevention, detection, mitigation and remediation for the combined organization. Our cyber incident response plan requires IT team members who detect suspicious activity in our IT environment to escalate that activity to a supervisor who then evaluates the threat. If necessary, the suspicious activity is reported to the Chief Information Officer. Management (including representatives from the legal, human resources, IT and corporate security departments) is notified by the IT team whenever a discovered cybersecurity incident may potentially have a significant impact on our business operations.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Partnership’s Board of Directors has delegated the responsibility for the oversight of cybersecurity risks to the Audit Committee, which is ultimately responsible for assessing and managing the Partnership’s material risks from cybersecurity threats. The IT team provides periodic cybersecurity program updates to senior management and to the Audit Committee. Management also updates the Audit Committee as new risks are identified and regarding the steps taken to mitigate such risks. The Audit Committee reviews periodic reporting and updates regarding our cybersecurity risk management.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description of our properties is included in “Item 1. Business.” In addition, we own office buildings for our executive offices in Dallas, Texas and office buildings in Newton Square, Pennsylvania; Houston, Texas and San Antonio, Texas. While we may require additional office space as our business expands, we believe that our existing facilities are adequate to meet our needs for the immediate future, and that additional facilities will be available on commercially reasonable terms as needed.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we have satisfactory title to or valid rights to use all of our material properties. Although some of our properties are subject to liabilities and leases, liens for taxes not yet due and payable, encumbrances securing payment obligations under non-competition agreements and immaterial encumbrances, easements and restrictions, we do not believe that any such burdens will materially interfere with our continued use of such properties in our business, taken as a whole. In addition, we believe that we have, or are in the process of obtaining, all required material approvals, authorizations, orders, licenses, permits, franchises and consents of, and have obtained or made all required material registrations, qualifications and filings with, the various state and local government and regulatory authorities which relate to ownership of our properties or the operations of our business.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our pipelines, which are described in “Item 1. Business,” are constructed on rights-of-way granted by the apparent record owners of the property. Lands over which pipeline rights-of-way have been obtained may be subject to prior liens that have not been subordinated to the right-of-way grants. We have obtained, where necessary, easement agreements from public authorities and railroad companies to cross over or under, or to lay facilities in or along, watercourses, county roads, municipal streets, railroad properties and state highways, as applicable. In some cases, properties on which our pipelines were built were purchased in fee. We also own and operate multiple natural gas and NGL storage facilities and own or lease other processing, treating and conditioning facilities in connection with our midstream operations.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legal proceedings, see Note 11 to our consolidated financial statements included in “Item 8. Financial Statements and Supplementary Data” in this Annual Report on Form 10-K for the year ended December 31, 2024.</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received notices of violations and potential fines under various federal, state and local provisions relating to the discharge of materials into the environment or protection of the environment. While we believe that even if any one or more of the following environmental proceedings were decided against us, it would not be material to our financial position, results of operations or cash flows, we are required to report environmental governmental proceedings if we reasonably believe that such proceedings reasonably could result in monetary sanctions in excess of $1 million (previously $0.3 million).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ETC Sunoco and Energy Transfer R&amp;M (collectively, “Sunoco Defendants”)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2023, Sunoco Defendants are defendants in two cases: one case initiated by the State of Maryland and one by the Commonwealth of Pennsylvania. The actions brought also named as defendants ETO, ETP Holdco and Sunoco Partners Marketing &amp; Terminals L.P., now known as Energy Transfer Marketing &amp; Terminals L.P.</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late 2016, FERC Enforcement Staff began a non-public investigation related to Rover’s purchase and removal of a potentially historic home (known as the Stoneman House) while Rover’s application for permission to construct the new 711-mile interstate natural gas pipeline and related facilities was pending. On March 18, 2021, FERC issued an Order to Show Cause and Notice of Proposed Penalty (Docket No. IN19-4-000), ordering Rover to explain why it should not pay a $20 million civil penalty for alleged violations of FERC regulations requiring certificate holders to be forthright in their submissions of information to the FERC. Rover filed its answer and denial to the order on June 21, 2021 and a surreply on September 15, 2021. FERC issued an order on January 20, 2022 setting the matter for hearing before an administrative law judge. On January 25, 2022, the chief judge assigned an administrative law judge and set a timeline for a prehearing conference.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 2022, Energy Transfer and Rover filed a Complaint for Declaratory Relief in the United States District Court for the Northern District of Texas seeking an order declaring that FERC must bring its enforcement action in federal district court (instead of before an administrative law judge). Also on February 1, 2022, Energy Transfer and Rover filed an expedited request to stay the proceedings before the FERC administrative law judge pending the outcome of the federal district court case. On May 24, 2022, the District Court ordered a stay of the FERC’s enforcement case and the District Court case pending the resolution of two cases pending before the United States Supreme Court. Arguments were heard in those cases on November 7, 2022. On April 14, 2023, the United States Supreme Court held against the government in both cases, finding that the federal district courts had jurisdiction to hear those suits and to resolve the parties’ constitutional challenges. The cases were remanded to the federal district courts for further proceedings.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2023 the District Court ordered that the District Court case would be stayed pending the resolution of another case pending before the United States Supreme Court and that the FERC enforcement case would remain stayed. On November 13, 2023, the FERC appealed the District Court order to the United States Court of Appeals for the Fifth Circuit. On December 11, 2023, FERC filed a motion to withdraw that appeal, which the Fifth Circuit granted on December 12, 2023. The FERC and District Court proceedings remain stayed pending resolution of the case pending before the United States Supreme Court. The Supreme Court issued a decision in that case on June 27, 2024. The FERC and District Court proceedings remain stayed at this time. Energy Transfer and Rover intend to vigorously defend this claim.</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mid-2017, FERC Enforcement Staff began a non-public investigation regarding allegations that diesel fuel may have been included in the drilling mud at the Tuscarawas River horizontal directional drilling (“HDD”) operations. Rover and the Partnership are cooperating with the investigation. Enforcement Staff has provided Rover with a notice pursuant to Section 1b.19 of the FERC’s regulations that Enforcement Staff intends to recommend that the FERC pursue an enforcement action against Rover and the Partnership. The Partnership disagrees with Enforcement Staff’s findings and intends to vigorously defend against any potential penalty. On December 16, 2021, FERC issued an Order to Show Cause and Notice of Proposed Penalty (Docket No. IN17-4-000), ordering Rover to show cause why it should not be found to have violated Section 7(e) of the NGA, Section 157.20 of FERC’s regulations, and the Rover Pipeline Certificate Order, and assessed civil penalties of $40 million.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Rover and Energy Transfer filed their answer to this order on March 21, 2022, and Enforcement Staff filed a reply on April 20, 2022. Rover and Energy Transfer filed their surreply to this order on May 13, 2022. FERC has taken no further action on the case since that time. Any and all losses, including any fines and penalties from government agencies, resulting from the general contractor’s alleged actions in conducting such HDD operations are subject to indemnity rights in favor of Rover and the Partnership. Given the stage of the proceedings, the Partnership is unable at this time to provide an assessment of the potential outcome or range of potential liability, if any; however, the Partnership believes the indemnity described above will be applicable to the penalty proposed by Enforcement Staff and intends to vigorously defend itself against the subject claims.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3, 2017, the State of Ohio and the Ohio Environmental Protection Agency (“Ohio EPA”) filed suit against Rover and other defendants (collectively, the “Defendants”) seeking to recover approximately $2.6 million in civil penalties allegedly owed and certain injunctive relief related to permit compliance. The Defendants filed several motions to dismiss, which were granted on all counts. The Ohio EPA appealed, and on December 9, 2019, the Fifth District court of appeals entered a unanimous judgment affirming the trial court. The Ohio EPA sought review from the Ohio Supreme Court. On April 22, 2020, the Ohio Supreme Court granted the review. On March 17, 2022, the Ohio Supreme Court reversed in part and remanded to the Ohio trial court. The Ohio Supreme Court agreed with Rover that the State of Ohio had waived its rights under Section 401 of the Clean Water Act but remanded to the trial court to determine whether any of the allegations fell outside the scope of the waiver. On remand, the Ohio EPA voluntarily dismissed four of the other five defendants and dismissed one of its counts against Rover. In its Fourth Amended Complaint, the Ohio EPA removed all paragraphs that alleged violations by the four dismissed defendants, including those where the dismissed defendants were alleged to have acted jointly with Rover or others. At a June 2, 2022, status conference, the trial judge set a schedule for Rover and the other remaining defendant to file motions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dismiss the Fourth Amended Complaint. On August 1, 2022, Rover and the other remaining defendant each filed their respective motions. Briefing on those motions was completed on November 4, 2022. By order issued on October 20, 2023, the trial judge dismissed the Ohio EPA’s Fourth Amended Petition. On November 17, 2023, the State of Ohio appealed the trial judge’s decision to Ohio’s Fifth District Court of Appeals. The State filed its initial brief on January 8, 2024 and Energy Transfer’s and Rover’s responsive brief was filed February 20, 2024. The State filed a reply brief on February 26, 2024. Oral argument on the appeal was held on August 27, 2024. On October 1, 2024, Ohio’s Fifth District Court of Appeals affirmed the trial judge’s decision. The State of Ohio sought permission to appeal this decision from the Ohio State Supreme Court. Energy Transfer and Rover have opposed such permission. On January 28, 2025, the Ohio State Supreme Court declined to hear the State’s appeal. The State of Ohio could seek reconsideration of this Order with the Ohio Supreme Court or attempt to seek review from the U.S. Supreme Court. Energy Transfer and Rover intend to vigorously defend this claim.</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2019, we received notice from the DOJ on behalf of the EPA that a civil penalty enforcement action was being pursued under the Clean Water Act for an estimated 450 barrel crude oil release from the Mid Valley Pipeline operated by SPLP and owned by Mid Valley. The release purportedly occurred in October 2014 on a nature preserve located in Hamilton County, Ohio, near Cincinnati, Ohio. After discovery and notification of the release, SPLP conducted substantial emergency response, remedial work and primary restoration in three phases and the primary restoration has been acknowledged to be complete. In December of 2019, SPLP reached an agreement in principal with the EPA regarding payment of a civil penalty which will be subject to public comment. In September of 2024, after a public comment period, the United States District Court for the Southern District of Ohio (Western Division) entered a Consent Decree whereby SPLP and Mid Valley resolved both the civil penalty as well as alleged natural resource damages (NRD) brought jointly by the DOJ, on behalf of United States Department of Interior Fish and Wildlife, and the Ohio Attorney General, on behalf of the Ohio EPA. Operation and maintenance (O&amp;M) activities will continue for several years.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2022, the State of New Mexico, ex rel. Hector Balderas, Attorney General filed a complaint against ETO, Transwestern, Kinder Morgan, Inc., El Paso Natural Gas L.L.C. and Northwest Pipeline, LLC in Cause No. D-101-CV-2022-00174 in the First Judicial District Court, County of Santa Fe, State of New Mexico, seeking to recover statewide damages for contamination with PCBs used for decades by the oil and gas industry in the operation and maintenance of pipeline infrastructure. The complaint alleges discharge or release of PCBs into the natural environment from compressor stations in connection with the operation of Transwestern. The parties completed document discovery and depositions of factual witnesses in December 2024 and will begin taking expert depositions in March 2025. Once discovery has been completed, Transwestern will be able to provide an assessment of the potential outcome or range of potential liability, if any. Trial has been set for August 2025.</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2022, near Henderson, Tennessee, a Mid Valley mowing contractor struck an exposed section of the 22-inch diameter Hornsby to Denver line segment while mowing. The brush cutter mowing implement cut open the pipeline and released an estimated 4,345 barrels of crude oil into the surrounding area. Approximately 3,343 barrels of crude oil were recovered during initial remediation activities with the remaining volume contained within the materials removed and disposed of in accordance with applicable environmental laws and regulations. Corrective action was completed pursuant to the Tennessee Department of Environment and Conservation's ("TDEC") Division of Remediation -Voluntary Action Program ("VAP") and on May 23, 2023, Mid Valley received a No Further Action letter from the TDEC for the corrective action work related to the incident. Additional environmental work was completed in late August 2023 along the pipeline right-of-way to address a small oil seep which required soil removal and site restoration. The TDEC was notified and a follow-up report will be submitted to the agency documenting completion. Mid Valley received a Notice of Federal Interest regarding the incident and is awaiting final invoicing from the federal agencies (United States Environmental Protection Agency and United States Fish and Wildlife Service) and their consultants related to the incident. Mid Valley has also supplied PHMSA with information as requested. On October 13, 2023, Mid Valley received a Notice of Proposed Safety Order ("NOPSO") from PHMSA related to this incident and other historical incidents on the Mid Valley pipeline system. No other government agency action has occurred. Groundwater monitoring wells were abandoned on June 12, 2023, which concluded environmental related activities associated with the incident site. No injuries resulted from the incident.</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26, 2023, Plaintiffs Michael and Cecilia Weinman ("Plaintiffs") filed suit in Chester County, Tennessee, against Mid Valley and other Energy Transfer defendants asserting claims for negligence, trespass, and other tort claims and alleging damage to their property stemming from the crude oil release. Plaintiffs alleged actual monetary damages and punitive damages totaling $380 million. The Energy Transfer defendants were served on or around July 5, 2023, and timely filed a notice of removal of the lawsuit to federal court in the Western District of Tennessee Eastern Division on August 2, 2023. On August 8, 2023, Plaintiffs filed a notice of voluntary dismissal of their lawsuit without prejudice. On or about August 7, 2024, Plaintiffs refiled their suit with slight modifications and removing their negligence per se claim in Chester County, Tennessee. On or about August 27, 2024, the first two Energy Transfer defendants were served. On or about September 13, 2024, Plaintiffs filed a notice of voluntary dismissal of their latest lawsuit without prejudice.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29, 2023, the United States Coast Guard issued the final invoice for all federal expenses related to the incident response in the amount of $90,000. The expenses have been validated and sent for payment.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Energy Transfer Defendants cannot predict the ultimate outcome of this litigation or the amount of time and expense that will be required to resolve it.</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13, 2023, Mid Valley received a NOPSO from the PHMSA related to various historical accidents and complaints reported to PHMSA on the Mid Valley system. The NOPSO requests that Mid Valley perform several proposed corrective measures within six months of receipt of a Safety Order; however, in response, Mid Valley requested that PHMSA engage in informal consultations prior to issuing a Safety Order in an effort for the parties to potentially enter into a Consent Agreement and Order. Informal consultation is underway. In the event a Consent Agreement and Order is not reached between the parties during this process, Mid Valley may request a Hearing on the NOPSO. It is too early to predict the outcome, timeline, or costs associated with this administrative action.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28, 2022, the EPA issued a Notice of Proposed Debarment (“NPD”) arising from SPLP’s and ETC Northeast Pipeline, LLC’s nolo contendere plea agreements and convictions for violations of Pennsylvania’s Clean Streams Law related to the Revolution and Mariner 2 pipelines. The following entities were proposed for debarment: (1) SPLP (pleading entity); (2) ETC Northeast Pipeline, LLC (pleading entity); (3) Energy Transfer LP; (4) SemGroup LLC; and (5) LE GP, LLC. The NPD presently prevents the named entities from pursuing or renewing Federal government contracts or Federal financial assistance agreements. We are engaging with the EPA to address the EPA’s concerns. Currently, none of the entities named in the NPD are party to any Federal government contracts or Federal financial assistance agreements.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15, 2023, PHMSA issued a Notice of Probable Violation, Proposed Civil Penalty, and Proposed Compliance Order (collectively “NOPV”), CPF 4-2023-011-NOPV, identifying three probable violations with compliance order actions associated with two of them and civil penalties proposed in an amount totaling $2,473,912. The NOPV related to a PHMSA Accident Investigation Division investigation of a pigging incident which occurred on March 26, 2020 at the Partnership’s Borcher Station in Kansas and resulted in a fatality. The Partnership challenged PHMSA’s alleged violations and related civil penalties and compliance order actions contained in the NOPV. After an administrative hearing, which was held on April 24, 2024 before a PHMSA Presiding Official, the PHMSA Southwest Region recommended to remain relatively firm on the NOPV, with only a slightly reduced civil penalty of approximately $2,455,312. The Partnership has challenged the PHMSA recommendation and is also currently challenging certain procedural events which occurred following the administrative hearing. The Partnership is also in the process of evaluating any other legal options that may be available to it for challenging the agency action.</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31, 2023, the United States Department of Justice filed suit in the District Court for the Southern District of Texas (Corpus Christi Division) captioned as United States v. Energy Transfer (R&amp;M), LLC et al. Civil Action No. 2:23-cv-214, against Sunoco and two other parties seeking to recover past CERCLA response costs allegedly incurred by the EPA in excess of $500,000 and certain declaratory relief related to compliance. Suntide Refining Company (Sunoco as successor) is alleged to have arranged for the transport and disposal of refinery wastes containing hazardous substances at the Brine Service Company Superfund Site in Corpus Christi, Nueces County, TX. At this time, we cannot determine the likelihood of any liability in this matter; however, Sunoco intends to defend and dispute the allegations of the lawsuit, including but not limited to the joint and several liability determination sought. This lawsuit is included among the matters described in our discussion of our other environmental remediation matters. Please see Note 11 to our consolidated financial statements included in “Item 8. Financial Statements and Supplementary Data.”</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13, 2025, SPLP received a Notice of Proposed Safety Order (“NOPSO”) from the PHMSA related to a release of jet fuel on the Twin Oaks Discharge pipeline system in Bucks County, Pennsylvania. The NOPSO made certain preliminary findings and proposes that SPLP take certain measures with respect to the system to ensure safety. SPLP plans to submit a written response within the 30-day response period. It is too early to predict the outcome, timeline, or costs associated with this administrative action.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UNITS, RELATED UNITHOLDER MATTERS AND ISSUER PURCHASES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7, 2025, there were 10,402 holders of record of our common units, which number does not separately account for individual participants in securities positions listings. Common units represent limited partner interests in us that entitle the holders to the rights and privileges specified in Energy Transfer’s Partnership Agreement.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limited partners own an aggregate 99.9% limited partner interest in us. Our General Partner owns an aggregate 0.1% general partner interest in us. Our common units are registered under the Exchange Act, and are listed for trading on the NYSE under the ticker symbol “ET.” Each holder of a common unit is entitled to one vote per unit on all matters presented to the limited partners for a vote. In addition, if at any time any person or group (other than our General Partner and its affiliates) owns beneficially 20% or more of all common units, any Common Units owned by that person or group may not be voted on any matter and are not considered to be outstanding when sending notices of a meeting of unitholders (unless otherwise required by law), calculating required votes, determining the presence of a quorum or for other similar purposes under our Partnership Agreement. The common units are entitled to distributions of Available Cash as described in “Cash Distribution Policy.”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Class A Units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February 7, 2025, the Partnership had outstanding 849,249,512 Class A units (“Energy Transfer Class A Units”) representing limited partner interests in the Partnership to the General Partner. The Energy Transfer Class A Units are entitled to vote together with the Partnership’s common units, as a single class, except as required by law. Additionally, Energy Transfer’s Partnership Agreement provides that, under certain circumstances, upon the issuance by the Partnership of additional common units or any securities that have voting rights that are pari passu with the Partnership common units, the Partnership will issue to any holder of Energy Transfer Class A Units additional Energy Transfer Class A Units such that the holder maintains a voting interest in the Partnership that is identical to its voting interest in the Partnership prior to such issuance of common units. The Energy Transfer Class A Units are not entitled to distributions and otherwise have no economic attributes.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Transfer Preferred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Partnership had the following series of preferred units outstanding: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Units Issued and</w:t>
            </w: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Liquidation</w:t>
            </w:r>
          </w:p>
        </w:tc>
        <w:tc>
          <w:tcPr>
            <w:tcW w:w="1780" w:type="dxa"/>
            <w:vAlign w:val="bottom"/>
          </w:tcPr>
          <w:p>
            <w:pPr>
              <w:spacing w:after="0"/>
              <w:rPr>
                <w:sz w:val="18"/>
                <w:szCs w:val="18"/>
                <w:color w:val="auto"/>
              </w:rPr>
            </w:pPr>
          </w:p>
        </w:tc>
      </w:tr>
      <w:tr>
        <w:trPr>
          <w:trHeight w:val="243"/>
        </w:trPr>
        <w:tc>
          <w:tcPr>
            <w:tcW w:w="61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Series of Preferred Units</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Preference per Unit</w:t>
            </w: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Date Issued</w:t>
            </w:r>
          </w:p>
        </w:tc>
      </w:tr>
      <w:tr>
        <w:trPr>
          <w:trHeight w:val="169"/>
        </w:trPr>
        <w:tc>
          <w:tcPr>
            <w:tcW w:w="59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Series B Fixed-to-Floating Rate Cumulative Redeemable Perpetual Preferred</w:t>
            </w: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r>
      <w:tr>
        <w:trPr>
          <w:trHeight w:val="243"/>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2021</w:t>
            </w:r>
          </w:p>
        </w:tc>
      </w:tr>
      <w:tr>
        <w:trPr>
          <w:trHeight w:val="23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F Fixed-Rate Reset Cumulative Redeemable Perpetual Preferred Units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2021</w:t>
            </w:r>
          </w:p>
        </w:tc>
      </w:tr>
      <w:tr>
        <w:trPr>
          <w:trHeight w:val="175"/>
        </w:trPr>
        <w:tc>
          <w:tcPr>
            <w:tcW w:w="5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April 2021 and</w:t>
            </w:r>
          </w:p>
        </w:tc>
      </w:tr>
      <w:tr>
        <w:trPr>
          <w:trHeight w:val="24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G Fixed-Rate Reset Cumulative Redeemable Perpetual Preferred Units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18"/>
                <w:szCs w:val="18"/>
                <w:color w:val="auto"/>
              </w:rPr>
              <w:t>December 2021</w:t>
            </w:r>
            <w:r>
              <w:rPr>
                <w:rFonts w:ascii="Times New Roman" w:cs="Times New Roman" w:eastAsia="Times New Roman" w:hAnsi="Times New Roman"/>
                <w:sz w:val="23"/>
                <w:szCs w:val="23"/>
                <w:color w:val="auto"/>
                <w:vertAlign w:val="superscript"/>
              </w:rPr>
              <w:t>(1)</w:t>
            </w:r>
          </w:p>
        </w:tc>
      </w:tr>
      <w:tr>
        <w:trPr>
          <w:trHeight w:val="23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H Fixed-Rate Reset Cumulative Redeemable Perpetual Preferred Units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2021</w:t>
            </w:r>
          </w:p>
        </w:tc>
      </w:tr>
      <w:tr>
        <w:trPr>
          <w:trHeight w:val="23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I Fixed Rate Perpetual Preferred Units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41,464,179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November 2023</w:t>
            </w:r>
            <w:r>
              <w:rPr>
                <w:rFonts w:ascii="Times New Roman" w:cs="Times New Roman" w:eastAsia="Times New Roman" w:hAnsi="Times New Roman"/>
                <w:sz w:val="23"/>
                <w:szCs w:val="23"/>
                <w:color w:val="auto"/>
                <w:vertAlign w:val="superscript"/>
              </w:rPr>
              <w:t>(2)</w:t>
            </w:r>
          </w:p>
        </w:tc>
      </w:tr>
    </w:tbl>
    <w:p>
      <w:pPr>
        <w:spacing w:after="0" w:line="184" w:lineRule="exact"/>
        <w:rPr>
          <w:sz w:val="20"/>
          <w:szCs w:val="20"/>
          <w:color w:val="auto"/>
        </w:rPr>
      </w:pPr>
    </w:p>
    <w:p>
      <w:pPr>
        <w:ind w:left="340" w:hanging="332"/>
        <w:spacing w:after="0" w:line="229" w:lineRule="auto"/>
        <w:tabs>
          <w:tab w:leader="none" w:pos="328"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connection with the Enable acquisition in December 2021, Energy Transfer issued 384,780 additional Series G Preferred Units. The total reflected above includes these additional Series G Preferred Units, as well as the 1,100,000 Series G Preferred Units originally issued in the Rollup Mergers.</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Series I Preferred Units were issued in connection with the Crestwood acquisition in November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Partnership redeemed all of the Series A Preferred Units, Series C Preferred Units, Series D Preferred Units and Series E Preferred Units during 2024.</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for each series of outstanding preferred units, including information on distributions and redemption, is available in Note 8 to our consolidated financial statements included in "Item 8. Financial Statements and Supplementary Data."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Energy Transfer will distribute all of its “Available Cash” to its Unitholders and its General Partner within 50 days following the end 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quarter.</w:t>
      </w:r>
    </w:p>
    <w:p>
      <w:pPr>
        <w:spacing w:after="0" w:line="1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Definition of Available Cash. </w:t>
      </w:r>
      <w:r>
        <w:rPr>
          <w:rFonts w:ascii="Times New Roman" w:cs="Times New Roman" w:eastAsia="Times New Roman" w:hAnsi="Times New Roman"/>
          <w:sz w:val="18"/>
          <w:szCs w:val="18"/>
          <w:color w:val="auto"/>
        </w:rPr>
        <w:t>Available Cash is defined in the Partnership Agreement and generally means, with respect to any calendar quarter, all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hand at the end of such quarter less the amount of cash reserves that are necessary or appropriate in the reasonable discretion of the General Partner to:</w:t>
      </w:r>
    </w:p>
    <w:p>
      <w:pPr>
        <w:spacing w:after="0" w:line="51" w:lineRule="exact"/>
        <w:rPr>
          <w:sz w:val="20"/>
          <w:szCs w:val="20"/>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its business;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and/or debt instrument or other agreement;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Unitholders and its General Partner in respect of any one or more of the next four quarters.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on the securities authorized for issuance under Energy Transfer’s equity compensation plans, see “Item 12. Security Ownership of Certain Beneficial Owners and Management and Related Unitholder Matters.”</w:t>
      </w:r>
    </w:p>
    <w:p>
      <w:pPr>
        <w:spacing w:after="0" w:line="10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 and unit amounts, except per unit data, are in millions)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Transfer LP is a Delaware limited partnership whose common units are publicly traded on the NYSE under the ticker symbol “ET.”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of our consolidated financial condition and results of operations for the years ended December 31, 2024 and 2023 should be read in conjunction with our consolidated financial statements and accompanying notes thereto included in “Item 8. Financial Statements and Supplementary Data” of this report. This discussion includes forward-looking statements that are subject to risks and uncertainties. Actual results may differ substantially from the statements we make in this section due to a number of factors that are discussed in “Item 1A. Risk Factors” of this report.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Discussion and analysis of matters pertaining to the year ended December 31, 2022 and year-to-year comparisons between the years ended December 31, 2023 and 2022 are not included in this Form 10-K, but can be found under Part II, Item 7 of our annual report on Form 10-K for the year ended December 31, 2023 that was filed with the SEC on February 16, 2024.</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“we,” “us,” “our,” the “Partnership” and “Energy Transfer” mean Energy Transfer LP and its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activities in which we are engaged, which are located in the United States, are as follows:</w:t>
      </w:r>
    </w:p>
    <w:p>
      <w:pPr>
        <w:spacing w:after="0" w:line="117" w:lineRule="exact"/>
        <w:rPr>
          <w:sz w:val="20"/>
          <w:szCs w:val="20"/>
          <w:color w:val="auto"/>
        </w:rPr>
      </w:pPr>
    </w:p>
    <w:p>
      <w:pPr>
        <w:ind w:left="320" w:hanging="312"/>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operations, including the following: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midstream and intrastate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interstate natural gas transportation and storage; and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NGL and refined products transportation, terminalling services and acquisition and marketing activities, as well as NGL storage and fractionation services and LNG regasification.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own investments in other businesses, including Sunoco LP and USAC, both of which are master limited partnerships.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Energy Transfer derives cash flows from distributions related to its investment in its subsidiaries, including Sunoco LP and USAC. The amount of cash that our subsidiaries distribute to us is based on earnings from their respective business activities and the amount of available cash. Energy Transfer’s primary cash requirements are for distributions to its partners, capital expenditures, general and administrative expenses and debt service requirements. Energy Transfer distributes its available cash remaining after satisfaction of the aforementioned cash requirements to its Unitholders on a quarterly basis.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subsidiaries to utilize their resources, along with cash from their operations, to fund their announced growth capital expenditures and working capital needs; however, Energy Transfer may issue debt or equity securities from time to time as we deem prudent to provide liquidity for new capital projects of our subsidiaries or for other partnership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objective is to increase the level of our distributable cash flow to our Unitholders over time by pursuing a business strategy that is currently focused on growing our subsidiaries’ natural gas and liquids businesses through, among other things, pursuing certain construction and expansion opportunities relating to our subsidiaries’ existing infrastructure and acquiring certain strategic operations and businesses or assets. The actual amounts of cash that we will have available for distribution will primarily depend on the amount of cash our subsidiaries generate from their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117" w:lineRule="exact"/>
        <w:rPr>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intrastate transportation and storage;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interstate transportation and storage;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midstream;</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refined products transportation and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transportation and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Sunoco LP;</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USAC;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WTG Midstream Acquisition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15, 2024, Energy Transfer completed the acquisition of 100% of the membership interest in WTG Midstream. Consideration for the transaction was comprised of $2.28 billion in cash and approximately 50.8 million newly issued Energy Transfer common units, which had a fair value of approximately $833 million.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acquired assets include approximately 6,000 miles of complementary gas gathering pipelines that extended Energy Transfer’s network in the Midland Basin. Also, as part of the transaction, the Partnership added eight gas processing plants with a total capacity of approximately 1.3 Bcf/d, and two additional processing plants that were under construction at closing. Since closing the transaction, one of these 200 MMcf/d processing plants was placed into service.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Sunoco 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NuStar Acquisition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3, 2024, Sunoco LP completed the acquisition of all of the common units of NuStar. Under the terms of the merger agreement, NuStar common unitholders received 0.400 Sunoco LP common units for each NuStar common unit. In connection with the acquisition, Sunoco LP issued approximately 51.5 million common units, which had a fair value of approximately $2.85 billion, assumed debt totaling approximately $3.5 billion, including approximately $56 million of lease related financing obligations, and assumed preferred units with a fair value of approximately $800 million. Subsequent to the closing of the NuStar acquisition, Sunoco LP redeemed all outstanding NuStar preferred units totaling $784 million, redeemed NuStar's subordinated notes totaling $403 million and repaid and terminated the NuStar credit facility totaling $455 million. NuStar has approximately 9,500 miles of pipeline and 63 terminal and storage facilities that store and distribute crude oil, refined products, renewable fuels, ammonia and specialty liquids.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Zenith European Terminals Acquisition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13, 2024, Sunoco LP completed the acquisition of liquid fuels terminals in Amsterdam, Netherlands and Bantry Bay, Ireland from Zenith Energy for approximately €170 million ($185 million), including working capital. The acquisition is expected to supply optimization for Sunoco LP’s existing East Coast business and continues its focus on growing its portfolio of stable midstream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30, 2024, Sunoco LP acquired a terminal in Portland, Maine for approximately $24 million, including working capital.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 Texas Sale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16, 2024, Sunoco LP completed the sale of 204 convenience stores located in West Texas, New Mexico and Oklahoma to 7-Eleven, Inc. for approximately $1.00 billion, including customary adjustments for fuel and merchandise inventory. As part of the sale, Sunoco LP also amended its existing take-or-pay fuel supply agreement with 7-Eleven, Inc. to incorporate additional fuel gross profit.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ET-S Permian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July 1, 2024, Energy Transfer and Sunoco LP formed ET-S Permian, a joint venture combining their respective crude oil and produced water gathering assets in the Permian Basin. Energy Transfer contributed its Permian crude oil and produced water gathering assets and operations to ET-S Permian. Sunoco LP contributed all of its Permian crude oil gathering assets and operations to ET-S Permian. Energy Transfer’s long-haul crude pipeline network that provides transportation of crude oil out of the Permian Basin to Nederland, Houston and Cushing is excluded from ET-S Permian.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ET-S Permian operates more than 5,000 miles of crude oil and water gathering pipelines with crude oil storage capacity in excess of 11 million barrels.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Energy Transfer holds a 67.5% interest, with Sunoco LP holding the remaining 32.5% interest in ET-S Permian. Energy Transfer is the operator of ET-S Permian.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Update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Interstate Natural Gas Transportation Regulation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Rate Regulation</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 On July 31, 2020, the United States Court of Appeals for the District of Columbia Circuit issued an opinion upholding the FERC’s decision denying a separate master limited partnership recovery of an income tax allowance and its decision not to require the master limited partnership to refund accumulated deferred income tax balances. In light of the rehearing order’s clarification regarding an individual entity’s ability to argue in support of recovery of an income tax allowance and the court’s subsequent opinion upholding denial of an income tax allowance to a master limited partnership, the impact of the FERC’s policy on the treatment of income taxes on the rates we can charge for FERC-regulated transportation services is unknown at this time.</w:t>
      </w:r>
    </w:p>
    <w:p>
      <w:pPr>
        <w:spacing w:after="0" w:line="1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without application of the FERC’s rate making-related policy statements and rulemakings, the FERC or our shippers may challenge the cost-of-service rates we charge. The FERC’s establishment of a just and reasonable rate is based on many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components, including ROE and tax-related components, but also other pipeline costs that will continue to affect FERC’s determination of just and reasonable cost-of-service rates. Moreover, we receive revenues from our pipelines based on a variety of rate structures, including cost-of-service rates, negotiated rates, discounted rates and market-based rates. Many of our interstate pipelines, such as Tiger Pipeline, Midcontinent Express Pipeline and Fayetteville Express Pipeline, have negotiated market rates that were agreed to by customers in connection with long-term contracts entered into to support the construction of the pipelines. Other systems, such as Florida Gas Transmission Pipeline, Transwestern and Panhandle, have a mix of tariff rate, discount rate and negotiated rate agreements. The revenues we receive from natural gas transportation services we provide pursuant to cost-of-service based rates may decrease in the future as a result of changes to FERC policies, combined with the reduced corporate federal income tax rate established in the Tax Act. The extent of any revenue reduction related to our cost-of-service rates, if any, will depend on a detailed review of all of our cost-of-service components and the outcomes of any challenges to our rates by the FERC or our shippers.</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July 18, 2018, the FERC issued a final rule establishing procedures to evaluate rates charged by the FERC-jurisdictional gas pipelines in light of the Tax Act and the FERC’s Revised Policy Statement. By an order issued on January 16, 2019, the FERC initiated a review of Panhandle’s then existing rates pursuant to Section 5 of the Natural Gas Act to determine whether the rates charged by Panhandle are just and reasonable and set the matter for hearing. On August 30, 2019, Panhandle filed a general rate proceeding under Section 4 of the Natural Gas Act. The Natural Gas Act Section 5 and Section 4 proceedings were consolidated by order of the Chief Judge on October 1, 2019. The initial decision by the administrative law judge was issued on March 26, 2021, and on December 16, 2022, the FERC issued its order on the initial decision. On January 17, 2023, Panhandle and the Michigan Public Service Commission each filed a request for rehearing of FERC’s order on the initial decision, which were denied by operation of law as of February 17, 2023. On March 23, 2023, Panhandle appealed these orders to the United States Court of Appeals for the District of Columbia Circuit (“Court of Appeals”), and the Michigan Public Service Commission also subsequently appealed these orders. On April 25, 2023, the Court of Appeals consolidated Panhandle’s and Michigan Public Service Commission’s appeals and stayed the consolidated appeal proceeding while the FERC further considered the requests for rehearing of its December 16, 2022 order. On September 25, 2023, the FERC issued its order addressing arguments raised on rehearing and compliance, which denied our requests for rehearing. Panhandle filed its Petition for Review with the Court of Appeals regarding the September 25, 2023 order. On October 25, 2023, Panhandle filed a limited request for rehearing of the September 25 order addressing arguments raised on rehearing and compliance, which was subsequently denied by operation of law on November 27, 2023. On November 17, 2023, Panhandle provided refunds to shippers and on November 30, 2023, Panhandle submitted a refund report regarding the consolidated rate proceedings, which was protested by several parties. On January 5, 2024, the FERC issued a second order addressing arguments raised on rehearing in which it modified certain discussion from its September 25, 2023 order and sustained its prior conclusions. Panhandle has timely filed its Petition for Review with the Court of Appeals regarding the January 5, 2024 order. On May 28, 2024, the FERC issued an order rejecting Panhandle’s refund report. On June 27, 2024, Panhandle filed a revised refund report in compliance with the FERC’s May 28, 2024 order rejecting Panhandle’s refund report and a request for rehearing of the FERC’s May 28, 2024 order rejecting Panhandle’s refund report, and provided revised refunds to shippers, or in the case of shippers whose revised refunds are less than the original amounts refunded, notices of upcoming debits. One party protested Panhandle’s revised refund report, and Panhandle submitted a response to the protest on July 24, 2024. By notice issued July 29, 2024, Panhandle’s rehearing request was deemed denied. In an ordered issued September 9, 2024, FERC addressed arguments raised on rehearing, modified the discussion in the May 28, 2024 order and continued to reach the same result. On September 18, 2024, Panhandle petitioned the Court of Appeals for review of the September 9, 2024, July 29, 2024, and May 28, 2024 orders. On December 5, 2024, the FERC issued an order rejecting Panhandle’s June 27, 2024, refund report, ordering a corrected refund report and directing the issuance of additional refunds. On January 3, 2025, Panhandle submitted an adjusted refund report as well as a request for rehearing of the FERC’s December 5, 2024 order. The FERC approved the adjusted refund report by letter order dated January 23, 2025. On February 3, 2025, the FERC issued a Notice of Denial of Rehearing by Operation of Law and Providing for Further Consideration. The request for rehearing will be addressed in a future order.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Pipeline Certification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FERC issued a Notice of Inquiry (“NOI”) on April 19, 2018, thereby initiating a review of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On February 18, 2021, the FERC issued another NOI (“2021 NOI”), reopening its review of the 1999 Policy Statement. Comments on the 2021 NOI were due on May 26, 2021; we filed comments in the FERC proceeding. In September 2021, FERC issued a Notice of Technical Conference on Greenhouse Gas Mitigation related to natural gas infrastructure projects authorized under Sections 3 and 7 of the NGA. A technical conference was held on November 19, 2021, and post-technical conference comments were submitted to the FERC on January 7, 2022.</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18, 2022, the FERC issued two new policy statements: (1) an Updated Policy Statement on the Certification of New Interstate Natural Gas Facilities (“2022 Certificate Policy Statement”) and (2) a Policy Statement on the Consideration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Greenhouse Gas Emissions in Natural Gas Infrastructure Project Reviews (“GHG Policy Statement”), to be effective that same day. On March 24, 2022, the FERC issued an order designating the 2022 Certificate Policy Statement and the GHG Policy Statement as draft policy statements, and requested further comments. The FERC stated that it will not apply the now draft policy statements to pending applications or applications to be filed at FERC until it issues any final guidance on these topics. Comments on the 2022 Certificate Policy Statement and GHG Policy Statement were due on April 25, 2022, and reply comments were due on May 25, 2022. On January 24, 2025, the FERC issued an order withdrawing the draft GHG Policy Statement and terminating the proceeding. The FERC has taken no further action on the 2022 Certificate Policy Statement. We are unable to predict what, if any, changes may be proposed as a result of the 2022 Certificate Policy Statement that might affect our natural gas pipeline or LNG facility projects, or when such new policy, if any, might become effective. We do not expect that any change in this policy statement would affect us in a materially different manner than any other natural gas pipeline company operating in the United States.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Interstate Common Carrier Regulation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Liquids pipelines transporting in interstate commerce are regulated by FERC as common carriers under the ICA. Under the ICA, the FERC utilizes an indexing rate methodology which, as currently in effect, allows common carriers to change their rates within prescribed ceiling levels that are tied to changes in the Producer Price Index for Finished Goods, or PPI-FG. Many existing pipelines utilize the FERC liquids index to change transportation rates annually. The indexing methodology is applicable to existing rates, with the exclusion of market-based rates. The FERC’s indexing methodology is subject to review every five years.</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December 17, 2020, FERC issued an order establishing a new index of PPI-FG plus 0.78%. The FERC received requests for rehearing of its December 17, 2020 order and on January 20, 2022, granted rehearing and modified the oil index. Specifically, for the five-year period commencing July 1, 2021 and ending June 30, 2026, FERC-regulated liquids pipelines charging indexed rates are permitted to adjust their indexed ceilings annually by PPI-FG minus 0.21%. FERC directed liquids pipelines to recompute their ceiling levels for July 1, 2021 through June 30, 2022, as well as the ceiling levels for the period July 1, 2022 to June 30, 2023, based on the new index level. Where an oil pipeline’s filed rates exceed its ceiling levels, FERC ordered such oil pipelines to reduce the rate to bring it into compliance with the recomputed ceiling level to be effective March 1, 2022. Some parties sought rehearing of the January 20 order with FERC, which was denied by FERC on May 6, 2022. Certain parties appealed the January 20 and May 6 orders. On July 26, 2024, the D.C. Circuit ruled in </w:t>
      </w:r>
      <w:r>
        <w:rPr>
          <w:rFonts w:ascii="Times New Roman" w:cs="Times New Roman" w:eastAsia="Times New Roman" w:hAnsi="Times New Roman"/>
          <w:sz w:val="18"/>
          <w:szCs w:val="18"/>
          <w:i w:val="1"/>
          <w:iCs w:val="1"/>
          <w:color w:val="auto"/>
        </w:rPr>
        <w:t>LEPA v. FERC</w:t>
      </w:r>
      <w:r>
        <w:rPr>
          <w:rFonts w:ascii="Times New Roman" w:cs="Times New Roman" w:eastAsia="Times New Roman" w:hAnsi="Times New Roman"/>
          <w:sz w:val="18"/>
          <w:szCs w:val="18"/>
          <w:color w:val="auto"/>
        </w:rPr>
        <w:t xml:space="preserve"> that FERC violated the Administrative Procedure Act because the January 20 order modified the index without following notice and comment. As a result, the D.C. Circuit vacated the January 20 order and on September 17, 2024, the Commission reinstated the index level established by its original December 17 order, directed pipelines to file an informational filing to show their recomputed ceiling levels reflecting the reinstated index level and stated that pipelines may file to prospectively increase their indexed rates to their recomputed levels. On October 17, 2024, FERC issued a Supplemental NOPR that proposes a reduction to the currently effective index by one percent. The Supplemental NOPR, which remains pending before FERC, could result in the reimplementation through a notice-and-comment rulemaking of the same rulings that were vacated by the D.C. Circuit in </w:t>
      </w:r>
      <w:r>
        <w:rPr>
          <w:rFonts w:ascii="Times New Roman" w:cs="Times New Roman" w:eastAsia="Times New Roman" w:hAnsi="Times New Roman"/>
          <w:sz w:val="18"/>
          <w:szCs w:val="18"/>
          <w:i w:val="1"/>
          <w:iCs w:val="1"/>
          <w:color w:val="auto"/>
        </w:rPr>
        <w:t>LEPA v. FERC</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20, 2022, the FERC issued a policy statement on the Standard Applied to Complaints Against Oil Pipeline Index Rate Changes to establish guidelines regarding how the FERC will evaluate shipper complaints against oil pipeline index rate increases. Specifically, the policy statement adopted the proposal in the FERC’s earlier Notice of Inquiry issued on March 25, 2020 to eliminate the “Substantially Exacerbate Test” as the preliminary screen applied to complaints against index rate increases and instead adopt the proposal to apply the “Percentage Comparison Test” as the preliminary screen for both protests and complaints against index rate increases. At this time, we cannot determine the effect of a change in the FERC’s preliminary screen for complaints against index rates changes, however, a revised screen would result in a threshold aligned with the existing threshold for protests against index rate increases. Any complaint or protest raised by a shipper could materially and adversely affect our financial condition, results of operations or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 Quality Standards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the United States Environmental Protection Agency (“EPA”) finalized its Good Neighbor Plan (the “Plan”) which seeks to reduce nitrogen oxide pollution from power plants and other industrial facilities from 23 upwind states which the EPA determined is contributing to National Ambient Air Quality Standards (NAAQS) nonattainment and interfering with maintenance of the 2015 ozone NAAQS in downwind states. As part of the Plan, the EPA announced that it would be issuing prescriptive emission standards for several sectors, including certain new and existing internal combustion engines of a certain size used in pipeline transportation of natural gas. The EPA’s final rule was to become effective on August 4, 2023, and the prescribed emission standards were scheduled to be effective in 2026.</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Operators and industry groups have challenged the Plan in the D.C. Circuit, as well as the legal predicates to the individual upwind states’ inclusion in the Plan in the regional circuits. The effectiveness of the rule is currently stayed in the nine states within the Partnership’s footprint, by nature of judicial stays of the legal predicate to the Plan, by judicial stay of the Plan itself by the U.S. Supreme Court, or by the administrative stay issued by the EPA in October 2024. Proceedings as to both on the merits are ongoing. In the challenge to the Plan in the D.C. Circuit, oral argument is expected in early 2025 and a decision could take several months, projected late 2025.</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Partnership currently estimates that the final rule would require retrofitting or replacement of approximately 192 engines in its interstate and intrastate natural gas transportation and storage operations. The Partnership is involved in challenging application of the Plan in the nine states impacted within its footprint. Compliance with the Plan (if implementation is not stayed or otherwise delayed) will still require substantial capital expenditures which could adversely affect our business in future periods. However, at this time, we are still assessing the potential costs of this rule and, given uncertainties resulting from the multiple legal challenges filed against the Plan in various states, in the DC Circuit and the U.S. Supreme Court, we cannot predict with any certainty what the final costs of compliance for the Plan for the Partnership ultimately may be.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Trends and Outlook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we continue to believe the Partnership’s outlook is strong, as it has a stable business that has demonstrated its ability to manage through various market cycles. We expect future growth to be supported by production improvements and increased utilization of our existing assets, as well as continued strong domestic and international demand for our products.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anticipate that current and projected commodity prices and the related impact to activity levels in both the upstream and midstream sectors will continue to impact our business, we cannot predict the ultimate magnitude of that impact and expect it to be varied across our operations, depending on the region, customer, type of service, contract term and other factors.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2025 and beyond, we expect increased demand from new data centers, power plants and LNG exports to support increased production, while increased global demand for petrochemicals and NGL feedstocks is expected to support higher volumes of NGL production and exports on existing assets and assets currently being developed or under construction. In addition, in the United States, we expect a more constructive regulatory environment under the new presidential administration, which we anticipate being favorable for project development and our operations in general.</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Ultimately, the extent to which our business will be impacted by future market developments depends on factors beyond our control, which are highly uncertain and cannot be predicted. In response to market volatility and other uncertainties, we have reduced growth capital spending in recent years. While we anticipate a healthy capital expenditure program in 2025 and beyond, we expect to continue to be prudent going forward as we allocate capital across our business segments. See “Liquidity and Capital Resources” for additional information on our capital expenditures over the last two years and our forecasted capital expenditures for 2025.</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ample liquidity to fund our business, and we do not anticipate any liquidity concerns in the immediate future (see “Liquidity and Capital Resources”). In addition, we continue to have access to the debt capital markets on generally favorable terms. We will continue to evaluate growth projects and acquisitions as such opportunities may be identified in the future.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trends and outlook discussed above with respect to the Partnership’s existing business and finances, we also anticipate that the Partnership will continue to develop alternative energy projects. The Partnership has announced several such projects recently and will continue to pursue opportunities aimed at continuing to reduce its environmental footprint throughout its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 Segment Adjusted EBITDA and consolidated Adjusted EBITDA as measures of segment performance. We define Segment Adjusted EBITDA and consolidated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as well as certain non-recurring gains and losses. Inventory adjustments that are excluded from the calculation of Adjusted EBITDA represent only the changes in lower of cost or market reserves on inventory that is carried at LIFO. These amounts are unrealized valuation adjustments applied to Sunoco LP’s fuel volumes remaining in inventory at the end of the period.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Adjusted EBITDA, as reported for each segment in the following table, is analyzed in the section titled “Segment Operating Results.” Adjusted EBITDA is a non-GAAP measure used by industry analysts, investors, lenders and rating agencies to assess the financial performance and the operating results of the Partnership’s fundamental business activities and should not be considered in isolation or as a substitution for net income, income from operations, cash flows from operating activities or other GAAP measures.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the Year Ended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1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1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(consolidated)</w:t>
            </w:r>
          </w:p>
        </w:tc>
        <w:tc>
          <w:tcPr>
            <w:tcW w:w="1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Adjusted EBITDA:</w:t>
            </w:r>
          </w:p>
        </w:tc>
        <w:tc>
          <w:tcPr>
            <w:tcW w:w="14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interest capitalized</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losses and other</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on interest rate derivatives</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valuation adjustments (Sunoco LP)</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losses on extinguishments of debt</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Non-operating litigation-related loss</w:t>
            </w: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West Texas assets (Sunoco LP)</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EBITDA (consolidated)</w:t>
            </w:r>
          </w:p>
        </w:tc>
        <w:tc>
          <w:tcPr>
            <w:tcW w:w="1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46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2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For the year ended December 31, 2024 compared to the prior year, net income increased $1.27 billion, or approximately 24%,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recognition of a $586 million gain on Sunoco LP’s sale of its West Texas assets in the current year, as well as the recognition of a $627 million non-operating litigation-related loss in the prior year. The change in net income also reflected higher segment margin from multiple segments, partially offset by increases in operating expenses, selling, general and administrative expenses, depreciation, depletion and amortization, impairment losses, interest expense and income tax expense; these changes are discussed in more detail below and in “Segment Operating Results.”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For the year ended December 31, 2024 compared to the prior year, Adjusted EBITDA increased $1.79 billion,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13%, primarily due to favorable results in multiple segments. The most significant increases were in our midstream segment, our crude oil transportation and services segment and our Investment in Sunoco LP segment, each of which reflected increases from recently acquired assets. Our midstream segment also reflected increases from higher volumes, as did our NGL and refined products transportation and services segment. Our intrastate transportation and storage segment also reflected increases from higher pipeline optimization.</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on changes impacting Adjusted EBITDA for the year ended December 31, 2024 compared to the prior year is available below and in “Segment Operating Results.”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Depletion and Amortization. </w:t>
      </w:r>
      <w:r>
        <w:rPr>
          <w:rFonts w:ascii="Times New Roman" w:cs="Times New Roman" w:eastAsia="Times New Roman" w:hAnsi="Times New Roman"/>
          <w:sz w:val="18"/>
          <w:szCs w:val="18"/>
          <w:color w:val="auto"/>
        </w:rPr>
        <w:t>Depreciation, depletion and amortization expense increased primarily due to additional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from assets recently placed in service and recent acquisitions.</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of Interest Capitalized. </w:t>
      </w:r>
      <w:r>
        <w:rPr>
          <w:rFonts w:ascii="Times New Roman" w:cs="Times New Roman" w:eastAsia="Times New Roman" w:hAnsi="Times New Roman"/>
          <w:sz w:val="18"/>
          <w:szCs w:val="18"/>
          <w:color w:val="auto"/>
        </w:rPr>
        <w:t>Interest expense, net of interest capitalized, increased primarily due to higher aggregate debt balances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interest rates on floating rate and recently refinanced debt.</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year ended December 31, 2024 compared to the same period last year, income tax expense increased due to the taxable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by a corporate subsidiary of Sunoco LP on its sale of West Texas assets.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Impairment Losses and Other</w:t>
      </w:r>
      <w:r>
        <w:rPr>
          <w:rFonts w:ascii="Times New Roman" w:cs="Times New Roman" w:eastAsia="Times New Roman" w:hAnsi="Times New Roman"/>
          <w:sz w:val="18"/>
          <w:szCs w:val="18"/>
          <w:color w:val="auto"/>
        </w:rPr>
        <w:t>. For the year ended December 31, 2024, impairment losses and other were primarily related to Sunoco LP’s termination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in June 2024. For the year ended December 31, 2023 impairment losses and other consisted of impairment losses incurred by USAC primarily related to its compression equipment.</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Gains on Interest Rate Derivatives. </w:t>
      </w:r>
      <w:r>
        <w:rPr>
          <w:rFonts w:ascii="Times New Roman" w:cs="Times New Roman" w:eastAsia="Times New Roman" w:hAnsi="Times New Roman"/>
          <w:sz w:val="18"/>
          <w:szCs w:val="18"/>
          <w:color w:val="auto"/>
        </w:rPr>
        <w:t>Gains on interest rate derivatives resulted from changes in forward interest rates, which caused our forward-starting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swaps to change in value.</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Unrealized (Gains) Losses on Commodity Risk Management Activities. </w:t>
      </w:r>
      <w:r>
        <w:rPr>
          <w:rFonts w:ascii="Times New Roman" w:cs="Times New Roman" w:eastAsia="Times New Roman" w:hAnsi="Times New Roman"/>
          <w:sz w:val="18"/>
          <w:szCs w:val="18"/>
          <w:color w:val="auto"/>
        </w:rPr>
        <w:t>The unrealized gains and losses on our commodity risk management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changes in fair value of commodity derivatives and the hedged inventory included in designated fair value hedging relationships. Information on the unrealized gains and losses within each segment are included in “Segment Operating Results” below, and additional information on the commodity-related derivatives, including notional volumes, maturities and fair values, is available in “Item 7A. Quantitative and Qualitative Disclosures About Market Risk” and in Note 14 to our consolidated financial statements included in “Item 8. Financial Statements and Supplementary Data.”</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Inventory Valuation Adjustments (Sunoco LP). </w:t>
      </w:r>
      <w:r>
        <w:rPr>
          <w:rFonts w:ascii="Times New Roman" w:cs="Times New Roman" w:eastAsia="Times New Roman" w:hAnsi="Times New Roman"/>
          <w:sz w:val="18"/>
          <w:szCs w:val="18"/>
          <w:color w:val="auto"/>
        </w:rPr>
        <w:t>Inventory valuation adjustments represent changes in lower of cost or market using the last-in, first-out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on Sunoco LP’s inventory. These amounts are unrealized valuation adjustments applied to fuel volumes remaining in inventory at the end of the period. For the years ended December 31, 2024 and 2023, decreases in fuel prices caused the lower of cost or market reserve requirements to increase by $86 million and $114 million, respectively, which reduced net income.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(Gains) Losses on Extinguishment of Debt. </w:t>
      </w:r>
      <w:r>
        <w:rPr>
          <w:rFonts w:ascii="Times New Roman" w:cs="Times New Roman" w:eastAsia="Times New Roman" w:hAnsi="Times New Roman"/>
          <w:sz w:val="18"/>
          <w:szCs w:val="18"/>
          <w:color w:val="auto"/>
        </w:rPr>
        <w:t>For the year ended December 31, 2024, losses on extinguishment of debt included a $5 million loss on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Transfer’s redemption of its $450 million aggregate principal amount of 8.00% senior notes due April 2029 and $500 million aggregate principal amount of 5.75% senior notes due April 2025, a $2 million loss recognized by Sunoco LP and a $5 million loss related to USAC’s redemption of its $725 million aggregate principal amount of 6.875% senior notes due 2026.</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Related to Unconsolidated Affiliates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Equity in Earnings of Unconsolidated Affiliates. </w:t>
      </w:r>
      <w:r>
        <w:rPr>
          <w:rFonts w:ascii="Times New Roman" w:cs="Times New Roman" w:eastAsia="Times New Roman" w:hAnsi="Times New Roman"/>
          <w:sz w:val="18"/>
          <w:szCs w:val="18"/>
          <w:color w:val="auto"/>
        </w:rPr>
        <w:t>See additional information in “Supplemental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Unconsolidated Affiliates” and “Segment Operation Results” below.</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Non-Operating Litigation-Related Loss. </w:t>
      </w:r>
      <w:r>
        <w:rPr>
          <w:rFonts w:ascii="Times New Roman" w:cs="Times New Roman" w:eastAsia="Times New Roman" w:hAnsi="Times New Roman"/>
          <w:sz w:val="18"/>
          <w:szCs w:val="18"/>
          <w:color w:val="auto"/>
        </w:rPr>
        <w:t>Non-operating litigation-related loss recognized for the year ended December 31, 2023 represents the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The Williams Companies, Inc. litigation.</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West Texas Assets (Sunoco LP). </w:t>
      </w:r>
      <w:r>
        <w:rPr>
          <w:rFonts w:ascii="Times New Roman" w:cs="Times New Roman" w:eastAsia="Times New Roman" w:hAnsi="Times New Roman"/>
          <w:sz w:val="18"/>
          <w:szCs w:val="18"/>
          <w:color w:val="auto"/>
        </w:rPr>
        <w:t>The gain on sale of West Texas assets relates to the gain recognized by Sunoco LP upon completion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convenience stores to 7-Eleven Inc. in April 2024. During the fourth quarter of 2024, Sunoco LP recorded a $12 million reduction to the gain to reflect adjustments to the cash proceeds and certain balance sheet accounts associated with the business sold.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net. </w:t>
      </w:r>
      <w:r>
        <w:rPr>
          <w:rFonts w:ascii="Times New Roman" w:cs="Times New Roman" w:eastAsia="Times New Roman" w:hAnsi="Times New Roman"/>
          <w:sz w:val="18"/>
          <w:szCs w:val="18"/>
          <w:color w:val="auto"/>
        </w:rPr>
        <w:t>Other, net primarily includes amortization of regulatory assets and other income and expense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 on Unconsolidated Affiliates</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financial information related to unconsolidated affiliates:</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40" w:type="dxa"/>
            <w:vAlign w:val="bottom"/>
          </w:tcPr>
          <w:p>
            <w:pPr>
              <w:spacing w:after="0"/>
              <w:rPr>
                <w:sz w:val="24"/>
                <w:szCs w:val="2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earnings of unconsolidated affiliates:</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Citrus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MEP</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White Cliffs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Explorer</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SESH</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in earnings of unconsolidated affiliates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related to unconsolidated affiliates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color w:val="auto"/>
              </w:rPr>
              <w: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7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Citrus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MEP</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White Cliffs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Explorer</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SESH</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Adjusted EBITDA related to unconsolidated affiliates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received from unconsolidated affiliates: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Citrus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MEP</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White Cliffs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Explorer</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SESH</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distributions received from unconsolidated affiliates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hanging="332"/>
        <w:spacing w:after="0" w:line="235" w:lineRule="auto"/>
        <w:tabs>
          <w:tab w:leader="none" w:pos="328"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segment performance based on Segment Adjusted EBITDA, which we believe is an important performance measure of the core profitability of our operations. This measure represents the basis of our internal financial reporting and is one of the performance measures used by senior management in deciding how to allocate capital resources among business segments.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identify the components of Segment Adjusted EBITDA, which is calculated as follows:</w:t>
      </w:r>
    </w:p>
    <w:p>
      <w:pPr>
        <w:spacing w:after="0" w:line="115" w:lineRule="exact"/>
        <w:rPr>
          <w:sz w:val="20"/>
          <w:szCs w:val="20"/>
          <w:color w:val="auto"/>
        </w:rPr>
      </w:pPr>
    </w:p>
    <w:p>
      <w:pPr>
        <w:ind w:left="340" w:hanging="332"/>
        <w:spacing w:after="0" w:line="284" w:lineRule="auto"/>
        <w:tabs>
          <w:tab w:leader="none" w:pos="3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Segment margin,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selling, general and administrative expenses</w:t>
      </w:r>
      <w:r>
        <w:rPr>
          <w:rFonts w:ascii="Times New Roman" w:cs="Times New Roman" w:eastAsia="Times New Roman" w:hAnsi="Times New Roman"/>
          <w:sz w:val="18"/>
          <w:szCs w:val="18"/>
          <w:color w:val="auto"/>
        </w:rPr>
        <w:t>. These amounts represent the amounts 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that are attributable to each segment.</w:t>
      </w:r>
    </w:p>
    <w:p>
      <w:pPr>
        <w:spacing w:after="0" w:line="50" w:lineRule="exact"/>
        <w:rPr>
          <w:rFonts w:ascii="Times New Roman" w:cs="Times New Roman" w:eastAsia="Times New Roman" w:hAnsi="Times New Roman"/>
          <w:sz w:val="18"/>
          <w:szCs w:val="18"/>
          <w:color w:val="auto"/>
        </w:rPr>
      </w:pPr>
    </w:p>
    <w:p>
      <w:pPr>
        <w:ind w:left="340" w:hanging="332"/>
        <w:spacing w:after="0" w:line="284" w:lineRule="auto"/>
        <w:tabs>
          <w:tab w:leader="none" w:pos="3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Unrealized gains or losses on commodity risk management activities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inventory valuation adjustments</w:t>
      </w:r>
      <w:r>
        <w:rPr>
          <w:rFonts w:ascii="Times New Roman" w:cs="Times New Roman" w:eastAsia="Times New Roman" w:hAnsi="Times New Roman"/>
          <w:sz w:val="18"/>
          <w:szCs w:val="18"/>
          <w:color w:val="auto"/>
        </w:rPr>
        <w:t>. These are the unrealized amounts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cost of products sold to calculate segment margin. These amounts are not included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 Segment Adjusted EBITDA; therefore, the unrealized losses are added back and the unrealized gains are subtracted to calculate the segment measure.</w:t>
      </w:r>
    </w:p>
    <w:p>
      <w:pPr>
        <w:spacing w:after="0" w:line="52" w:lineRule="exact"/>
        <w:rPr>
          <w:sz w:val="20"/>
          <w:szCs w:val="20"/>
          <w:color w:val="auto"/>
        </w:rPr>
      </w:pPr>
    </w:p>
    <w:p>
      <w:pPr>
        <w:jc w:val="both"/>
        <w:ind w:left="340" w:hanging="332"/>
        <w:spacing w:after="0" w:line="267" w:lineRule="auto"/>
        <w:tabs>
          <w:tab w:leader="none" w:pos="3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Non-cash compensation expense</w:t>
      </w:r>
      <w:r>
        <w:rPr>
          <w:rFonts w:ascii="Times New Roman" w:cs="Times New Roman" w:eastAsia="Times New Roman" w:hAnsi="Times New Roman"/>
          <w:sz w:val="18"/>
          <w:szCs w:val="18"/>
          <w:color w:val="auto"/>
        </w:rPr>
        <w:t>. These amounts represent the total non-cash compensation recorded in operating expenses and selling,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expenses related to equity awards. This expense is not included in Segment Adjusted EBITDA and therefore is added back to calculate the segment measure.</w:t>
      </w:r>
    </w:p>
    <w:p>
      <w:pPr>
        <w:spacing w:after="0" w:line="6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 related to unconsolidated affiliates</w:t>
      </w:r>
      <w:r>
        <w:rPr>
          <w:rFonts w:ascii="Times New Roman" w:cs="Times New Roman" w:eastAsia="Times New Roman" w:hAnsi="Times New Roman"/>
          <w:sz w:val="18"/>
          <w:szCs w:val="18"/>
          <w:color w:val="auto"/>
        </w:rPr>
        <w:t>. Adjusted EBITDA related to unconsolidated affiliates excludes the same items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unconsolidated affiliate as those excluded from the calculation of Segment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following analysis of segment operating results, a measure of segment margin is reported for segments with sales revenues.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for certain segments, the following sections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Intrastate Transportation and Storage</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9"/>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transported (BBtu/d)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storage natural gas inventory (BBtu)</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2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Volumes. </w:t>
      </w:r>
      <w:r>
        <w:rPr>
          <w:rFonts w:ascii="Times New Roman" w:cs="Times New Roman" w:eastAsia="Times New Roman" w:hAnsi="Times New Roman"/>
          <w:sz w:val="18"/>
          <w:szCs w:val="18"/>
          <w:color w:val="auto"/>
        </w:rPr>
        <w:t>For the year ended December 31, 2024 compared to the prior year, transported volumes of gas on our Texas and Oklahoma intrastate pipelines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primarily due to less third-party transportation and decreased gas production from the Haynesville area. Transported volumes reported above exclude volumes attributable to purchases and sales of gas for our pipelines’ own accounts and the optimization of any unused capacity.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Margin</w:t>
      </w:r>
      <w:r>
        <w:rPr>
          <w:rFonts w:ascii="Times New Roman" w:cs="Times New Roman" w:eastAsia="Times New Roman" w:hAnsi="Times New Roman"/>
          <w:sz w:val="18"/>
          <w:szCs w:val="18"/>
          <w:color w:val="auto"/>
        </w:rPr>
        <w:t>. The components of our intrastate transportation and storage segment margin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fees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sales and other (excluding unrealized gains and losses)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fuel revenues (excluding unrealized gains and losses)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Storage margin, including fees (excluding unrealized gains and losses)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segment margin</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2024 compared to the prior year, Segment Adjusted EBITDA related to our intrastate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storage segment increased due to the net impact of the following:</w:t>
      </w:r>
    </w:p>
    <w:p>
      <w:pPr>
        <w:spacing w:after="0" w:line="52" w:lineRule="exact"/>
        <w:rPr>
          <w:sz w:val="20"/>
          <w:szCs w:val="20"/>
          <w:color w:val="auto"/>
        </w:rPr>
      </w:pPr>
    </w:p>
    <w:p>
      <w:pPr>
        <w:ind w:left="340" w:right="20" w:hanging="332"/>
        <w:spacing w:after="0" w:line="282" w:lineRule="auto"/>
        <w:tabs>
          <w:tab w:leader="none" w:pos="3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$265 million in realized natural gas sales and other primarily due to higher pipeline optimization from physical sales and settled derivatives; and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in transportation fees primarily due to the recovery of certain fees earned in a prior period on our Texas system; partially offset by</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$34 million in storage margin primarily due to lower storage optimization from settled derivatives.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Interstate Transportation and Storage</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transported (BBtu/d)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sold (BBtu/d)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175"/>
        </w:trPr>
        <w:tc>
          <w:tcPr>
            <w:tcW w:w="6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expenses, excluding non-cash compensation, amortization, accretion and other</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expenses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176"/>
        </w:trPr>
        <w:tc>
          <w:tcPr>
            <w:tcW w:w="6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accretion expenses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Volumes. </w:t>
      </w:r>
      <w:r>
        <w:rPr>
          <w:rFonts w:ascii="Times New Roman" w:cs="Times New Roman" w:eastAsia="Times New Roman" w:hAnsi="Times New Roman"/>
          <w:sz w:val="18"/>
          <w:szCs w:val="18"/>
          <w:color w:val="auto"/>
        </w:rPr>
        <w:t>For the year ended December 31, 2024 compared to the prior year, transported volumes increased primarily due to more capacity sold and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utilization on our Panhandle, Trunkline and Gulf Run systems due to increased demand.</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2024 compared to the prior year, Segment Adjusted EBITDA related to our interstate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storage segment decreased due to the net impact of the following:</w:t>
      </w:r>
    </w:p>
    <w:p>
      <w:pPr>
        <w:spacing w:after="0" w:line="52" w:lineRule="exact"/>
        <w:rPr>
          <w:sz w:val="20"/>
          <w:szCs w:val="20"/>
          <w:color w:val="auto"/>
        </w:rPr>
      </w:pPr>
    </w:p>
    <w:p>
      <w:pPr>
        <w:jc w:val="both"/>
        <w:ind w:left="340" w:hanging="332"/>
        <w:spacing w:after="0" w:line="266"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$82 million in segment margin primarily due to a $36 million decrease due to lower operational gas sales resulting from lower prices, a $22 million decrease in parking revenue, a $21 million decrease due to lower volumes and a $10 million decrease due to lower rates on several of our interstate pipeline systems. These decreases were partially offset by an $8 million increase in storage revenue;</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$61 million in operating expenses primarily due to a $35 million increase in maintenance project costs, an aggregate $22 million increase in employee related costs, outside services, materials and office expense, and a $6 million increase from the revaluation of system gas;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$19 million in Adjusted EBITDA related to unconsolidated affiliates primarily due to a $23 million decrease from our Midcontinent Express Pipeline joint venture due to capacity sold at lower rates and a $6 million decrease from our Citrus joint venture primarily due to higher operating expenses. These decreases were partially offset by a $10 million increase from our Southeast Supply Header joint venture due to higher contracted volumes;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in selling, general and administrative expenses primarily due to higher professional fees and employee costs;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 million in other primarily due to the prior period recognition of certain amounts related to a shipper bankruptcy.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Midstream</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Gathered volumes (BBtu/d)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NGLs produced (MBbls/d)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NGLs (MBbls/d)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Volumes. </w:t>
      </w:r>
      <w:r>
        <w:rPr>
          <w:rFonts w:ascii="Times New Roman" w:cs="Times New Roman" w:eastAsia="Times New Roman" w:hAnsi="Times New Roman"/>
          <w:sz w:val="18"/>
          <w:szCs w:val="18"/>
          <w:color w:val="auto"/>
        </w:rPr>
        <w:t>For the year ended December 31, 2024 compared to the prior year, gathered volumes increased primarily due to recently acquired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volumes in the Permian region. NGL production increased primarily due to recently acquired assets and increased Permian plant utilization.</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2024 compared to the prior year, Segment Adjusted EBITDA related to our midstream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increased due to the net impact of the following:</w:t>
      </w:r>
    </w:p>
    <w:p>
      <w:pPr>
        <w:spacing w:after="0" w:line="52" w:lineRule="exact"/>
        <w:rPr>
          <w:sz w:val="20"/>
          <w:szCs w:val="20"/>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$686 million in segment margin primarily due to recently acquired assets and higher volumes in the Permian region;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$69 million in other primarily from the recognition of proceeds from a business interruption claim;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 million in Adjusted EBITDA related to unconsolidated affiliates primarily due to recently acquired assets; partially offset by</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$346 million in operating expenses primarily due to a $297 million increase related to recent acquisitions and assets placed in service, a $30 million increase in employee costs and a $10 million increase in expense projects;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$27 million in segment margin due to lower natural gas prices of $59 million, partially offset by higher NGL prices of $32 million.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NGL and Refined Products Transportation and Services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transportation volumes (MBbls/d)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Refined products transportation volumes (MBbls/d)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and refined products terminal volumes (MBbls/d)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NGL fractionation volumes (MBbls/d)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22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Volumes. </w:t>
      </w:r>
      <w:r>
        <w:rPr>
          <w:rFonts w:ascii="Times New Roman" w:cs="Times New Roman" w:eastAsia="Times New Roman" w:hAnsi="Times New Roman"/>
          <w:sz w:val="18"/>
          <w:szCs w:val="18"/>
          <w:color w:val="auto"/>
        </w:rPr>
        <w:t>For the year ended December 31, 2024 compared to the prior year, NGL transportation volumes increased primarily due to higher volumes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Permian and Eagle Ford regions and on our Mariner East pipeline system.</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transportation volumes and the commissioning of our eighth fractionator in August 2023 also led to higher fractionated volumes at our Mont Belvieu NGL Complex.</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Margin</w:t>
      </w:r>
      <w:r>
        <w:rPr>
          <w:rFonts w:ascii="Times New Roman" w:cs="Times New Roman" w:eastAsia="Times New Roman" w:hAnsi="Times New Roman"/>
          <w:sz w:val="18"/>
          <w:szCs w:val="18"/>
          <w:color w:val="auto"/>
        </w:rPr>
        <w:t>. The components of our NGL and refined products transportation and services segment margin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Fractionators and refinery services margin</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margin</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margin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Terminal services margin</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margin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margin</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2024 compared to the prior year, Segment Adjusted EBITDA related to our NGL and refined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transportation and services segment increased due to the net impact of the following:</w:t>
      </w:r>
    </w:p>
    <w:p>
      <w:pPr>
        <w:spacing w:after="0" w:line="52" w:lineRule="exact"/>
        <w:rPr>
          <w:sz w:val="20"/>
          <w:szCs w:val="20"/>
          <w:color w:val="auto"/>
        </w:rPr>
      </w:pPr>
    </w:p>
    <w:p>
      <w:pPr>
        <w:jc w:val="both"/>
        <w:ind w:left="340" w:hanging="332"/>
        <w:spacing w:after="0" w:line="258"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$183 million in transportation margin primarily due to a $161 million increase from higher throughput and contractual rate escalations on our Mariner East and our Gulf Coast pipeline systems and a $24 million increase on our refined products pipelines, as well as a $12 million increase in intrasegment margin which was fully offset within our fractionators margin. These increases were partially offset by an $12 million decrease in intrasegment margin which is fully offset within our marketing margin and a $5 million decrease from the timing of third-party deficiency payments on our Northeast region pipelines;</w:t>
      </w:r>
    </w:p>
    <w:p>
      <w:pPr>
        <w:spacing w:after="0" w:line="7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$92 million in terminal services margin primarily due to an $80 million increase in fees from loading volumes for export at our Nederland and Marcus Hook terminals and a $12 million increase from higher throughput and storage at our refined product terminals;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$47 million in fractionators and refinery services margin primarily due to a $56 million increase resulting from higher throughput as our eighth fractionator was placed in service in August 2023 and a $3 million increase from our refinery services business. These increases were partially offset by a $12 million decrease in intrasegment margin which was fully offset within our transportation margin;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jc w:val="both"/>
        <w:ind w:left="340" w:hanging="332"/>
        <w:spacing w:after="0" w:line="266" w:lineRule="auto"/>
        <w:tabs>
          <w:tab w:leader="none" w:pos="3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$29 million in marketing margin (excluding unrealized gains and losses on commodity risk management activities) primarily due to higher gains during 2024 from the optimization of hedged NGL and refined product inventories and an $12 million increase in intrasegment margin which is fully offset within our transportation margin;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 million in Adjusted EBITDA related to unconsolidated affiliates primarily due to increased volume on our White Cliffs NGL Pipeline; partially offset by</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$65 million in operating expenses primarily due to a $24 million increase in employee costs, a $17 million increase resulting from the timing of project related expenses, a $15 million increase in outside services expenses, a $13 million increase in ad valorem taxes and increases totaling $13 million from various other operating expenses. These increases were partially offset by an $18 million decrease in gas and power utility costs; and</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 million in selling, general and administrative expenses primarily due to increased costs from recently acquired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Transportation and Services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transportation volumes (MBbls/d)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 terminals volumes (MBbls/d)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2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on commodity risk management activities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Volumes. </w:t>
      </w:r>
      <w:r>
        <w:rPr>
          <w:rFonts w:ascii="Times New Roman" w:cs="Times New Roman" w:eastAsia="Times New Roman" w:hAnsi="Times New Roman"/>
          <w:sz w:val="18"/>
          <w:szCs w:val="18"/>
          <w:color w:val="auto"/>
        </w:rPr>
        <w:t>For the year ended December 31, 2024 compared to the prior year, crude oil transportation volumes were higher due to continued growth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gathering systems, as well as contributions from recently acquired assets and from assets contributed upon the recent formation of the ET-S Permian joint venture with Sunoco LP, partially offset by lower volumes on our Bakken Pipeline.</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2024 compared to the prior year, Segment Adjusted EBITDA related to our crude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services segment increased due to the net impact of the following:</w:t>
      </w:r>
    </w:p>
    <w:p>
      <w:pPr>
        <w:spacing w:after="0" w:line="52" w:lineRule="exact"/>
        <w:rPr>
          <w:sz w:val="20"/>
          <w:szCs w:val="20"/>
          <w:color w:val="auto"/>
        </w:rPr>
      </w:pPr>
    </w:p>
    <w:p>
      <w:pPr>
        <w:jc w:val="both"/>
        <w:ind w:left="340" w:hanging="332"/>
        <w:spacing w:after="0" w:line="261" w:lineRule="auto"/>
        <w:tabs>
          <w:tab w:leader="none" w:pos="33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$670 million in segment margin (excluding unrealized gains and losses on commodity risk management activities) primarily due to a $541 million increase from recently acquired assets and assets contributed upon the recent formation of the ET-S Permian joint venture, a $122 million increase in transportation revenues from existing assets and a $7 million increase in our crude oil acquisition and marketing business from more favorable market conditions; and</w:t>
      </w:r>
    </w:p>
    <w:p>
      <w:pPr>
        <w:spacing w:after="0" w:line="7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 million in Adjusted EBITDA related to unconsolidated affiliates due to recently acquired assets and higher volumes on our White Cliffs crude pipeline; partially offset by</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$153 million in operating expenses primarily due to a $106 million increase from recently acquired assets and assets contributed upon the recent formation of the ET-S Permian joint venture, a $15 million increase in outside services, an $11 million increase in ad valorem taxes, a $10 million increase in employee expenses and various increases in volume-driven expenses; and</w:t>
      </w:r>
    </w:p>
    <w:p>
      <w:pPr>
        <w:spacing w:after="0" w:line="6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$29 million in selling, general and administrative expenses primarily due to a $27 million increase from recently acquired assets and assets contributed upon the recent formation of the ET-S Permian joint venture, as well as higher employee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Sunoco LP</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2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excluding non-cash compensation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in Sunoco LP segment reflects the consolidated results of Sunoco LP.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2024 compared to the prior year, Segment Adjusted EBITDA related to the Investment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Sunoco LP segment increased due to the net impact of the following:</w:t>
      </w:r>
    </w:p>
    <w:p>
      <w:pPr>
        <w:spacing w:after="0" w:line="99" w:lineRule="exact"/>
        <w:rPr>
          <w:sz w:val="20"/>
          <w:szCs w:val="20"/>
          <w:color w:val="auto"/>
        </w:rPr>
      </w:pPr>
    </w:p>
    <w:p>
      <w:pPr>
        <w:ind w:left="340" w:right="20" w:hanging="332"/>
        <w:spacing w:after="0" w:line="282" w:lineRule="auto"/>
        <w:tabs>
          <w:tab w:leader="none" w:pos="33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$738 million in segment margin (excluding unrealized gains and losses on commodity risk management activities and inventory valuation adjustments) primarily due to the acquisitions of NuStar and Zenith European terminals; and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$91 million in Adjusted EBITDA related to unconsolidated affiliates due to the formation of the ET-S Permian joint venture; partially offset by</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$191 million in operating expenses and $153 million in selling, general and administrative expenses primarily due to the acquisitions of NuStar and Zenith European terminals.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USAC</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40" w:type="dxa"/>
            <w:vAlign w:val="bottom"/>
          </w:tcPr>
          <w:p>
            <w:pPr>
              <w:spacing w:after="0"/>
              <w:rPr>
                <w:sz w:val="24"/>
                <w:szCs w:val="2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excluding non-cash compensation expense</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in USAC segment reflects the consolidated results of USAC.</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2024 compared to last year, Segment Adjusted EBITDA related to our investment in USAC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increased due to the net impact of the following:</w:t>
      </w:r>
    </w:p>
    <w:p>
      <w:pPr>
        <w:spacing w:after="0" w:line="52" w:lineRule="exact"/>
        <w:rPr>
          <w:sz w:val="20"/>
          <w:szCs w:val="20"/>
          <w:color w:val="auto"/>
        </w:rPr>
      </w:pPr>
    </w:p>
    <w:p>
      <w:pPr>
        <w:jc w:val="both"/>
        <w:ind w:left="340" w:hanging="332"/>
        <w:spacing w:after="0" w:line="266" w:lineRule="auto"/>
        <w:tabs>
          <w:tab w:leader="none" w:pos="3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$95 million in segment margin primarily due to higher revenue-generating horsepower as a result of increased demand for compression services, higher market-based rates on newly deployed and redeployed compression units and higher average rates on existing customer contracts; partially offset by</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$19 million in operating expenses primarily due to an increase in employee costs associated with increased revenue-generating horsepower;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 million in selling, general and administrative expenses primarily due to an increase in professional fees.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40" w:type="dxa"/>
            <w:vAlign w:val="bottom"/>
          </w:tcPr>
          <w:p>
            <w:pPr>
              <w:spacing w:after="0"/>
              <w:rPr>
                <w:sz w:val="24"/>
                <w:szCs w:val="2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and eliminations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reflected in our all other segment primarily include:</w:t>
      </w:r>
    </w:p>
    <w:p>
      <w:pPr>
        <w:spacing w:after="0" w:line="117" w:lineRule="exact"/>
        <w:rPr>
          <w:sz w:val="20"/>
          <w:szCs w:val="20"/>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natural gas marketing operations;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wholly owned natural gas compression operations;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natural resources business.</w:t>
      </w:r>
    </w:p>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year ended December 31, 2024 compared to the prior year, Segment Adjusted EBITDA decreased due to the net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following:</w:t>
      </w:r>
    </w:p>
    <w:p>
      <w:pPr>
        <w:spacing w:after="0" w:line="52" w:lineRule="exact"/>
        <w:rPr>
          <w:sz w:val="20"/>
          <w:szCs w:val="20"/>
          <w:color w:val="auto"/>
        </w:rPr>
      </w:pPr>
    </w:p>
    <w:p>
      <w:pPr>
        <w:jc w:val="both"/>
        <w:ind w:left="340" w:hanging="332"/>
        <w:spacing w:after="0" w:line="266" w:lineRule="auto"/>
        <w:tabs>
          <w:tab w:leader="none" w:pos="33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$42 million primarily due to intersegment eliminations of Sunoco LP’s 32.5% share of the ET-S Permian joint venture, which is consolidated in our crude oil transportation and services segment and also reflected as an unconsolidated affiliate in our investment in Sunoco LP segment, partially offset by higher acquisition costs in 2023 related to the Lotus Midstream and Crestwood acquisitions;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 million due to favorable results from our captive insurance company in the prior year;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 million from our dual drive compression business due to lower gas prices; partially offset by</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$45 million in our natural gas marketing business due to increased residue sales resulting from the integration of the recently acquired WTG Midstream assets, as well as higher gains from storage positions.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satisfy our obligations and pay distributions to Unitholders will depend on our future performance, which will be subject to prevailing economic, financial, business, weather conditions and other factors, many of which are beyond management’s control. The significant trends and uncertainties that we currently believe could significantly impact our liquidity and cash flows going forward are discussed in “Trends and Outlook” above.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have sufficient liquidity and sources of funding to meet our cash requirements over the near term and for the longer term. We expect to satisfy our working capital needs through cash generated by our operations. As of December 31, 2024, we had cash and cash equivalents of $312 million and availability under our revolving credit facility of $2.21 billion.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Partnership’s material contractual obligations include long-term debt service, payments under operating leases and purchase commitments. The Partnership’s obligations under its long-term debt agreements are described below under “Description of Indebtedness,” and information on the maturities and interest rates related to the Partnership’s long-term debt is available in Note 6 to our consolidated financial statements included in “Item 8. Financial Statements and Supplementary Data.” In addition, information on the Partnership’s obligations under its lease arrangements is included in Note 13 to our consolidated financial statements included in “Item 8. Financial Statements and Supplementary Data.”</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 purchase commitment as an agreement to purchase goods or services that is enforceable and legally binding (unconditional) on us that specifies all significant terms, including: fixed or minimum quantities to be purchased; fixed, minimum or variable price provisions; and the approximate timing of the transactions. We have long and short-term product purchase obligations for commodities with third-party suppliers. These purchase obligations are entered into at either variable or fixed prices. The purchase prices that we are obligated to pay under variable price contracts approximate market prices at the time we take delivery of the volumes. The purchase prices that we are obligated to pay under fixed price contracts 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established at the inception of the contract. We have material purchase commitments for crude oil; as of December 31, 2024, those purchase commitments totaled an estimated $50.34 billion (of which $22.45 billion would be due in 2025) based on either the current market price for variable price contracts or the contracted price for fixed price contracts.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expect capital expenditures in 2025 to be approximately as follows (including capitalized interest and overhead, but excluding capital expenditures related to our investments in Sunoco LP and USAC):</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Growth</w:t>
            </w:r>
          </w:p>
        </w:tc>
        <w:tc>
          <w:tcPr>
            <w:tcW w:w="18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Maintenance</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NGL and refined products transportation and services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Crude oil transportation and services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(including eliminations)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line="229" w:lineRule="auto"/>
        <w:tabs>
          <w:tab w:leader="none" w:pos="328" w:val="left"/>
        </w:tabs>
        <w:numPr>
          <w:ilvl w:val="0"/>
          <w:numId w:val="8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capital expenditures related to the Partnership’s proportionate ownership of the Bakken, Rover and Bayou Bridge pipeline joint ventures as well as the Orbit Gulf Coast NGL Exports joint venture.</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assets used in our natural gas and liquids operations, including pipelines, gathering systems and related facilities, are generally long-lived assets and do not require significant maintenance capital expenditures. Accordingly, we do not have any significant financial commitments for maintenance capital expenditures in our businesses. From time to time, we experience increases in pipe costs due to a number of reasons, including but not limited to, delays from steel mills, limited selection of mills capable of producing large diameter pipe timely, higher steel prices and other factors beyond our control. However, we include these factors in our anticipated growth capital expenditures for each year.</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generally fund maintenance capital expenditures and distributions with cash flows from operating activities. We generally expect to funds growth capital expenditures with proceeds of borrowings under our credit facilities, along with cash from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Sunoco LP expects to invest at least $400 million in growth capital expenditures and approximately $150 million in maintenance capital expenditures in 2025.</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USAC currently has budgeted between $38 million and $42 million in maintenance capital expenditures and currently has budgeted between $120 million and $140 million in expansion capital expenditures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flows may change in the future due to a number of factors, some of which we cannot control. These include regulatory changes, the price of our products and services, the demand for such products and services, margin requirements resulting from significant changes in commodity prices, operational risks, the successful integration of our acquisitions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cash flows from operating activities between periods primarily result from changes in earnings (as discussed in “Results of Operations” above), excluding the impacts of non-cash items and changes in operating assets and liabilities. Non-cash items include recurring non-cash expenses, such as depreciation, depletion and amortization expense and non-cash compensation expense. The increase in depreciation, depletion and amortization expense during the periods presented primarily resulted from construction and acquisitions of assets, while changes in non-cash compensation expense resulted from changes in the number of units granted and changes in the grant date fair value for such grants. Cash flows from operating activities also differ from earnings as a result of non-cash charges that may not be recurring such as impairment charges and allowance for equity funds used during construction. The allowance for equity funds used during construction increases in periods when Energy Transfer has a significant amount of interstate pipeline construction in progress. Changes in operating assets and liabilities between periods result from factors such as the changes in the value of derivative assets and liabilities, timing of accounts receivable collection, payments on accounts payable, the timing of purchases and sales of inventories, and the timing of advances and deposits received from customers.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operating activities by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in 2024 was $11.51 billion and net income was $6.57 billion. The difference between net income and net cash provided by operating activities in 2024 primarily consisted of net changes in operating assets and liabilities (net of effects of acquisitions and divestitures) of $196 million and other items totaling $4.84 billion, which includes non-cash items and items related to investing and financing activities that are included in net income.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non-cash activity in 2024 consisted primarily of depreciation, depletion and amortization of $5.17 billion, deferred income taxes of $276 million, unfavorable inventory valuation adjustments of $86 million, non-cash compensation expense of $151 million and impairment losses of $52 million. Net income also included equity in earnings of unconsolidated affiliates of $379 million, a $586 million gain on Sunoco LP’s sale of its West Texas assets and losses on extinguishments of debt of $12 million in 2024.</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includes cash distributions received from unconsolidated affiliates that are deemed to be paid from cumulative earnings, which distributions were $356 million in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in 2023 was $9.56 billion and net income was $5.29 billion. The difference between net income and net cash provided by operating activities in 2023 primarily consisted of net changes in operating assets and liabilities (net of effects of acquisitions and divestitures) of $451 million and other items totaling $4.43 billion, which includes non-cash items and items related to financing activities that are included in net income.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non-cash activity in 2023 consisted primarily of depreciation, depletion and amortization of $4.39 billion, deferred income taxes of $203 million, unfavorable inventory valuation adjustments of $114 million, non-cash compensation expense of $130 million and impairment losses of $12 million. Net income also included equity in earnings of unconsolidated affiliates of $383 million and gains on extinguishments of debt of $2 million.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includes cash distributions received from unconsolidated affiliates that are deemed to be paid from cumulative earnings, which distributions were $353 million in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from investing activities primarily consist of cash amounts paid for acquisitions, capital expenditures, cash distributions from our joint ventures, and cash proceeds from sales or contributions of assets or businesses. Changes in capital expenditures between periods primarily result from increases or decreases in our growth capital expenditures to fund our construction and expansion projects.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investing activities by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in 2024 was $5.90 billion. Total capital expenditures (excluding the allowance for equity funds used during construction and net of contributions in aid of construction costs) were $4.09 billion. Additional detail related to our capital expenditures is provided in the following table. We received $24 million of cash proceeds from the sale of assets. The Partnership also received distributions of $75 million from unconsolidated affiliates. In 2024, we paid $2.17 billion, net of cash received, for the WTG Midstream acquisition, we paid $84 million to acquire the outstanding noncontrolling interest in Edwards Lime Gathering, LLC, which is now a wholly owned subsidiary, and we also paid $250 million, net of cash received, for other acquisitions. In 2024, Sunoco LP paid $224 million in cash for acquisitions of terminals and other assets and received $27 million in cash from the NuStar acquisition. Additionally, in 2024, Sunoco LP received cash proceeds of $987 million from its sale of West Texas assets.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 2023 was $4.33 billion. Total capital expenditures (excluding the allowance for equity funds used during construction and net of contributions in aid of construction costs) were $3.09 billion. Additional detail related to our capital expenditures is provided in the following table. We received $38 million of cash proceeds from the sale of assets. The Partnership also received distributions of $63 million from unconsolidated affiliates. In 2023, we paid $288 million in cash for the Crestwood acquisition, we paid $930 million in cash for the Lotus Midstream acquisition and Sunoco LP paid $111 million in cash for the acquisition of terminals.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Partnership’s capital expenditures (including only our proportionate share of the Bakken, Rover, Bayou Bridge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Orbit Gulf Coast NGL Exports joint ventures, net of contributions in aid of construction costs) by period: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color w:val="auto"/>
                <w:w w:val="99"/>
              </w:rPr>
              <w:t>Capital Expenditures Recorded During Period</w:t>
            </w:r>
          </w:p>
        </w:tc>
        <w:tc>
          <w:tcPr>
            <w:tcW w:w="0" w:type="dxa"/>
            <w:vAlign w:val="bottom"/>
          </w:tcPr>
          <w:p>
            <w:pPr>
              <w:spacing w:after="0"/>
              <w:rPr>
                <w:sz w:val="1"/>
                <w:szCs w:val="1"/>
                <w:color w:val="auto"/>
              </w:rPr>
            </w:pPr>
          </w:p>
        </w:tc>
      </w:tr>
      <w:tr>
        <w:trPr>
          <w:trHeight w:val="250"/>
        </w:trPr>
        <w:tc>
          <w:tcPr>
            <w:tcW w:w="6740" w:type="dxa"/>
            <w:vAlign w:val="bottom"/>
            <w:vMerge w:val="restart"/>
          </w:tcPr>
          <w:p>
            <w:pPr>
              <w:jc w:val="center"/>
              <w:ind w:right="40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260" w:type="dxa"/>
            <w:vAlign w:val="bottom"/>
          </w:tcPr>
          <w:p>
            <w:pPr>
              <w:spacing w:after="0"/>
              <w:rPr>
                <w:sz w:val="21"/>
                <w:szCs w:val="21"/>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Growth</w:t>
            </w:r>
          </w:p>
        </w:tc>
        <w:tc>
          <w:tcPr>
            <w:tcW w:w="18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Maintenance</w:t>
            </w: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674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Midstream</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9"/>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Sunoco LP</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in USAC</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 other (including eliminations)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jc w:val="center"/>
              <w:ind w:right="3990"/>
              <w:spacing w:after="0"/>
              <w:rPr>
                <w:sz w:val="20"/>
                <w:szCs w:val="20"/>
                <w:color w:val="auto"/>
              </w:rPr>
            </w:pPr>
            <w:r>
              <w:rPr>
                <w:rFonts w:ascii="Times New Roman" w:cs="Times New Roman" w:eastAsia="Times New Roman" w:hAnsi="Times New Roman"/>
                <w:sz w:val="18"/>
                <w:szCs w:val="18"/>
                <w:color w:val="auto"/>
                <w:w w:val="99"/>
              </w:rPr>
              <w:t>Total capital expenditures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jc w:val="center"/>
              <w:ind w:right="40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Midstream</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9"/>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Sunoco LP</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in USAC</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 other (including eliminations)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jc w:val="center"/>
              <w:ind w:right="3990"/>
              <w:spacing w:after="0"/>
              <w:rPr>
                <w:sz w:val="20"/>
                <w:szCs w:val="20"/>
                <w:color w:val="auto"/>
              </w:rPr>
            </w:pPr>
            <w:r>
              <w:rPr>
                <w:rFonts w:ascii="Times New Roman" w:cs="Times New Roman" w:eastAsia="Times New Roman" w:hAnsi="Times New Roman"/>
                <w:sz w:val="18"/>
                <w:szCs w:val="18"/>
                <w:color w:val="auto"/>
                <w:w w:val="99"/>
              </w:rPr>
              <w:t>Total capital expenditures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cash flows from financing activities between periods primarily result from changes in the levels of borrowings and equity issuances, which are primarily used to fund our acquisitions and growth capital expenditures. Distributions to partners increased between the periods as a result of increases in the number of common units outstanding or increases in the distribution 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financing activities by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used in financing activities was $5.45 billion in 2024. In 2024, we had a net increase in our debt level of $4.74 billion. During 2024, we paid distributions of $4.62 billion to our partners, we paid distributions of $1.78 billion to noncontrolling interests and we paid distributions of $67 million to our redeemable noncontrolling interests. In 2024, we paid $2.65 billion in cash for the redemption of our Series A, Series C, Series D and Series E Preferred Units and we paid $37 million in cash to redeem a portion of the outstanding Crestwood Niobrara LLC preferred units. In 2024, we received capital contributions of $638 million in cash from noncontrolling interests and we received capital contributions of $2 million in cash from redeemable noncontrolling interests. In 2024, we incurred debt issuance costs of $147 million. Additionally, in 2024, USAC paid $749 million in cash for investments in government securities in connection with the legal defeasance of senior notes, and Sunoco LP paid $784 million in cash for the redemption of NuStar preferred units.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$5.33 billion in 2023. In 2023, we had a net increase in our debt level of $714 million. During 2023, we paid distributions of $4.25 billion to our partners, we paid distributions of $1.69 billion to noncontrolling interests and we paid distributions of $59 million to our redeemable noncontrolling interests. Additionally, in 2023, we received capital contributions of $3 million in cash from noncontrolling interests, and we incurred debt issuance costs of $45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Indebtedness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outstanding consolidated indebtedness was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1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Energy Transfer Indebtedness: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82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Notes and debentures</w:t>
            </w:r>
            <w:r>
              <w:rPr>
                <w:rFonts w:ascii="Times New Roman" w:cs="Times New Roman" w:eastAsia="Times New Roman" w:hAnsi="Times New Roman"/>
                <w:sz w:val="23"/>
                <w:szCs w:val="23"/>
                <w:color w:val="auto"/>
                <w:vertAlign w:val="superscript"/>
              </w:rPr>
              <w:t>(1)(2)</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43,016</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Five-Year Credit Facility</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Subsidiary indebtedness: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Transwestern senior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Bakken Project senior notes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Sunoco LP senior notes, bonds and lease-related obligations</w:t>
            </w:r>
            <w:r>
              <w:rPr>
                <w:rFonts w:ascii="Times New Roman" w:cs="Times New Roman" w:eastAsia="Times New Roman" w:hAnsi="Times New Roman"/>
                <w:sz w:val="23"/>
                <w:szCs w:val="23"/>
                <w:color w:val="auto"/>
                <w:vertAlign w:val="superscript"/>
              </w:rPr>
              <w:t>(1)(2)(3)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USAC Senior Notes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Sunoco LP Credit Facility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USAC Credit Facility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70"/>
        </w:trPr>
        <w:tc>
          <w:tcPr>
            <w:tcW w:w="826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unamortized premiums, discounts and fair value adjustments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52,388</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Less: current maturities of long-term debt</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29" w:lineRule="auto"/>
        <w:tabs>
          <w:tab w:leader="none" w:pos="328"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these balances included a total of $3.08 billion aggregate principal amount of senior notes and bonds due on or before December 31, 2025 which were classified as long-term as management has the intent and ability to refinance the borrowings on a long-term basis.</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additional information below under “Recent Transactions.”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Sunoco LP assumed $2.57 billion aggregate principal amount of NuStar senior notes and bonds in connection with the closing of the NuStar acquisition in May 2024.</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2023, current maturities of long-term debt reflected on the Partnership’s consolidated balance sheet included $1.00 billion of senior notes issued by a subsidiary of Dakota Access which were repaid in April 2024, as described below under “Recent Transactions.”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of our consolidated indebtedness and that of our subsidiaries are described in more detail below and in Note 6 to our consolidated financial statements included in “Item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2024 Senior Notes Redemptions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Partnership redeemed its $1.15 billion aggregate principal amount of 5.875% senior notes due January 2024, $350 million aggregate principal amount of 4.90% senior notes due February 2024 and $82 million aggregate principal amount of 7.60% senior notes due February 2024 using proceeds from its January 2024 notes issuance described below.</w:t>
      </w:r>
    </w:p>
    <w:p>
      <w:pPr>
        <w:spacing w:after="0" w:line="1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second quarter of 2024, the Partnership redeemed its $500 million aggregate principal amount of 4.25% senior notes due April 2024, $750 million aggregate principal amount of 4.50% senior notes due April 2024, $450 million aggregate principal amount of 8.00% senior notes due April 2029 and $600 million aggregate principal amount of 3.90% senior notes due May 2024 using cash on hand and proceeds from its Five-Year Credit Facility.</w:t>
      </w:r>
    </w:p>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the Partnership redeemed its $65 million aggregate principal amount of 9.00% debentures due November 2024, its Transwestern $175 million aggregate principal amount of 5.66% senior notes due December 2024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right="440"/>
        <w:spacing w:after="0" w:line="438" w:lineRule="auto"/>
        <w:rPr>
          <w:sz w:val="20"/>
          <w:szCs w:val="20"/>
          <w:color w:val="auto"/>
        </w:rPr>
      </w:pPr>
      <w:r>
        <w:rPr>
          <w:rFonts w:ascii="Times New Roman" w:cs="Times New Roman" w:eastAsia="Times New Roman" w:hAnsi="Times New Roman"/>
          <w:sz w:val="18"/>
          <w:szCs w:val="18"/>
          <w:color w:val="auto"/>
        </w:rPr>
        <w:t xml:space="preserve">its $500 million aggregate principal amount of 5.75% senior notes due April 2025 using cash on hand and proceeds from its Five-Year Credit Facility. </w:t>
      </w:r>
      <w:r>
        <w:rPr>
          <w:rFonts w:ascii="Times New Roman" w:cs="Times New Roman" w:eastAsia="Times New Roman" w:hAnsi="Times New Roman"/>
          <w:sz w:val="18"/>
          <w:szCs w:val="18"/>
          <w:b w:val="1"/>
          <w:bCs w:val="1"/>
          <w:i w:val="1"/>
          <w:iCs w:val="1"/>
          <w:color w:val="auto"/>
        </w:rPr>
        <w:t>Bakken Project Debt Redemption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2024, the Bakken Pipeline entities redeemed $1.00 billion aggregate principal amount of 3.90% senior notes due April 2024 using proceeds from member contributions, which included $637 million reflected as capital contributions from noncontrolling interests recorded in the Partnership’s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2024 Notes Issuance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2024, the Partnership issued $1.25 billion aggregate principal amount of 5.55% senior notes due 2034, $1.75 billion aggregate principal amount of 5.95% senior notes due 2054 and $800 million aggregate principal amount of 8.00% fixed-to-fixed reset rate junior subordinated notes due 2054. The Partnership used the net proceeds to refinance existing indebtedness, including borrowings under its Five-Year Credit Facility (defined below), to redeem its outstanding Series C Preferred Units and Series D Preferred Units and for general partnership purposes. The Partnership also used the proceeds to redeem its Series E Preferred Units in May 2024.</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Partnership issued $1.00 billion aggregate principal amount of 5.25% senior notes due 2029, $1.25 billion aggregate principal amount of 5.60% senior notes due 2034, $1.25 billion aggregate principal amount of 6.05% senior notes due 2054 and $400 million aggregate principal amount of</w:t>
      </w:r>
    </w:p>
    <w:p>
      <w:pPr>
        <w:jc w:val="both"/>
        <w:spacing w:after="0" w:line="255" w:lineRule="auto"/>
        <w:rPr>
          <w:sz w:val="20"/>
          <w:szCs w:val="20"/>
          <w:color w:val="auto"/>
        </w:rPr>
      </w:pPr>
      <w:r>
        <w:rPr>
          <w:rFonts w:ascii="Times New Roman" w:cs="Times New Roman" w:eastAsia="Times New Roman" w:hAnsi="Times New Roman"/>
          <w:sz w:val="18"/>
          <w:szCs w:val="18"/>
          <w:color w:val="auto"/>
        </w:rPr>
        <w:t>7.125% fixed-to-fixed reset rate junior subordinated notes due 2054. The Partnership used part of the net proceeds to redeem its outstanding Series A Preferred Units. It also used the net proceeds to fund a portion of its acquisition of WTG Midstream, refinance existing indebtedness, including borrowings under its Five-Year Credit Facility, and for general partnership purposes.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Sunoco LP April 2024 Notes Issuance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2024, the Sunoco LP issued $750 million aggregate principal amount of 7.000% senior notes due 2029 and $750 million aggregate principal amount of 7.250% senior notes due 2032 in a private offering. Sunoco LP used the net proceeds from the offering to (i) repay certain outstanding indebtedness of NuStar, in connection with the merger between the Sunoco LP and NuStar, (ii) fund the redemption of NuStar's preferred units in connection with the merger and (iii) pay offering fees and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NuStar Subordinated Note Redemption and Credit Facility Termination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subsequent to the closing of the NuStar acquisition, Sunoco LP redeemed NuStar's subordinated notes totaling $403 million and repaid and terminated NuStar's credit facility totaling $455 million. Upon the closing of the NuStar acquisition, the commitments under NuStar’s receivables financing agreement were reduced to zero during a suspension period, for which the period end has not been determined. As of December 31, 2024, this facility had zero outstanding borrowings.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USAC March 2024 Notes Issuance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USAC issued $1.00 billion aggregate principal amount of 7.125% senior notes due 2029. The net proceeds from this issuance were used to repay a portion of existing borrowings under USAC’s revolving credit facility, to redeem its $725 million aggregate principal amount of 6.875% senior notes due 2026, which constituted a legal defeasance under GAAP, and for general partnership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 and Commercial Paper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Five-Year Credit Facility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Partnership’s Five-Year Credit Facility allows for unsecured borrowings up to $5.00 billion until April 11, 2027, and, following the Partnership’s exercise of its option to extend the maturity date on December 18, 2024, up to $4.84 billion until April 11, 2029. The Five-Year Credit Facility contains an accordion feature, under which the total aggregate commitment may be increased up to $7.00 billion under certain conditions.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Five-Year Credit Facility had $2.76 billion of outstanding borrowings, all of which consisted of commercial paper. The amount available for future borrowings was $2.21 billion, after accounting for outstanding letters of credit in the amount of $30 million. The weighted average interest rate on the total amount outstanding as of December 31, 2024 was 4.65%.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Sunoco LP Credit Facility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Sunoco LP Credit Facility had $203 million of outstanding borrowings and $43 million in standby letters of credit and matures in May 2029. The amount available for future borrowings was $1.25 billion at December 31, 2024. The weighted average interest rate on the total amount outstanding as of December 31, 2024 was 6.57%.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USAC Credit Facility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USAC had $772 million of outstanding borrowings and $1 million in outstanding letters of credit under the credit agreement. As of December 31, 2024, USAC had $827 million of remaining unused availability of which, due to restrictions related to compliance with the applicable financial covenants, $783 million was available to be drawn. The weighted average interest rate on the total amount outstanding as of December 31, 2024 was 6.98%.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Related to Our Credit Agreements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agreements relating to the senior notes contain restrictive covenants customary for an issuer with an investment-grade rating from the rating agencies, which covenants include limitations on liens and a restriction on sale-leaseback transactions.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Five-Year Credit Facility contains covenants that limit (subject to certain exceptions) the Partnership’s and certain of the Partnership’s subsidiaries’ ability to, among other things:</w:t>
      </w:r>
    </w:p>
    <w:p>
      <w:pPr>
        <w:spacing w:after="0" w:line="54" w:lineRule="exact"/>
        <w:rPr>
          <w:sz w:val="20"/>
          <w:szCs w:val="20"/>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mergers;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(as defined in the Five-Year Credit Facility) during certain Defaults (as defined in the Five-Year Credit Facility) and during any Event of Default (as defined in the Five-Year Credit Facility);</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substantially different in nature than the business currently conducted by the Partnership and its subsidiaries;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restrictive agreements.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margin and rate used in connection with the interest rates and commitment fees, respectively, are based on the credit ratings assigned to our senior, unsecured, non-credit enhanced long-term debt. The applicable margin for eurodollar rate loans under the Five-Year Credit Facility ranges from 1.125% to 2.000% and the applicable margin for base rate loans ranges from 0.125% to 1.000%. The applicable rate for commitment fees under the Five-Year Credit Facility ranges from 0.125% to 0.300%.</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Five-Year Credit Facility contains various covenants including limitations on the creation of indebtedness and liens and related to the operation and conduct of our business. The Five-Year Credit Facility also limits us, on a rolling four quarter basis, to a maximum Consolidated Funded Indebtedness to Consolidated EBITDA ratio, as defined in the underlying credit agreement, of 5.00 to 1.00, which can generally be increased to 5.50 to 1.00 during a Specified Acquisition Period. Our Leverage Ratio was 3.12 to 1.00 at December 31, 2024, as calculated in accordance with the credit agreement.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comply with the various restrictive and affirmative covenants of our revolving credit facilities could require us to pay debt balances prior to scheduled maturity and could negatively impact the Partnership’s or our subsidiaries’ ability to incur additional debt and/or our ability to pay distributions to Unitholders.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Transwestern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agreements relating to the Transwestern senior notes contain certain restrictions that, among other things, limit the incurrence of additional debt, the sale of assets and the payment of dividends and specify a maximum debt to capitalization ratio.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Sunoco LP</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Sunoco LP Credit Facility contains various customary representations, warranties, covenants and events of default, including a change of control event of default, as defined therein. Sunoco LP’s Credit Facility requires Sunoco LP to maintain a specified net leverage ratio and interest coverage ratio.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USAC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USAC Credit Facility contains covenants that limit (subject to certain exceptions) USAC’s ability to, among other things:</w:t>
      </w:r>
    </w:p>
    <w:p>
      <w:pPr>
        <w:spacing w:after="0" w:line="117" w:lineRule="exact"/>
        <w:rPr>
          <w:sz w:val="20"/>
          <w:szCs w:val="20"/>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loans or investments;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guarantee other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our assets;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USAC Credit Facility is also subject to the following financial covenants, including covenants requiring USAC to maintain:</w:t>
      </w:r>
    </w:p>
    <w:p>
      <w:pPr>
        <w:spacing w:after="0" w:line="117" w:lineRule="exact"/>
        <w:rPr>
          <w:sz w:val="20"/>
          <w:szCs w:val="20"/>
          <w:color w:val="auto"/>
        </w:rPr>
      </w:pPr>
    </w:p>
    <w:p>
      <w:pPr>
        <w:ind w:left="320" w:hanging="312"/>
        <w:spacing w:after="0"/>
        <w:tabs>
          <w:tab w:leader="none" w:pos="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EBITDA to interest coverage ratio;</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ratio of total secured indebtedness to EBITDA within a specified range;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funded debt to EBITDA ratio.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our Covenants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our subsidiaries were in compliance with all requirements, tests, limitations, and covenants related to our debt agreements as of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Distributions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Distributions Paid by Energy Transfer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its Partnership Agreement, Energy Transfer will distribute all of its Available Cash, as defined in the Partnership Agreement, within 50 days following the end of each fiscal quarter. Available Cash generally means, with respect to any quarter, all cash on hand at the end of such quarter less the amount of cash reserves that are necessary or appropriate in the reasonable discretion of our general partner that is necessary or appropriate to provide for future cash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Transfer Common Unit Distributions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declared and paid with respect to Energy Transfer common units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Quarter Ended</w:t>
            </w:r>
          </w:p>
        </w:tc>
        <w:tc>
          <w:tcPr>
            <w:tcW w:w="2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Record Date</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Payment Date</w:t>
            </w:r>
          </w:p>
        </w:tc>
        <w:tc>
          <w:tcPr>
            <w:tcW w:w="620" w:type="dxa"/>
            <w:vAlign w:val="bottom"/>
          </w:tcPr>
          <w:p>
            <w:pPr>
              <w:spacing w:after="0"/>
              <w:rPr>
                <w:sz w:val="20"/>
                <w:szCs w:val="20"/>
                <w:color w:val="auto"/>
              </w:rPr>
            </w:pPr>
          </w:p>
        </w:tc>
        <w:tc>
          <w:tcPr>
            <w:tcW w:w="20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Rate</w:t>
            </w:r>
          </w:p>
        </w:tc>
      </w:tr>
      <w:tr>
        <w:trPr>
          <w:trHeight w:val="223"/>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2023</w:t>
            </w:r>
          </w:p>
        </w:tc>
        <w:tc>
          <w:tcPr>
            <w:tcW w:w="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21, 2023</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0.3050</w:t>
            </w:r>
          </w:p>
        </w:tc>
      </w:tr>
      <w:tr>
        <w:trPr>
          <w:trHeight w:val="23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8, 2023</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22, 2023</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0.3075</w:t>
            </w:r>
          </w:p>
        </w:tc>
      </w:tr>
      <w:tr>
        <w:trPr>
          <w:trHeight w:val="229"/>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14, 2023</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21, 2023</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0.3100</w:t>
            </w:r>
          </w:p>
        </w:tc>
      </w:tr>
      <w:tr>
        <w:trPr>
          <w:trHeight w:val="23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30, 2023</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 2023</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0.3125</w:t>
            </w:r>
          </w:p>
        </w:tc>
      </w:tr>
      <w:tr>
        <w:trPr>
          <w:trHeight w:val="23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2024</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2024</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0.3150</w:t>
            </w:r>
          </w:p>
        </w:tc>
      </w:tr>
      <w:tr>
        <w:trPr>
          <w:trHeight w:val="23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 2024</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 2024</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r>
      <w:tr>
        <w:trPr>
          <w:trHeight w:val="229"/>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9, 2024</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2024</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0.3200</w:t>
            </w:r>
          </w:p>
        </w:tc>
      </w:tr>
      <w:tr>
        <w:trPr>
          <w:trHeight w:val="229"/>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8, 2024</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19, 2024</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0.3225</w:t>
            </w:r>
          </w:p>
        </w:tc>
      </w:tr>
      <w:tr>
        <w:trPr>
          <w:trHeight w:val="23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2025</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0.3250</w:t>
            </w:r>
          </w:p>
        </w:tc>
      </w:tr>
      <w:tr>
        <w:trPr>
          <w:trHeight w:val="864"/>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amounts of distributions declared and paid during the periods presented (all from Available Cash from Energy Transfer’s operating surplus and are shown in the period to which they relate)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19"/>
                <w:szCs w:val="19"/>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Partners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4,384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3,984</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 interest</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Energy Transfer distributions</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4,388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Transfer Preferred Unit Distributions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on Energy Transfer’s preferred units declared and/or paid by Energy Transfer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Period Ended</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Record Date</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 Date</w:t>
            </w: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A</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 xml:space="preserve">Series B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Series C</w:t>
            </w:r>
          </w:p>
        </w:tc>
        <w:tc>
          <w:tcPr>
            <w:tcW w:w="10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Series D</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Series E</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Series F </w:t>
            </w:r>
            <w:r>
              <w:rPr>
                <w:rFonts w:ascii="Times New Roman" w:cs="Times New Roman" w:eastAsia="Times New Roman" w:hAnsi="Times New Roman"/>
                <w:sz w:val="18"/>
                <w:szCs w:val="18"/>
                <w:color w:val="auto"/>
                <w:vertAlign w:val="superscript"/>
              </w:rPr>
              <w:t>(1)</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Series G </w:t>
            </w:r>
            <w:r>
              <w:rPr>
                <w:rFonts w:ascii="Times New Roman" w:cs="Times New Roman" w:eastAsia="Times New Roman" w:hAnsi="Times New Roman"/>
                <w:sz w:val="18"/>
                <w:szCs w:val="18"/>
                <w:color w:val="auto"/>
                <w:vertAlign w:val="superscript"/>
              </w:rPr>
              <w:t>(1)</w:t>
            </w:r>
          </w:p>
        </w:tc>
        <w:tc>
          <w:tcPr>
            <w:tcW w:w="98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color w:val="auto"/>
              </w:rPr>
              <w:t xml:space="preserve">Series H </w:t>
            </w:r>
            <w:r>
              <w:rPr>
                <w:rFonts w:ascii="Times New Roman" w:cs="Times New Roman" w:eastAsia="Times New Roman" w:hAnsi="Times New Roman"/>
                <w:sz w:val="18"/>
                <w:szCs w:val="18"/>
                <w:color w:val="auto"/>
                <w:vertAlign w:val="superscript"/>
              </w:rPr>
              <w:t>(1)</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Series I</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86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February 1,</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February 15,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31.25</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33.125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0.4609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0.4766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0.4750</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March 31,</w:t>
            </w:r>
          </w:p>
        </w:tc>
        <w:tc>
          <w:tcPr>
            <w:tcW w:w="1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May 1, 2023</w:t>
            </w:r>
          </w:p>
        </w:tc>
        <w:tc>
          <w:tcPr>
            <w:tcW w:w="10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May 15, 2023</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21.98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0.4609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0.4766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0.4750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33.75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35.63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June 30, 2023</w:t>
            </w:r>
          </w:p>
        </w:tc>
        <w:tc>
          <w:tcPr>
            <w:tcW w:w="10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August 1, 2023</w:t>
            </w:r>
          </w:p>
        </w:tc>
        <w:tc>
          <w:tcPr>
            <w:tcW w:w="10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August 15,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23.89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33.125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0.6294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0.4766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0.4750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September</w:t>
            </w:r>
          </w:p>
        </w:tc>
        <w:tc>
          <w:tcPr>
            <w:tcW w:w="1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November 1,</w:t>
            </w:r>
          </w:p>
        </w:tc>
        <w:tc>
          <w:tcPr>
            <w:tcW w:w="10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November 15,</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24.67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0.6489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0.6622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0.4750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33.75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35.63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30, 2023</w:t>
            </w:r>
          </w:p>
        </w:tc>
        <w:tc>
          <w:tcPr>
            <w:tcW w:w="100" w:type="dxa"/>
            <w:vAlign w:val="bottom"/>
          </w:tcPr>
          <w:p>
            <w:pPr>
              <w:spacing w:after="0"/>
              <w:rPr>
                <w:sz w:val="16"/>
                <w:szCs w:val="16"/>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December 31,</w:t>
            </w:r>
          </w:p>
        </w:tc>
        <w:tc>
          <w:tcPr>
            <w:tcW w:w="10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February 1,</w:t>
            </w:r>
          </w:p>
        </w:tc>
        <w:tc>
          <w:tcPr>
            <w:tcW w:w="10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February 15,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33.125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0.6075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0.6199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0.4750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0.2111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March 31,</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May 1, 2024</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May 15, 2024</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0.4750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33.7500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0.2111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1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1, 2024</w:t>
            </w:r>
          </w:p>
        </w:tc>
        <w:tc>
          <w:tcPr>
            <w:tcW w:w="10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August 15,</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0.2111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0" w:type="dxa"/>
            <w:vAlign w:val="bottom"/>
            <w:gridSpan w:val="2"/>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135"/>
        </w:trPr>
        <w:tc>
          <w:tcPr>
            <w:tcW w:w="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September</w:t>
            </w:r>
          </w:p>
        </w:tc>
        <w:tc>
          <w:tcPr>
            <w:tcW w:w="1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November 1,</w:t>
            </w:r>
          </w:p>
        </w:tc>
        <w:tc>
          <w:tcPr>
            <w:tcW w:w="10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November 15,</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33.7500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0.2111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30, 2024</w:t>
            </w:r>
          </w:p>
        </w:tc>
        <w:tc>
          <w:tcPr>
            <w:tcW w:w="100" w:type="dxa"/>
            <w:vAlign w:val="bottom"/>
          </w:tcPr>
          <w:p>
            <w:pPr>
              <w:spacing w:after="0"/>
              <w:rPr>
                <w:sz w:val="16"/>
                <w:szCs w:val="16"/>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142"/>
        </w:trPr>
        <w:tc>
          <w:tcPr>
            <w:tcW w:w="9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December 31,</w:t>
            </w:r>
          </w:p>
        </w:tc>
        <w:tc>
          <w:tcPr>
            <w:tcW w:w="10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February 1,</w:t>
            </w:r>
          </w:p>
        </w:tc>
        <w:tc>
          <w:tcPr>
            <w:tcW w:w="10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February 15,</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0.2111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line="229" w:lineRule="auto"/>
        <w:tabs>
          <w:tab w:leader="none" w:pos="269"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Series B, Series F, Series G and Series H distributions are currently paid on a semi-annual basis. Distributions on the Series B Preferred Units will begin to be paid quarterly on February 15, 2028.</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39" w:lineRule="auto"/>
        <w:tabs>
          <w:tab w:leader="none" w:pos="269"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period ended December 31, 2024, the cash distribution for the Series I Preferred Units was paid on February 14, 2025 to unitholders of record as of the close of business on February 4, 2025. For the period ended September 30, 2024, the cash distribution for the Series I Preferred Units was paid on November 14, 2024 to unitholders of record as of the close of business on November 4, 2024. For the period ended June 30, 2024, the cash distribution for the Series I Preferred Units was paid on August 14, 2024 to unitholders of record as of the close of business on August 2,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Sunoco LP Cash Distributions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Energy Transfer owns approximately 28.5 million Sunoco LP common units and all of Sunoco LP’s IDRs. As of December 31, 2024, Sunoco LP had approximately 136.2 million common units outstanding.</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illustrates the percentage allocations of available cash from operating surplus between Sunoco LP’s common unitholders and the holder of its IDRs based on the specified target distribution levels, after the payment of distributions to Class C unitholders. The amounts set forth under “marginal percentage interest in distributions” are the percentage interests of the IDR holder and the common unitholders in any available cash from operating surplus which Sunoco LP distributes up to and including the corresponding amount in the column “total quarterly distribution per unit target amount.”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percentage interests shown for common unitholders and IDR holder for the minimum quarterly distribution are also applicable to quarterly distribution amounts that are less than the minimum quarterly distribution.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Marginal Percentage Interest in</w:t>
            </w:r>
          </w:p>
        </w:tc>
        <w:tc>
          <w:tcPr>
            <w:tcW w:w="20" w:type="dxa"/>
            <w:vAlign w:val="bottom"/>
          </w:tcPr>
          <w:p>
            <w:pPr>
              <w:spacing w:after="0"/>
              <w:rPr>
                <w:sz w:val="17"/>
                <w:szCs w:val="17"/>
                <w:color w:val="auto"/>
              </w:rPr>
            </w:pPr>
          </w:p>
        </w:tc>
      </w:tr>
      <w:tr>
        <w:trPr>
          <w:trHeight w:val="239"/>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Distributions</w:t>
            </w:r>
          </w:p>
        </w:tc>
        <w:tc>
          <w:tcPr>
            <w:tcW w:w="20" w:type="dxa"/>
            <w:vAlign w:val="bottom"/>
          </w:tcPr>
          <w:p>
            <w:pPr>
              <w:spacing w:after="0"/>
              <w:rPr>
                <w:sz w:val="20"/>
                <w:szCs w:val="20"/>
                <w:color w:val="auto"/>
              </w:rPr>
            </w:pPr>
          </w:p>
        </w:tc>
      </w:tr>
      <w:tr>
        <w:trPr>
          <w:trHeight w:val="173"/>
        </w:trPr>
        <w:tc>
          <w:tcPr>
            <w:tcW w:w="4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center"/>
              <w:ind w:left="110"/>
              <w:spacing w:after="0" w:line="173" w:lineRule="exact"/>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Total Quarterly Distribution Target Amount</w:t>
            </w: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Unitholders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Holder of IDRs</w:t>
            </w:r>
          </w:p>
        </w:tc>
        <w:tc>
          <w:tcPr>
            <w:tcW w:w="20" w:type="dxa"/>
            <w:vAlign w:val="bottom"/>
          </w:tcPr>
          <w:p>
            <w:pPr>
              <w:spacing w:after="0"/>
              <w:rPr>
                <w:sz w:val="21"/>
                <w:szCs w:val="21"/>
                <w:color w:val="auto"/>
              </w:rPr>
            </w:pPr>
          </w:p>
        </w:tc>
      </w:tr>
      <w:tr>
        <w:trPr>
          <w:trHeight w:val="223"/>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Quarterly Distribution</w:t>
            </w:r>
          </w:p>
        </w:tc>
        <w:tc>
          <w:tcPr>
            <w:tcW w:w="40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$0.4375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Target Distribution</w:t>
            </w:r>
          </w:p>
        </w:tc>
        <w:tc>
          <w:tcPr>
            <w:tcW w:w="80" w:type="dxa"/>
            <w:vAlign w:val="bottom"/>
          </w:tcPr>
          <w:p>
            <w:pPr>
              <w:spacing w:after="0"/>
              <w:rPr>
                <w:sz w:val="19"/>
                <w:szCs w:val="19"/>
                <w:color w:val="auto"/>
              </w:rPr>
            </w:pPr>
          </w:p>
        </w:tc>
        <w:tc>
          <w:tcPr>
            <w:tcW w:w="40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9"/>
              </w:rPr>
              <w:t>$0.4375 to $0.503125</w:t>
            </w:r>
          </w:p>
        </w:tc>
        <w:tc>
          <w:tcPr>
            <w:tcW w:w="12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Target Distribution</w:t>
            </w:r>
          </w:p>
        </w:tc>
        <w:tc>
          <w:tcPr>
            <w:tcW w:w="8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$0.503125 to $0.546875</w:t>
            </w:r>
          </w:p>
        </w:tc>
        <w:tc>
          <w:tcPr>
            <w:tcW w:w="12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85%</w:t>
            </w:r>
          </w:p>
        </w:tc>
        <w:tc>
          <w:tcPr>
            <w:tcW w:w="1740" w:type="dxa"/>
            <w:vAlign w:val="bottom"/>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Target Distribution</w:t>
            </w:r>
          </w:p>
        </w:tc>
        <w:tc>
          <w:tcPr>
            <w:tcW w:w="80" w:type="dxa"/>
            <w:vAlign w:val="bottom"/>
          </w:tcPr>
          <w:p>
            <w:pPr>
              <w:spacing w:after="0"/>
              <w:rPr>
                <w:sz w:val="19"/>
                <w:szCs w:val="19"/>
                <w:color w:val="auto"/>
              </w:rPr>
            </w:pPr>
          </w:p>
        </w:tc>
        <w:tc>
          <w:tcPr>
            <w:tcW w:w="40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$0.546875 to $0.656250</w:t>
            </w: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6"/>
              </w:rPr>
              <w:t>75%</w:t>
            </w:r>
          </w:p>
        </w:tc>
        <w:tc>
          <w:tcPr>
            <w:tcW w:w="174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Above $0.656250</w:t>
            </w:r>
          </w:p>
        </w:tc>
        <w:tc>
          <w:tcPr>
            <w:tcW w:w="12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50%</w:t>
            </w:r>
          </w:p>
        </w:tc>
        <w:tc>
          <w:tcPr>
            <w:tcW w:w="1740" w:type="dxa"/>
            <w:vAlign w:val="bottom"/>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473"/>
        </w:trPr>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Distributions on Sunoco LP’s units declared and/or paid by Sunoco LP were as follows: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41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Quarter Ended</w:t>
            </w:r>
          </w:p>
        </w:tc>
        <w:tc>
          <w:tcPr>
            <w:tcW w:w="80" w:type="dxa"/>
            <w:vAlign w:val="bottom"/>
          </w:tcPr>
          <w:p>
            <w:pPr>
              <w:spacing w:after="0"/>
              <w:rPr>
                <w:sz w:val="24"/>
                <w:szCs w:val="24"/>
                <w:color w:val="auto"/>
              </w:rPr>
            </w:pPr>
          </w:p>
        </w:tc>
        <w:tc>
          <w:tcPr>
            <w:tcW w:w="4040" w:type="dxa"/>
            <w:vAlign w:val="bottom"/>
            <w:gridSpan w:val="4"/>
          </w:tcPr>
          <w:p>
            <w:pPr>
              <w:ind w:left="1460"/>
              <w:spacing w:after="0"/>
              <w:rPr>
                <w:sz w:val="20"/>
                <w:szCs w:val="20"/>
                <w:color w:val="auto"/>
              </w:rPr>
            </w:pPr>
            <w:r>
              <w:rPr>
                <w:rFonts w:ascii="Times New Roman" w:cs="Times New Roman" w:eastAsia="Times New Roman" w:hAnsi="Times New Roman"/>
                <w:sz w:val="18"/>
                <w:szCs w:val="18"/>
                <w:color w:val="auto"/>
              </w:rPr>
              <w:t>Payment Date</w:t>
            </w:r>
          </w:p>
        </w:tc>
        <w:tc>
          <w:tcPr>
            <w:tcW w:w="1240" w:type="dxa"/>
            <w:vAlign w:val="bottom"/>
          </w:tcPr>
          <w:p>
            <w:pPr>
              <w:spacing w:after="0"/>
              <w:rPr>
                <w:sz w:val="24"/>
                <w:szCs w:val="24"/>
                <w:color w:val="auto"/>
              </w:rPr>
            </w:pPr>
          </w:p>
        </w:tc>
        <w:tc>
          <w:tcPr>
            <w:tcW w:w="1740" w:type="dxa"/>
            <w:vAlign w:val="bottom"/>
            <w:gridSpan w:val="3"/>
          </w:tcPr>
          <w:p>
            <w:pPr>
              <w:jc w:val="center"/>
              <w:ind w:right="1150"/>
              <w:spacing w:after="0"/>
              <w:rPr>
                <w:sz w:val="20"/>
                <w:szCs w:val="20"/>
                <w:color w:val="auto"/>
              </w:rPr>
            </w:pPr>
            <w:r>
              <w:rPr>
                <w:rFonts w:ascii="Times New Roman" w:cs="Times New Roman" w:eastAsia="Times New Roman" w:hAnsi="Times New Roman"/>
                <w:sz w:val="18"/>
                <w:szCs w:val="18"/>
                <w:color w:val="auto"/>
              </w:rPr>
              <w:t>Rate</w:t>
            </w:r>
          </w:p>
        </w:tc>
        <w:tc>
          <w:tcPr>
            <w:tcW w:w="20" w:type="dxa"/>
            <w:vAlign w:val="bottom"/>
          </w:tcPr>
          <w:p>
            <w:pPr>
              <w:spacing w:after="0"/>
              <w:rPr>
                <w:sz w:val="24"/>
                <w:szCs w:val="24"/>
                <w:color w:val="auto"/>
              </w:rPr>
            </w:pP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21, 2023</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8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May 22, 2023</w:t>
            </w:r>
          </w:p>
        </w:tc>
        <w:tc>
          <w:tcPr>
            <w:tcW w:w="124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0.8420</w:t>
            </w:r>
          </w:p>
        </w:tc>
        <w:tc>
          <w:tcPr>
            <w:tcW w:w="20" w:type="dxa"/>
            <w:vAlign w:val="bottom"/>
          </w:tcPr>
          <w:p>
            <w:pPr>
              <w:spacing w:after="0"/>
              <w:rPr>
                <w:sz w:val="19"/>
                <w:szCs w:val="19"/>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8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21, 2023</w:t>
            </w:r>
          </w:p>
        </w:tc>
        <w:tc>
          <w:tcPr>
            <w:tcW w:w="12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0.8420</w:t>
            </w:r>
          </w:p>
        </w:tc>
        <w:tc>
          <w:tcPr>
            <w:tcW w:w="20" w:type="dxa"/>
            <w:vAlign w:val="bottom"/>
            <w:shd w:val="clear" w:color="auto" w:fill="CCEEFF"/>
          </w:tcPr>
          <w:p>
            <w:pPr>
              <w:spacing w:after="0"/>
              <w:rPr>
                <w:sz w:val="19"/>
                <w:szCs w:val="19"/>
                <w:color w:val="auto"/>
              </w:rPr>
            </w:pP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8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November 20, 2023</w:t>
            </w:r>
          </w:p>
        </w:tc>
        <w:tc>
          <w:tcPr>
            <w:tcW w:w="124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0.8420</w:t>
            </w:r>
          </w:p>
        </w:tc>
        <w:tc>
          <w:tcPr>
            <w:tcW w:w="20" w:type="dxa"/>
            <w:vAlign w:val="bottom"/>
          </w:tcPr>
          <w:p>
            <w:pPr>
              <w:spacing w:after="0"/>
              <w:rPr>
                <w:sz w:val="19"/>
                <w:szCs w:val="19"/>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8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2024</w:t>
            </w:r>
          </w:p>
        </w:tc>
        <w:tc>
          <w:tcPr>
            <w:tcW w:w="12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0.8420</w:t>
            </w:r>
          </w:p>
        </w:tc>
        <w:tc>
          <w:tcPr>
            <w:tcW w:w="20" w:type="dxa"/>
            <w:vAlign w:val="bottom"/>
            <w:shd w:val="clear" w:color="auto" w:fill="CCEEFF"/>
          </w:tcPr>
          <w:p>
            <w:pPr>
              <w:spacing w:after="0"/>
              <w:rPr>
                <w:sz w:val="19"/>
                <w:szCs w:val="19"/>
                <w:color w:val="auto"/>
              </w:rPr>
            </w:pP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8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May 20, 2024</w:t>
            </w:r>
          </w:p>
        </w:tc>
        <w:tc>
          <w:tcPr>
            <w:tcW w:w="124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0.8756</w:t>
            </w:r>
          </w:p>
        </w:tc>
        <w:tc>
          <w:tcPr>
            <w:tcW w:w="20" w:type="dxa"/>
            <w:vAlign w:val="bottom"/>
          </w:tcPr>
          <w:p>
            <w:pPr>
              <w:spacing w:after="0"/>
              <w:rPr>
                <w:sz w:val="19"/>
                <w:szCs w:val="19"/>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8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2024</w:t>
            </w:r>
          </w:p>
        </w:tc>
        <w:tc>
          <w:tcPr>
            <w:tcW w:w="12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0.8756</w:t>
            </w:r>
          </w:p>
        </w:tc>
        <w:tc>
          <w:tcPr>
            <w:tcW w:w="20" w:type="dxa"/>
            <w:vAlign w:val="bottom"/>
            <w:shd w:val="clear" w:color="auto" w:fill="CCEEFF"/>
          </w:tcPr>
          <w:p>
            <w:pPr>
              <w:spacing w:after="0"/>
              <w:rPr>
                <w:sz w:val="19"/>
                <w:szCs w:val="19"/>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8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November 19, 2024</w:t>
            </w:r>
          </w:p>
        </w:tc>
        <w:tc>
          <w:tcPr>
            <w:tcW w:w="124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0.8756</w:t>
            </w:r>
          </w:p>
        </w:tc>
        <w:tc>
          <w:tcPr>
            <w:tcW w:w="20" w:type="dxa"/>
            <w:vAlign w:val="bottom"/>
          </w:tcPr>
          <w:p>
            <w:pPr>
              <w:spacing w:after="0"/>
              <w:rPr>
                <w:sz w:val="19"/>
                <w:szCs w:val="19"/>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8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12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0.8865</w:t>
            </w:r>
          </w:p>
        </w:tc>
        <w:tc>
          <w:tcPr>
            <w:tcW w:w="20" w:type="dxa"/>
            <w:vAlign w:val="bottom"/>
            <w:shd w:val="clear" w:color="auto" w:fill="CCEEFF"/>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of distributions to the Partnership from Sunoco LP for the periods presented below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Distributions from Sunoco LP</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 interests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Partner interest and IDRs</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distributions from Sunoco LP</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USAC Cash Distributions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Energy Transfer owns approximately 46.1 million USAC common units. As of December 31, 2024, USAC had approximately 117 million common units outstanding. USAC currently has a non-economic general partner interest and no outstanding IDRs.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on USAC’s units declared and/or paid by USAC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Quarter Ended</w:t>
            </w:r>
          </w:p>
        </w:tc>
        <w:tc>
          <w:tcPr>
            <w:tcW w:w="41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Payment Date</w:t>
            </w: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Rate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3, 2023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5, 2023</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4, 2023</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 2023</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 2024</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 2024</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 2024</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2025</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0" w:type="dxa"/>
            <w:vAlign w:val="bottom"/>
          </w:tcPr>
          <w:p>
            <w:pPr>
              <w:spacing w:after="0"/>
              <w:rPr>
                <w:sz w:val="1"/>
                <w:szCs w:val="1"/>
                <w:color w:val="auto"/>
              </w:rPr>
            </w:pPr>
          </w:p>
        </w:tc>
      </w:tr>
      <w:tr>
        <w:trPr>
          <w:trHeight w:val="473"/>
        </w:trPr>
        <w:tc>
          <w:tcPr>
            <w:tcW w:w="8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total amount of distributions to the Partnership from USAC for the periods presented below is as follows:</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Years Ended December 31,</w:t>
            </w:r>
          </w:p>
        </w:tc>
        <w:tc>
          <w:tcPr>
            <w:tcW w:w="0" w:type="dxa"/>
            <w:vAlign w:val="bottom"/>
          </w:tcPr>
          <w:p>
            <w:pPr>
              <w:spacing w:after="0"/>
              <w:rPr>
                <w:sz w:val="1"/>
                <w:szCs w:val="1"/>
                <w:color w:val="auto"/>
              </w:rPr>
            </w:pPr>
          </w:p>
        </w:tc>
      </w:tr>
      <w:tr>
        <w:trPr>
          <w:trHeight w:val="2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Distributions from USAC</w:t>
            </w:r>
          </w:p>
        </w:tc>
        <w:tc>
          <w:tcPr>
            <w:tcW w:w="4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 interests</w:t>
            </w:r>
          </w:p>
        </w:tc>
        <w:tc>
          <w:tcPr>
            <w:tcW w:w="4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distributions from USAC</w:t>
            </w:r>
          </w:p>
        </w:tc>
        <w:tc>
          <w:tcPr>
            <w:tcW w:w="4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selection and application of accounting policies is an important process that has developed as our business activities have evolved and as the accounting rules have developed. Accounting rules generally do not involve a selection among alternatives, but involve an implementation and interpretation of existing rules, and the use of judgment applied to the specific set of circumstances existing in our business. We make every effort to properly comply with all applicable rules, and we believe the proper implementation and consistent application of the accounting rules are critical. Our critical accounting policies are discussed below. For further details on our accounting policies see Note 2 to our consolidated financial statements included in “Item 8. Financial Statements and Supplementary Data.”</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reported amounts of assets and liabilities and the accrual for and disclosure of contingent assets and liabilities at the date of the financial statements and the reported amounts of revenues and expenses during the reporting period. The natural gas industry conducts its business by processing actual transactions at the end of the month following the month of delivery. Consequently, the most current month’s financial results are estimated using volume estimates and market prices for our intrastate transportation and storage segment, our midstream segment, and our NGL and refined products transportation and services segment. Any differences between estimated results and actual results are recognized in the following month’s financial statements. Management believes that the operating results estimated for the year ended December 31, 2024 represent the actual results in all material respects.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other significant estimates made by management include, but are not limited to, the timing of certain forecasted transactions that are hedged, the fair value of derivative instruments, useful lives for depreciation, depletion and amortization, purchase accounting allocations and subsequent realizability of intangible assets, fair value measurements used in the goodwill impairment test, market value of inventory, assets and liabilities resulting from the regulated ratemaking process, contingency reserves and environmental reserves. Actual results could differ from those estimates.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Estimates in Business Combination Accounting and Impairment of Long-Lived Assets, Goodwill, Intangible Assets and Investments in Unconsolidated Affiliates. </w:t>
      </w:r>
      <w:r>
        <w:rPr>
          <w:rFonts w:ascii="Times New Roman" w:cs="Times New Roman" w:eastAsia="Times New Roman" w:hAnsi="Times New Roman"/>
          <w:sz w:val="18"/>
          <w:szCs w:val="18"/>
          <w:color w:val="auto"/>
        </w:rPr>
        <w:t>Business combination accounting and quantitative impairment testing are required from time to time due to the occurrence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changes in circumstances, or annual testing requirements. For business combinations, assets and liabilities are required to be recorded at estimated fair value in connection with the initial recognition of the transaction. For impairment testing, long-lived assets are required to be tested for recoverability whenever events or changes in circumstances indicate that the carrying amount of the asset may not be recoverable. Goodwill and intangibles with indefinite lives must be tested for impairment annually or more frequently if events or changes in circumstances indicate that the related asset might be impaired. An impairment of an investment in an unconsolidated affiliate is recognized when circumstances indicate that a decline in the investment value is other than temporary. An impairment loss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be recognized only if the carrying amount of the asset/goodwill is not recoverable and exceeds its fair value. Calculating the fair value of assets or reporting units in connection with business combination accounting or impairment testing requires management to make several estimates, assumptions and judgements, and in some circumstances management may also utilize third-party specialists to assist and advise on those calculations.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allocate the purchase price in a business combination or to test for recoverability when performing a quantitative impairment test, we must make estimates of projected cash flows related to the asset, which include, but are not limited to, assumptions about the use or disposition of the asset, estimated remaining life of the asset, and future expenditures necessary to maintain the asset’s existing service potential. In order to determine fair value, we make certain estimates and assumptions, including, among other things, changes in general economic conditions in regions in which our markets are located, the availability and prices of commodities, our ability to negotiate favorable sales agreements, the risks that exploration and production activities will not occur or be successful, our dependence on certain significant customers and producers, and competition from other companies, including major energy producers. While we believe we have made reasonable assumptions to calculate the fair value, if future results are not consistent with our estimates, we could be exposed to future impairment losses that could be material to our results of operations.</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Partnership determines the fair value of its assets and/or reporting units using the discounted cash flow method, the guideline company method, the reproduction and replacement methods, or a weighted combination of these methods. Determining the fair value of a reporting unit requires judgment and the use of significant estimates and assumptions. Such estimates and assumptions include revenue growth rates, operating margins, weighted average costs of capital and future market conditions, among others. The Partnership believes the estimates and assumptions used in our business combination accounting and impairment assessments are reasonable and based on available market information, but variations in any of the assumptions could result in materially different calculations of fair value and determinations of whether or not an impairment is indicated. Under the discounted cash flow method, the Partnership determines fair value based on estimated future cash flows of each reporting unit including estimates for capital expenditures, discounted to present value using the risk-adjusted industry rate, which reflect the overall level of inherent risk of the reporting unit. Cash flow projections are derived from one year budgeted amounts and five year operating forecasts plus an estimate of later period cash flows, all of which are evaluated by management. Subsequent period cash flows are developed for each reporting unit using growth rates that management believes are reasonably likely to occur. Under the guideline company method, the Partnership determines the estimated fair value of each of our reporting units by applying valuation multiples of comparable publicly-traded companies to each reporting unit’s projected EBITDA and then averaging that estimate with similar historical calculations using a multi-year average. In addition, the Partnership estimates a reasonable control premium, when appropriate, representing the incremental value that accrues to the majority owner from the opportunity to dictate the strategic and operational actions of the business. Under the reproduction and replacement methods, the Partnership determines the fair value of assets based on the estimated installation, engineering, and set-up costs related to the asset; these methods require the use of trend factors, such as inflation indices.</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key assumption in these fair value calculations is management’s estimate of future cash flows and EBITDA. In accounting for a business combination, these estimates are generally based on the forecasts that were used to analyze the deal economics. For impairment testing, these estimates are based on the annual budget for the upcoming year and forecasted amounts for multiple subsequent years. The annual budget process is typically completed near the annual goodwill impairment testing date, and management uses the most recent information for the annual impairment tests. The forecast is also subjected to a comprehensive update annually in conjunction with the annual budget process and is revised periodically to reflect new information and/or revised expectations. The estimates of future cash flows and EBITDA are subjective in nature and are subject to impacts from the business risks described in “Item 1A. Risk Factors.” Therefore, the actual results could differ significantly from the amounts used for business combination accounting and impairment testing, and significant changes in fair value estimates could occur in a given period. Such changes in fair value estimates could result in changes to the fair value estimates used in business combination accounting, which could significantly impact results of operations in a period subsequent to the business combination, depending on multiple factors, including the timing of such changes. In the case of impairment testing, such changes could result in additional impairments in future periods; therefore, the actual results could differ significantly from the amounts used for goodwill impairment testing, and significant changes in fair value estimates could occur in a given period, resulting in additional impairments.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change our method of impairment testing, including changing the weight assigned to different valuation models. Such changes could be driven by various factors, including the level of precision or availability of data for our assumptions. Any changes in the method of testing could also result in an impairment or impact the magnitude of an impairment.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Partnership recorded total assets of approximately $11.36 billion, $9.71 billion and $1.38 billion, respectively, in connection with business combinations.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Partnership recorded impairments totaling $52 million, $12 million and $386 million, respectively. Additional information on the impairments recorded during these periods is available in Note 2 to our consolidated financial statements included in “Item 8. Financial Statements and Supplementary Data.”</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Estimated Useful Lives of Long-Lived 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of long-lived assets is provided using the straight-line method based on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useful lives. Changes in the estimated useful lives of the assets could have a material effect on our results of operation. The Partnership’s results of operations have not been significantly impacted by changes in the estimated useful lives of our long-lived assets during the periods presented, and we do not anticipate any such significant changes in the future. However, changes in facts and circumstances could cause us to change the estimated useful lives of the assets, which could significantly impact the Partnership’s results of operations. Additional information on our accounting policies and the estimated useful lives associated with our long-lived assets is available in Note 2 to our consolidated financial statements in “Item 8. Financial Statements and Supplementary Data.”</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Legal and Regulatory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subject to litigation and regulatory proceedings as a result of our business operations and transactions. We utilize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internal and external counsel in evaluating our potential exposure to adverse outcomes from claims, orders, judgments or settlements. To the extent that actual outcomes differ from our estimates, or additional facts and circumstances cause us to revise our estimates, our earnings will be affected. We expense legal costs as incurred, and all recorded legal liabilities are revised, as required, as better information becomes available to us. The factors we consider when recording an accrual for contingencies include, among others: (i) the opinions and views of our legal counsel; (ii) our previous experience; and (iii) the decision of our management as to how we intend to respond to the complaints. As of December 31, 2024 and 2023, accruals of $281 million and $285 million, respectively, were reflected in our consolidated balance sheets related to these contingent obligations.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our litigation and contingencies, see Note 11 to our consolidated financial statements included in “Item 8. Financial Statements and Supplementary Data” in this annual report.</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Remediation Activities. </w:t>
      </w:r>
      <w:r>
        <w:rPr>
          <w:rFonts w:ascii="Times New Roman" w:cs="Times New Roman" w:eastAsia="Times New Roman" w:hAnsi="Times New Roman"/>
          <w:sz w:val="18"/>
          <w:szCs w:val="18"/>
          <w:color w:val="auto"/>
        </w:rPr>
        <w:t>The Partnership’s accrual for environmental remediation activities reflects anticipated work at identified sites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an assessment has indicated that cleanup costs are probable and reasonably estimable. The accrual for known claims is undiscounted and is based on currently available information, estimated timing of remedial actions and related inflation assumptions, existing technology and presently enacted laws and regulations. It is often extremely difficult to develop reasonable estimates of future site remediation costs due to changing regulations, changing technologies and their associated costs, and changes in the economic environment. Engineering studies, historical experience and other factors are used to identify and evaluate remediation alternatives and their related costs in determining the estimated accruals for environmental remediation activities.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Losses attributable to unasserted claims are generally reflected in the accruals on an undiscounted basis, to the extent they are probable of occurrence and reasonably estimable. We have established a wholly 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each remediation site/issue is evaluated individually based upon information available for the site/issue and no pooling or statistical analysis is used to evaluate an aggregate risk for a group of similar items (e.g., service station sites) in determining the amount of probable loss accrual to be recorded. The Partnership’s estimates of environmental remediation costs also frequently involve evaluation of a range of estimates. In many cases, it is difficult to determine that one point in the range of loss estimates is more likely than any other. In these situations, existing accounting guidance requires that the minimum of the range be accrued. Accordingly, the low end of the range often represents the amount of loss which has been recorded. The Partnership’s consolidated balance sheets reflected $278 million and $277 million in environmental accruals as of December 31, 2024 and 2023, respectively.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future costs for environmental remediation activities will depend upon, among other things, the identification of any additional sites, the determination of the extent of the contamination at each site, the timing and nature of required remedial actions, the nature of operations at each site, the technology available and needed to meet the various existing legal requirements, the nature and terms of cost-sharing arrangements with other potentially responsible parties, the availability of insurance coverage, the nature and extent of future environmental laws and regulations, inflation rates, terms of consent agreements or remediation permits with regulatory agencies and the determination of the Partnership’s liability at the sites, if any, in light of the number, participation level and financial viability of the other parties. The recognition of additional losses, if and when they were to occur, would likely extend over many years. Management believes that the Partnership’s exposure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adverse developments with respect to any individual site is not expected to be material. However, if changes in environmental laws or regulations occur or the assumptions used to estimate losses at multiple sites are adjusted, such changes could impact multiple facilities, formerly owned facilities and third-party sites at the same time. As a result, from time to time, significant charges against income for environmental remediation may occur; however, management does not believe that any such charges would have a material adverse impact on the Partnership’s consolidated financial position.</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Income Taxes. </w:t>
      </w:r>
      <w:r>
        <w:rPr>
          <w:rFonts w:ascii="Times New Roman" w:cs="Times New Roman" w:eastAsia="Times New Roman" w:hAnsi="Times New Roman"/>
          <w:sz w:val="18"/>
          <w:szCs w:val="18"/>
          <w:color w:val="auto"/>
        </w:rPr>
        <w:t>Energy Transfer recognizes benefits in earnings and related deferred tax assets for net operating loss carryforwards (“NOLs”)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credit carryforwards. If necessary, a charge to earnings and a related valuation allowance are recorded to reduce deferred tax assets to an amount that is more likely than not to be realized by the Partnership in the future. Deferred income tax assets attributable to state and federal NOLs and federal excess business interest expense carryforwards totaling $197 million have been included in Energy Transfer’s consolidated balance sheet as of December 31, 2024. The state NOL carryforward benefits of $81 million ($64 million net of federal benefit) began expiring in 2024 with a substantial portion expiring between 2033 and 2039. Energy Transfer’s corporate subsidiaries have federal NOLs of $537 million ($113 million in benefits), all of which was generated in 2018 or later. A total of $341 million of the federal net operating loss carryforward is limited under IRC §382. Although we expect to fully utilize the IRC §382 limited federal net operating loss, the amount utilized in a particular year may be limited. Any federal NOL generated in 2018 and future years can be carried forward indefinitely. A foreign subsidiary of Sunoco LP had a net operating loss of $56 million ($15 million in benefits) which can be carried forward indefinitely. In making the assessment of the future realization of the deferred tax assets, we rely on future reversals of existing taxable temporary differences, tax planning strategies and forecasted taxable income based on historical and projected future operating results. The potential need for valuation allowances is regularly reviewed by management. If it is more likely than not that the recorded asset will not be realized, additional valuation allowances which increase income tax expense may be recognized in the period such determination is made. Likewise, if it is more likely than not that additional deferred tax assets will be realized, an adjustment to the deferred tax asset will increase income in the period such determination is made.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contains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annual report,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w:t>
      </w:r>
    </w:p>
    <w:p>
      <w:pPr>
        <w:spacing w:after="0" w:line="80" w:lineRule="exact"/>
        <w:rPr>
          <w:sz w:val="20"/>
          <w:szCs w:val="20"/>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the ability of our subsidiaries to make cash distributions to us, which is dependent on their results of operations, cash flows and financial condition;</w:t>
      </w:r>
    </w:p>
    <w:p>
      <w:pPr>
        <w:spacing w:after="0" w:line="117" w:lineRule="exact"/>
        <w:rPr>
          <w:rFonts w:ascii="Times New Roman" w:cs="Times New Roman" w:eastAsia="Times New Roman" w:hAnsi="Times New Roman"/>
          <w:sz w:val="18"/>
          <w:szCs w:val="18"/>
          <w:color w:val="212529"/>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amount of cash distributions by our subsidiaries to us;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volumes transported on our subsidiaries’ pipelines and gathering systems;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throughput in our subsidiaries’ processing and treating facilities;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our subsidiaries charge and the margins they realize for their gathering, treating, processing, storage and transportation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and market demand for, and the relationship between, natural gas and NGLs;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prices generally;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world health events;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cyber and malware attacks;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natural gas and NGLs compared to the price of alternative and competing fuels;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level of petroleum product demand and the availability and price of NGL supplies;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domestic oil, natural gas and NGL production;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imported oil, natural gas and NGLs;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foreign oil and gas producing nations;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and economic stability of petroleum producing nations;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weather conditions on demand for oil, natural gas and NGLs;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local, intrastate and interstate transportation systems;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ability to find and contract for new sources of natural gas supply;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marketing of competitive fuels;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energy conservation efforts;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efficiencies and technological trends;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taxation and tariffs;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and the application of, regulation of tariff rates and operational requirements related to our subsidiaries’ interstate and intrastate pipelines;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or operating risks incidental to the gathering, treating, processing and transporting of natural gas and NGLs;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midstream companies and interstate pipeline companies;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natural gas producers or the providers of fractionation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capacity or allocations of third-party pipelines that connect with our subsidiaries pipelines and facilities;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risk-management policies and procedures and the ability of our subsidiaries liquids marketing counterparties to satisfy their financial commitments;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nonpayment or nonperformance by our subsidiaries’ customers;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of new infrastructure projects or other growth projects, including failure to make sufficient progress to justify continued development, delays in obtaining customers, increased costs of financing and regulatory, environmental, political and legal uncertainties that may affect the timing and cost of these projects;</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construction of new pipelines, treating and processing facilities or other facilities, or additions to our subsidiaries’ existing pipelines and their facilities, including difficulties in obtaining permits and rights-of-way or other regulatory approvals and the performance by third-party contractors;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and our subsidiaries’ ability to access certain capital sources;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of the credit and capital markets;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assets and operations of entities in which our subsidiaries own a noncontrolling interests, including risks related to management actions at such entities that our subsidiaries may not be able to control or exert influence;</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identify and consummate strategic acquisitions at purchase prices that are accretive to our financial results and to successfully integrate acquired businesses;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to which we are subject, including tax, environmental, transportation and employment regulations or new interpretations by regulatory agencies concerning such laws and regulations;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legal and administrative proceedings;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potential failure to successfully combine our business with those of companies we have acquired or may acquire in the future.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put undue reliance on any forward-looking statements. When considering forward-looking statements, please review the risks described under “Item 1A. Risk Factors” in this annual report. Any forward-looking statement made by us in this Annual Report on Form 10-K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 amounts are in millions)</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Market risk includes the risk of loss arising from adverse changes in market rates and prices. We face market risk from commodity variations, risk and interest rate variations, and to a lesser extent, credit risks. From time to time, we may utilize derivative financial instruments as described below to manage our exposure to such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futures and basis swaps, designated as fair value hedges, to hedge our natural gas inventory stored in our Bammel storage facility. At hedge inception, we lock in a margin by purchasing gas in the spot market or off-peak season and 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 futures, swaps and options to hedge the sales price of natural gas we retain for fees in our intrastate transportation and storage segment and operational gas sales on our interstate transportation and storage segment. These contracts are not designated as hedges for accounting purposes.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swaps, futures and other derivative instruments to mitigate the risk associated with market movements in the price of natural gas, refined products and NGLs to manage our storage facilities and the purchase and sale of purity NGL. These contracts are not designated as hedges for accounting purposes.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financial commodity derivatives to take advantage of market opportunities in our trading activities which complement our intrastate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intrastate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summarize commodity-related financial derivative instruments, fair values and the effect of an assumed hypothetical 10% change in the underlying price of the commodity as of December 31, 2024 and 2023 for the Partnership and its consolidated subsidiaries. Dollar amounts are presented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780" w:type="dxa"/>
            <w:vAlign w:val="bottom"/>
            <w:tcBorders>
              <w:bottom w:val="single" w:sz="8" w:color="auto"/>
            </w:tcBorders>
            <w:gridSpan w:val="6"/>
          </w:tcPr>
          <w:p>
            <w:pPr>
              <w:jc w:val="right"/>
              <w:ind w:right="95"/>
              <w:spacing w:after="0"/>
              <w:rPr>
                <w:sz w:val="20"/>
                <w:szCs w:val="20"/>
                <w:color w:val="auto"/>
              </w:rPr>
            </w:pPr>
            <w:r>
              <w:rPr>
                <w:rFonts w:ascii="Times New Roman" w:cs="Times New Roman" w:eastAsia="Times New Roman" w:hAnsi="Times New Roman"/>
                <w:sz w:val="18"/>
                <w:szCs w:val="18"/>
                <w:color w:val="auto"/>
              </w:rPr>
              <w:t>December 31, 2024</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8"/>
                <w:szCs w:val="18"/>
                <w:color w:val="auto"/>
              </w:rPr>
              <w:t>December 31, 2023</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color w:val="auto"/>
                <w:w w:val="99"/>
              </w:rPr>
              <w:t>Fair Value</w:t>
            </w:r>
          </w:p>
        </w:tc>
        <w:tc>
          <w:tcPr>
            <w:tcW w:w="220" w:type="dxa"/>
            <w:vAlign w:val="bottom"/>
          </w:tcPr>
          <w:p>
            <w:pPr>
              <w:spacing w:after="0"/>
              <w:rPr>
                <w:sz w:val="13"/>
                <w:szCs w:val="13"/>
                <w:color w:val="auto"/>
              </w:rPr>
            </w:pPr>
          </w:p>
        </w:tc>
        <w:tc>
          <w:tcPr>
            <w:tcW w:w="1000" w:type="dxa"/>
            <w:vAlign w:val="bottom"/>
          </w:tcPr>
          <w:p>
            <w:pPr>
              <w:jc w:val="center"/>
              <w:ind w:right="131"/>
              <w:spacing w:after="0" w:line="155" w:lineRule="exact"/>
              <w:rPr>
                <w:sz w:val="20"/>
                <w:szCs w:val="20"/>
                <w:color w:val="auto"/>
              </w:rPr>
            </w:pPr>
            <w:r>
              <w:rPr>
                <w:rFonts w:ascii="Times New Roman" w:cs="Times New Roman" w:eastAsia="Times New Roman" w:hAnsi="Times New Roman"/>
                <w:sz w:val="16"/>
                <w:szCs w:val="16"/>
                <w:color w:val="auto"/>
              </w:rPr>
              <w:t>Effect of</w:t>
            </w: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color w:val="auto"/>
                <w:w w:val="97"/>
              </w:rPr>
              <w:t>Fair Value</w:t>
            </w:r>
          </w:p>
        </w:tc>
        <w:tc>
          <w:tcPr>
            <w:tcW w:w="220" w:type="dxa"/>
            <w:vAlign w:val="bottom"/>
          </w:tcPr>
          <w:p>
            <w:pPr>
              <w:spacing w:after="0"/>
              <w:rPr>
                <w:sz w:val="13"/>
                <w:szCs w:val="13"/>
                <w:color w:val="auto"/>
              </w:rPr>
            </w:pPr>
          </w:p>
        </w:tc>
        <w:tc>
          <w:tcPr>
            <w:tcW w:w="1020" w:type="dxa"/>
            <w:vAlign w:val="bottom"/>
          </w:tcPr>
          <w:p>
            <w:pPr>
              <w:jc w:val="center"/>
              <w:ind w:right="131"/>
              <w:spacing w:after="0" w:line="155" w:lineRule="exact"/>
              <w:rPr>
                <w:sz w:val="20"/>
                <w:szCs w:val="20"/>
                <w:color w:val="auto"/>
              </w:rPr>
            </w:pPr>
            <w:r>
              <w:rPr>
                <w:rFonts w:ascii="Times New Roman" w:cs="Times New Roman" w:eastAsia="Times New Roman" w:hAnsi="Times New Roman"/>
                <w:sz w:val="16"/>
                <w:szCs w:val="16"/>
                <w:color w:val="auto"/>
                <w:w w:val="99"/>
              </w:rPr>
              <w:t>Effect of</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Notional Volume</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Asset</w:t>
            </w:r>
          </w:p>
        </w:tc>
        <w:tc>
          <w:tcPr>
            <w:tcW w:w="13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Hypothetical 10%</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Notional Volume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Asset</w:t>
            </w:r>
          </w:p>
        </w:tc>
        <w:tc>
          <w:tcPr>
            <w:tcW w:w="12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Hypothetical 10%</w:t>
            </w:r>
          </w:p>
        </w:tc>
        <w:tc>
          <w:tcPr>
            <w:tcW w:w="0" w:type="dxa"/>
            <w:vAlign w:val="bottom"/>
          </w:tcPr>
          <w:p>
            <w:pPr>
              <w:spacing w:after="0"/>
              <w:rPr>
                <w:sz w:val="1"/>
                <w:szCs w:val="1"/>
                <w:color w:val="auto"/>
              </w:rPr>
            </w:pPr>
          </w:p>
        </w:tc>
      </w:tr>
      <w:tr>
        <w:trPr>
          <w:trHeight w:val="213"/>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Mark-to-Market Derivatives</w:t>
            </w:r>
          </w:p>
        </w:tc>
        <w:tc>
          <w:tcPr>
            <w:tcW w:w="1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(Liability)</w:t>
            </w: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Change</w:t>
            </w: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(Liability)</w:t>
            </w:r>
          </w:p>
        </w:tc>
        <w:tc>
          <w:tcPr>
            <w:tcW w:w="220" w:type="dxa"/>
            <w:vAlign w:val="bottom"/>
          </w:tcPr>
          <w:p>
            <w:pPr>
              <w:spacing w:after="0"/>
              <w:rPr>
                <w:sz w:val="18"/>
                <w:szCs w:val="18"/>
                <w:color w:val="auto"/>
              </w:rPr>
            </w:pPr>
          </w:p>
        </w:tc>
        <w:tc>
          <w:tcPr>
            <w:tcW w:w="1020" w:type="dxa"/>
            <w:vAlign w:val="bottom"/>
          </w:tcPr>
          <w:p>
            <w:pPr>
              <w:jc w:val="center"/>
              <w:ind w:right="131"/>
              <w:spacing w:after="0"/>
              <w:rPr>
                <w:sz w:val="20"/>
                <w:szCs w:val="20"/>
                <w:color w:val="auto"/>
              </w:rPr>
            </w:pPr>
            <w:r>
              <w:rPr>
                <w:rFonts w:ascii="Times New Roman" w:cs="Times New Roman" w:eastAsia="Times New Roman" w:hAnsi="Times New Roman"/>
                <w:sz w:val="16"/>
                <w:szCs w:val="16"/>
                <w:color w:val="auto"/>
                <w:w w:val="98"/>
              </w:rPr>
              <w:t>Change</w:t>
            </w:r>
          </w:p>
        </w:tc>
        <w:tc>
          <w:tcPr>
            <w:tcW w:w="0" w:type="dxa"/>
            <w:vAlign w:val="bottom"/>
          </w:tcPr>
          <w:p>
            <w:pPr>
              <w:spacing w:after="0"/>
              <w:rPr>
                <w:sz w:val="1"/>
                <w:szCs w:val="1"/>
                <w:color w:val="auto"/>
              </w:rPr>
            </w:pPr>
          </w:p>
        </w:tc>
      </w:tr>
      <w:tr>
        <w:trPr>
          <w:trHeight w:val="207"/>
        </w:trPr>
        <w:tc>
          <w:tcPr>
            <w:tcW w:w="3500" w:type="dxa"/>
            <w:vAlign w:val="bottom"/>
            <w:vMerge w:val="continue"/>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Natural Gas (BBtu):</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Fixed Swaps/Futures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Basis Swaps IFERC/NYMEX</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Swing Swaps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Options – Puts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Option - Calls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300"/>
              <w:spacing w:after="0" w:line="230" w:lineRule="exact"/>
              <w:rPr>
                <w:sz w:val="20"/>
                <w:szCs w:val="20"/>
                <w:color w:val="auto"/>
              </w:rPr>
            </w:pPr>
            <w:r>
              <w:rPr>
                <w:rFonts w:ascii="Times New Roman" w:cs="Times New Roman" w:eastAsia="Times New Roman" w:hAnsi="Times New Roman"/>
                <w:sz w:val="18"/>
                <w:szCs w:val="18"/>
                <w:color w:val="auto"/>
              </w:rPr>
              <w:t>Forward Physical Contracts</w:t>
            </w:r>
            <w:r>
              <w:rPr>
                <w:rFonts w:ascii="Times New Roman" w:cs="Times New Roman" w:eastAsia="Times New Roman" w:hAnsi="Times New Roman"/>
                <w:sz w:val="23"/>
                <w:szCs w:val="23"/>
                <w:color w:val="auto"/>
                <w:vertAlign w:val="superscript"/>
              </w:rPr>
              <w:t>(1)</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 (Megawatt):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Futures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Options – Puts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Options – Calls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Crude (MBbls):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Forward/Swaps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Option - Puts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Option - Calls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NGL/Refined Products (MBbls):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Forwards/Swaps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Option - Puts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Option - Calls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Futures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Hedging Derivatives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Natural Gas (BBtu):</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Basis Swaps IFERC/NYMEX</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Fixed Swaps/Futures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80" w:hanging="172"/>
        <w:spacing w:after="0"/>
        <w:tabs>
          <w:tab w:leader="none" w:pos="18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Natural gas forward physical contracts are no longer reflected as mark-to-market derivatives in 2024.</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the commodity-related financial positions have been determined using independent third-party prices, readily available market information and appropriate valuation techniques. Non-trading positions offset physical exposures to the cash market; none of these offsetting physical exposures are included in the above tables. Price-risk sensitivities were calculated by assuming a theoretical 10% change (increase or decrease) in price regardless of term or historical relationships between the contractual price of the instruments and the underlying commodity price. Results are presented in absolute terms and represent a potential gain or loss in net income or in other comprehensive income. In the event of an actual 10% change in prompt month natural gas prices, the fair value of our total derivative portfolio may not change by 10% due to factors such as when the financial instrument settles and the location to which the financial instrument is tied (i.e., basis swaps) and the relationship between prompt month and forward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and our subsidiaries had $4.33 billion of floating rate debt outstanding. A hypothetical change of 100 basis points would result in a maximum potential change to interest expense of $43 million annually; however, our actual change in interest expense may be less in a given period due to interest rate floors included in our variable rate debt instruments. We manage a portion of our interest rate exposure by utilizing interest rate swaps, including forward-starting interest rate swaps to lock-in the rate on a portion of anticipated debt issuances.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USAC’s interest rate swap which is no longer outstanding as of December 31, 2024, and which was not designated as a hedge for accounting purposes (dollar amounts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Notional Amount Outstanding</w:t>
            </w:r>
          </w:p>
        </w:tc>
        <w:tc>
          <w:tcPr>
            <w:tcW w:w="420" w:type="dxa"/>
            <w:vAlign w:val="bottom"/>
            <w:tcBorders>
              <w:bottom w:val="single" w:sz="8" w:color="auto"/>
            </w:tcBorders>
          </w:tcPr>
          <w:p>
            <w:pPr>
              <w:spacing w:after="0"/>
              <w:rPr>
                <w:sz w:val="20"/>
                <w:szCs w:val="20"/>
                <w:color w:val="auto"/>
              </w:rPr>
            </w:pPr>
          </w:p>
        </w:tc>
      </w:tr>
      <w:tr>
        <w:trPr>
          <w:trHeight w:val="398"/>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18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December 2025</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 a fixed rate of 3.9725% and receive a floating rate based on SOFR</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bl>
    <w:p>
      <w:pPr>
        <w:spacing w:after="0" w:line="154" w:lineRule="exact"/>
        <w:rPr>
          <w:sz w:val="20"/>
          <w:szCs w:val="20"/>
          <w:color w:val="auto"/>
        </w:rPr>
      </w:pPr>
    </w:p>
    <w:p>
      <w:pPr>
        <w:ind w:left="320" w:hanging="312"/>
        <w:spacing w:after="0"/>
        <w:tabs>
          <w:tab w:leader="none" w:pos="320" w:val="left"/>
        </w:tabs>
        <w:numPr>
          <w:ilvl w:val="0"/>
          <w:numId w:val="9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August 2024, USAC elected to terminate the outstanding interest rate swap.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and Customers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natural gas transportation and midstream revenues are derived significantly from companies that engage in exploration and production activities. In addition to oil and gas producers, the Partnership’s counterparties consist of a diverse portfolio of customers across the energy industry, including petrochemical companies, commercial and industrial end-users,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10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financial statements starting on page </w:t>
      </w:r>
      <w:r>
        <w:rPr>
          <w:rFonts w:ascii="Times New Roman" w:cs="Times New Roman" w:eastAsia="Times New Roman" w:hAnsi="Times New Roman"/>
          <w:sz w:val="18"/>
          <w:szCs w:val="18"/>
          <w:u w:val="single" w:color="auto"/>
          <w:color w:val="0000FF"/>
        </w:rPr>
        <w:t>F-1</w:t>
      </w:r>
      <w:r>
        <w:rPr>
          <w:rFonts w:ascii="Times New Roman" w:cs="Times New Roman" w:eastAsia="Times New Roman" w:hAnsi="Times New Roman"/>
          <w:sz w:val="18"/>
          <w:szCs w:val="18"/>
          <w:color w:val="auto"/>
        </w:rPr>
        <w:t xml:space="preserve"> of this report are incorporated by reference.</w:t>
      </w:r>
    </w:p>
    <w:p>
      <w:pPr>
        <w:spacing w:after="0" w:line="16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FINANCIAL DISCLOSURE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Marshall S. McCrea, III and Thomas E. Long, Co-Chief Executive Officers of our General Partner (Co-Principal Executive Officers), and Dylan A. Bramhall (Principal Financial Officer), of the effectiveness of the design and operation of our disclosure controls and procedures (as such terms are defined in Rules 13a–15(e) and 15d–15(e) of the Exchange Act) as of the end of the period covered by this report. Based upon that evaluation, management, including Messrs. McCrea, Long and Bramhall, concluded that our disclosure controls and procedures were adequate and effective as of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management of Energy Transfer LP and subsidiaries is responsible for establishing and maintaining adequate internal control over financial reporting, as such term is defined in Exchange Act Rule 13a-15(f). Under the supervision and with the participation of our management, including the Co-Chief Executive Officers and Chief Financial Officer of our General Partner,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Framework”).</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15, 2024, Energy Transfer LP completed its acquisition of WTG Midstream. Management acknowledges that it is responsible for establishing and maintaining a system of internal controls over financial reporting for WTG Midstream. We are in the process of integrating WTG Midstream, and we therefore have excluded WTG Midstream from our December 31, 2024 assessment of the effectiveness of internal control over financial reporting. WTG Midstream assets were less than 3.0% of Energy Transfer LP’s total assets as of December 31, 2024 and WTG Midstream third-party revenues were less than 1.0% of Energy Transfer LP’s total revenues for the year ended December 31, 2024. The impact of the acquisition of WTG Midstream has not materially affected and is not expected to materially affect our internal control over financial reporting. As a result of these integration activities, certain controls are being evaluated and may be changed. We believe, however, that we will be able to maintain sufficient controls over the substantive results of our financial reporting throughout this integration process.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evaluation under the COSO framework, our management concluded that our internal control over financial reporting was effective as of December 31, 2024.</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Grant Thornton LLP, an independent registered public accounting firm, has audited the effectiveness of our internal control over financial reporting as of December 31, 2024, as stated in their report, which is included herein.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LE GP, LLC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of Energy Transfer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Energy Transfer LP (a Delaware limited partnership) and subsidiaries (the “Partnership”)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Partnership maintained, in all material respects, effective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Partnership as of and for the year ended December 31, 2024, and our report dated February 14, 2025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of, and opinion on, the Partnership’s internal control over financial reporting does not include the internal control over financial reporting of WTG Midstream Holdings LLC (“WTG Midstream”), a consolidated subsidiary, whose financial statements reflect total assets and revenues constituting less than three percent and less that one percent, respectively, of the related consolidated financial statement amounts as of and for the year ended December 31, 2024. As indicated in Management’s Report on Internal Control over Financial Reporting, WTG Midstream was acquired during 2024. Management’s assertion on the effectiveness of the Partnership’s internal control over financial reporting excluded internal control over financial reporting of WTG Midstream.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controls over financial reporting (as defined in Rules 13a–15(f) or Rule 15d–15(f)) that occurred in the three months ended December 31, 2024 that has materially affected, or is reasonably likely to materially affect, our internal controls over financial reporting.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partner, LE GP, LLC, manages and directs all of our activities. The officers and directors of Energy Transfer are officers and directors of LE GP, LLC. The members of our general partner elect our general partner’s Board of Directors. The board of directors of our general partner has the authority to appoint our executive officers, subject to provisions in the limited liability company agreement of our general partner. Pursuant to other authority, the board of directors of our general partner may appoint additional management personnel to assist in the management of our operations and, in the event of the death, resignation or removal of our chief executive officer, to appoint a replacement.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1, 2025, our Board of Directors is comprised of nine persons, four of whom qualify as “independent” under the NYSE’s corporate governance standards. As a limited partnership, we are not required under the NYSE’s corporate governance standards (Section 303A) to have a majority of independent directors. We have determined that Messrs. Anderson, Brannon, Grimm and Perry are all “independent” under the NYSE’s corporate governance standards.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limited partnership, we are not required by the rules of the NYSE to seek Unitholder approval for the election of any of our directors. We believe that the members of our general partner have appointed as directors individuals with experience, skills and qualifications relevant to the business of Energy Transfer, such as experience in energy or related industries or with financial markets, expertise in natural gas operations or finance, and a history of service in senior leadership positions. We do not have a formal process for identifying director nominees, nor do we have a formal policy regarding consideration of diversity in identifying director nominees, but we believe that the members of our general partner have endeavored to assemble a group of individuals with the qualities and attributes required to provide effective oversight of Energy Transfer.</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Board Leadership Structure. </w:t>
      </w:r>
      <w:r>
        <w:rPr>
          <w:rFonts w:ascii="Times New Roman" w:cs="Times New Roman" w:eastAsia="Times New Roman" w:hAnsi="Times New Roman"/>
          <w:sz w:val="18"/>
          <w:szCs w:val="18"/>
          <w:color w:val="auto"/>
        </w:rPr>
        <w:t>We have no policy requiring either that the positions of the Chairman of the Board and the Chief Executive Officer, or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separate or that they be occupied by the same individual. The Board of Directors believes that this issue is properly addressed as part of the succession planning process and that a determination on this subject should be made when it elects a new chief executive officer or at such other times as when consideration of the matter is warranted by circumstances. Previously, the Board of Directors believed that the CEO was best situated to serve as Chairman because he was the director most familiar with the Partnership’s business and industry, and most capable of effectively identifying strategic priorities and leading the discussion and execution of strategy. Beginning in 2021, the Board of Directors has established separate roles for the Executive Chairman and Co-Chief Executive Officers. Independent directors and management have different perspectives and roles in strategy development. Our independent directors bring experience, oversight and expertise from outside the Partnership and from a variety of industries, while the Executive Chairman and Co-Chief Executive Officers bring extensive experience and expertise specifically related to the Partnership’s business.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Risk Oversight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generally administers its risk oversight function through the board as a whole. Our Co-CEOs, who report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have day-to-day risk management responsibilities. Our Co-CEOs attend the meetings of our Board of Directors, where the Board of Directors routinely receives reports on our financial results, the status of our operations, and other aspects of implementation of our business strategy, with ample opportunity for specific inquiries of management. In addition, at each regular meeting of the Board, management provides a report of Energy Transfer’s financial and operational performance, which often prompts questions or feedback from the Board of Directors. The Audit Committee provides additional risk oversight through its quarterly meetings, where it receives a report from Energy Transfer’s internal auditor, who reports directly to the Audit Committee, and reviews Energy Transfer’s contingencies with management and our independent auditors.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both a Code of Business Conduct and Ethics applicable to our directors, officers and employees, and Corporate Governance Guidelines for directors and the Board. Current copies of our Code of Business Conduct and Ethics, Corporate Governance Guidelines and charters of the Audit and Compensation Committees of our Board of Directors are available on our website at www.energytransfer.com and will be provided in print form to any Unitholder requesting such information.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note that the preceding internet address is for information purposes only and is not intended to be a hyperlink. Accordingly, no information found and/or provided at such internet address or contained on our website in general is intended or deemed to be incorporated by reference in this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Certification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our Co-Chief Executive Officers provided to the NYSE the annual CEO certification regarding our compliance with the NYSE’s corporate governance listing standards.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Committee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Partnership Agreement provides that the Board of Directors may, from time to time, appoint members of the Board to serve on the Conflicts Committee with the authority to review specific matters for which the Board of Directors believes there may be a conflict of interest in order to determine if the resolution of such conflict proposed by the general partner is fair and reasonable to Energy Transfer and our Unitholders. As a policy matter, the Conflicts Committee generally reviews any proposed related-party transaction that may be material to Energy Transfer to determine if the transaction presents a conflict of interest and whether the transaction is fair and reasonable to Energy Transfer. Pursuant to the terms of our Partnership Agreement, any matters approved by the Conflicts Committee will be conclusively deemed to be fair and reasonable to the Energy Transfer, approved by all partners of Energy Transfer and not a breach by the general partner or its Board of Directors of any duties they may owe Energy Transfer or the Unitholders. These duties are limited by our Partnership Agreement (see “Risks Related to Conflicts of Interest” in “Item 1A. Risk Factors” in this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has established an Audit Committee in accordance with Section 3(a)(58)(A) of the Exchange Act. The Board of Directors appoints persons who are independent under the NYSE’s standards for audit committee members to serve on its Audit Committee. In addition, the Board determines that at least one member of the Audit Committee has such accounting or related financial management expertise sufficient to qualify such person as the audit committee financial expert in accordance with Item 407(d)(5) of Regulation S-K. The Board determined that based on relevant experience, Audit Committee member Michael K. Grimm qualified as an audit committee financial expert during 2024. A description of the qualifications of Mr. Grimm may be found elsewhere in this Item 10 under “Directors and Executive Officers of the General Partner.”</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meets on a regularly scheduled basis with our independent accountants at least four times each year and is available to meet at their request. The Audit Committee has the authority and responsibility to review our external financial reporting, review our procedures for internal auditing and the adequacy of our internal accounting controls, consider the qualifications and independence of our independent accountants, engage and direct our independent accountants, including the letter of engagement and statement of fees relating to the scope of the annual audit work and special audit work which may be recommended or required by the independent accountants, and to engage the services of any other advisors and accountants as the Audit Committee deems advisable. The Audit Committee reviews and discusses the audited financial statements with management, discusses with our independent auditors matters required to be discussed by auditing standards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approves the filing of our Form 10-K, which includes our audited financial statements. The Audit Committee periodically recommends to the Board of Directors any changes or modifications to its charter that may be required. The Audit Committee has received written disclosures and the letter from Grant Thornton required by applicable requirements of the Audit Committee concerning independence and has discussed with Grant Thornton the firm’s independence. The Audit Committee recommended to the Board that the audited financial statements of Energy Transfer be included in Energy Transfer’s Annual Report on Form 10-K for the year ended December 31, 2024.</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adopts the charter for the Audit Committee. Steven R. Anderson, Richard D. Brannon and Michael K. Grimm serve as elected members of the Audit Committee.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Nominating/Corporate Governance Committees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are not required under NYSE rules to appoint a Compensation Committee or a Nominating/Corporate Governance Committee because we are a limited partnership, the Board of Directors of LE GP, LLC has previously established a Compensation Committee to establish standards and make recommendations concerning the compensation of our officers and directors. In addition, the Compensation Committee determines and establishes the standards for any awards to our employees and officers under the equity compensation plans, including the performance standards or other restrictions pertaining to the vesting of any such awards. Messrs. Anderson and Grimm serve as members of the Compensation Committee.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responsibilities of the Energy Transfer Compensation Committee include, among other duties, the following:</w:t>
      </w:r>
    </w:p>
    <w:p>
      <w:pPr>
        <w:spacing w:after="0" w:line="117" w:lineRule="exact"/>
        <w:rPr>
          <w:sz w:val="20"/>
          <w:szCs w:val="20"/>
          <w:color w:val="auto"/>
        </w:rPr>
      </w:pPr>
    </w:p>
    <w:p>
      <w:pPr>
        <w:ind w:left="320" w:hanging="312"/>
        <w:spacing w:after="0"/>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approve goals and objectives relevant to compensation of our Co-CEOs and CFO, if applicable;</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evaluate the CEO and CFO’s performance in light of these goals and objectives, and make recommendations to the Board of Directors with respect to the CEO and CFO’s compensation levels, if applicable, based on this evaluation;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20" w:hanging="312"/>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determinations with respect to the grant of equity-based awards to executive officers under Energy Transfer’s equity incentive plans;</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evaluate the terms and administration of Energy Transfer’s long-term incentive plans to assure that they are structured and administered in a manner consistent with Energy Transfer’s goals and objectives;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evaluate incentive compensation and equity-related plans and consider amendments if appropriate;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evaluate the compensation of the directors;</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terminate any compensation consultant to be used to assist in the evaluation of director, CEO and CFO or executive officer compensation;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duties as deemed appropriate by the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adopted a Code of Business Conduct and Ethics applicable to our officers, directors and employees. Specific provisions are applicable to the co-principal executive officers, principal financial officer, principal accounting officer and controller, or those persons performing similar functions, of our general partner. Amendments to, or waivers from, the Code of Business Conduct and Ethics will be available on our website and reported as may be required under SEC rules. Any technical, administrative or other non-substantive amendments to the Code of Business Conduct and Ethics may not be posted.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has adopted insider trading policies and procedures that we believe are reasonably designed to promote compliance with insider trading laws, rules, and regulations, and the listing standards of the New York Stock Exchange. Our insider trading policy is applicable to all employees, officers and directors and, among other things, (i) prohibits our employees, officers, directors and related persons and entities from trading in securities of Energy Transfer and its affiliated companies while in possession of material, non-public information, (ii) prohibits our employees, officers and directors from disclosing material, non-public information to persons outside of the Partnership, other than in the course of performance of their duties, and (iii) requires that certain individuals who are designated as “Insiders” only transact in Partnership securities during an open trading window period, subject to limited exceptions. A copy of our insider trading policy is filed as Exhibit 19.1 to this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Non-management Directors and Communications with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non-management directors meet in regularly scheduled sessions. Our non-management directors alternate as the presiding director of such meetings.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 procedure by which Unitholders or interested parties may communicate directly with the Board of Directors, any committee of the Board, any of the independent directors, or any one director serving on the Board of Directors by sending written correspondence addressed to the desired person, committee or group to the attention of Sonia Aubé at Energy Transfer LP, 8111 Westchester Drive, Suite 600, Dallas, Texas, 75225. Communications are distributed to the Board of Directors, or to any individual director or directors as appropriate, depending on the facts and circumstances outlined in the communication.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Our General Partner</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executive officers and members of the Board of Directors of our general partner as of February 14, 2025. Executive officers and directors are elected for indefinite terms.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7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Age</w:t>
            </w:r>
          </w:p>
        </w:tc>
        <w:tc>
          <w:tcPr>
            <w:tcW w:w="3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Our General Partner</w:t>
            </w: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Kelcy L. Warren</w:t>
            </w:r>
          </w:p>
        </w:tc>
        <w:tc>
          <w:tcPr>
            <w:tcW w:w="7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69</w:t>
            </w:r>
          </w:p>
        </w:tc>
        <w:tc>
          <w:tcPr>
            <w:tcW w:w="3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E. Long</w:t>
            </w:r>
          </w:p>
        </w:tc>
        <w:tc>
          <w:tcPr>
            <w:tcW w:w="7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68</w:t>
            </w:r>
          </w:p>
        </w:tc>
        <w:tc>
          <w:tcPr>
            <w:tcW w:w="3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 and Director (Co-Principal Executive Officer)</w:t>
            </w: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Marshall S. (Mackie) McCrea, III</w:t>
            </w:r>
          </w:p>
        </w:tc>
        <w:tc>
          <w:tcPr>
            <w:tcW w:w="7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65</w:t>
            </w:r>
          </w:p>
        </w:tc>
        <w:tc>
          <w:tcPr>
            <w:tcW w:w="3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Co-Chief Executive Officer and Director (Co-Principal Executive Officer)</w:t>
            </w:r>
          </w:p>
        </w:tc>
      </w:tr>
      <w:tr>
        <w:trPr>
          <w:trHeight w:val="230"/>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Dylan A. Bramhall</w:t>
            </w:r>
          </w:p>
        </w:tc>
        <w:tc>
          <w:tcPr>
            <w:tcW w:w="7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48</w:t>
            </w:r>
          </w:p>
        </w:tc>
        <w:tc>
          <w:tcPr>
            <w:tcW w:w="3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Group Chief Financial Officer (Principal Financial Officer)</w:t>
            </w: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Wright, Jr.</w:t>
            </w:r>
          </w:p>
        </w:tc>
        <w:tc>
          <w:tcPr>
            <w:tcW w:w="7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56</w:t>
            </w:r>
          </w:p>
        </w:tc>
        <w:tc>
          <w:tcPr>
            <w:tcW w:w="3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Chief Compliance Officer</w:t>
            </w:r>
          </w:p>
        </w:tc>
      </w:tr>
      <w:tr>
        <w:trPr>
          <w:trHeight w:val="230"/>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G. McIlwain</w:t>
            </w:r>
          </w:p>
        </w:tc>
        <w:tc>
          <w:tcPr>
            <w:tcW w:w="7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66</w:t>
            </w:r>
          </w:p>
        </w:tc>
        <w:tc>
          <w:tcPr>
            <w:tcW w:w="3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 Operations</w:t>
            </w: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Troy Sturrock</w:t>
            </w:r>
          </w:p>
        </w:tc>
        <w:tc>
          <w:tcPr>
            <w:tcW w:w="7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54</w:t>
            </w:r>
          </w:p>
        </w:tc>
        <w:tc>
          <w:tcPr>
            <w:tcW w:w="3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Senior Vice President and Controller (Principal Accounting Officer)</w:t>
            </w: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R. Anderson</w:t>
            </w:r>
          </w:p>
        </w:tc>
        <w:tc>
          <w:tcPr>
            <w:tcW w:w="7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75</w:t>
            </w:r>
          </w:p>
        </w:tc>
        <w:tc>
          <w:tcPr>
            <w:tcW w:w="3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Brannon</w:t>
            </w:r>
          </w:p>
        </w:tc>
        <w:tc>
          <w:tcPr>
            <w:tcW w:w="7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66</w:t>
            </w:r>
          </w:p>
        </w:tc>
        <w:tc>
          <w:tcPr>
            <w:tcW w:w="3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K. Grimm</w:t>
            </w:r>
          </w:p>
        </w:tc>
        <w:tc>
          <w:tcPr>
            <w:tcW w:w="7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70</w:t>
            </w:r>
          </w:p>
        </w:tc>
        <w:tc>
          <w:tcPr>
            <w:tcW w:w="3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 McReynolds</w:t>
            </w:r>
          </w:p>
        </w:tc>
        <w:tc>
          <w:tcPr>
            <w:tcW w:w="7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74</w:t>
            </w:r>
          </w:p>
        </w:tc>
        <w:tc>
          <w:tcPr>
            <w:tcW w:w="3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(Rick) Perry</w:t>
            </w:r>
          </w:p>
        </w:tc>
        <w:tc>
          <w:tcPr>
            <w:tcW w:w="7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74</w:t>
            </w:r>
          </w:p>
        </w:tc>
        <w:tc>
          <w:tcPr>
            <w:tcW w:w="3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S. Ramsey</w:t>
            </w:r>
          </w:p>
        </w:tc>
        <w:tc>
          <w:tcPr>
            <w:tcW w:w="7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69</w:t>
            </w:r>
          </w:p>
        </w:tc>
        <w:tc>
          <w:tcPr>
            <w:tcW w:w="3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biographical information regarding the foregoing officers and directors of our general partner:</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Kelcy L. Warren</w:t>
      </w:r>
      <w:r>
        <w:rPr>
          <w:rFonts w:ascii="Times New Roman" w:cs="Times New Roman" w:eastAsia="Times New Roman" w:hAnsi="Times New Roman"/>
          <w:sz w:val="18"/>
          <w:szCs w:val="18"/>
          <w:color w:val="auto"/>
        </w:rPr>
        <w:t>. Mr. Warren serves as Executive Chairman of our general partner. Mr. Warren served as Chief Executive Officer from August 2007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December 2020. He was appointed Co-Chairman of the Board of Directors of our general partner, effective upon the closing of our IPO, and in August 2007, he became the sole Chairman of the Board of our general partner and the Chief Executive Officer and Chairman of the Board of the general partner of ETO until its merger into Energy Transfer LP in April 2021. Prior to August 2007, Mr. Warren had served as Co-Chief Executive Officer and Co-Chairman of the Board of the general partner of ETO since the combination of the midstream and intrastate transportation storage operations of La Grange Acquisition, L.P. and the retail propane operations of Heritage in January 2004. Mr. Warren also served as the Chief Executive Officer of PennTex Midstream Partners, LP’s general partner from November 2016 to July 2017. Mr. Warren was selected to serve as a director and as Executive Chairman because he previously served as Chief Executive Officer and has more than 30 years in the natural gas industry. Mr. Warren also has relationships with chief executives and other senior management at natural gas transportation companies throughout the United States and brings a unique and valuable perspective to the Board of Directors.</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E. Long. </w:t>
      </w:r>
      <w:r>
        <w:rPr>
          <w:rFonts w:ascii="Times New Roman" w:cs="Times New Roman" w:eastAsia="Times New Roman" w:hAnsi="Times New Roman"/>
          <w:sz w:val="18"/>
          <w:szCs w:val="18"/>
          <w:color w:val="auto"/>
        </w:rPr>
        <w:t>Mr. Long has served as the Co-Chief Executive Officer of our general partner since January 2021. Mr. Long served as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Energy Transfer’s general partner from February 2016 until January 2021, and has been a director of our general partner since April 2019. Mr. Long also served as the Chief Financial Officer and as a director of PennTex Midstream Partners, LP’s general partner from November 2016 to July 2017. Mr. Long also served as Chief Financial Officer of ETO until its merger into Energy Transfer LP in April 2021, and was previously Executive Vice President and Chief Financial Officer of Regency GP LLC from November 2010 to April 2015. Mr. Long served as a director of Sunoco LP from May 2016 until May 2021, and has served on the Board of USAC since April 2018. In May 2022, Mr. Long was appointed to the board of directors of Texas Capital Bancshares, Inc (NASDAQ: TCBI). Mr. Long was appointed to the board of directors of TXSE Group Inc., the parent company of the Texas Stock Exchange, in July 2024. Mr. Long was selected to serve on our Board of Directors because of his understanding of energy-related corporate finance gained through his extensive experience in the energy industry.</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Marshall S. (Mackie) McCrea, III</w:t>
      </w:r>
      <w:r>
        <w:rPr>
          <w:rFonts w:ascii="Times New Roman" w:cs="Times New Roman" w:eastAsia="Times New Roman" w:hAnsi="Times New Roman"/>
          <w:sz w:val="18"/>
          <w:szCs w:val="18"/>
          <w:color w:val="auto"/>
        </w:rPr>
        <w:t>. Mr. McCrea has served as the Co-Chief Executive Officer of our general partner since January 2021. Prior to that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the President and Chief Commercial Officer of our general partner, having served in that role since October 2018 following the merger of Energy Transfer Equity, L.P. and Energy Transfer Partners, L.P. Prior to that time, he had been the Group Chief Operating Officer and Chief Commercial Officer of the Energy Transfer family since November 2015. Mr. McCrea has served on the Board of Directors of our general partner since December 2009. Mr. McCrea was appointed as a director of the general partner of ETO in December 2009 and served in that capacity until ETO’s merger into Energy Transfer LP in April 2021. Prior to December 2009, he served as President and Chief Operating Officer of ETO’s general partner from June 2008 to November 2015 and President – Midstream from March 2007 to June 2008. Previously he served as the Senior Vice President – Commercial Development since January 2004. In March 2005, Mr. McCrea was named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President of La Grange Acquisition LP, ETO’s primary operating subsidiary, after serving as Senior Vice President-Business Development and Producer Services since 1997. Mr. McCrea also served as the Chairman of the Board of Directors of the general partner of Sunoco Logistics Partners L.P. from October 2012 to April 2017. Mr. McCrea was selected to serve as a director because he brings extensive project development and operational experience to the Board. He has held various positions in the natural gas business over the past 25 years and is able to assist the Board of Directors in creating and executing the Partnership’s strategic plan.</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Dylan A. Bramhall. </w:t>
      </w:r>
      <w:r>
        <w:rPr>
          <w:rFonts w:ascii="Times New Roman" w:cs="Times New Roman" w:eastAsia="Times New Roman" w:hAnsi="Times New Roman"/>
          <w:sz w:val="18"/>
          <w:szCs w:val="18"/>
          <w:color w:val="auto"/>
        </w:rPr>
        <w:t>Mr. Bramhall has served as Executive Vice President and Group Chief Financial Officer of our general partner since November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currently is also Chief Financial Officer of Sunoco LP’s general partner. He has also served on the board of directors of USAC since April 2024. Mr. Bramhall joined Energy Transfer in 2015 as a result of its merger with Regency Energy Partners and is responsible for oversight of the Partnership’s Financial Planning and Analysis, Credit and Commodity Risk Management, Insurance, Cash Management, Capital Markets, Accounting, Financial Reporting and Investor Relations groups. He also serves as a member of Energy Transfer’s Risk Oversight Committee. While at Regency, Mr. Bramhall held management positions in the finance, risk, commercial and operations groups. Mr. Bramhall holds a Bachelor of Business Administration in finance and Master of Business Administration in finance and operations management, both from the University of Iowa.</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G. McIlwain. </w:t>
      </w:r>
      <w:r>
        <w:rPr>
          <w:rFonts w:ascii="Times New Roman" w:cs="Times New Roman" w:eastAsia="Times New Roman" w:hAnsi="Times New Roman"/>
          <w:sz w:val="18"/>
          <w:szCs w:val="18"/>
          <w:color w:val="auto"/>
        </w:rPr>
        <w:t>Mr. McIlwain is Executive Vice President of Operations for Energy Transfer and has more than three decades of experience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and gas industry. Mr. McIlwain has been with the Partnership since its acquisition of Transwestern Pipeline in 2006 and has held senior leadership positions in the operations group for more than 10 years, most recently as Group Senior Vice President. Prior to joining Energy Transfer, he worked for Texas Utilities Generating Company and several Enron entities. He graduated from Texas A&amp;M with a Mechanical Engineering degree.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M. Wright, Jr. </w:t>
      </w:r>
      <w:r>
        <w:rPr>
          <w:rFonts w:ascii="Times New Roman" w:cs="Times New Roman" w:eastAsia="Times New Roman" w:hAnsi="Times New Roman"/>
          <w:sz w:val="18"/>
          <w:szCs w:val="18"/>
          <w:color w:val="auto"/>
        </w:rPr>
        <w:t>Mr. Wright was appointed as Executive Vice President, General Counsel and Chief Compliance Officer of our general partner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2022. He became Executive Vice President - Legal and Chief Compliance Officer of ET’s general partner in October 2018 following the merger of Energy Transfer Equity, L.P. and Energy Transfer Partners, L.P. Mr. Wright has been a part of the Energy Transfer legal team with increasing levels of responsibility since July 2005 and has held various senior-level positions in the legal department including General Counsel of the general partner of Energy Transfer Partners, L.P. from December 2015 to October 2018 and Deputy General Counsel from May 2008 to December 2015. Since April 2024, Mr. Wright has served on the board of directors of USAC. Prior to joining Energy Transfer, Mr. Wright gained significant experience at Enterprise Products Partners, L.P., El Paso Corp., Sonat Exploration Company and KPMG Peat Marwick LLP. Mr. Wright earned a Bachelor of Business Administration degree in Accounting and Finance from Texas A&amp;M University and a JD from South Texas College of Law.</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Troy Sturrock. </w:t>
      </w:r>
      <w:r>
        <w:rPr>
          <w:rFonts w:ascii="Times New Roman" w:cs="Times New Roman" w:eastAsia="Times New Roman" w:hAnsi="Times New Roman"/>
          <w:sz w:val="18"/>
          <w:szCs w:val="18"/>
          <w:color w:val="auto"/>
        </w:rPr>
        <w:t>Mr. Sturrock has served as the Group Senior Vice President, Controller and Principal Accounting Officer of our general partner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2022. He previously served as Senior Vice President, Controller and Principal Accounting Officer, having assumed that role in October 2018 following the merger of Energy Transfer Equity, L.P. and Energy Transfer Partners, L.P. He served as the Senior Vice President, Controller and Principal Accounting Officer of the general partner of ETO from August 2016 until ETO’s merger into Energy Transfer LP in April 2021, and previously served as Vice President, Controller and Principal Accounting Officer of our general partner beginning in June 2015. Mr. Sturrock is a Certified Public Accountant.</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R. Anderson. </w:t>
      </w:r>
      <w:r>
        <w:rPr>
          <w:rFonts w:ascii="Times New Roman" w:cs="Times New Roman" w:eastAsia="Times New Roman" w:hAnsi="Times New Roman"/>
          <w:sz w:val="18"/>
          <w:szCs w:val="18"/>
          <w:color w:val="auto"/>
        </w:rPr>
        <w:t>Mr. Anderson was elected to the Board of Directors of our general partner in June 2018 and serves on the audit committee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Mr. Anderson began his career in the energy business in the early 1970’s with Conoco in the Permian Basin area. He then spent some 25 years with ANR Pipeline and its successor, The Coastal Corporation, as a natural gas supply and midstream executive. He later was Vice President of Commercial Operations with Aquila Midstream and, upon the sale of that business to Energy Transfer in 2002, he became a part of the management team there. For the six years prior to his retirement from Energy Transfer in October 2009, he served as Vice President of Mergers and Acquisitions. Since that time, he has been involved in private investments and has served on the boards of directors of the St. John Health System and Saint Simeon’s Episcopal Home in Tulsa, Oklahoma, as well as various other community and civic organizations. Mr. Anderson also served as a member of the board of directors of Sunoco Logistics Partners L.P. from October 2012 until April 2017. Mr. Anderson was selected to serve on our Board of Directors based on his experience in the midstream energy industry generally, and his knowledge of Energy Transfer’s business specifically. Mr. Anderson also brings recent experience on audit and compensation committees of another publicly traded partnership.</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D. Brannon. </w:t>
      </w:r>
      <w:r>
        <w:rPr>
          <w:rFonts w:ascii="Times New Roman" w:cs="Times New Roman" w:eastAsia="Times New Roman" w:hAnsi="Times New Roman"/>
          <w:sz w:val="18"/>
          <w:szCs w:val="18"/>
          <w:color w:val="auto"/>
        </w:rPr>
        <w:t>Mr. Brannon was appointed to the Board of Directors of our general partner in March 2016 and has served as the Chairman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since April 2016. Mr. Brannon is the CEO of CH4 Energy Six, LLC and Uinta Wax, LLC, both independent companies focused on horizontal oil and gas development. Mr. Brannon previously served on the board of directors of WildHorse Resource Development from its IPO in December 2016 until June 2018. Mr. Brannon also formerly served on the Board of Directors and as a member of the audit committee and compensation committee of Sunoco LP,</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Regency, OEC Compression and Cornerstone Natural Gas Corp. He has over 35 years of experience in the energy business, having started his career in 1981 with Texas Oil &amp; Gas. The members of our general partner selected Mr. Brannon to serve as director based on his knowledge of the energy industry and his experience as a director and audit and compensation committee member for other public companies.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K. Grimm. </w:t>
      </w:r>
      <w:r>
        <w:rPr>
          <w:rFonts w:ascii="Times New Roman" w:cs="Times New Roman" w:eastAsia="Times New Roman" w:hAnsi="Times New Roman"/>
          <w:sz w:val="18"/>
          <w:szCs w:val="18"/>
          <w:color w:val="auto"/>
        </w:rPr>
        <w:t>Mr. Grimm was appointed to the Board of Directors of our general partner in October 2018, and has served on the audit committee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since that time. Prior to that time, Mr. Grimm served as a director of ETO’s general partner beginning in December 2005, and served on the audit and compensation committee during that time. Mr. Grimm is one of the original founders of Rising Star Energy, L.L.C., a privately held upstream exploration and production company active in onshore continental United States, and served as its President and Chief Executive Officer from 1995 until 2006 when it was sold. Mr. Grimm is currently President of Rising Star Petroleum, LLC. Mr. Grimm was formerly Chairman of the Board of RSP Permian, Inc. (NYSE: RSPP) from January 2014 until June 2018. From November 2018 until it was sold in 2019, Mr. Grimm served on the Board of Directors of Anadarko Petroleum Corporation. Prior to the formation of Rising Star, Mr. Grimm was Vice President of Worldwide Exploration and Land for Placid Oil Company from 1990 to 1994. Prior to joining Placid Oil Company, Mr. Grimm was employed by Amoco Production Company for thirteen years where he held numerous positions throughout the exploration department in Houston, New Orleans and Chicago. Mr. Grimm has been an active member of the American Association of Professional Landmen, Dallas Wildcat Committee, Dallas Producers Club, and the All-American Wildcatters. He has a B.B.A. from the University of Texas at Austin. Mr. Grimm was selected to serve as a director because of his extensive experience in the energy industry and his service as a senior executive at several energy-related companies, in addition to his contacts in the industry gained through his involvement in energy-related organizations.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John W. McReynolds</w:t>
      </w:r>
      <w:r>
        <w:rPr>
          <w:rFonts w:ascii="Times New Roman" w:cs="Times New Roman" w:eastAsia="Times New Roman" w:hAnsi="Times New Roman"/>
          <w:sz w:val="18"/>
          <w:szCs w:val="18"/>
          <w:color w:val="auto"/>
        </w:rPr>
        <w:t>. Mr. McReynolds is a director of Energy Transfer LP, having served in that capacity since August 2004. Mr. McReynolds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President of Energy Transfer LP from March 2005 until October 2018, at which time he became Special Advisor to the Partnership. Mr. McReynolds also previously served as our Chief Financial Officer from August 2005 to June 2013. Prior to becoming President of Energy Transfer LP, Mr. McReynolds was a partner in the international law firm of Hunton &amp; Williams LLP for over 20 years. As a lawyer, he specialized in energy related finance, securities, partnerships, mergers and acquisitions, syndication and litigation matters, and served as an expert in numerous arbitration, litigation, and governmental proceedings, including as an expert in special projects for boards of directors of public companies. Mr. McReynolds was selected to serve in the indicated roles with Energy Transfer because of this extensive background and experience, as well as his many contacts and relationships in the industry.</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R. (Rick) Perry. </w:t>
      </w:r>
      <w:r>
        <w:rPr>
          <w:rFonts w:ascii="Times New Roman" w:cs="Times New Roman" w:eastAsia="Times New Roman" w:hAnsi="Times New Roman"/>
          <w:sz w:val="18"/>
          <w:szCs w:val="18"/>
          <w:color w:val="auto"/>
        </w:rPr>
        <w:t>Mr. Perry was appointed to the Board of Directors of our general partner in January 2020. He formerly served as U.S. Secretary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from March 2017 until December 2019. Prior to that, he served as the Governor of the State of Texas from 2000 until January 2015. Mr. Perry served as Lieutenant Governor of Texas from 1998 to 2000, and as Agriculture Commissioner from 1991 to 1998. Prior to 1991, he also served in the Texas House of Representatives. Mr. Perry previously served on the Board of Directors of ETO from February 2015 until December 2016. Mr. Perry was appointed to the board of directors of TXSE Group Inc., the parent company of the Texas Stock Exchange, in July 2024. Mr. Perry was selected to serve as a director because of his vast experience as an executive in the highest office of state government. In addition, Mr. Perry has been involved in finance and budget planning processes throughout his career in government as a member of the Texas House Appropriations Committee, the Legislative Budget Board and as Governor.</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Matthew S. Ramsey</w:t>
      </w:r>
      <w:r>
        <w:rPr>
          <w:rFonts w:ascii="Times New Roman" w:cs="Times New Roman" w:eastAsia="Times New Roman" w:hAnsi="Times New Roman"/>
          <w:sz w:val="18"/>
          <w:szCs w:val="18"/>
          <w:color w:val="auto"/>
        </w:rPr>
        <w:t>. Mr. Ramsey was appointed as a director of Energy Transfer’s general partner in July 2012 and served as a director of ETO’s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from November 2015 until its merger into Energy Transfer LP in April 2021. Mr. Ramsey served as the Chief Operating Officer or our general partner from October 2018 until his retirement in April 2022, and served as President and Chief Operating Officer of ETO’s general partner from November 2015 until its merger into Energy Transfer LP in April 2021. Mr. Ramsey also served as President and Chief Operating Officer and Chairman of the board of directors of PennTex Midstream Partners, LP’s general partner from November 2016 to July 2017. Mr. Ramsey also previously served as a director of Sunoco LP, having served as chairman of Sunoco LP’s board from April 2015 until March 2022, and of USAC, having served on that board from April 2018 until March 2022. Mr. Ramsey previously served as President of RPM Exploration, Ltd., a private oil and gas exploration partnership, and previously served as a director of RSP Permian, Inc. where he served on the audit and compensation committees. In addition to his work in the energy business, Mr. Ramsey formerly served on the board of directors of the National Association of Manufacturers, and he is currently a Trustee of the Southwestern Medical Foundation. He is the former Chairman of the University of Texas Chancellor’s Council. Mr. Ramsey holds a B.B.A. in Marketing from the University of Texas at Austin and a J.D. from South Texas College of Law. Mr. Ramsey was selected to serve based on vast experience in the oil and gas space and Energy Transfer believes that he provides valuable industry insight as a member of our Board of Directors.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the directors and executive officers of our general partner, as well as persons who own more than ten percent of the common units representing limited partnership interests in us, to file reports of ownership and changes of ownership on Forms 3, 4 and 5 with the SEC. The SEC regulations also require that copies of these Section 16(a) reports be furnished to us by such reporting persons. Based upon a review of copies of these reports, we believe all applicable Section 16(a) reports were timely filed in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Energy Transfer does not have officers or directors. Instead, we are managed by the board of directors of our General Partner, and the executive officers of our General Partner perform all of Energy Transfer’s management functions. As a result, the executive officers of our General Partner are Energy Transfer’s executive officers, and their compensation is administered by our General Partner. This Compensation Discussion and Analysis is, therefore, focused on the total compensation of the executive officers of our General Partner as set forth below. The persons we refer to in this discussion as our “named executive officers” are the following:</w:t>
      </w:r>
    </w:p>
    <w:p>
      <w:pPr>
        <w:spacing w:after="0" w:line="75" w:lineRule="exact"/>
        <w:rPr>
          <w:sz w:val="20"/>
          <w:szCs w:val="20"/>
          <w:color w:val="auto"/>
        </w:rPr>
      </w:pPr>
    </w:p>
    <w:p>
      <w:pPr>
        <w:ind w:left="320" w:hanging="31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Marshall S. (Mackie) McCrea, III, Co-Chief Executive Officer;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E. Long, Co-Chief Executive Officer;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Dylan A. Bramhall, Executive Vice President and Group Chief Financial Officer;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Wright, Jr., Executive Vice President, General Counsel and Chief Compliance Officer;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G. McIlwain, Executive Vice President, Operations;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Aden (Troy) Sturrock, Group Senior Vice President and Controller.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Philosophy for Compensation of Executives</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general, our General Partner’s philosophy for executive compensation is based on the premise that a significant portion of each executive’s compensation should be incentive-based or “at-risk” compensation and that executives’ total compensation levels should be highly competitive in the marketplace for executive talent and abilities. Our General Partner seeks a total compensation program for its executive officers, including the named executive officers, that provides for a slightly below the median market annual base compensation (i.e., approximately the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to 40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market) but incentive-based compensation composed of a combination of compensation vehicles to reward both short- and long-term performance that are both targeted to pay out at approximately the top-quartile of market. Our General Partner believes the incentive-based balance is achieved by (i) the payment of annual discretionary cash bonuses that consider the achievement of the Partnership’s financial performance objectives for a fiscal year set at the beginning of such fiscal year and the individual contributions of its executive officers, including the named executive officers, to the success of the Partnership and the achievement of the annual financial performance objectives and (ii) the annual grant of time-based restricted unit, phantom unit awards or cash restricted unit awards under the Partnership’s equity incentive plan(s) or the equity incentive programs of Sunoco LP, as applicable based on the allocation of executive officers awards in applicable years. Annual equity-based incentive awards, including awards to the named executive officers, are intended to provide a long-term incentive and retention value to key employees, and to encourage key employees to focus their efforts on increasing the market price of the Partnership’s publicly traded units and to increase the cash distribution the Partnership and/or the other affiliated partnerships pay to their respective unitholders.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2020, the Partnership has granted a combination of restricted unit and/or phantom unit awards (“RSUs”) and cash restricted units (“CRSUs”). The awards are generally split based on 75% RSUs and 25% CRSUs. The RSUs vest, based generally upon continued employment, at a rate of 60% after the third year of service and the remaining 40% after the fifth year of service and the CRSUs vest, based generally upon continued employment, at a rate of 1/3 annually over a three-year period. The Partnership believes that these equity-based incentive arrangements are important in attracting and retaining executive officers and key employees as well as motivating these individuals to achieve stated business objectives. The equity-based compensation reflects the importance our General Partner places on aligning the interests of its named executive officers with those of Unitholders. While the Partnership utilizes time-based forms of equity awards, the grant date valuation utilizes a modified total unitholder return (“TUR”) performance as measured against the average return of Energy Transfer’s identified peer group over defined time periods. The modified TUR is designed to create a recognition of a performance adjustment to the equity awards based on the prior periods measured to add an element of performance impact in setting grant date value even though the RSUs and CRSUs themselves are a time-vested vehicle.</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below, our compensation committee and/or the compensation committee of the general partner of Sunoco LP, as applicable, all in consultation with our General Partner, are responsible for the compensation policies and compensation level of our executive officers, including the named executive officers of our General Partner. In this discussion, we refer to our compensation committee as the “Energy Transfer Compensation Committee.”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detailed description of the compensation to the Partnership’s named executive officers, please see “– Compensation Tables” below.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Our General Partner</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General Partner is majority-owned by Mr. Kelcy Warren. We pay quarterly distributions to our General Partner in accordance with our Partnership Agreement with respect to its ownership of its general partner interest as specified in our Partnership Agreement. The cash distributions we make to our General Partner bear no relationship to the level or components of compensation of our General Partner’s executive officers. Distributions to our General Partner are described in detail in Note 8 to our consolidated financial statements included in “Item 8. Financial Statements and Supplementary Data.” Our named executive officers also own directly and indirectly certain of our limited partner interests and, accordingly, receive quarterly distributions. Such per-unit distributions equal the per-unit distributions made to all our limited partners and bear no relationship to the level of compensation of the named executive officers or the services they perform as employees.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detailed description of the compensation of our named executive officers, please see “– Compensation Tables”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programs are structured to achieve the following:</w:t>
      </w:r>
    </w:p>
    <w:p>
      <w:pPr>
        <w:spacing w:after="0" w:line="117" w:lineRule="exact"/>
        <w:rPr>
          <w:sz w:val="20"/>
          <w:szCs w:val="20"/>
          <w:color w:val="auto"/>
        </w:rPr>
      </w:pPr>
    </w:p>
    <w:p>
      <w:pPr>
        <w:ind w:left="340" w:hanging="332"/>
        <w:spacing w:after="0" w:line="282" w:lineRule="auto"/>
        <w:tabs>
          <w:tab w:leader="none" w:pos="33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executives with an industry-competitive total compensation package of base salaries and significant incentive opportunities yielding a total compensation package approaching the top-quartile of the market;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reward talented executive officers and key management employees by providing total compensation competitive with that of other executive officers and key management employees employed by publicly traded limited partnerships or other peer companies of similar size and in similar lines of business;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executive officers and key employees to achieve strong financial and operational performance;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performance-based, or “at-risk,” compensation;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individual performance.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the compensation granted to our named executive officers consisted of the following components:</w:t>
      </w:r>
    </w:p>
    <w:p>
      <w:pPr>
        <w:spacing w:after="0" w:line="117" w:lineRule="exact"/>
        <w:rPr>
          <w:sz w:val="20"/>
          <w:szCs w:val="20"/>
          <w:color w:val="auto"/>
        </w:rPr>
      </w:pPr>
    </w:p>
    <w:p>
      <w:pPr>
        <w:ind w:left="320" w:hanging="312"/>
        <w:spacing w:after="0"/>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 consisting solely of discretionary cash bonuses based on stated performance objectives;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time-vested RSUs and CRSUs under the equity incentive plan(s);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distribution equivalent rights (“DERs”) on unvested RSUs under our equity incentive plan(s);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plan employer matching contributions.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Methodology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Energy Transfer Compensation Committee considers relevant data available to it to assess our competitive position with respect to base salary, annual short-term incentives and long-term incentive compensation for our executives, including the named executive officers. The Energy Transfer Compensation Committee also considers individual performance, levels of responsibility, skills and experience.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Periodically, the Energy Transfer Compensation Committee engages a third-party independent compensation consultant to provide a full market competitive compensation analysis for compensation levels at peer companies in order to assist in the determination of compensation levels for our executive officers, including the named executive officers. Most recently, in 2023 Meridian Compensation Partners, LLC (“Meridian”) completed an evaluation of the market competitiveness of total compensation levels of a number of officers of the Partnership, including the named executive officers. The Meridian review provided market information with respect to compensation of Partnership executives, including named executive officers during the year ended December 31, 2023. In particular, the review by Meridian was designed to (i) evaluate the market competitiveness of total compensation levels for certain members of senior management, including our named executive officers; (ii) assist in the determination of appropriate compensation levels for our senior management, including the named executive officers; and (iii) confirm that our compensation programs were yielding compensation packages consistent with our overall compensation philosophy. The Partnership continued to rely on the Meridian analysis for calendar year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conducting its review, Meridian assisted in the development of the final “peer group” of leading companies in the energy industry that most closely reflect the profile of Energy Transfer. The final “peer group” consisted of the core group of peers (i.e. the eight most similar peers in terms of business, revenues, assets and market value as well as competition for talent at the senior management level) and a group of expanded reference companies composed of a broader group of oil and gas companies, including additional integrated, upstream and midstream comparators whose data provided additional market context. As part of the evaluation conducted by Meridian, a determination was made to focus the analysis largely on the core energy industry peers. This decision was based on a determination that the core peer group provided a more than sufficient amount of comparative data to consider and evaluate total compensation. This focus allowed Meridian to report on this specific core peer data comparing the levels of annual base salary, annual short-term cash bonus and long-term equity incentive awards at industry peer group companies with those of our executives, including the named executive officers to ensure that compensation of the executives, including the named executive officers is both consistent with the compensation philosophy and competitive with the compensation for named executive officers of these other companies, while at the same time considering whether the context provided by the expanded group offered additional information that should be considered by the Compensation Committee. The core identified companies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Energy Peer Group:</w:t>
            </w:r>
          </w:p>
        </w:tc>
        <w:tc>
          <w:tcPr>
            <w:tcW w:w="7080" w:type="dxa"/>
            <w:vAlign w:val="bottom"/>
          </w:tcPr>
          <w:p>
            <w:pPr>
              <w:spacing w:after="0"/>
              <w:rPr>
                <w:sz w:val="20"/>
                <w:szCs w:val="20"/>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Conoco Phillips</w:t>
            </w:r>
          </w:p>
        </w:tc>
        <w:tc>
          <w:tcPr>
            <w:tcW w:w="70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 Marathon Petroleum Corporation</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Enterprise Products Partners, L.P.</w:t>
            </w:r>
          </w:p>
        </w:tc>
        <w:tc>
          <w:tcPr>
            <w:tcW w:w="70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 Kinder Morgan, Inc.</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Plains All American Pipeline, L.P.</w:t>
            </w:r>
          </w:p>
        </w:tc>
        <w:tc>
          <w:tcPr>
            <w:tcW w:w="70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 The Williams Companies, Inc.</w:t>
            </w: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Valero Energy Corporation</w:t>
            </w:r>
          </w:p>
        </w:tc>
        <w:tc>
          <w:tcPr>
            <w:tcW w:w="70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 Phillips 66</w:t>
            </w:r>
          </w:p>
        </w:tc>
      </w:tr>
    </w:tbl>
    <w:p>
      <w:pPr>
        <w:spacing w:after="0" w:line="2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analysis provided by Meridian covered all major components of total compensation, including annual base salary, annual short-term cash bonus and long-term incentive awards for the senior executives. In preparing the review materials, Meridian utilized generally accepted compensation principles and gathered data from public disclosures of peer companies, including Form 10-K and proxy data and published survey data from multiple sources that are relevant to Energy Transfer’s core peer group, industry, financial size and operational breadth. The Meridian review process also included significant engagement with management to fully understand job scope, responsibilities and roles of each of the executive officers, which discussions allow Meridian the ability to completely evaluate specific aspects of an executive officer’s position to allow for more accurate comparisons.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Meridian’s 2023 review, the Energy Transfer Compensation Committee reviewed the information provided, including Meridian’s specific summary observations and recommended considerations for all compensation going forward. The observations addressed overall competitive market trends, peer company approaches to compensation and short and long-term incentive plan design, the Energy Transfer Compensation Committee considered and reviewed the results of the study performed by Meridian to determine if the results indicated that the compensation programs were yielding a competitive total compensation model prioritizing incentive-based compensation and rewarding achievement of short and long-term performance objectives and considered Meridian’s conclusions and recommendations. While Meridian found that the Partnership is continuing to achieve its stated objectives with respect to the “at-risk” approach, Meridian also recommended certain adjustments for consideration, which considerations were designed to allow the Partnership to continue to achieve its targeted percentiles on base compensation and incentive compensation (short and long-term). In respect of the 2023 Meridian review, the Energy Transfer Compensation Committee, in consultation with Meridian and executive management, approved the adoption of the Amended and Restated Energy Transfer LP Annual Bonus Plan (the “Amended Bonus Plan”) effective as January 1, 2023.</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information received as part of Meridian’s review, the Energy Transfer Compensation Committee also utilizes information obtained from other sources in its determination of compensation levels for our named executive officers, such as annual third-party surveys, although third-party survey data is not used by the Energy Transfer Compensation Committee to benchmark the amount of total compensation or any specific element of compensation for the named executive officers.</w:t>
      </w:r>
    </w:p>
    <w:p>
      <w:pPr>
        <w:spacing w:after="0" w:line="1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Base salary is designed to provide for a competitive fixed level of pay that attracts and retains executive officers and compensates them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level of responsibility and sustained individual performance (including experience, scope of responsibility and results achieved). The salaries of the named executive officers are reviewed on an annual basis. As discussed above, the base salaries of our named executive officers are targeted to yield an annual base salary slightly below the median level of market (i.e., approximately the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to 40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market) and are determined by the Energy Transfer Compensation Committee after taking into account the recommendations of Mr. Warren and market information.</w:t>
      </w:r>
    </w:p>
    <w:p>
      <w:pPr>
        <w:spacing w:after="0" w:line="1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merit review process, the Energy Transfer Compensation Committee considers the recommendations of Mr. Warren, any relevant compensation study data (with the data aged as appropriate) and the merit increase pool set for all employees of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Partnership and/or its employing affiliates. During 2024, the Energy Transfer Compensation Committee approved a 4% increase to the base salary of Mr. McCrea to $1,524,500 from the prior level of $1,465,788; a 4% increase to the base salary of Mr. Long to $1,524,500 from the previous level of $1,465,788; an approximately 5% increase to the base salary of Mr. Bramhall to $644,500 from the previous level of $613,813; an approximately 4% increase to the base salary of Mr. Wright to $600,000 from the previous level of $576,125; an approximately 4% increase to the base salary of Mr. McIlwain to $463,000 from the previous level of $445,188; and an approximately 4% increase to the base salary of Mr. Sturrock to $381,300 from the previous level of $366,600.</w:t>
      </w:r>
    </w:p>
    <w:p>
      <w:pPr>
        <w:spacing w:after="0" w:line="13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Annual Bonus</w:t>
      </w:r>
      <w:r>
        <w:rPr>
          <w:rFonts w:ascii="Times New Roman" w:cs="Times New Roman" w:eastAsia="Times New Roman" w:hAnsi="Times New Roman"/>
          <w:sz w:val="18"/>
          <w:szCs w:val="18"/>
          <w:color w:val="auto"/>
        </w:rPr>
        <w:t>. In addition to base salary, the Energy Transfer Compensation Committee makes determinations whether to make discretionary annual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 awards to executives, including our named executive officers, following the end of the year under the Amended Bonus Plan.</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Bonus Plan is a discretionary annual cash bonus plan available to all employees, including the named executive officers. The purpose of the Amended Bonus Plan is to reward employees for contributions towards the Partnership’s business goals and to aid in motivating employees. The Amended Bonus Plan is administered by the Energy Transfer Compensation Committee and the Energy Transfer Compensation Committee has the authority to establish and interpret the rules and regulations relating to the Amended Bonus Plan, to select participants, to determine and approve the size of any actual award amount, to make all determinations, including factual determinations and to take all other actions necessary or appropriate for the proper administration of the Amended Bonus Plan.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Amended Bonus Plan, the Energy Transfer Compensation Committee will evaluate and determine an overall funded cash bonus pool based on achievement of (i) an Adjusted EBITDA Target, (ii) a DCF Target and (iii) a Departmental Budget Target. Under the Amended Bonus Plan, the Budget Targets were weighted 60% on the achievement of the Adjusted EBITDA Target, 25% on the achievement of the DCF Target and 15% on the achievement of the Departmental Budget Target. The total amount of cash to be allocated to the funded bonus pool will range from 0% to 135% for each of the budgeted DCF Target and Adjusted EBITDA Target and will range from 0% to 100% of the Departmental Budget Target. The maximum funding of the bonus pool under the Amended Bonus Plan is 130% of the total pool target.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funded bonus pool will reflect an aggregation of performance under each target, in the event performance under the Adjusted EBITDA Target is below 80% of its target, no bonus pool will be funded. If the bonus pool is funded, a participant may earn a cash award for the Performance Period based upon the level of attainment of the Budget Targets and his or her individual performance. Awards under both the Amended Bonus Plan are paid in cash as soon as practicable after the end of the Performance Period but in no event later than two and one-half months after the end of the Performance Period.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achievement of the Budget Targets sets a bonus pool under the Amended Bonus Plan, actual bonus awards are discretionary. These discretionary bonuses, if awarded, are intended to reward our named executive officers for the achievement of the Budget Targets during the Performance Period in light of the contribution of each individual to our profitability and success during such year. The Energy Transfer Compensation Committee also considers the recommendation of Mr. Warren in determining the specific annual cash bonus amounts for the Co-Chief Executive Officers. The Energy Transfer Compensation Committee does not establish its own financial performance objectives in advance for purposes of determining whether to approve any annual bonuses, and it does not utilize any formulaic approach to determine annual bonuses.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Messrs. McCrea and Long, their 2024 bonus pool targets were 160% of their respective annual base earnings, consistent with their previous 2023 targets. For 2024, the Energy Transfer Compensation Committee approved short-term annual cash bonus pool targets for Messrs. Bramhall, Wright and McIlwain of 130% of their respective annual base earnings, consistent with their previous 2023 targets. Mr. Sturrock’s target for 2024 is 105% of his annual base earnings, consistent with his previous 2023 targets.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2025, the Energy Transfer Compensation Committee certified 2024 performance results under the Amended Bonus Plan and authorized payment of 103% of the targeted pool. This bonus payout reflected the achievement of 100.1% of the Adjusted EBITDA Target, 102.6% of the DCF Target and 94% of, or $56 million under, the Department Budget Target.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approved results, the Energy Transfer Compensation Committee approved a cash bonus relating to the 2024 calendar year to Messrs. McCrea, Long, Bramhall, Wright, McIlwain and Sturrock in the amounts of $2,465,000, $2,465,000, $845,000, $790,000, $608,000 and $405,000, respectively.</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Awards. </w:t>
      </w:r>
      <w:r>
        <w:rPr>
          <w:rFonts w:ascii="Times New Roman" w:cs="Times New Roman" w:eastAsia="Times New Roman" w:hAnsi="Times New Roman"/>
          <w:sz w:val="18"/>
          <w:szCs w:val="18"/>
          <w:color w:val="auto"/>
        </w:rPr>
        <w:t>Energy Transfer maintains and operates (i) the Second Amended and Restated Energy Transfer LP 2008 Long-Term Incentive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“2008 Incentive Plan”); (ii) the Energy Transfer LP 2011 Long-Term Incentive Plan (the “2011 Incentive Plan”); the (iii) Energy Transfer LP 2015 Long-Term Incentive Plan (the “2015 Plan”); (iv) the Amended and Restated Energy Transfer LP Long-Term Incentive Plan (the “Energy Transfer Plan,” together with the 2008 Incentive Plan, the 2011 Incentive Plan and the 2015 Plan, the “Energy Transfer Incentive Plans”). The Energy Transfer Incentive Plans authorize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Energy Transfer Compensation Committee, in its discretion, to grant awards, as applicable, under each respective plan of RSUs upon such terms and conditions as it may determine appropriate and in accordance with general guidelines as defined by the Energy Transfer Incentive Plans. Energy Transfer has generally used time-vested restricted units and/or phantom units as the vehicle for its annual equity awards to eligible employees, including the named executive officers.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2020, Energy Transfer adopted the Energy Transfer LP Long-Term Cash Restricted Unit Plan (the “CRU Plan”). The CRU Plan authorizes the Energy Transfer Compensation Committee, in its discretion, to grant awards, as applicable, of CRSUs, upon such terms and conditions as it may determine appropriate and in accordance with general guidelines as defined by the CRU Plan. Like awards from the Energy Transfer Incentive Plans, awards from the CRU Plan will be used to incentivize and reward eligible employees over a long-term basis, and the CRU Plan is included for purposes of these discussions as an “Energy Transfer Incentive Plan.”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2024, the Energy Transfer Compensation Committee established long-term incentive targets for Messrs. McCrea and Long of 900% of their annual base earnings, consistent with their previous targets. For 2024, the Energy Transfer Compensation Committee approved long-term incentive targets for Messrs. Bramhall, Wright, McIlwain and Sturrock of 500%, 500%, 500% and 250%, respectively, of their respective annual base earnings, consistent with their previous targets.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annual long-term incentive targets are used as the basis to determine the target number of units to be awarded to the eligible participant, including the named executive officers. A multiple of base salary is used to set the pool target, that number is then divided by a weighted average price determined by considering Energy Transfer’s modified total unitholder return (“TUR”) performance as measured against the average return of Energy Transfer’s identified peer group over defined time periods. The modified TUR is designed to create a recognition of a performance adjustment to the equity awards based on the prior periods measured to add an element of performance impact in setting grant date value even though the RSUs and CRSUs themselves are time-vested vehicles. For purposes of establishing an initial price, Energy Transfer utilizes a 60 trading-day trailing weighted average price of Energy Transfer common units prior to November 1 of the respective year. This average trading price is then subject to adjustment when Energy Transfer’s TUR is more than 5% greater or less than that of its identified peer group. If the TUR analysis yields a result that is within 5% of its identified peer group, the Energy Transfer Compensation Committee will simply use the 60 trading day trailing weighted average price divided by the applicable salary multiple to establish a target pool for each eligible participant, including the named executive officers. If Energy Transfer’s TUR is outside of the 5% deviation, the 60 trading day trailing weighted average will be adjusted up or down to a maximum of 15% from the trailing weighted average price based on Energy Transfer’s performance as compared to the identified group. For 2024, the peer group included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Enterprise Products Partners, L.P.</w:t>
            </w:r>
          </w:p>
        </w:tc>
        <w:tc>
          <w:tcPr>
            <w:tcW w:w="71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Plains All American Pipeline, L.P.</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The Williams Companies, Inc.</w:t>
            </w:r>
          </w:p>
        </w:tc>
        <w:tc>
          <w:tcPr>
            <w:tcW w:w="71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 MPLX LP</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Kinder Morgan, Inc.</w:t>
            </w:r>
          </w:p>
        </w:tc>
        <w:tc>
          <w:tcPr>
            <w:tcW w:w="712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 the Partnership’s TUR performed within 5% of the identified peer group based on the average of the identified comparison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Consequently, the 2024 long-term incentive base price was not adjusted, and the total available unit pool reflected 100% of the target.</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Energy Transfer Compensation Committee in consultation with Mr. Warren approved grants of RSUs to Messrs. McCrea, Long, Bramhall, Wright, McIlwain and Sturrock of 639,000 units, 639,000 units, 153,750 units, 142,500 units, 107,775 units, and 46,688 units, respectively. The Energy Transfer Compensation Committee also approved grants of CRSUs to Messrs. McCrea, Long, Bramhall, Wright, McIlwain and Sturrock of 213,000 units, 213,000 units, 51,250 units, 47,500 units, 35,925 units and 15,562 units, respectively.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RSUs granted in 2024 provide for incremental vesting over a five-year period, with 60% vesting at the end of the third year and the remaining 40% vesting at the end of the fifth year. Vesting of the awards is generally subject to continued employment through each specified vesting date. The RSU awards entitle the recipients to receive, with respect to each Energy Transfer unit subject to such award that has not either vested or been forfeited, a DER cash payment promptly following each such distribution by Energy Transfer to its common unitholders.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CRSUs granted in 2024 provide for incremental vesting over a three-year period, with 1/3 vesting at the end of each year. Each CRSU entitles the award recipient to receive cash equal to the market value of one Energy Transfer common unit upon vesting. The CRSU do not include rights to DER cash payments.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approving the grant of such RSUs and CRSUs, including to the named executive officers, the Energy Transfer Compensation Committee considered several factors, including the long-term objective of retaining such individuals as key drivers of Energy Transfer’s future success, the existing level of equity ownership of such individuals and the previous awards to such individuals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equity awards subject to vesting. Vesting of the 2024 awards would accelerate in the event of the death or disability of the recipient, including the named executive officers, or in the event of a change in control of Energy Transfer as that term is defined under the Energy Transfer Incentive Plans.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below under “Potential Payments Upon a Termination or Change of Control,” all outstanding equity awards would automatically accelerate upon a change in control event, which means vesting automatically accelerates upon a change of control irrespective of whether the officer is terminated. In addition, the award agreements also include certain acceleration provisions upon retirement with the ability to accelerate 40% of outstanding unvested awards under the Energy Transfer Incentive Plans at age 65 and 50% at age 68. These acceleration provisions require that the participant have not less than five (5) years of employment service to the Partnership or an affiliate and are subject to the applicable provisions of IRC Section 409A, which may include a six (6) month delay in the vesting after retirement. Beginning in 2022, the retirement provision also requires that the award be held for at least one year after the grant date in order to be eligible for acceleration.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permitting the accelerated vesting of equity awards upon a change in control creates an important retention tool for us by enabling employees to realize value from these awards in the event that we undergo a change in control transaction. In addition, we believe permitting acceleration of vesting upon a change in control creates a sense of stability in the course of transactions that could create uncertainty regarding their future employment and encourage these officers to remain focused on their job responsibilities.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Executive Compensation Clawback Policy. </w:t>
      </w:r>
      <w:r>
        <w:rPr>
          <w:rFonts w:ascii="Times New Roman" w:cs="Times New Roman" w:eastAsia="Times New Roman" w:hAnsi="Times New Roman"/>
          <w:sz w:val="18"/>
          <w:szCs w:val="18"/>
          <w:color w:val="auto"/>
        </w:rPr>
        <w:t>In November 2023, the Energy Transfer Compensation Committee adopted the Energy Transfer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Incentive Compensation Clawback Policy (the “Clawback Policy”), which requires the Partnership to recover erroneously awarded incentive-based compensation from executive officers in the event the Partnership is required to prepare an accounting restatement. The Clawback Policy applies to any individual who is currently or was previously designated as an “officer” of the Partnership as defined in Rule 16a-1(f) under the Securities Exchange Act of 1934, including all of our current NEOs. The Clawback Policy is designed to comply with the requirements of the SEC and the NYSE Listed Company Manual, including (i) the definition of an accounting restatement, (ii) the applicable types of incentive-based compensation, (iii) the relevant recovery period, and (iv) the approach for calculating the recovery amount.</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Unit Ownership Guidelines. </w:t>
      </w:r>
      <w:r>
        <w:rPr>
          <w:rFonts w:ascii="Times New Roman" w:cs="Times New Roman" w:eastAsia="Times New Roman" w:hAnsi="Times New Roman"/>
          <w:sz w:val="18"/>
          <w:szCs w:val="18"/>
          <w:color w:val="auto"/>
        </w:rPr>
        <w:t>The Board of Directors of our General Partner has adopted Executive Unit Ownership Guidelines (the “Guidelines”),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minimum ownership guidelines applicable to certain executives of Energy Transfer with respect to Energy Transfer and Sunoco LP common units, as applicable. The applicable Guidelines are denominated as a multiple of base salary, and the amount of common units required to be owned increases with the level of responsibility. Under these Guidelines, (i) the Chief Executive Officer/Co-Chief Executive Officer(s) are expected to own common units having a minimum value of six times base salary; (ii) the Chief Operating Officer, the Chief Financial Officer, the General Counsel and other C-Suite executives expected to own common units having a minimum value of four times their respective base salary; and (iii) Senior Vice Presidents are expected to own common units having a minimum value of two times their respective base salary. In addition to the named executive officers, these Guidelines also apply to other covered executives, which executives are expected to own either directly or indirectly in accordance with the terms of the Guidelines, common units having minimum values ranging from one to four times their respective base salary.</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Energy Transfer Compensation Committee believes that the ownership of Energy Transfer and/or Sunoco LP common units, as reflected in these Guidelines, is an important means of tying the financial risks and rewards for its executives to Energy Transfer’s total unitholder return, aligning the interests of such executives with those of Unitholders, and promoting Energy Transfer’s interest in good corporate governance.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Covered executives are generally required to achieve their ownership level within five years of becoming subject to the Guidelines. As of December 31, 2024, all of the named executive officers were compliant with the level required of the Guidelines as of that date.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Covered executives may satisfy the Guidelines through direct ownership of Energy Transfer and/or Sunoco LP common units or indirect ownership by certain immediate family members. Direct or indirect ownership of Energy Transfer and/or Sunoco LP common units shall count on a one-to-one ratio for purposes of satisfying minimum ownership requirements; however, unvested unit awards may not be used to satisfy the minimum ownership requirements.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Executive officers, including the named executive officers, who have not yet met their respective guideline must retain and hold all common units (less common units sold to cover the executive’s applicable taxes and withholding obligation) received in connection with long-term incentive awards. Once the required ownership level is achieved, ownership of the required common units must be maintained for as long as the covered executive is subject to the Guidelines. However, those individuals who have met or exceeded their applicable ownership level guideline may dispose of the common units in a manner consistent with applicable laws, rules and regulations, including regulations of the SEC and our internal policies, but only to the extent that such individual’s remaining ownership of common units would continue to exceed the applicable ownership level.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Qualified Retirement Plan Benefits</w:t>
      </w:r>
      <w:r>
        <w:rPr>
          <w:rFonts w:ascii="Times New Roman" w:cs="Times New Roman" w:eastAsia="Times New Roman" w:hAnsi="Times New Roman"/>
          <w:sz w:val="18"/>
          <w:szCs w:val="18"/>
          <w:color w:val="auto"/>
        </w:rPr>
        <w:t>. The Energy Transfer LP 401(k) Plan (the “Energy Transfer 401(k) Plan”) is a defined contribution 401(k) plan,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covers substantially all of our employees, including the named executive officers. Employees may elect to defer up to 100% of their eligible compensation after applicable taxes, as limited under the Internal Revenue Code. We make a matching contribution that is not less than the aggregate amount of matching contributions that would be credited to a participant’s account based on a rate of match equal to 100% of each participant’s elective deferrals up to 5% of covered compensation. The amounts deferred by the participant are fully vested at all times, and the amounts contributed by the Partnership become vested based on years of service. We provide this benefit as a means to incentivize employees and provide them with an opportunity to save for their retirement.</w:t>
      </w:r>
    </w:p>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Partnership provides a 3% profit sharing contribution to employee 401(k) accounts for all employees with a base compensation below a specified threshold. The contribution is in addition to the 401(k) matching contribution and employees become vested based on years of service.</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Health and Welfare Benefits</w:t>
      </w:r>
      <w:r>
        <w:rPr>
          <w:rFonts w:ascii="Times New Roman" w:cs="Times New Roman" w:eastAsia="Times New Roman" w:hAnsi="Times New Roman"/>
          <w:sz w:val="18"/>
          <w:szCs w:val="18"/>
          <w:color w:val="auto"/>
        </w:rPr>
        <w:t>. All full-time employees, including our named executive officers may participate in the Partnership’s health and welfare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programs including medical, dental, vision, flexible spending, life insurance and disability insurance.</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Termination Benefits. </w:t>
      </w:r>
      <w:r>
        <w:rPr>
          <w:rFonts w:ascii="Times New Roman" w:cs="Times New Roman" w:eastAsia="Times New Roman" w:hAnsi="Times New Roman"/>
          <w:sz w:val="18"/>
          <w:szCs w:val="18"/>
          <w:color w:val="auto"/>
        </w:rPr>
        <w:t>Our named executive officers do not have any employment agreements that call for payments of termination or severance benefits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provide for any payments in the event of a change in control of our General Partner; however, the award agreement to the named executive officers under the Energy Transfer Incentive Plans, the 2018 Sunoco LP Plan and the Sunoco LP 2012 Long-Term Incentive Plan (the “2012 Sunoco LP Plan”) provide for immediate vesting of all unvested restricted unit awards in the event of a (i) change of control, as defined in the plan; (ii) death or (iii) disability, as defined in the applicable plan. Please refer to “Compensation Tables - Potential Payments Upon a Termination or Change of Control” for additional information.</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Partnership has also adopted the Partnership Severance Plan and Summary Plan Description (the “Severance Plan”), which provides for payment of certain severance benefits in the event of Qualifying Termination (as that term is defined in the Severance Plan). In general, the Severance Plan provides payment of two weeks of annual base salary for each year or partial year of employment service up to a maximum of fifty-two weeks or one year of annual base salary (with a minimum of four weeks of annual base salary) and up to three months of continued group health insurance coverage. The Severance Plan also provides that we may determine to pay benefits in addition to those provided under the Severance Plan based on special circumstances, which additional benefits shall be unique and non-precedent setting. The Severance Plan is available to all salaried employees on a nondiscriminatory basis; therefore, amounts that would be payable to our named executive officers upon a Qualified Termination have been excluded from “Compensation Tables – Potential Payments Upon a Termination or Change of Control” below.</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Energy Transfer LP Non-Qualified Deferred Compensation Plan </w:t>
      </w:r>
      <w:r>
        <w:rPr>
          <w:rFonts w:ascii="Times New Roman" w:cs="Times New Roman" w:eastAsia="Times New Roman" w:hAnsi="Times New Roman"/>
          <w:sz w:val="18"/>
          <w:szCs w:val="18"/>
          <w:color w:val="auto"/>
        </w:rPr>
        <w:t>(the “Energy Transfer NQDC Plan”) is a deferred compensation plan, which permits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highly compensated employees to defer a portion of their salary, bonus, and/or quarterly non-vested phantom unit distribution equivalent income until retirement, termination of employment or other designated distribution event. Energy Transfer may make annual discretionary matching contributions to participants’ accounts; however, Energy Transfer has not made any discretionary contributions to participants’ accounts (including the 2024 year) and currently has no plans to make any discretionary contributions to participants’ accounts.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Risk Assessment Related to our Compensation Structure</w:t>
      </w:r>
      <w:r>
        <w:rPr>
          <w:rFonts w:ascii="Times New Roman" w:cs="Times New Roman" w:eastAsia="Times New Roman" w:hAnsi="Times New Roman"/>
          <w:sz w:val="18"/>
          <w:szCs w:val="18"/>
          <w:color w:val="auto"/>
        </w:rPr>
        <w:t>. We believe that the compensation plans and programs for our named executive officers,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other employees, are appropriately structured and are not reasonably likely to result in material risk to us. We believe these compensation plans and programs are structured in a manner that does not promote excessive risk-taking that could harm our value or reward poor judgment. We also believe we have allocated compensation among base salary and short and long-term compensation in such a way as to not encourage excessive risk-taking. In particular, we generally do not adjust base annual salaries for executive officers and other employees significantly from year to year, and therefore the annual base salary of our employees is not generally impacted by our overall financial performance or the financial performance of a portion of our operations. Our subsidiaries generally determine whether, and to what extent, their respective named executive officers receive a cash bonus based on achievement of specified financial performance objectives as well as the individual contributions of our named executive officers to the Partnership’s success. We and our subsidiaries use restricted units and phantom units rather than unit options for equity awards because restricted units and phantom units retain value even in a depressed market so that employees are less likely to take unreasonable risks to get, or keep, options “in-the-money.” Finally, the time-based vesting over five years for our long-term incentive awards ensures that the interests of employees align with those of Unitholders and our subsidiaries’ unitholders for our long-term performance.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Practices Related to the Grant of Certain Equity Awards in Relation to the Release of Material Nonpublic Information. </w:t>
      </w:r>
      <w:r>
        <w:rPr>
          <w:rFonts w:ascii="Times New Roman" w:cs="Times New Roman" w:eastAsia="Times New Roman" w:hAnsi="Times New Roman"/>
          <w:sz w:val="18"/>
          <w:szCs w:val="18"/>
          <w:color w:val="auto"/>
        </w:rPr>
        <w:t>We do not currently grant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or option-like equity awards to our employees or directors; therefore, we do not currently have a formal practice or policy with respect to the grant of unit options or option-like awards.</w:t>
      </w:r>
    </w:p>
    <w:p>
      <w:pPr>
        <w:spacing w:after="0" w:line="117" w:lineRule="exact"/>
        <w:rPr>
          <w:sz w:val="20"/>
          <w:szCs w:val="20"/>
          <w:color w:val="auto"/>
        </w:rPr>
      </w:pPr>
    </w:p>
    <w:p>
      <w:pPr>
        <w:ind w:right="51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Tax and Accounting Implications of Equity-Based Compensation Arrangements </w:t>
      </w:r>
      <w:r>
        <w:rPr>
          <w:rFonts w:ascii="Times New Roman" w:cs="Times New Roman" w:eastAsia="Times New Roman" w:hAnsi="Times New Roman"/>
          <w:sz w:val="18"/>
          <w:szCs w:val="18"/>
          <w:i w:val="1"/>
          <w:iCs w:val="1"/>
          <w:color w:val="auto"/>
        </w:rPr>
        <w:t>Deductibility of Executive Compensation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limited partnership and not a corporation for United States federal income tax purposes. Therefore, we believe that the compensation paid to the named executive officers is not subject to the deduction limitations under Section 162(m) of the Internal Revenue Code and therefore is generally fully deductible for United States federal income tax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Non-Cash Compensation</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non-cash compensation arrangements, we record compensation expense over the vesting period of the awards, as discussed further in Note 2 and Note 9 to our consolidated financial statements included in “Item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Steven R. Anderson and Mr. Michael K. Grimm are the only members of the Energy Transfer Compensation Committee. During 2024, no member of the Energy Transfer Compensation Committee was an officer or employee of us or any of our subsidiaries or served as an officer of any company with respect to which any of our executive officers served on such company’s board of directors. Mr. Grimm is not a former employee of ours or any of our subsidiaries. Mr. Anderson was previously an employee of the Partnership until his retirement in October 2009, as discussed in his biographical information included in “Item 10. Directors, Executive Officers and Corporate Governance.”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Compensation Committee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of our General Partner has reviewed and discussed the section entitled “Compensation Discussion and Analysis” with the management of Energy Transfer. Based on this review and discussion, we have recommended that the Compensation Discussion and Analysis be included in this annual report on Form 10-K.</w:t>
      </w:r>
    </w:p>
    <w:p>
      <w:pPr>
        <w:spacing w:after="0" w:line="12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The Compensation Committee of the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Board of Directors of LE GP, LLC,</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general partner of Energy Transfer LP</w:t>
      </w:r>
    </w:p>
    <w:p>
      <w:pPr>
        <w:spacing w:after="0" w:line="15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Michael K. Grimm (Chairman)</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Steven R. Anderson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report shall not be deemed to be incorporated by reference by any general statement or reference to this annual report on Form 10-K into any filing under the Securities Act of 1933, as amended, or the Exchange Act, except to the extent that we specifically incorporate this information by reference, and shall not otherwise be deemed filed under those Acts.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248"/>
              <w:spacing w:after="0"/>
              <w:rPr>
                <w:sz w:val="20"/>
                <w:szCs w:val="20"/>
                <w:color w:val="auto"/>
              </w:rPr>
            </w:pPr>
            <w:r>
              <w:rPr>
                <w:rFonts w:ascii="Times New Roman" w:cs="Times New Roman" w:eastAsia="Times New Roman" w:hAnsi="Times New Roman"/>
                <w:sz w:val="14"/>
                <w:szCs w:val="14"/>
                <w:color w:val="auto"/>
              </w:rPr>
              <w:t>Change in</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268"/>
              <w:spacing w:after="0" w:line="145" w:lineRule="exact"/>
              <w:rPr>
                <w:sz w:val="20"/>
                <w:szCs w:val="20"/>
                <w:color w:val="auto"/>
              </w:rPr>
            </w:pPr>
            <w:r>
              <w:rPr>
                <w:rFonts w:ascii="Times New Roman" w:cs="Times New Roman" w:eastAsia="Times New Roman" w:hAnsi="Times New Roman"/>
                <w:sz w:val="14"/>
                <w:szCs w:val="14"/>
                <w:color w:val="auto"/>
              </w:rPr>
              <w:t>Pension</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Non-Equity</w:t>
            </w:r>
          </w:p>
        </w:tc>
        <w:tc>
          <w:tcPr>
            <w:tcW w:w="140" w:type="dxa"/>
            <w:vAlign w:val="bottom"/>
          </w:tcPr>
          <w:p>
            <w:pPr>
              <w:spacing w:after="0"/>
              <w:rPr>
                <w:sz w:val="12"/>
                <w:szCs w:val="12"/>
                <w:color w:val="auto"/>
              </w:rPr>
            </w:pPr>
          </w:p>
        </w:tc>
        <w:tc>
          <w:tcPr>
            <w:tcW w:w="1240" w:type="dxa"/>
            <w:vAlign w:val="bottom"/>
            <w:gridSpan w:val="3"/>
          </w:tcPr>
          <w:p>
            <w:pPr>
              <w:jc w:val="center"/>
              <w:ind w:right="248"/>
              <w:spacing w:after="0" w:line="139" w:lineRule="exact"/>
              <w:rPr>
                <w:sz w:val="20"/>
                <w:szCs w:val="20"/>
                <w:color w:val="auto"/>
              </w:rPr>
            </w:pPr>
            <w:r>
              <w:rPr>
                <w:rFonts w:ascii="Times New Roman" w:cs="Times New Roman" w:eastAsia="Times New Roman" w:hAnsi="Times New Roman"/>
                <w:sz w:val="14"/>
                <w:szCs w:val="14"/>
                <w:color w:val="auto"/>
                <w:w w:val="97"/>
              </w:rPr>
              <w:t>Value and</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Nonqualified</w:t>
            </w: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All Other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Salary</w:t>
            </w:r>
          </w:p>
        </w:tc>
        <w:tc>
          <w:tcPr>
            <w:tcW w:w="140" w:type="dxa"/>
            <w:vAlign w:val="bottom"/>
          </w:tcPr>
          <w:p>
            <w:pPr>
              <w:spacing w:after="0"/>
              <w:rPr>
                <w:sz w:val="12"/>
                <w:szCs w:val="12"/>
                <w:color w:val="auto"/>
              </w:rPr>
            </w:pPr>
          </w:p>
        </w:tc>
        <w:tc>
          <w:tcPr>
            <w:tcW w:w="96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Bonus</w:t>
            </w: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Incentive Plan</w:t>
            </w:r>
          </w:p>
        </w:tc>
        <w:tc>
          <w:tcPr>
            <w:tcW w:w="140" w:type="dxa"/>
            <w:vAlign w:val="bottom"/>
          </w:tcPr>
          <w:p>
            <w:pPr>
              <w:spacing w:after="0"/>
              <w:rPr>
                <w:sz w:val="12"/>
                <w:szCs w:val="12"/>
                <w:color w:val="auto"/>
              </w:rPr>
            </w:pPr>
          </w:p>
        </w:tc>
        <w:tc>
          <w:tcPr>
            <w:tcW w:w="1240" w:type="dxa"/>
            <w:vAlign w:val="bottom"/>
            <w:gridSpan w:val="3"/>
          </w:tcPr>
          <w:p>
            <w:pPr>
              <w:jc w:val="center"/>
              <w:ind w:right="248"/>
              <w:spacing w:after="0" w:line="145" w:lineRule="exact"/>
              <w:rPr>
                <w:sz w:val="20"/>
                <w:szCs w:val="20"/>
                <w:color w:val="auto"/>
              </w:rPr>
            </w:pPr>
            <w:r>
              <w:rPr>
                <w:rFonts w:ascii="Times New Roman" w:cs="Times New Roman" w:eastAsia="Times New Roman" w:hAnsi="Times New Roman"/>
                <w:sz w:val="14"/>
                <w:szCs w:val="14"/>
                <w:color w:val="auto"/>
              </w:rPr>
              <w:t>Deferred</w:t>
            </w: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Name and Principal Position</w:t>
            </w:r>
          </w:p>
        </w:tc>
        <w:tc>
          <w:tcPr>
            <w:tcW w:w="100" w:type="dxa"/>
            <w:vAlign w:val="bottom"/>
          </w:tcPr>
          <w:p>
            <w:pPr>
              <w:spacing w:after="0"/>
              <w:rPr>
                <w:sz w:val="12"/>
                <w:szCs w:val="12"/>
                <w:color w:val="auto"/>
              </w:rPr>
            </w:pP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Year</w:t>
            </w: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6"/>
              </w:rPr>
              <w:t xml:space="preserve">Awards </w:t>
            </w:r>
            <w:r>
              <w:rPr>
                <w:rFonts w:ascii="Times New Roman" w:cs="Times New Roman" w:eastAsia="Times New Roman" w:hAnsi="Times New Roman"/>
                <w:sz w:val="17"/>
                <w:szCs w:val="17"/>
                <w:color w:val="auto"/>
                <w:w w:val="96"/>
                <w:vertAlign w:val="superscript"/>
              </w:rPr>
              <w:t>(1)</w:t>
            </w: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Compensation</w:t>
            </w:r>
            <w:r>
              <w:rPr>
                <w:rFonts w:ascii="Times New Roman" w:cs="Times New Roman" w:eastAsia="Times New Roman" w:hAnsi="Times New Roman"/>
                <w:sz w:val="9"/>
                <w:szCs w:val="9"/>
                <w:color w:val="auto"/>
              </w:rPr>
              <w:t>(2)</w:t>
            </w:r>
          </w:p>
        </w:tc>
        <w:tc>
          <w:tcPr>
            <w:tcW w:w="140" w:type="dxa"/>
            <w:vAlign w:val="bottom"/>
          </w:tcPr>
          <w:p>
            <w:pPr>
              <w:spacing w:after="0"/>
              <w:rPr>
                <w:sz w:val="12"/>
                <w:szCs w:val="12"/>
                <w:color w:val="auto"/>
              </w:rPr>
            </w:pPr>
          </w:p>
        </w:tc>
        <w:tc>
          <w:tcPr>
            <w:tcW w:w="1240" w:type="dxa"/>
            <w:vAlign w:val="bottom"/>
            <w:gridSpan w:val="3"/>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 xml:space="preserve">Compensation </w:t>
            </w:r>
            <w:r>
              <w:rPr>
                <w:rFonts w:ascii="Times New Roman" w:cs="Times New Roman" w:eastAsia="Times New Roman" w:hAnsi="Times New Roman"/>
                <w:sz w:val="17"/>
                <w:szCs w:val="17"/>
                <w:color w:val="auto"/>
                <w:vertAlign w:val="superscript"/>
              </w:rPr>
              <w:t>(3)</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7"/>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ind w:right="248"/>
              <w:spacing w:after="0"/>
              <w:rPr>
                <w:sz w:val="20"/>
                <w:szCs w:val="20"/>
                <w:color w:val="auto"/>
              </w:rPr>
            </w:pPr>
            <w:r>
              <w:rPr>
                <w:rFonts w:ascii="Times New Roman" w:cs="Times New Roman" w:eastAsia="Times New Roman" w:hAnsi="Times New Roman"/>
                <w:sz w:val="14"/>
                <w:szCs w:val="14"/>
                <w:color w:val="auto"/>
              </w:rPr>
              <w:t>Earnings ($)</w:t>
            </w: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Thomas E. Long</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1,495,144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16,247,640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2,465,000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20,233,701</w:t>
            </w:r>
          </w:p>
        </w:tc>
        <w:tc>
          <w:tcPr>
            <w:tcW w:w="0" w:type="dxa"/>
            <w:vAlign w:val="bottom"/>
          </w:tcPr>
          <w:p>
            <w:pPr>
              <w:spacing w:after="0"/>
              <w:rPr>
                <w:sz w:val="1"/>
                <w:szCs w:val="1"/>
                <w:color w:val="auto"/>
              </w:rPr>
            </w:pPr>
          </w:p>
        </w:tc>
      </w:tr>
      <w:tr>
        <w:trPr>
          <w:trHeight w:val="207"/>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Co-Chief Executive Officer</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1,432,554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13,282,060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17,039,781</w:t>
            </w: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1,372,410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14,344,161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2,635,027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18,375,515</w:t>
            </w:r>
          </w:p>
        </w:tc>
        <w:tc>
          <w:tcPr>
            <w:tcW w:w="0" w:type="dxa"/>
            <w:vAlign w:val="bottom"/>
          </w:tcPr>
          <w:p>
            <w:pPr>
              <w:spacing w:after="0"/>
              <w:rPr>
                <w:sz w:val="1"/>
                <w:szCs w:val="1"/>
                <w:color w:val="auto"/>
              </w:rPr>
            </w:pPr>
          </w:p>
        </w:tc>
      </w:tr>
      <w:tr>
        <w:trPr>
          <w:trHeight w:val="193"/>
        </w:trPr>
        <w:tc>
          <w:tcPr>
            <w:tcW w:w="252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color w:val="auto"/>
              </w:rPr>
              <w:t xml:space="preserve">Marshall S. (Mackie) McCrea, III </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1,495,144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16,247,640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20,236,471</w:t>
            </w:r>
          </w:p>
        </w:tc>
        <w:tc>
          <w:tcPr>
            <w:tcW w:w="0" w:type="dxa"/>
            <w:vAlign w:val="bottom"/>
          </w:tcPr>
          <w:p>
            <w:pPr>
              <w:spacing w:after="0"/>
              <w:rPr>
                <w:sz w:val="1"/>
                <w:szCs w:val="1"/>
                <w:color w:val="auto"/>
              </w:rPr>
            </w:pPr>
          </w:p>
        </w:tc>
      </w:tr>
      <w:tr>
        <w:trPr>
          <w:trHeight w:val="202"/>
        </w:trPr>
        <w:tc>
          <w:tcPr>
            <w:tcW w:w="2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Co-Chief Executive Officer</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1,432,554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13,282,060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17,038,658</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1,372,410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14,344,161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19,974,392</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Dylan A. Bramhall</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629,156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3,909,351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5,402,017</w:t>
            </w:r>
          </w:p>
        </w:tc>
        <w:tc>
          <w:tcPr>
            <w:tcW w:w="0" w:type="dxa"/>
            <w:vAlign w:val="bottom"/>
          </w:tcPr>
          <w:p>
            <w:pPr>
              <w:spacing w:after="0"/>
              <w:rPr>
                <w:sz w:val="1"/>
                <w:szCs w:val="1"/>
                <w:color w:val="auto"/>
              </w:rPr>
            </w:pPr>
          </w:p>
        </w:tc>
      </w:tr>
      <w:tr>
        <w:trPr>
          <w:trHeight w:val="207"/>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Group Chief Financial Officer</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594,406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3,222,286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4,659,452</w:t>
            </w: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3,241,514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4,387,620</w:t>
            </w:r>
          </w:p>
        </w:tc>
        <w:tc>
          <w:tcPr>
            <w:tcW w:w="0" w:type="dxa"/>
            <w:vAlign w:val="bottom"/>
          </w:tcPr>
          <w:p>
            <w:pPr>
              <w:spacing w:after="0"/>
              <w:rPr>
                <w:sz w:val="1"/>
                <w:szCs w:val="1"/>
                <w:color w:val="auto"/>
              </w:rPr>
            </w:pPr>
          </w:p>
        </w:tc>
      </w:tr>
      <w:tr>
        <w:trPr>
          <w:trHeight w:val="188"/>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M. Wright, Jr.</w:t>
            </w:r>
          </w:p>
        </w:tc>
        <w:tc>
          <w:tcPr>
            <w:tcW w:w="10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3,623,300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5,054,366</w:t>
            </w:r>
          </w:p>
        </w:tc>
        <w:tc>
          <w:tcPr>
            <w:tcW w:w="0" w:type="dxa"/>
            <w:vAlign w:val="bottom"/>
          </w:tcPr>
          <w:p>
            <w:pPr>
              <w:spacing w:after="0"/>
              <w:rPr>
                <w:sz w:val="1"/>
                <w:szCs w:val="1"/>
                <w:color w:val="auto"/>
              </w:rPr>
            </w:pPr>
          </w:p>
        </w:tc>
      </w:tr>
      <w:tr>
        <w:trPr>
          <w:trHeight w:val="154"/>
        </w:trPr>
        <w:tc>
          <w:tcPr>
            <w:tcW w:w="252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Executive Vice President, General</w:t>
            </w:r>
          </w:p>
        </w:tc>
        <w:tc>
          <w:tcPr>
            <w:tcW w:w="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563,063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2,900,058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775,000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13,991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90,391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4,342,503</w:t>
            </w:r>
          </w:p>
        </w:tc>
        <w:tc>
          <w:tcPr>
            <w:tcW w:w="0" w:type="dxa"/>
            <w:vAlign w:val="bottom"/>
          </w:tcPr>
          <w:p>
            <w:pPr>
              <w:spacing w:after="0"/>
              <w:rPr>
                <w:sz w:val="1"/>
                <w:szCs w:val="1"/>
                <w:color w:val="auto"/>
              </w:rPr>
            </w:pPr>
          </w:p>
        </w:tc>
      </w:tr>
      <w:tr>
        <w:trPr>
          <w:trHeight w:val="94"/>
        </w:trPr>
        <w:tc>
          <w:tcPr>
            <w:tcW w:w="2520" w:type="dxa"/>
            <w:vAlign w:val="bottom"/>
            <w:vMerge w:val="restart"/>
          </w:tcPr>
          <w:p>
            <w:pPr>
              <w:ind w:left="360"/>
              <w:spacing w:after="0" w:line="145" w:lineRule="exact"/>
              <w:rPr>
                <w:sz w:val="20"/>
                <w:szCs w:val="20"/>
                <w:color w:val="auto"/>
              </w:rPr>
            </w:pPr>
            <w:r>
              <w:rPr>
                <w:rFonts w:ascii="Times New Roman" w:cs="Times New Roman" w:eastAsia="Times New Roman" w:hAnsi="Times New Roman"/>
                <w:sz w:val="14"/>
                <w:szCs w:val="14"/>
                <w:color w:val="auto"/>
              </w:rPr>
              <w:t>Counsel and Chief Compliance</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Officer</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488,808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1,963,263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762,540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3,252,281</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Gregory G. McIlwain</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2,740,359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242,998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4,058,988</w:t>
            </w:r>
          </w:p>
        </w:tc>
        <w:tc>
          <w:tcPr>
            <w:tcW w:w="0" w:type="dxa"/>
            <w:vAlign w:val="bottom"/>
          </w:tcPr>
          <w:p>
            <w:pPr>
              <w:spacing w:after="0"/>
              <w:rPr>
                <w:sz w:val="1"/>
                <w:szCs w:val="1"/>
                <w:color w:val="auto"/>
              </w:rPr>
            </w:pPr>
          </w:p>
        </w:tc>
      </w:tr>
      <w:tr>
        <w:trPr>
          <w:trHeight w:val="207"/>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Executive Vice President — Operations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2,340,800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201,594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3,554,574</w:t>
            </w: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2,524,275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(223,796)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3,343,577</w:t>
            </w:r>
          </w:p>
        </w:tc>
        <w:tc>
          <w:tcPr>
            <w:tcW w:w="0" w:type="dxa"/>
            <w:vAlign w:val="bottom"/>
          </w:tcPr>
          <w:p>
            <w:pPr>
              <w:spacing w:after="0"/>
              <w:rPr>
                <w:sz w:val="1"/>
                <w:szCs w:val="1"/>
                <w:color w:val="auto"/>
              </w:rPr>
            </w:pPr>
          </w:p>
        </w:tc>
      </w:tr>
      <w:tr>
        <w:trPr>
          <w:trHeight w:val="188"/>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Aden (Troy) Sturrock</w:t>
            </w:r>
          </w:p>
        </w:tc>
        <w:tc>
          <w:tcPr>
            <w:tcW w:w="10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373,950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1,187,107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1,986,717</w:t>
            </w:r>
          </w:p>
        </w:tc>
        <w:tc>
          <w:tcPr>
            <w:tcW w:w="0" w:type="dxa"/>
            <w:vAlign w:val="bottom"/>
          </w:tcPr>
          <w:p>
            <w:pPr>
              <w:spacing w:after="0"/>
              <w:rPr>
                <w:sz w:val="1"/>
                <w:szCs w:val="1"/>
                <w:color w:val="auto"/>
              </w:rPr>
            </w:pPr>
          </w:p>
        </w:tc>
      </w:tr>
      <w:tr>
        <w:trPr>
          <w:trHeight w:val="154"/>
        </w:trPr>
        <w:tc>
          <w:tcPr>
            <w:tcW w:w="252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Group Senior Vice President and</w:t>
            </w:r>
          </w:p>
        </w:tc>
        <w:tc>
          <w:tcPr>
            <w:tcW w:w="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358,300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957,600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19,846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1,711,746</w:t>
            </w:r>
          </w:p>
        </w:tc>
        <w:tc>
          <w:tcPr>
            <w:tcW w:w="0" w:type="dxa"/>
            <w:vAlign w:val="bottom"/>
          </w:tcPr>
          <w:p>
            <w:pPr>
              <w:spacing w:after="0"/>
              <w:rPr>
                <w:sz w:val="1"/>
                <w:szCs w:val="1"/>
                <w:color w:val="auto"/>
              </w:rPr>
            </w:pPr>
          </w:p>
        </w:tc>
      </w:tr>
      <w:tr>
        <w:trPr>
          <w:trHeight w:val="94"/>
        </w:trPr>
        <w:tc>
          <w:tcPr>
            <w:tcW w:w="25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Controller</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520" w:type="dxa"/>
            <w:vAlign w:val="bottom"/>
            <w:vMerge w:val="continue"/>
          </w:tcPr>
          <w:p>
            <w:pPr>
              <w:spacing w:after="0"/>
              <w:rPr>
                <w:sz w:val="8"/>
                <w:szCs w:val="8"/>
                <w:color w:val="auto"/>
              </w:rPr>
            </w:pPr>
          </w:p>
        </w:tc>
        <w:tc>
          <w:tcPr>
            <w:tcW w:w="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326,815</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1,029,600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405,000</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18,465</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1,779,880</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40" w:hanging="332"/>
        <w:spacing w:after="0" w:line="243" w:lineRule="auto"/>
        <w:tabs>
          <w:tab w:leader="none" w:pos="328" w:val="left"/>
        </w:tabs>
        <w:numPr>
          <w:ilvl w:val="0"/>
          <w:numId w:val="10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Equity award amounts reflect the aggregate grant date fair value of unit awards granted for the periods presented, computed in accordance with FASB ASC Topic 718, disregarding any estimates for forfeitures. For Mr. Bramhall, the amount reflected above for equity awards in 2022 includes $621,960 related to equity awards of our subsidiary, Sunoco LP; such awards were not granted in the other periods presented. See Note 9 to our consolidated financial statements included in “Item 8. Financial Statements and Supplementary Data” for additional assumptions underlying the value of the equity awards. Although the CRSU awards may only be settled in cash, they are based upon the value of Energy Transfer common units and are accounted for as equity awards within these compensation tables.</w:t>
      </w:r>
    </w:p>
    <w:p>
      <w:pPr>
        <w:spacing w:after="0" w:line="88"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0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Energy Transfer maintains the Amended Bonus Plan which provides for discretionary bonuses. Awards of discretionary bonuses are tied to achievement of targeted performance objectives and described in the Compensation Discussion and Analysis.</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0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reflected for 2024 in this column include (i) matching contributions to the Energy Transfer 401(k) Plan made on behalf of the named executive officers of $17,250 each for Messrs. Long, McCrea, Bramhall, Wright and Sturrock and $5,137 for Mr. McIlwain, and (ii) health savings account contributions made on behalf of the named executive officers of $2,000 each for Messrs. Long, McCrea, Wright, McIlwain and Sturrock, and</w:t>
      </w:r>
    </w:p>
    <w:p>
      <w:pPr>
        <w:spacing w:after="0" w:line="2" w:lineRule="exact"/>
        <w:rPr>
          <w:rFonts w:ascii="Times New Roman" w:cs="Times New Roman" w:eastAsia="Times New Roman" w:hAnsi="Times New Roman"/>
          <w:sz w:val="23"/>
          <w:szCs w:val="23"/>
          <w:color w:val="auto"/>
          <w:vertAlign w:val="superscript"/>
        </w:rPr>
      </w:pPr>
    </w:p>
    <w:p>
      <w:pPr>
        <w:jc w:val="both"/>
        <w:ind w:left="340" w:hanging="8"/>
        <w:spacing w:after="0" w:line="270" w:lineRule="auto"/>
        <w:tabs>
          <w:tab w:leader="none" w:pos="672"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value of life insurance premiums paid for the benefit of the named executive officers. The amounts reflected for all periods exclude distribution payments in connection with distribution equivalent rights on unvested unit awards, because the dollar value of such distributions are factored into the grant date fair value reported in the “Equity Awards” column of the Summary Compensation Table at the time that the unit awards and distribution equivalent rights were originally granted. For 2024, distribution payments in connection with distribution equivalent rights totaled $4,162,472 for Mr. Long, $4,501,469 for Mr. McCrea, $761,753 for Mr. Bramhall, $649,729 for Mr. Wright, $531,702 for Mr. McIlwain, and $270,778 for Mr. Sturrock; these amounts include distribution payments on Sunoco LP unit awards for those executives with such unvested Sunoco LP awards.</w:t>
      </w:r>
    </w:p>
    <w:p>
      <w:pPr>
        <w:spacing w:after="0" w:line="66" w:lineRule="exact"/>
        <w:rPr>
          <w:rFonts w:ascii="Times New Roman" w:cs="Times New Roman" w:eastAsia="Times New Roman" w:hAnsi="Times New Roman"/>
          <w:sz w:val="17"/>
          <w:szCs w:val="17"/>
          <w:color w:val="auto"/>
        </w:rPr>
      </w:pPr>
    </w:p>
    <w:p>
      <w:pPr>
        <w:ind w:left="340" w:hanging="332"/>
        <w:spacing w:after="0" w:line="229" w:lineRule="auto"/>
        <w:tabs>
          <w:tab w:leader="none" w:pos="328" w:val="left"/>
        </w:tabs>
        <w:numPr>
          <w:ilvl w:val="0"/>
          <w:numId w:val="10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reflected in the bonus column for Mr. McCrea in 2022 includes $1,600,000 paid in connection with a time-vested cash award granted in 2020, no additional amounts remain outstanding under that award.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 in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 Unit Awards: Number</w:t>
            </w:r>
          </w:p>
        </w:tc>
        <w:tc>
          <w:tcPr>
            <w:tcW w:w="120" w:type="dxa"/>
            <w:vAlign w:val="bottom"/>
          </w:tcPr>
          <w:p>
            <w:pPr>
              <w:spacing w:after="0"/>
              <w:rPr>
                <w:sz w:val="13"/>
                <w:szCs w:val="13"/>
                <w:color w:val="auto"/>
              </w:rPr>
            </w:pPr>
          </w:p>
        </w:tc>
        <w:tc>
          <w:tcPr>
            <w:tcW w:w="20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Grant Date Fair Value of Unit</w:t>
            </w:r>
          </w:p>
        </w:tc>
        <w:tc>
          <w:tcPr>
            <w:tcW w:w="0" w:type="dxa"/>
            <w:vAlign w:val="bottom"/>
          </w:tcPr>
          <w:p>
            <w:pPr>
              <w:spacing w:after="0"/>
              <w:rPr>
                <w:sz w:val="1"/>
                <w:szCs w:val="1"/>
                <w:color w:val="auto"/>
              </w:rPr>
            </w:pPr>
          </w:p>
        </w:tc>
      </w:tr>
      <w:tr>
        <w:trPr>
          <w:trHeight w:val="14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2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right"/>
              <w:ind w:right="68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0"/>
        </w:trPr>
        <w:tc>
          <w:tcPr>
            <w:tcW w:w="45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Energy Transfer Unit Awards:</w:t>
            </w:r>
          </w:p>
        </w:tc>
        <w:tc>
          <w:tcPr>
            <w:tcW w:w="120" w:type="dxa"/>
            <w:vAlign w:val="bottom"/>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Thomas E. Long</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639,000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12,185,730</w:t>
            </w:r>
          </w:p>
        </w:tc>
        <w:tc>
          <w:tcPr>
            <w:tcW w:w="0" w:type="dxa"/>
            <w:vAlign w:val="bottom"/>
          </w:tcPr>
          <w:p>
            <w:pPr>
              <w:spacing w:after="0"/>
              <w:rPr>
                <w:sz w:val="1"/>
                <w:szCs w:val="1"/>
                <w:color w:val="auto"/>
              </w:rPr>
            </w:pPr>
          </w:p>
        </w:tc>
      </w:tr>
      <w:tr>
        <w:trPr>
          <w:trHeight w:val="19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Marshal S. (Mackie) McCrea, III</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00" w:type="dxa"/>
            <w:vAlign w:val="bottom"/>
          </w:tcPr>
          <w:p>
            <w:pPr>
              <w:spacing w:after="0"/>
              <w:rPr>
                <w:sz w:val="16"/>
                <w:szCs w:val="16"/>
                <w:color w:val="auto"/>
              </w:rPr>
            </w:pPr>
          </w:p>
        </w:tc>
        <w:tc>
          <w:tcPr>
            <w:tcW w:w="2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639,000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12,185,730</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2,932,013</w:t>
            </w:r>
          </w:p>
        </w:tc>
        <w:tc>
          <w:tcPr>
            <w:tcW w:w="0" w:type="dxa"/>
            <w:vAlign w:val="bottom"/>
          </w:tcPr>
          <w:p>
            <w:pPr>
              <w:spacing w:after="0"/>
              <w:rPr>
                <w:sz w:val="1"/>
                <w:szCs w:val="1"/>
                <w:color w:val="auto"/>
              </w:rPr>
            </w:pPr>
          </w:p>
        </w:tc>
      </w:tr>
      <w:tr>
        <w:trPr>
          <w:trHeight w:val="19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James M. Wright, Jr.</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00" w:type="dxa"/>
            <w:vAlign w:val="bottom"/>
          </w:tcPr>
          <w:p>
            <w:pPr>
              <w:spacing w:after="0"/>
              <w:rPr>
                <w:sz w:val="16"/>
                <w:szCs w:val="16"/>
                <w:color w:val="auto"/>
              </w:rPr>
            </w:pPr>
          </w:p>
        </w:tc>
        <w:tc>
          <w:tcPr>
            <w:tcW w:w="2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2,717,475</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Gregory G. McIlwain</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107,775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2,055,269</w:t>
            </w:r>
          </w:p>
        </w:tc>
        <w:tc>
          <w:tcPr>
            <w:tcW w:w="0" w:type="dxa"/>
            <w:vAlign w:val="bottom"/>
          </w:tcPr>
          <w:p>
            <w:pPr>
              <w:spacing w:after="0"/>
              <w:rPr>
                <w:sz w:val="1"/>
                <w:szCs w:val="1"/>
                <w:color w:val="auto"/>
              </w:rPr>
            </w:pPr>
          </w:p>
        </w:tc>
      </w:tr>
      <w:tr>
        <w:trPr>
          <w:trHeight w:val="19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Aden (Troy) Sturrock</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00" w:type="dxa"/>
            <w:vAlign w:val="bottom"/>
          </w:tcPr>
          <w:p>
            <w:pPr>
              <w:spacing w:after="0"/>
              <w:rPr>
                <w:sz w:val="16"/>
                <w:szCs w:val="16"/>
                <w:color w:val="auto"/>
              </w:rPr>
            </w:pPr>
          </w:p>
        </w:tc>
        <w:tc>
          <w:tcPr>
            <w:tcW w:w="2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46,688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890,340</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Energy Transfer Cash Restricted Unit Awards: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Thomas E. Long</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00" w:type="dxa"/>
            <w:vAlign w:val="bottom"/>
          </w:tcPr>
          <w:p>
            <w:pPr>
              <w:spacing w:after="0"/>
              <w:rPr>
                <w:sz w:val="16"/>
                <w:szCs w:val="16"/>
                <w:color w:val="auto"/>
              </w:rPr>
            </w:pPr>
          </w:p>
        </w:tc>
        <w:tc>
          <w:tcPr>
            <w:tcW w:w="2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4,061,910</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Marshal S. (Mackie) McCrea, III</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4,061,910</w:t>
            </w:r>
          </w:p>
        </w:tc>
        <w:tc>
          <w:tcPr>
            <w:tcW w:w="0" w:type="dxa"/>
            <w:vAlign w:val="bottom"/>
          </w:tcPr>
          <w:p>
            <w:pPr>
              <w:spacing w:after="0"/>
              <w:rPr>
                <w:sz w:val="1"/>
                <w:szCs w:val="1"/>
                <w:color w:val="auto"/>
              </w:rPr>
            </w:pPr>
          </w:p>
        </w:tc>
      </w:tr>
      <w:tr>
        <w:trPr>
          <w:trHeight w:val="19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00" w:type="dxa"/>
            <w:vAlign w:val="bottom"/>
          </w:tcPr>
          <w:p>
            <w:pPr>
              <w:spacing w:after="0"/>
              <w:rPr>
                <w:sz w:val="16"/>
                <w:szCs w:val="16"/>
                <w:color w:val="auto"/>
              </w:rPr>
            </w:pPr>
          </w:p>
        </w:tc>
        <w:tc>
          <w:tcPr>
            <w:tcW w:w="2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977,338</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James M. Wright, Jr.</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905,825</w:t>
            </w:r>
          </w:p>
        </w:tc>
        <w:tc>
          <w:tcPr>
            <w:tcW w:w="0" w:type="dxa"/>
            <w:vAlign w:val="bottom"/>
          </w:tcPr>
          <w:p>
            <w:pPr>
              <w:spacing w:after="0"/>
              <w:rPr>
                <w:sz w:val="1"/>
                <w:szCs w:val="1"/>
                <w:color w:val="auto"/>
              </w:rPr>
            </w:pPr>
          </w:p>
        </w:tc>
      </w:tr>
      <w:tr>
        <w:trPr>
          <w:trHeight w:val="19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Gregory G. McIlwain</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00" w:type="dxa"/>
            <w:vAlign w:val="bottom"/>
          </w:tcPr>
          <w:p>
            <w:pPr>
              <w:spacing w:after="0"/>
              <w:rPr>
                <w:sz w:val="16"/>
                <w:szCs w:val="16"/>
                <w:color w:val="auto"/>
              </w:rPr>
            </w:pPr>
          </w:p>
        </w:tc>
        <w:tc>
          <w:tcPr>
            <w:tcW w:w="2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35,925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685,090</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Aden (Troy) Sturrock</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296,767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35" w:lineRule="auto"/>
        <w:tabs>
          <w:tab w:leader="none" w:pos="328" w:val="left"/>
        </w:tabs>
        <w:numPr>
          <w:ilvl w:val="0"/>
          <w:numId w:val="10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computed the grant date fair value of unit awards in accordance with FASB ASC Topic 718, as further described above and in Note 9 to our consolidated financial statements included in “Item 8. Financial Statements and Supplementary Data.” For Energy Transfer CRSUs, the grant date fair value is discounted for the expected distribution yield during the vesting period, as those awards do not include distribution equivalent rights.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 and Grants of the Plan-Based Awards Table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description of material factors necessary to understand the information disclosed in the tables above with respect to salaries, bonuses, equity awards, and 401(k) plan contributions can be found in the Compensation Discussion and Analysis that precedes these tables.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2024 Fiscal Year-End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340" w:type="dxa"/>
            <w:vAlign w:val="bottom"/>
            <w:gridSpan w:val="4"/>
          </w:tcPr>
          <w:p>
            <w:pPr>
              <w:jc w:val="right"/>
              <w:ind w:right="2208"/>
              <w:spacing w:after="0"/>
              <w:rPr>
                <w:sz w:val="20"/>
                <w:szCs w:val="20"/>
                <w:color w:val="auto"/>
              </w:rPr>
            </w:pPr>
            <w:r>
              <w:rPr>
                <w:rFonts w:ascii="Times New Roman" w:cs="Times New Roman" w:eastAsia="Times New Roman" w:hAnsi="Times New Roman"/>
                <w:sz w:val="14"/>
                <w:szCs w:val="14"/>
                <w:b w:val="1"/>
                <w:bCs w:val="1"/>
                <w:color w:val="auto"/>
              </w:rPr>
              <w:t>Unit Awards</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Units That Have Not Vested</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3"/>
                <w:szCs w:val="13"/>
                <w:color w:val="auto"/>
              </w:rPr>
            </w:pPr>
          </w:p>
        </w:tc>
        <w:tc>
          <w:tcPr>
            <w:tcW w:w="2500" w:type="dxa"/>
            <w:vAlign w:val="bottom"/>
          </w:tcPr>
          <w:p>
            <w:pPr>
              <w:jc w:val="center"/>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Market or Payout Value of Units That</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260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Have Not Vested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196"/>
        </w:trPr>
        <w:tc>
          <w:tcPr>
            <w:tcW w:w="3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vMerge w:val="continue"/>
          </w:tcPr>
          <w:p>
            <w:pPr>
              <w:spacing w:after="0"/>
              <w:rPr>
                <w:sz w:val="17"/>
                <w:szCs w:val="17"/>
                <w:color w:val="auto"/>
              </w:rPr>
            </w:pPr>
          </w:p>
        </w:tc>
        <w:tc>
          <w:tcPr>
            <w:tcW w:w="2740" w:type="dxa"/>
            <w:vAlign w:val="bottom"/>
            <w:gridSpan w:val="2"/>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0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Energy Transfer Unit Awards:</w:t>
            </w:r>
          </w:p>
        </w:tc>
        <w:tc>
          <w:tcPr>
            <w:tcW w:w="100" w:type="dxa"/>
            <w:vAlign w:val="bottom"/>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Thomas E. Long</w:t>
            </w:r>
          </w:p>
        </w:tc>
        <w:tc>
          <w:tcPr>
            <w:tcW w:w="27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12/5/2024</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12,518,010</w:t>
            </w:r>
          </w:p>
        </w:tc>
        <w:tc>
          <w:tcPr>
            <w:tcW w:w="0" w:type="dxa"/>
            <w:vAlign w:val="bottom"/>
          </w:tcPr>
          <w:p>
            <w:pPr>
              <w:spacing w:after="0"/>
              <w:rPr>
                <w:sz w:val="1"/>
                <w:szCs w:val="1"/>
                <w:color w:val="auto"/>
              </w:rPr>
            </w:pPr>
          </w:p>
        </w:tc>
      </w:tr>
      <w:tr>
        <w:trPr>
          <w:trHeight w:val="193"/>
        </w:trPr>
        <w:tc>
          <w:tcPr>
            <w:tcW w:w="3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12/8/2023</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15,322,083</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958,950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18,785,831</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120" w:type="dxa"/>
            <w:vAlign w:val="bottom"/>
            <w:shd w:val="clear" w:color="auto" w:fill="CCEEFF"/>
          </w:tcPr>
          <w:p>
            <w:pPr>
              <w:spacing w:after="0"/>
              <w:rPr>
                <w:sz w:val="17"/>
                <w:szCs w:val="17"/>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448,500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8,786,115</w:t>
            </w:r>
          </w:p>
        </w:tc>
        <w:tc>
          <w:tcPr>
            <w:tcW w:w="0" w:type="dxa"/>
            <w:vAlign w:val="bottom"/>
          </w:tcPr>
          <w:p>
            <w:pPr>
              <w:spacing w:after="0"/>
              <w:rPr>
                <w:sz w:val="1"/>
                <w:szCs w:val="1"/>
                <w:color w:val="auto"/>
              </w:rPr>
            </w:pPr>
          </w:p>
        </w:tc>
      </w:tr>
      <w:tr>
        <w:trPr>
          <w:trHeight w:val="206"/>
        </w:trPr>
        <w:tc>
          <w:tcPr>
            <w:tcW w:w="3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12/30/2020</w:t>
            </w:r>
          </w:p>
        </w:tc>
        <w:tc>
          <w:tcPr>
            <w:tcW w:w="12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264,872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5,188,842</w:t>
            </w:r>
          </w:p>
        </w:tc>
        <w:tc>
          <w:tcPr>
            <w:tcW w:w="0" w:type="dxa"/>
            <w:vAlign w:val="bottom"/>
          </w:tcPr>
          <w:p>
            <w:pPr>
              <w:spacing w:after="0"/>
              <w:rPr>
                <w:sz w:val="1"/>
                <w:szCs w:val="1"/>
                <w:color w:val="auto"/>
              </w:rPr>
            </w:pPr>
          </w:p>
        </w:tc>
      </w:tr>
      <w:tr>
        <w:trPr>
          <w:trHeight w:val="188"/>
        </w:trPr>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Marshal S. (Mackie) McCrea, III</w:t>
            </w:r>
          </w:p>
        </w:tc>
        <w:tc>
          <w:tcPr>
            <w:tcW w:w="10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2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12,518,010</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27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12/8/2023</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782,138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15,322,083</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27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12/12/2022</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958,950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18,785,831</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27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12/16/2021</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448,500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8,786,115</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27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12/30/2020</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395,266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7,743,261</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700" w:type="dxa"/>
            <w:vAlign w:val="bottom"/>
            <w:gridSpan w:val="2"/>
          </w:tcPr>
          <w:p>
            <w:pPr>
              <w:spacing w:after="0"/>
              <w:rPr>
                <w:sz w:val="2"/>
                <w:szCs w:val="2"/>
                <w:color w:val="auto"/>
              </w:rPr>
            </w:pPr>
          </w:p>
        </w:tc>
        <w:tc>
          <w:tcPr>
            <w:tcW w:w="2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7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12/5/2024</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3,011,963</w:t>
            </w:r>
          </w:p>
        </w:tc>
        <w:tc>
          <w:tcPr>
            <w:tcW w:w="0" w:type="dxa"/>
            <w:vAlign w:val="bottom"/>
          </w:tcPr>
          <w:p>
            <w:pPr>
              <w:spacing w:after="0"/>
              <w:rPr>
                <w:sz w:val="1"/>
                <w:szCs w:val="1"/>
                <w:color w:val="auto"/>
              </w:rPr>
            </w:pPr>
          </w:p>
        </w:tc>
      </w:tr>
      <w:tr>
        <w:trPr>
          <w:trHeight w:val="193"/>
        </w:trPr>
        <w:tc>
          <w:tcPr>
            <w:tcW w:w="3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12/8/2023</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3,717,203</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12/12/2022</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3,430,699</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120" w:type="dxa"/>
            <w:vAlign w:val="bottom"/>
            <w:shd w:val="clear" w:color="auto" w:fill="CCEEFF"/>
          </w:tcPr>
          <w:p>
            <w:pPr>
              <w:spacing w:after="0"/>
              <w:rPr>
                <w:sz w:val="17"/>
                <w:szCs w:val="17"/>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653,522</w:t>
            </w:r>
          </w:p>
        </w:tc>
        <w:tc>
          <w:tcPr>
            <w:tcW w:w="0" w:type="dxa"/>
            <w:vAlign w:val="bottom"/>
          </w:tcPr>
          <w:p>
            <w:pPr>
              <w:spacing w:after="0"/>
              <w:rPr>
                <w:sz w:val="1"/>
                <w:szCs w:val="1"/>
                <w:color w:val="auto"/>
              </w:rPr>
            </w:pPr>
          </w:p>
        </w:tc>
      </w:tr>
      <w:tr>
        <w:trPr>
          <w:trHeight w:val="206"/>
        </w:trPr>
        <w:tc>
          <w:tcPr>
            <w:tcW w:w="3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12/30/2020</w:t>
            </w:r>
          </w:p>
        </w:tc>
        <w:tc>
          <w:tcPr>
            <w:tcW w:w="12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293,850</w:t>
            </w:r>
          </w:p>
        </w:tc>
        <w:tc>
          <w:tcPr>
            <w:tcW w:w="0" w:type="dxa"/>
            <w:vAlign w:val="bottom"/>
          </w:tcPr>
          <w:p>
            <w:pPr>
              <w:spacing w:after="0"/>
              <w:rPr>
                <w:sz w:val="1"/>
                <w:szCs w:val="1"/>
                <w:color w:val="auto"/>
              </w:rPr>
            </w:pPr>
          </w:p>
        </w:tc>
      </w:tr>
      <w:tr>
        <w:trPr>
          <w:trHeight w:val="188"/>
        </w:trPr>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James M. Wright, Jr.</w:t>
            </w:r>
          </w:p>
        </w:tc>
        <w:tc>
          <w:tcPr>
            <w:tcW w:w="10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12/5/2024</w:t>
            </w:r>
          </w:p>
        </w:tc>
        <w:tc>
          <w:tcPr>
            <w:tcW w:w="12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2,791,575</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27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12/8/2023</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170,775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3,345,482</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27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12/12/2022</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131,250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2,571,188</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27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12/16/2021</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52,778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1,033,913</w:t>
            </w:r>
          </w:p>
        </w:tc>
        <w:tc>
          <w:tcPr>
            <w:tcW w:w="0" w:type="dxa"/>
            <w:vAlign w:val="bottom"/>
          </w:tcPr>
          <w:p>
            <w:pPr>
              <w:spacing w:after="0"/>
              <w:rPr>
                <w:sz w:val="1"/>
                <w:szCs w:val="1"/>
                <w:color w:val="auto"/>
              </w:rPr>
            </w:pPr>
          </w:p>
        </w:tc>
      </w:tr>
      <w:tr>
        <w:trPr>
          <w:trHeight w:val="202"/>
        </w:trPr>
        <w:tc>
          <w:tcPr>
            <w:tcW w:w="3080" w:type="dxa"/>
            <w:vAlign w:val="bottom"/>
          </w:tcPr>
          <w:p>
            <w:pPr>
              <w:spacing w:after="0"/>
              <w:rPr>
                <w:sz w:val="17"/>
                <w:szCs w:val="17"/>
                <w:color w:val="auto"/>
              </w:rPr>
            </w:pPr>
          </w:p>
        </w:tc>
        <w:tc>
          <w:tcPr>
            <w:tcW w:w="27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12/30/2020</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39,502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773,844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Gregory G. McIlwain</w:t>
            </w:r>
          </w:p>
        </w:tc>
        <w:tc>
          <w:tcPr>
            <w:tcW w:w="270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12/5/2024</w:t>
            </w:r>
          </w:p>
        </w:tc>
        <w:tc>
          <w:tcPr>
            <w:tcW w:w="37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107,775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2,111,312</w:t>
            </w:r>
          </w:p>
        </w:tc>
      </w:tr>
      <w:tr>
        <w:trPr>
          <w:trHeight w:val="188"/>
        </w:trPr>
        <w:tc>
          <w:tcPr>
            <w:tcW w:w="3080" w:type="dxa"/>
            <w:vAlign w:val="bottom"/>
            <w:shd w:val="clear" w:color="auto" w:fill="CCEEFF"/>
          </w:tcPr>
          <w:p>
            <w:pPr>
              <w:spacing w:after="0"/>
              <w:rPr>
                <w:sz w:val="16"/>
                <w:szCs w:val="16"/>
                <w:color w:val="auto"/>
              </w:rPr>
            </w:pPr>
          </w:p>
        </w:tc>
        <w:tc>
          <w:tcPr>
            <w:tcW w:w="270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12/8/2023</w:t>
            </w:r>
          </w:p>
        </w:tc>
        <w:tc>
          <w:tcPr>
            <w:tcW w:w="37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132,000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2,585,880</w:t>
            </w:r>
          </w:p>
        </w:tc>
      </w:tr>
      <w:tr>
        <w:trPr>
          <w:trHeight w:val="193"/>
        </w:trPr>
        <w:tc>
          <w:tcPr>
            <w:tcW w:w="3080" w:type="dxa"/>
            <w:vAlign w:val="bottom"/>
            <w:shd w:val="clear" w:color="auto" w:fill="CCEEFF"/>
          </w:tcPr>
          <w:p>
            <w:pPr>
              <w:spacing w:after="0"/>
              <w:rPr>
                <w:sz w:val="16"/>
                <w:szCs w:val="16"/>
                <w:color w:val="auto"/>
              </w:rPr>
            </w:pPr>
          </w:p>
        </w:tc>
        <w:tc>
          <w:tcPr>
            <w:tcW w:w="270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12/12/2022</w:t>
            </w:r>
          </w:p>
        </w:tc>
        <w:tc>
          <w:tcPr>
            <w:tcW w:w="37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161,813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3,169,917</w:t>
            </w:r>
          </w:p>
        </w:tc>
      </w:tr>
      <w:tr>
        <w:trPr>
          <w:trHeight w:val="203"/>
        </w:trPr>
        <w:tc>
          <w:tcPr>
            <w:tcW w:w="3080" w:type="dxa"/>
            <w:vAlign w:val="bottom"/>
            <w:shd w:val="clear" w:color="auto" w:fill="CCEEFF"/>
          </w:tcPr>
          <w:p>
            <w:pPr>
              <w:spacing w:after="0"/>
              <w:rPr>
                <w:sz w:val="17"/>
                <w:szCs w:val="17"/>
                <w:color w:val="auto"/>
              </w:rPr>
            </w:pPr>
          </w:p>
        </w:tc>
        <w:tc>
          <w:tcPr>
            <w:tcW w:w="270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12/16/2021</w:t>
            </w:r>
          </w:p>
        </w:tc>
        <w:tc>
          <w:tcPr>
            <w:tcW w:w="37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33,900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664,101</w:t>
            </w:r>
          </w:p>
        </w:tc>
      </w:tr>
      <w:tr>
        <w:trPr>
          <w:trHeight w:val="206"/>
        </w:trPr>
        <w:tc>
          <w:tcPr>
            <w:tcW w:w="308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12/30/2020</w:t>
            </w:r>
          </w:p>
        </w:tc>
        <w:tc>
          <w:tcPr>
            <w:tcW w:w="3740" w:type="dxa"/>
            <w:vAlign w:val="bottom"/>
            <w:tcBorders>
              <w:bottom w:val="single" w:sz="8" w:color="CCEEFF"/>
            </w:tcBorders>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20,458</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400,772</w:t>
            </w:r>
          </w:p>
        </w:tc>
      </w:tr>
      <w:tr>
        <w:trPr>
          <w:trHeight w:val="188"/>
        </w:trPr>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Aden (Troy) Sturrock</w:t>
            </w: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12/5/2024</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46,688</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914,618</w:t>
            </w:r>
          </w:p>
        </w:tc>
      </w:tr>
      <w:tr>
        <w:trPr>
          <w:trHeight w:val="193"/>
        </w:trPr>
        <w:tc>
          <w:tcPr>
            <w:tcW w:w="3080" w:type="dxa"/>
            <w:vAlign w:val="bottom"/>
          </w:tcPr>
          <w:p>
            <w:pPr>
              <w:spacing w:after="0"/>
              <w:rPr>
                <w:sz w:val="16"/>
                <w:szCs w:val="16"/>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12/8/2023</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54,000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1,057,860</w:t>
            </w:r>
          </w:p>
        </w:tc>
      </w:tr>
      <w:tr>
        <w:trPr>
          <w:trHeight w:val="203"/>
        </w:trPr>
        <w:tc>
          <w:tcPr>
            <w:tcW w:w="3080" w:type="dxa"/>
            <w:vAlign w:val="bottom"/>
          </w:tcPr>
          <w:p>
            <w:pPr>
              <w:spacing w:after="0"/>
              <w:rPr>
                <w:sz w:val="17"/>
                <w:szCs w:val="17"/>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12/12/2022</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66,000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1,292,940</w:t>
            </w:r>
          </w:p>
        </w:tc>
      </w:tr>
      <w:tr>
        <w:trPr>
          <w:trHeight w:val="203"/>
        </w:trPr>
        <w:tc>
          <w:tcPr>
            <w:tcW w:w="3080" w:type="dxa"/>
            <w:vAlign w:val="bottom"/>
          </w:tcPr>
          <w:p>
            <w:pPr>
              <w:spacing w:after="0"/>
              <w:rPr>
                <w:sz w:val="17"/>
                <w:szCs w:val="17"/>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12/16/2021</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22,950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449,591</w:t>
            </w:r>
          </w:p>
        </w:tc>
      </w:tr>
      <w:tr>
        <w:trPr>
          <w:trHeight w:val="203"/>
        </w:trPr>
        <w:tc>
          <w:tcPr>
            <w:tcW w:w="3080" w:type="dxa"/>
            <w:vAlign w:val="bottom"/>
          </w:tcPr>
          <w:p>
            <w:pPr>
              <w:spacing w:after="0"/>
              <w:rPr>
                <w:sz w:val="17"/>
                <w:szCs w:val="17"/>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12/30/2020</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18,200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356,538</w:t>
            </w:r>
          </w:p>
        </w:tc>
      </w:tr>
      <w:tr>
        <w:trPr>
          <w:trHeight w:val="23"/>
        </w:trPr>
        <w:tc>
          <w:tcPr>
            <w:tcW w:w="30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37"/>
        </w:trPr>
        <w:tc>
          <w:tcPr>
            <w:tcW w:w="3080" w:type="dxa"/>
            <w:vAlign w:val="bottom"/>
            <w:shd w:val="clear" w:color="auto" w:fill="CCEEFF"/>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Energy Transfer Cash Restricted Unit</w:t>
            </w:r>
          </w:p>
        </w:tc>
        <w:tc>
          <w:tcPr>
            <w:tcW w:w="2700" w:type="dxa"/>
            <w:vAlign w:val="bottom"/>
            <w:shd w:val="clear" w:color="auto" w:fill="CCEEFF"/>
          </w:tcPr>
          <w:p>
            <w:pPr>
              <w:spacing w:after="0"/>
              <w:rPr>
                <w:sz w:val="11"/>
                <w:szCs w:val="11"/>
                <w:color w:val="auto"/>
              </w:rPr>
            </w:pPr>
          </w:p>
        </w:tc>
        <w:tc>
          <w:tcPr>
            <w:tcW w:w="374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r>
      <w:tr>
        <w:trPr>
          <w:trHeight w:val="200"/>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70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88"/>
        </w:trPr>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Thomas E. Long</w:t>
            </w: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12/5/2024</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213,000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4,172,670</w:t>
            </w:r>
          </w:p>
        </w:tc>
      </w:tr>
      <w:tr>
        <w:trPr>
          <w:trHeight w:val="193"/>
        </w:trPr>
        <w:tc>
          <w:tcPr>
            <w:tcW w:w="3080" w:type="dxa"/>
            <w:vAlign w:val="bottom"/>
          </w:tcPr>
          <w:p>
            <w:pPr>
              <w:spacing w:after="0"/>
              <w:rPr>
                <w:sz w:val="16"/>
                <w:szCs w:val="16"/>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12/8/2023</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173,808</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3,404,899</w:t>
            </w:r>
          </w:p>
        </w:tc>
      </w:tr>
      <w:tr>
        <w:trPr>
          <w:trHeight w:val="203"/>
        </w:trPr>
        <w:tc>
          <w:tcPr>
            <w:tcW w:w="3080" w:type="dxa"/>
            <w:vAlign w:val="bottom"/>
          </w:tcPr>
          <w:p>
            <w:pPr>
              <w:spacing w:after="0"/>
              <w:rPr>
                <w:sz w:val="17"/>
                <w:szCs w:val="17"/>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12/12/2022</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106,550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2,087,315</w:t>
            </w:r>
          </w:p>
        </w:tc>
      </w:tr>
      <w:tr>
        <w:trPr>
          <w:trHeight w:val="23"/>
        </w:trPr>
        <w:tc>
          <w:tcPr>
            <w:tcW w:w="30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8"/>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Marshal S. (Mackie) McCrea, III</w:t>
            </w:r>
          </w:p>
        </w:tc>
        <w:tc>
          <w:tcPr>
            <w:tcW w:w="270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12/5/2024</w:t>
            </w:r>
          </w:p>
        </w:tc>
        <w:tc>
          <w:tcPr>
            <w:tcW w:w="37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213,000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4,172,670</w:t>
            </w:r>
          </w:p>
        </w:tc>
      </w:tr>
      <w:tr>
        <w:trPr>
          <w:trHeight w:val="193"/>
        </w:trPr>
        <w:tc>
          <w:tcPr>
            <w:tcW w:w="3080" w:type="dxa"/>
            <w:vAlign w:val="bottom"/>
            <w:shd w:val="clear" w:color="auto" w:fill="CCEEFF"/>
          </w:tcPr>
          <w:p>
            <w:pPr>
              <w:spacing w:after="0"/>
              <w:rPr>
                <w:sz w:val="16"/>
                <w:szCs w:val="16"/>
                <w:color w:val="auto"/>
              </w:rPr>
            </w:pPr>
          </w:p>
        </w:tc>
        <w:tc>
          <w:tcPr>
            <w:tcW w:w="270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12/8/2023</w:t>
            </w:r>
          </w:p>
        </w:tc>
        <w:tc>
          <w:tcPr>
            <w:tcW w:w="37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173,808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3,404,899</w:t>
            </w:r>
          </w:p>
        </w:tc>
      </w:tr>
      <w:tr>
        <w:trPr>
          <w:trHeight w:val="206"/>
        </w:trPr>
        <w:tc>
          <w:tcPr>
            <w:tcW w:w="308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12/12/2022</w:t>
            </w:r>
          </w:p>
        </w:tc>
        <w:tc>
          <w:tcPr>
            <w:tcW w:w="3740" w:type="dxa"/>
            <w:vAlign w:val="bottom"/>
            <w:tcBorders>
              <w:bottom w:val="single" w:sz="8" w:color="CCEEFF"/>
            </w:tcBorders>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106,550</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2,087,315</w:t>
            </w:r>
          </w:p>
        </w:tc>
      </w:tr>
      <w:tr>
        <w:trPr>
          <w:trHeight w:val="188"/>
        </w:trPr>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12/5/2024</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51,250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1,003,988</w:t>
            </w:r>
          </w:p>
        </w:tc>
      </w:tr>
      <w:tr>
        <w:trPr>
          <w:trHeight w:val="193"/>
        </w:trPr>
        <w:tc>
          <w:tcPr>
            <w:tcW w:w="3080" w:type="dxa"/>
            <w:vAlign w:val="bottom"/>
          </w:tcPr>
          <w:p>
            <w:pPr>
              <w:spacing w:after="0"/>
              <w:rPr>
                <w:sz w:val="16"/>
                <w:szCs w:val="16"/>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12/8/2023</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42,167</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826,052</w:t>
            </w:r>
          </w:p>
        </w:tc>
      </w:tr>
      <w:tr>
        <w:trPr>
          <w:trHeight w:val="203"/>
        </w:trPr>
        <w:tc>
          <w:tcPr>
            <w:tcW w:w="3080" w:type="dxa"/>
            <w:vAlign w:val="bottom"/>
          </w:tcPr>
          <w:p>
            <w:pPr>
              <w:spacing w:after="0"/>
              <w:rPr>
                <w:sz w:val="17"/>
                <w:szCs w:val="17"/>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12/12/2022</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19,459</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381,195</w:t>
            </w:r>
          </w:p>
        </w:tc>
      </w:tr>
      <w:tr>
        <w:trPr>
          <w:trHeight w:val="23"/>
        </w:trPr>
        <w:tc>
          <w:tcPr>
            <w:tcW w:w="30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8"/>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James M. Wright, Jr.</w:t>
            </w:r>
          </w:p>
        </w:tc>
        <w:tc>
          <w:tcPr>
            <w:tcW w:w="270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12/5/2024</w:t>
            </w:r>
          </w:p>
        </w:tc>
        <w:tc>
          <w:tcPr>
            <w:tcW w:w="37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47,500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930,525</w:t>
            </w:r>
          </w:p>
        </w:tc>
      </w:tr>
      <w:tr>
        <w:trPr>
          <w:trHeight w:val="193"/>
        </w:trPr>
        <w:tc>
          <w:tcPr>
            <w:tcW w:w="3080" w:type="dxa"/>
            <w:vAlign w:val="bottom"/>
            <w:shd w:val="clear" w:color="auto" w:fill="CCEEFF"/>
          </w:tcPr>
          <w:p>
            <w:pPr>
              <w:spacing w:after="0"/>
              <w:rPr>
                <w:sz w:val="16"/>
                <w:szCs w:val="16"/>
                <w:color w:val="auto"/>
              </w:rPr>
            </w:pPr>
          </w:p>
        </w:tc>
        <w:tc>
          <w:tcPr>
            <w:tcW w:w="270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12/8/2023</w:t>
            </w:r>
          </w:p>
        </w:tc>
        <w:tc>
          <w:tcPr>
            <w:tcW w:w="37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37,950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743,441</w:t>
            </w:r>
          </w:p>
        </w:tc>
      </w:tr>
      <w:tr>
        <w:trPr>
          <w:trHeight w:val="206"/>
        </w:trPr>
        <w:tc>
          <w:tcPr>
            <w:tcW w:w="308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12/12/2022</w:t>
            </w:r>
          </w:p>
        </w:tc>
        <w:tc>
          <w:tcPr>
            <w:tcW w:w="3740" w:type="dxa"/>
            <w:vAlign w:val="bottom"/>
            <w:tcBorders>
              <w:bottom w:val="single" w:sz="8" w:color="CCEEFF"/>
            </w:tcBorders>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14,584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285,701</w:t>
            </w:r>
          </w:p>
        </w:tc>
      </w:tr>
      <w:tr>
        <w:trPr>
          <w:trHeight w:val="188"/>
        </w:trPr>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Gregory G. McIlwain</w:t>
            </w: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12/5/2024</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35,925</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703,771</w:t>
            </w:r>
          </w:p>
        </w:tc>
      </w:tr>
      <w:tr>
        <w:trPr>
          <w:trHeight w:val="193"/>
        </w:trPr>
        <w:tc>
          <w:tcPr>
            <w:tcW w:w="3080" w:type="dxa"/>
            <w:vAlign w:val="bottom"/>
          </w:tcPr>
          <w:p>
            <w:pPr>
              <w:spacing w:after="0"/>
              <w:rPr>
                <w:sz w:val="16"/>
                <w:szCs w:val="16"/>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12/8/2023</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29,334</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574,653</w:t>
            </w:r>
          </w:p>
        </w:tc>
      </w:tr>
      <w:tr>
        <w:trPr>
          <w:trHeight w:val="203"/>
        </w:trPr>
        <w:tc>
          <w:tcPr>
            <w:tcW w:w="3080" w:type="dxa"/>
            <w:vAlign w:val="bottom"/>
          </w:tcPr>
          <w:p>
            <w:pPr>
              <w:spacing w:after="0"/>
              <w:rPr>
                <w:sz w:val="17"/>
                <w:szCs w:val="17"/>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12/12/2022</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17,979</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352,209</w:t>
            </w:r>
          </w:p>
        </w:tc>
      </w:tr>
      <w:tr>
        <w:trPr>
          <w:trHeight w:val="23"/>
        </w:trPr>
        <w:tc>
          <w:tcPr>
            <w:tcW w:w="30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8"/>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Aden (Troy) Sturrock</w:t>
            </w:r>
          </w:p>
        </w:tc>
        <w:tc>
          <w:tcPr>
            <w:tcW w:w="270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12/5/2024</w:t>
            </w:r>
          </w:p>
        </w:tc>
        <w:tc>
          <w:tcPr>
            <w:tcW w:w="37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15,562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304,860</w:t>
            </w:r>
          </w:p>
        </w:tc>
      </w:tr>
      <w:tr>
        <w:trPr>
          <w:trHeight w:val="193"/>
        </w:trPr>
        <w:tc>
          <w:tcPr>
            <w:tcW w:w="3080" w:type="dxa"/>
            <w:vAlign w:val="bottom"/>
            <w:shd w:val="clear" w:color="auto" w:fill="CCEEFF"/>
          </w:tcPr>
          <w:p>
            <w:pPr>
              <w:spacing w:after="0"/>
              <w:rPr>
                <w:sz w:val="16"/>
                <w:szCs w:val="16"/>
                <w:color w:val="auto"/>
              </w:rPr>
            </w:pPr>
          </w:p>
        </w:tc>
        <w:tc>
          <w:tcPr>
            <w:tcW w:w="270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12/8/2023</w:t>
            </w:r>
          </w:p>
        </w:tc>
        <w:tc>
          <w:tcPr>
            <w:tcW w:w="37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12,000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235,080</w:t>
            </w:r>
          </w:p>
        </w:tc>
      </w:tr>
      <w:tr>
        <w:trPr>
          <w:trHeight w:val="206"/>
        </w:trPr>
        <w:tc>
          <w:tcPr>
            <w:tcW w:w="308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12/12/2022</w:t>
            </w:r>
          </w:p>
        </w:tc>
        <w:tc>
          <w:tcPr>
            <w:tcW w:w="3740" w:type="dxa"/>
            <w:vAlign w:val="bottom"/>
            <w:tcBorders>
              <w:bottom w:val="single" w:sz="8" w:color="CCEEFF"/>
            </w:tcBorders>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7,334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143,673</w:t>
            </w:r>
          </w:p>
        </w:tc>
      </w:tr>
      <w:tr>
        <w:trPr>
          <w:trHeight w:val="196"/>
        </w:trPr>
        <w:tc>
          <w:tcPr>
            <w:tcW w:w="3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Sunoco LP Unit Awards:</w:t>
            </w:r>
          </w:p>
        </w:tc>
        <w:tc>
          <w:tcPr>
            <w:tcW w:w="27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9"/>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Thomas E. Long</w:t>
            </w:r>
          </w:p>
        </w:tc>
        <w:tc>
          <w:tcPr>
            <w:tcW w:w="270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12/30/2020</w:t>
            </w:r>
          </w:p>
        </w:tc>
        <w:tc>
          <w:tcPr>
            <w:tcW w:w="37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11,120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572,013</w:t>
            </w:r>
          </w:p>
        </w:tc>
      </w:tr>
      <w:tr>
        <w:trPr>
          <w:trHeight w:val="188"/>
        </w:trPr>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12/12/2022</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14,200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730,448</w:t>
            </w:r>
          </w:p>
        </w:tc>
      </w:tr>
      <w:tr>
        <w:trPr>
          <w:trHeight w:val="193"/>
        </w:trPr>
        <w:tc>
          <w:tcPr>
            <w:tcW w:w="3080" w:type="dxa"/>
            <w:vAlign w:val="bottom"/>
          </w:tcPr>
          <w:p>
            <w:pPr>
              <w:spacing w:after="0"/>
              <w:rPr>
                <w:sz w:val="16"/>
                <w:szCs w:val="16"/>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12/16/2021</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5,200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267,488</w:t>
            </w:r>
          </w:p>
        </w:tc>
      </w:tr>
      <w:tr>
        <w:trPr>
          <w:trHeight w:val="203"/>
        </w:trPr>
        <w:tc>
          <w:tcPr>
            <w:tcW w:w="3080" w:type="dxa"/>
            <w:vAlign w:val="bottom"/>
          </w:tcPr>
          <w:p>
            <w:pPr>
              <w:spacing w:after="0"/>
              <w:rPr>
                <w:sz w:val="17"/>
                <w:szCs w:val="17"/>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12/30/2020</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6,400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329,216</w:t>
            </w:r>
          </w:p>
        </w:tc>
      </w:tr>
      <w:tr>
        <w:trPr>
          <w:trHeight w:val="203"/>
        </w:trPr>
        <w:tc>
          <w:tcPr>
            <w:tcW w:w="3080" w:type="dxa"/>
            <w:vAlign w:val="bottom"/>
          </w:tcPr>
          <w:p>
            <w:pPr>
              <w:spacing w:after="0"/>
              <w:rPr>
                <w:sz w:val="17"/>
                <w:szCs w:val="17"/>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10/27/2020</w:t>
            </w:r>
          </w:p>
        </w:tc>
        <w:tc>
          <w:tcPr>
            <w:tcW w:w="37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8,000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411,520</w:t>
            </w:r>
          </w:p>
        </w:tc>
      </w:tr>
    </w:tbl>
    <w:p>
      <w:pPr>
        <w:spacing w:after="0" w:line="178" w:lineRule="exact"/>
        <w:rPr>
          <w:sz w:val="20"/>
          <w:szCs w:val="20"/>
          <w:color w:val="auto"/>
        </w:rPr>
      </w:pPr>
    </w:p>
    <w:p>
      <w:pPr>
        <w:ind w:left="320" w:hanging="312"/>
        <w:spacing w:after="0"/>
        <w:tabs>
          <w:tab w:leader="none" w:pos="320" w:val="left"/>
        </w:tabs>
        <w:numPr>
          <w:ilvl w:val="0"/>
          <w:numId w:val="10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Energy Transfer and Sunoco LP RSU awards outstanding vest as follows:</w:t>
      </w:r>
    </w:p>
    <w:p>
      <w:pPr>
        <w:spacing w:after="0" w:line="89"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rate of 60% in December 2027 and 40% in December 2029 for awards granted in December 2024;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rate of 60% in December 2026 and 40% in December 2028 for awards granted in December 2023;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rate of 60% in December 2025 and 40% in December 2027 for awards granted in December 2022;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 December 2026 for the remaining outstanding portion of awards granted in December 2021;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 December 2025 for the remaining outstanding portion of awards granted in October and December 2020.</w:t>
      </w:r>
    </w:p>
    <w:p>
      <w:pPr>
        <w:spacing w:after="0" w:line="11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Such awards may be settled at the election of the Energy Transfer Compensation Committee in (i) common units of Energy Transfer (subject to the approval of the Energy Transfer Incentive Plans prior to the first vesting date by a majority of Unitholders pursuant to the rules of the New York Stock Exchange); (ii) cash equal to the Fair Market Value (as such term is defined in the Energy Transfer Incentive Plans) of the Energy Transfer common units that would otherwise be delivered pursuant to the terms of each named executive officers grant agreement; or (iii) other securities or property in an amount equal to the Fair Market Value of Energy Transfer common units that would otherwise be delivered pursuant to the terms of the grant agreement, or a combination thereof as determined by the Energy Transfer Compensation Committee in its discretion.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Energy Transfer CRSU awards granted in December 2024 vest 1/3 per year in December 2025, 2026 and 2027. The remaining Energy Transfer cash restricted unit awards granted in December 2023 vest 1/2 per year in December 2025 and 2026. The remaining outstanding Energy Transfer CRSU awards granted in December 2022 vest in December 2025.</w:t>
      </w:r>
    </w:p>
    <w:p>
      <w:pPr>
        <w:spacing w:after="0" w:line="68" w:lineRule="exact"/>
        <w:rPr>
          <w:sz w:val="20"/>
          <w:szCs w:val="20"/>
          <w:color w:val="auto"/>
        </w:rPr>
      </w:pPr>
    </w:p>
    <w:p>
      <w:pPr>
        <w:ind w:left="340" w:hanging="332"/>
        <w:spacing w:after="0" w:line="229" w:lineRule="auto"/>
        <w:tabs>
          <w:tab w:leader="none" w:pos="342" w:val="left"/>
        </w:tabs>
        <w:numPr>
          <w:ilvl w:val="0"/>
          <w:numId w:val="10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Market value was computed as the number of unvested awards as of December 31, 2024 multiplied by the closing price of respective common units of Energy Transfer and Sunoco LP.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 Vested in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gridSpan w:val="4"/>
          </w:tcPr>
          <w:p>
            <w:pPr>
              <w:jc w:val="right"/>
              <w:ind w:right="1788"/>
              <w:spacing w:after="0"/>
              <w:rPr>
                <w:sz w:val="20"/>
                <w:szCs w:val="20"/>
                <w:color w:val="auto"/>
              </w:rPr>
            </w:pPr>
            <w:r>
              <w:rPr>
                <w:rFonts w:ascii="Times New Roman" w:cs="Times New Roman" w:eastAsia="Times New Roman" w:hAnsi="Times New Roman"/>
                <w:sz w:val="14"/>
                <w:szCs w:val="14"/>
                <w:b w:val="1"/>
                <w:bCs w:val="1"/>
                <w:color w:val="auto"/>
              </w:rPr>
              <w:t>Unit Awards</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Number of Units</w:t>
            </w:r>
          </w:p>
        </w:tc>
        <w:tc>
          <w:tcPr>
            <w:tcW w:w="180" w:type="dxa"/>
            <w:vAlign w:val="bottom"/>
          </w:tcPr>
          <w:p>
            <w:pPr>
              <w:spacing w:after="0"/>
              <w:rPr>
                <w:sz w:val="11"/>
                <w:szCs w:val="11"/>
                <w:color w:val="auto"/>
              </w:rPr>
            </w:pPr>
          </w:p>
        </w:tc>
        <w:tc>
          <w:tcPr>
            <w:tcW w:w="20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0" w:type="dxa"/>
            <w:vAlign w:val="bottom"/>
          </w:tcPr>
          <w:p>
            <w:pPr>
              <w:spacing w:after="0"/>
              <w:rPr>
                <w:sz w:val="1"/>
                <w:szCs w:val="1"/>
                <w:color w:val="auto"/>
              </w:rPr>
            </w:pPr>
          </w:p>
        </w:tc>
      </w:tr>
      <w:tr>
        <w:trPr>
          <w:trHeight w:val="146"/>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8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60" w:type="dxa"/>
            <w:vAlign w:val="bottom"/>
            <w:gridSpan w:val="2"/>
            <w:vMerge w:val="continue"/>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jc w:val="right"/>
              <w:ind w:right="86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0"/>
        </w:trPr>
        <w:tc>
          <w:tcPr>
            <w:tcW w:w="6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Energy Transfer Unit Awards:</w:t>
            </w:r>
          </w:p>
        </w:tc>
        <w:tc>
          <w:tcPr>
            <w:tcW w:w="120" w:type="dxa"/>
            <w:vAlign w:val="bottom"/>
          </w:tcPr>
          <w:p>
            <w:pPr>
              <w:spacing w:after="0"/>
              <w:rPr>
                <w:sz w:val="16"/>
                <w:szCs w:val="16"/>
                <w:color w:val="auto"/>
              </w:rPr>
            </w:pPr>
          </w:p>
        </w:tc>
        <w:tc>
          <w:tcPr>
            <w:tcW w:w="2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Thomas E. Long</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14,469,363</w:t>
            </w:r>
          </w:p>
        </w:tc>
        <w:tc>
          <w:tcPr>
            <w:tcW w:w="0" w:type="dxa"/>
            <w:vAlign w:val="bottom"/>
          </w:tcPr>
          <w:p>
            <w:pPr>
              <w:spacing w:after="0"/>
              <w:rPr>
                <w:sz w:val="1"/>
                <w:szCs w:val="1"/>
                <w:color w:val="auto"/>
              </w:rPr>
            </w:pPr>
          </w:p>
        </w:tc>
      </w:tr>
      <w:tr>
        <w:trPr>
          <w:trHeight w:val="195"/>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Marshall S. (Mackie) McCrea, III</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945,710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18,034,690</w:t>
            </w:r>
          </w:p>
        </w:tc>
        <w:tc>
          <w:tcPr>
            <w:tcW w:w="0" w:type="dxa"/>
            <w:vAlign w:val="bottom"/>
          </w:tcPr>
          <w:p>
            <w:pPr>
              <w:spacing w:after="0"/>
              <w:rPr>
                <w:sz w:val="1"/>
                <w:szCs w:val="1"/>
                <w:color w:val="auto"/>
              </w:rPr>
            </w:pPr>
          </w:p>
        </w:tc>
      </w:tr>
      <w:tr>
        <w:trPr>
          <w:trHeight w:val="21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1,354,733</w:t>
            </w:r>
          </w:p>
        </w:tc>
        <w:tc>
          <w:tcPr>
            <w:tcW w:w="0" w:type="dxa"/>
            <w:vAlign w:val="bottom"/>
          </w:tcPr>
          <w:p>
            <w:pPr>
              <w:spacing w:after="0"/>
              <w:rPr>
                <w:sz w:val="1"/>
                <w:szCs w:val="1"/>
                <w:color w:val="auto"/>
              </w:rPr>
            </w:pPr>
          </w:p>
        </w:tc>
      </w:tr>
      <w:tr>
        <w:trPr>
          <w:trHeight w:val="195"/>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James M. Wright, Jr.</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2,198,512</w:t>
            </w:r>
          </w:p>
        </w:tc>
        <w:tc>
          <w:tcPr>
            <w:tcW w:w="0" w:type="dxa"/>
            <w:vAlign w:val="bottom"/>
          </w:tcPr>
          <w:p>
            <w:pPr>
              <w:spacing w:after="0"/>
              <w:rPr>
                <w:sz w:val="1"/>
                <w:szCs w:val="1"/>
                <w:color w:val="auto"/>
              </w:rPr>
            </w:pPr>
          </w:p>
        </w:tc>
      </w:tr>
      <w:tr>
        <w:trPr>
          <w:trHeight w:val="21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Gregory G. McIlwain</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1,312,970</w:t>
            </w:r>
          </w:p>
        </w:tc>
        <w:tc>
          <w:tcPr>
            <w:tcW w:w="0" w:type="dxa"/>
            <w:vAlign w:val="bottom"/>
          </w:tcPr>
          <w:p>
            <w:pPr>
              <w:spacing w:after="0"/>
              <w:rPr>
                <w:sz w:val="1"/>
                <w:szCs w:val="1"/>
                <w:color w:val="auto"/>
              </w:rPr>
            </w:pPr>
          </w:p>
        </w:tc>
      </w:tr>
      <w:tr>
        <w:trPr>
          <w:trHeight w:val="195"/>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Aden (Troy) Sturrock</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976,861</w:t>
            </w:r>
          </w:p>
        </w:tc>
        <w:tc>
          <w:tcPr>
            <w:tcW w:w="0" w:type="dxa"/>
            <w:vAlign w:val="bottom"/>
          </w:tcPr>
          <w:p>
            <w:pPr>
              <w:spacing w:after="0"/>
              <w:rPr>
                <w:sz w:val="1"/>
                <w:szCs w:val="1"/>
                <w:color w:val="auto"/>
              </w:rPr>
            </w:pPr>
          </w:p>
        </w:tc>
      </w:tr>
      <w:tr>
        <w:trPr>
          <w:trHeight w:val="210"/>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Energy Transfer Cash Restricted Unit Awards: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Thomas E. Long</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6,064,985</w:t>
            </w:r>
          </w:p>
        </w:tc>
        <w:tc>
          <w:tcPr>
            <w:tcW w:w="0" w:type="dxa"/>
            <w:vAlign w:val="bottom"/>
          </w:tcPr>
          <w:p>
            <w:pPr>
              <w:spacing w:after="0"/>
              <w:rPr>
                <w:sz w:val="1"/>
                <w:szCs w:val="1"/>
                <w:color w:val="auto"/>
              </w:rPr>
            </w:pPr>
          </w:p>
        </w:tc>
      </w:tr>
      <w:tr>
        <w:trPr>
          <w:trHeight w:val="21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Marshall S. (Mackie) McCrea, III</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6,064,985</w:t>
            </w:r>
          </w:p>
        </w:tc>
        <w:tc>
          <w:tcPr>
            <w:tcW w:w="0" w:type="dxa"/>
            <w:vAlign w:val="bottom"/>
          </w:tcPr>
          <w:p>
            <w:pPr>
              <w:spacing w:after="0"/>
              <w:rPr>
                <w:sz w:val="1"/>
                <w:szCs w:val="1"/>
                <w:color w:val="auto"/>
              </w:rPr>
            </w:pPr>
          </w:p>
        </w:tc>
      </w:tr>
      <w:tr>
        <w:trPr>
          <w:trHeight w:val="195"/>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49,808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949,839</w:t>
            </w:r>
          </w:p>
        </w:tc>
        <w:tc>
          <w:tcPr>
            <w:tcW w:w="0" w:type="dxa"/>
            <w:vAlign w:val="bottom"/>
          </w:tcPr>
          <w:p>
            <w:pPr>
              <w:spacing w:after="0"/>
              <w:rPr>
                <w:sz w:val="1"/>
                <w:szCs w:val="1"/>
                <w:color w:val="auto"/>
              </w:rPr>
            </w:pPr>
          </w:p>
        </w:tc>
      </w:tr>
      <w:tr>
        <w:trPr>
          <w:trHeight w:val="21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James M. Wright, Jr.</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919,536</w:t>
            </w:r>
          </w:p>
        </w:tc>
        <w:tc>
          <w:tcPr>
            <w:tcW w:w="0" w:type="dxa"/>
            <w:vAlign w:val="bottom"/>
          </w:tcPr>
          <w:p>
            <w:pPr>
              <w:spacing w:after="0"/>
              <w:rPr>
                <w:sz w:val="1"/>
                <w:szCs w:val="1"/>
                <w:color w:val="auto"/>
              </w:rPr>
            </w:pPr>
          </w:p>
        </w:tc>
      </w:tr>
      <w:tr>
        <w:trPr>
          <w:trHeight w:val="195"/>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Gregory G. McIlwain</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802,122</w:t>
            </w:r>
          </w:p>
        </w:tc>
        <w:tc>
          <w:tcPr>
            <w:tcW w:w="0" w:type="dxa"/>
            <w:vAlign w:val="bottom"/>
          </w:tcPr>
          <w:p>
            <w:pPr>
              <w:spacing w:after="0"/>
              <w:rPr>
                <w:sz w:val="1"/>
                <w:szCs w:val="1"/>
                <w:color w:val="auto"/>
              </w:rPr>
            </w:pPr>
          </w:p>
        </w:tc>
      </w:tr>
      <w:tr>
        <w:trPr>
          <w:trHeight w:val="21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Aden (Troy) Sturrock</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375,832</w:t>
            </w:r>
          </w:p>
        </w:tc>
        <w:tc>
          <w:tcPr>
            <w:tcW w:w="0" w:type="dxa"/>
            <w:vAlign w:val="bottom"/>
          </w:tcPr>
          <w:p>
            <w:pPr>
              <w:spacing w:after="0"/>
              <w:rPr>
                <w:sz w:val="1"/>
                <w:szCs w:val="1"/>
                <w:color w:val="auto"/>
              </w:rPr>
            </w:pPr>
          </w:p>
        </w:tc>
      </w:tr>
      <w:tr>
        <w:trPr>
          <w:trHeight w:val="196"/>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Sunoco LP Unit Awards:</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Dylan A. Bramhall</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431,106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29" w:lineRule="auto"/>
        <w:tabs>
          <w:tab w:leader="none" w:pos="328" w:val="left"/>
        </w:tabs>
        <w:numPr>
          <w:ilvl w:val="0"/>
          <w:numId w:val="10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presented represent the value realized upon vesting of these awards, which is calculated as the number of units vested multiplied by the applicable closing market price of applicable common units upon the vesting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issued option awards.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Table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Energy Transfer NQDC Plan is a deferred compensation plan which permits eligible highly compensated employees to defer a portion of their salary, bonus, and/or quarterly non-vested phantom unit distribution equivalent income until retirement, termination of employment or other designated distribution event. Each year under the Energy Transfer NQDC Plan, eligible employees are permitted to make an irrevocable election to defer up to 50% of their annual base salary, 50% of their quarterly non-vested phantom unit distribution income, and/or 50% of their discretionary performance bonus compensation during the following year. Pursuant to the Energy Transfer NQDC Plan, Energy Transfer may make annual discretionary matching contributions to participants’ accounts; however, Energy Transfer has not made any discretionary contributions to participants’ accounts and currently has no plans to make any discretionary contributions to participants’ accounts. All amounts credited under the Energy Transfer NQDC Plan (other than discretionary credits) are immediately 100% vested. Participant accounts are credited with deemed earnings or losses based on hypothetical investment fund choices made by the participants among available funds.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Participants may elect to have their account balances distributed in one lump sum payment or in annual installments over a period of three or five years upon retirement, and in a lump sum upon other termination events. Participants may also elect to take lump sum in-service withdrawals five years or longer in the future, and such scheduled in-service withdrawals may be further deferred prior to the withdrawal date. Upon a change in control (as defined in the Energy Transfer NQDC Plan) of Energy Transfer, all Energy Transfer NQDC Plan accounts are immediately vested in full. However, distributions are not accelerated and, instead, are made in accordance with the Energy Transfer NQDC Plan’s normal distribution provisions unless a participant has elected to receive a change of control distribution pursuant to his deferral agreement.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Executive Contributions in</w:t>
            </w: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Registrant Contributions</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Last FY ($)</w:t>
            </w:r>
          </w:p>
        </w:tc>
        <w:tc>
          <w:tcPr>
            <w:tcW w:w="182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 Earnings in Last</w:t>
            </w:r>
          </w:p>
        </w:tc>
        <w:tc>
          <w:tcPr>
            <w:tcW w:w="1860" w:type="dxa"/>
            <w:vAlign w:val="bottom"/>
            <w:gridSpan w:val="2"/>
            <w:vMerge w:val="continue"/>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Balance at Last</w:t>
            </w:r>
          </w:p>
        </w:tc>
        <w:tc>
          <w:tcPr>
            <w:tcW w:w="0" w:type="dxa"/>
            <w:vAlign w:val="bottom"/>
          </w:tcPr>
          <w:p>
            <w:pPr>
              <w:spacing w:after="0"/>
              <w:rPr>
                <w:sz w:val="1"/>
                <w:szCs w:val="1"/>
                <w:color w:val="auto"/>
              </w:rPr>
            </w:pPr>
          </w:p>
        </w:tc>
      </w:tr>
      <w:tr>
        <w:trPr>
          <w:trHeight w:val="149"/>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820" w:type="dxa"/>
            <w:vAlign w:val="bottom"/>
            <w:gridSpan w:val="2"/>
            <w:vMerge w:val="continue"/>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Withdrawals/Distributions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160" w:type="dxa"/>
            <w:vAlign w:val="bottom"/>
            <w:gridSpan w:val="2"/>
            <w:vMerge w:val="continue"/>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 xml:space="preserve"> (1)</w:t>
            </w:r>
          </w:p>
        </w:tc>
        <w:tc>
          <w:tcPr>
            <w:tcW w:w="80" w:type="dxa"/>
            <w:vAlign w:val="bottom"/>
          </w:tcPr>
          <w:p>
            <w:pPr>
              <w:spacing w:after="0"/>
              <w:rPr>
                <w:sz w:val="17"/>
                <w:szCs w:val="17"/>
                <w:color w:val="auto"/>
              </w:rPr>
            </w:pPr>
          </w:p>
        </w:tc>
        <w:tc>
          <w:tcPr>
            <w:tcW w:w="18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FY ($) </w:t>
            </w:r>
            <w:r>
              <w:rPr>
                <w:rFonts w:ascii="Times New Roman" w:cs="Times New Roman" w:eastAsia="Times New Roman" w:hAnsi="Times New Roman"/>
                <w:sz w:val="18"/>
                <w:szCs w:val="18"/>
                <w:b w:val="1"/>
                <w:bCs w:val="1"/>
                <w:color w:val="auto"/>
                <w:w w:val="96"/>
                <w:vertAlign w:val="superscript"/>
              </w:rPr>
              <w:t>(1)</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7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FYE ($)</w:t>
            </w:r>
          </w:p>
        </w:tc>
        <w:tc>
          <w:tcPr>
            <w:tcW w:w="0" w:type="dxa"/>
            <w:vAlign w:val="bottom"/>
          </w:tcPr>
          <w:p>
            <w:pPr>
              <w:spacing w:after="0"/>
              <w:rPr>
                <w:sz w:val="1"/>
                <w:szCs w:val="1"/>
                <w:color w:val="auto"/>
              </w:rPr>
            </w:pPr>
          </w:p>
        </w:tc>
      </w:tr>
      <w:tr>
        <w:trPr>
          <w:trHeight w:val="196"/>
        </w:trPr>
        <w:tc>
          <w:tcPr>
            <w:tcW w:w="20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James M. Wright, Jr.</w:t>
            </w:r>
          </w:p>
        </w:tc>
        <w:tc>
          <w:tcPr>
            <w:tcW w:w="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30,142</w:t>
            </w: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113,878</w:t>
            </w:r>
          </w:p>
        </w:tc>
        <w:tc>
          <w:tcPr>
            <w:tcW w:w="0" w:type="dxa"/>
            <w:vAlign w:val="bottom"/>
          </w:tcPr>
          <w:p>
            <w:pPr>
              <w:spacing w:after="0"/>
              <w:rPr>
                <w:sz w:val="1"/>
                <w:szCs w:val="1"/>
                <w:color w:val="auto"/>
              </w:rPr>
            </w:pPr>
          </w:p>
        </w:tc>
      </w:tr>
      <w:tr>
        <w:trPr>
          <w:trHeight w:val="188"/>
        </w:trPr>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Gregory G. McIlwain</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548,851</w:t>
            </w:r>
          </w:p>
        </w:tc>
        <w:tc>
          <w:tcPr>
            <w:tcW w:w="100" w:type="dxa"/>
            <w:vAlign w:val="bottom"/>
          </w:tcPr>
          <w:p>
            <w:pPr>
              <w:spacing w:after="0"/>
              <w:rPr>
                <w:sz w:val="16"/>
                <w:szCs w:val="16"/>
                <w:color w:val="auto"/>
              </w:rPr>
            </w:pPr>
          </w:p>
        </w:tc>
        <w:tc>
          <w:tcPr>
            <w:tcW w:w="182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242,998</w:t>
            </w:r>
          </w:p>
        </w:tc>
        <w:tc>
          <w:tcPr>
            <w:tcW w:w="80" w:type="dxa"/>
            <w:vAlign w:val="bottom"/>
          </w:tcPr>
          <w:p>
            <w:pPr>
              <w:spacing w:after="0"/>
              <w:rPr>
                <w:sz w:val="16"/>
                <w:szCs w:val="16"/>
                <w:color w:val="auto"/>
              </w:rPr>
            </w:pPr>
          </w:p>
        </w:tc>
        <w:tc>
          <w:tcPr>
            <w:tcW w:w="186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2,225,390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29" w:lineRule="auto"/>
        <w:tabs>
          <w:tab w:leader="none" w:pos="328" w:val="left"/>
        </w:tabs>
        <w:numPr>
          <w:ilvl w:val="0"/>
          <w:numId w:val="10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included in the aggregate earnings column above have been included in the change in non-qualified deferred compensation earnings column of the summary compensation table.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a Termination or Change of Control</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Awards. </w:t>
      </w:r>
      <w:r>
        <w:rPr>
          <w:rFonts w:ascii="Times New Roman" w:cs="Times New Roman" w:eastAsia="Times New Roman" w:hAnsi="Times New Roman"/>
          <w:sz w:val="18"/>
          <w:szCs w:val="18"/>
          <w:color w:val="auto"/>
        </w:rPr>
        <w:t>As discussed in our Compensation Discussion and Analysis above, any unvested equity awards (including CRSU awards granted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Energy Transfer Incentive Plans and/or the CRU Plan and/or the CRU Plan will automatically become vested upon a change of control, which is generally defined as the occurrence of one or more of the following events: (i) any person or group becomes the beneficial owner of 50% or more of the voting power or voting securities of Energy Transfer or its general partner; (ii) LE GP, LLC or an affiliate of LE GP, LLC ceases to be the general partner of Energy Transfer; or (iii) the sale or other disposition, including by liquidation or dissolution, of all or substantially all of the assets of Energy Transfer in one or more transactions to anyone other than an affiliate of Energy Transfer.</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as explained in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xml:space="preserve"> section of our Compensation Discussion and Analysis above, the RSU and CRSU awards under the Energy Transfer Incentive Plans, the Sunoco LP Plan, the 2012 Sunoco LP Plan and the CRU Plan generally require the continued employment of the recipient during the vesting period, provided however, the unvested awards will be accelerated in the event of the death or disability of the award recipient prior to the applicable vesting period being satisfied. All awards outstanding to the named executive officers under the Energy Transfer Incentive Plans, the 2018 Sunoco LP Plan, the 2012 Sunoco LP Plan or the CRU Plan would be accelerated in the event of a change in control of the Partnership.</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Energy Transfer Compensation Committee and the compensation committee of the general partner of Sunoco LP, have approved a retirement provision, which provides that employees, including the named executive officers with at least five years of service with the general partner, who leave the respective general partner voluntarily due to retirement (i) after age 65 but prior to age 68 are eligible for accelerated vesting of 40% of his or her award; or (ii) after 68 are eligible for accelerated vesting of 50% his or her award. The acceleration of the awards is subject to the applicable provisions of IRC Section 409A. Beginning with awards granted in 2022, the retirement provision also requires that the award be held for at least one year after the grant date in order to be eligible for acceleration. As of December 31, 2024, only Mr. Long would be eligible to benefit from the retirement provisions. Awards that were granted to Mr. Long on or prior to December 31, 2023 (which would have been held for a full year as of a retirement that occurred on December 31, 2024), would have been eligible to accelerate under the 40% accelerated vesting provisions, estimated as of December 31, 2024 to be valued as $21,337,510. The timing of payments upon retirement would be delayed in compliance with IRC Section 409A.</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amount of incremental value that would have been received by each of the NEOs upon certain events of termination or a change of control resulting in the accelerated vesting of the restricted units and/or restricted phantom units held by our NEOs on December 31, 2024:</w:t>
      </w:r>
    </w:p>
    <w:p>
      <w:pPr>
        <w:spacing w:after="0" w:line="134"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Change of Control</w:t>
      </w:r>
    </w:p>
    <w:p>
      <w:pPr>
        <w:jc w:val="center"/>
        <w:ind w:left="6100"/>
        <w:spacing w:after="0" w:line="221" w:lineRule="auto"/>
        <w:rPr>
          <w:sz w:val="20"/>
          <w:szCs w:val="20"/>
          <w:color w:val="auto"/>
        </w:rPr>
      </w:pPr>
      <w:r>
        <w:rPr>
          <w:rFonts w:ascii="Times New Roman" w:cs="Times New Roman" w:eastAsia="Times New Roman" w:hAnsi="Times New Roman"/>
          <w:sz w:val="14"/>
          <w:szCs w:val="14"/>
          <w:b w:val="1"/>
          <w:bCs w:val="1"/>
          <w:color w:val="auto"/>
        </w:rPr>
        <w:t>with or without</w:t>
      </w:r>
    </w:p>
    <w:tbl>
      <w:tblPr>
        <w:tblLayout w:type="fixed"/>
        <w:tblInd w:w="0" w:type="dxa"/>
        <w:tblCellMar>
          <w:top w:w="0" w:type="dxa"/>
          <w:left w:w="0" w:type="dxa"/>
          <w:bottom w:w="0" w:type="dxa"/>
          <w:right w:w="0" w:type="dxa"/>
        </w:tblCellMar>
      </w:tblPr>
      <w:tr>
        <w:trPr>
          <w:trHeight w:val="131"/>
        </w:trPr>
        <w:tc>
          <w:tcPr>
            <w:tcW w:w="2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Termination due to Death</w:t>
            </w:r>
          </w:p>
        </w:tc>
        <w:tc>
          <w:tcPr>
            <w:tcW w:w="140" w:type="dxa"/>
            <w:vAlign w:val="bottom"/>
          </w:tcPr>
          <w:p>
            <w:pPr>
              <w:spacing w:after="0"/>
              <w:rPr>
                <w:sz w:val="11"/>
                <w:szCs w:val="11"/>
                <w:color w:val="auto"/>
              </w:rPr>
            </w:pPr>
          </w:p>
        </w:tc>
        <w:tc>
          <w:tcPr>
            <w:tcW w:w="1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Termination for Any</w:t>
            </w:r>
          </w:p>
        </w:tc>
        <w:tc>
          <w:tcPr>
            <w:tcW w:w="14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Continued</w:t>
            </w:r>
          </w:p>
        </w:tc>
        <w:tc>
          <w:tcPr>
            <w:tcW w:w="220" w:type="dxa"/>
            <w:vAlign w:val="bottom"/>
          </w:tcPr>
          <w:p>
            <w:pPr>
              <w:spacing w:after="0"/>
              <w:rPr>
                <w:sz w:val="11"/>
                <w:szCs w:val="11"/>
                <w:color w:val="auto"/>
              </w:rPr>
            </w:pPr>
          </w:p>
        </w:tc>
        <w:tc>
          <w:tcPr>
            <w:tcW w:w="14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 for Cause</w:t>
            </w:r>
          </w:p>
        </w:tc>
        <w:tc>
          <w:tcPr>
            <w:tcW w:w="0" w:type="dxa"/>
            <w:vAlign w:val="bottom"/>
          </w:tcPr>
          <w:p>
            <w:pPr>
              <w:spacing w:after="0"/>
              <w:rPr>
                <w:sz w:val="1"/>
                <w:szCs w:val="1"/>
                <w:color w:val="auto"/>
              </w:rPr>
            </w:pPr>
          </w:p>
        </w:tc>
      </w:tr>
      <w:tr>
        <w:trPr>
          <w:trHeight w:val="146"/>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7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4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6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or Disability ($)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7"/>
                <w:szCs w:val="17"/>
                <w:color w:val="auto"/>
              </w:rPr>
            </w:pPr>
          </w:p>
        </w:tc>
        <w:tc>
          <w:tcPr>
            <w:tcW w:w="18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Other Reason ($)</w:t>
            </w:r>
          </w:p>
        </w:tc>
        <w:tc>
          <w:tcPr>
            <w:tcW w:w="138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Termination ($)</w:t>
            </w:r>
          </w:p>
        </w:tc>
        <w:tc>
          <w:tcPr>
            <w:tcW w:w="0" w:type="dxa"/>
            <w:vAlign w:val="bottom"/>
          </w:tcPr>
          <w:p>
            <w:pPr>
              <w:spacing w:after="0"/>
              <w:rPr>
                <w:sz w:val="1"/>
                <w:szCs w:val="1"/>
                <w:color w:val="auto"/>
              </w:rPr>
            </w:pPr>
          </w:p>
        </w:tc>
      </w:tr>
      <w:tr>
        <w:trPr>
          <w:trHeight w:val="202"/>
        </w:trPr>
        <w:tc>
          <w:tcPr>
            <w:tcW w:w="2780" w:type="dxa"/>
            <w:vAlign w:val="bottom"/>
            <w:tcBorders>
              <w:top w:val="single" w:sz="8" w:color="auto"/>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Thomas E. Long </w:t>
            </w:r>
            <w:r>
              <w:rPr>
                <w:rFonts w:ascii="Times New Roman" w:cs="Times New Roman" w:eastAsia="Times New Roman" w:hAnsi="Times New Roman"/>
                <w:sz w:val="18"/>
                <w:szCs w:val="18"/>
                <w:color w:val="auto"/>
                <w:vertAlign w:val="superscript"/>
              </w:rPr>
              <w:t>(2)</w:t>
            </w: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Unit Vesting</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70,837,777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70,837,777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Marshall S. (Mackie) McCrea, III</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Unit Vesting</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72,820,183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72,820,183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Dylan A. Bramhall </w:t>
            </w:r>
            <w:r>
              <w:rPr>
                <w:rFonts w:ascii="Times New Roman" w:cs="Times New Roman" w:eastAsia="Times New Roman" w:hAnsi="Times New Roman"/>
                <w:sz w:val="18"/>
                <w:szCs w:val="18"/>
                <w:color w:val="auto"/>
                <w:vertAlign w:val="superscript"/>
              </w:rPr>
              <w:t>(2)</w:t>
            </w: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Unit Vesting</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15,057,142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15,057,142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James M. Wright, Jr.</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Unit Vesting</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12,475,668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12,475,668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Gregory G. McIlwain</w:t>
            </w: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Unit Vesting</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10,562,615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10,562,615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Aden (Troy) Sturrock</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Unit Vesting</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4,755,159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4,755,159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340" w:hanging="332"/>
        <w:spacing w:after="0" w:line="243" w:lineRule="auto"/>
        <w:tabs>
          <w:tab w:leader="none" w:pos="328" w:val="left"/>
        </w:tabs>
        <w:numPr>
          <w:ilvl w:val="0"/>
          <w:numId w:val="1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reflected above represent the product of the number of RSUs and CRSUs units that were subject to vesting/restrictions on December 31, 2024 multiplied by the closing price of applicable common units on that date. However, at the time of an actual payment of the CRSUs, the “fair market value” that the payment will be based upon is not a single closing day price, but will be the average closing day price for the 10 trading days immediately preceding the vesting date. As an example of the difference that could occur at payment, as of December 31, 2024, the closing price used for the calculations above was $19.59 for each Partnership-based unit; the 10-day average price was $18.94, therefore amounts for the CRSUs would be calculated at a slightly lower per-unit price for a hypothetical payment on December 31, 2024.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hanging="332"/>
        <w:spacing w:after="0" w:line="229" w:lineRule="auto"/>
        <w:tabs>
          <w:tab w:leader="none" w:pos="328" w:val="left"/>
        </w:tabs>
        <w:numPr>
          <w:ilvl w:val="0"/>
          <w:numId w:val="1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Messrs. Long and Bramhall, the amounts reported above include outstanding Energy Transfer plan-based awards and outstanding Sunoco LP restricted units.</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As discussed in our Compensation Discussion and Analysis above, all amounts under the Energy Transfer NQDC Plan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discretionary credits) are immediately 100% vested. Upon a change of control (as defined in the Energy Transfer NQDC Plan), distributions from the respective plan would be made in accordance with the normal distribution provisions of the respective plan. A change of control is generally defined in the Energy Transfer NQDC Plan as any change of control event within the meaning of Treasury Regulation Section 1.409A-3(i)(5).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Section 953(b) of the Dodd-Frank Wall Street Reform and Consumer Protection Act, and Item 402(u) of Regulation S-K, set forth below is information about the relationship of the annual total compensation of Messrs. Long and McCrea, Co-Chief Executive Officers, and the annual total compensation of our employees.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2024 calendar year, the annual total compensation of Messrs. Long and McCrea, as reported in the Summary Compensation Table of this Item 11 was $20,233,701 and $20,236,471,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median total compensation of the employees supporting the Partnership (other than Messrs. Long and McCrea) was $154,025 for 2024.</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information, for 2024 the ratio of the annual total compensation of Messrs. Long and McCrea to the median of the annual total compensation of the employees supporting the Partnership as of December 31, 2024 was approximately 131 to 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identify the median of the annual total compensation of the employees supporting the Partnership, the following steps were taken:</w:t>
      </w:r>
    </w:p>
    <w:p>
      <w:pPr>
        <w:spacing w:after="0" w:line="117" w:lineRule="exact"/>
        <w:rPr>
          <w:sz w:val="20"/>
          <w:szCs w:val="20"/>
          <w:color w:val="auto"/>
        </w:rPr>
      </w:pPr>
    </w:p>
    <w:p>
      <w:pPr>
        <w:jc w:val="both"/>
        <w:ind w:left="340" w:hanging="332"/>
        <w:spacing w:after="0" w:line="266"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was determined that, as of December 31, 2024, the applicable employee populations consisted of 11,191 with all of the identified individuals being employed in the United States. This population consisted of all of our full-time and part-time employees. We did not engage any independent contractors in 2024 that are required to be included in our employee population for the CEO pay ratio evaluation.</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compared the total earnings of our employees as reflected in our payroll records as reported on Form W-2 for 2024.</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our median employee using W-2 reporting and applied this compensation measure consistently to all of our employees required to be included in the calculation. We did not make any cost of living adjustments in identifying the “median employee.”</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we identified our median employee, we combined all elements of the employee’s compensation for 2024 resulting in an annual compensation of $154,025 with total cash compensation of $132,260 The difference between such employee’s total earnings and the employee’s total compensation represents the estimated value of the employee’s health care benefits (estimated for the employee and such employee’s eligible dependents at $14,261) and the employee’s 401(k) matching contribution and profit sharing contribution (estimated at $7,504 per employee, includes $4,708 per employee on average matching contribution and $2,796 per employee on average profit sharing contribution (employees earning over $175,000 in base are ineligible for profit sharing)).</w:t>
      </w:r>
    </w:p>
    <w:p>
      <w:pPr>
        <w:spacing w:after="0" w:line="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Messrs. Long and McCrea, we used the amount reported in the “Total” column of our 2024 Summary Compensation Table under this Item 11.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the compensation arrangements for outside directors included a $100,000 annual retainer for services on the board. If a director served on the Energy Transfer Audit Committee, such director would receive an annual cash retainer ($15,000 or $25,000 in the case of the chairman). If a director served on the Energy Transfer Compensation Committee, such director would receive an annual cash retainer ($7,500 or $15,000 in the case of the chairman). The fees for membership on the Conflicts Committee are determined on a per instance basis for each committee assignment.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outside directors of our General Partner are also entitled to an annual restricted unit award under the Energy Transfer Incentive Plans equal to an aggregate of $125,000 based on the same grant date valuation as is used for annual long-term incentive awards made to Partnership officers, including the named executive officers, through the annual modified total unitholder return analysis. These Energy Transfer common units will vest 60% after the third year and the remaining 40% after the fifth year after the grant date. The compensation expense recorded is based on the grant-date market value of the Energy Transfer common units and is recognized over the vesting period. Distributions are paid during the vesting period.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paid to the non-employee directors of our General Partner in 2024 is reflected in the following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7"/>
                <w:szCs w:val="17"/>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Fees Paid in Cash</w:t>
            </w:r>
            <w:r>
              <w:rPr>
                <w:rFonts w:ascii="Times New Roman" w:cs="Times New Roman" w:eastAsia="Times New Roman" w:hAnsi="Times New Roman"/>
                <w:sz w:val="18"/>
                <w:szCs w:val="18"/>
                <w:b w:val="1"/>
                <w:bCs w:val="1"/>
                <w:color w:val="auto"/>
                <w:vertAlign w:val="superscript"/>
              </w:rPr>
              <w:t>(1)</w:t>
            </w:r>
          </w:p>
        </w:tc>
        <w:tc>
          <w:tcPr>
            <w:tcW w:w="360" w:type="dxa"/>
            <w:vAlign w:val="bottom"/>
          </w:tcPr>
          <w:p>
            <w:pPr>
              <w:spacing w:after="0"/>
              <w:rPr>
                <w:sz w:val="17"/>
                <w:szCs w:val="17"/>
                <w:color w:val="auto"/>
              </w:rPr>
            </w:pPr>
          </w:p>
        </w:tc>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Unit Awards</w:t>
            </w:r>
            <w:r>
              <w:rPr>
                <w:rFonts w:ascii="Times New Roman" w:cs="Times New Roman" w:eastAsia="Times New Roman" w:hAnsi="Times New Roman"/>
                <w:sz w:val="18"/>
                <w:szCs w:val="18"/>
                <w:b w:val="1"/>
                <w:bCs w:val="1"/>
                <w:color w:val="auto"/>
                <w:vertAlign w:val="superscript"/>
              </w:rPr>
              <w:t>(2)</w:t>
            </w:r>
          </w:p>
        </w:tc>
        <w:tc>
          <w:tcPr>
            <w:tcW w:w="19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90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Steven R. Anderson</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122,500</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152,950</w:t>
            </w:r>
          </w:p>
        </w:tc>
        <w:tc>
          <w:tcPr>
            <w:tcW w:w="1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ind w:right="174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275,450</w:t>
            </w:r>
          </w:p>
        </w:tc>
        <w:tc>
          <w:tcPr>
            <w:tcW w:w="0" w:type="dxa"/>
            <w:vAlign w:val="bottom"/>
          </w:tcPr>
          <w:p>
            <w:pPr>
              <w:spacing w:after="0"/>
              <w:rPr>
                <w:sz w:val="1"/>
                <w:szCs w:val="1"/>
                <w:color w:val="auto"/>
              </w:rPr>
            </w:pPr>
          </w:p>
        </w:tc>
      </w:tr>
      <w:tr>
        <w:trPr>
          <w:trHeight w:val="195"/>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Richard D. Brannon</w:t>
            </w:r>
          </w:p>
        </w:tc>
        <w:tc>
          <w:tcPr>
            <w:tcW w:w="3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152,950</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327,950</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Michael K. Grimm</w:t>
            </w: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152,950</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332,950</w:t>
            </w:r>
          </w:p>
        </w:tc>
        <w:tc>
          <w:tcPr>
            <w:tcW w:w="0" w:type="dxa"/>
            <w:vAlign w:val="bottom"/>
          </w:tcPr>
          <w:p>
            <w:pPr>
              <w:spacing w:after="0"/>
              <w:rPr>
                <w:sz w:val="1"/>
                <w:szCs w:val="1"/>
                <w:color w:val="auto"/>
              </w:rPr>
            </w:pPr>
          </w:p>
        </w:tc>
      </w:tr>
      <w:tr>
        <w:trPr>
          <w:trHeight w:val="195"/>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John W. McReynolds</w:t>
            </w:r>
          </w:p>
        </w:tc>
        <w:tc>
          <w:tcPr>
            <w:tcW w:w="3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152,950</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252,950</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James R. Perry</w:t>
            </w: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152,950</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252,950</w:t>
            </w:r>
          </w:p>
        </w:tc>
        <w:tc>
          <w:tcPr>
            <w:tcW w:w="0" w:type="dxa"/>
            <w:vAlign w:val="bottom"/>
          </w:tcPr>
          <w:p>
            <w:pPr>
              <w:spacing w:after="0"/>
              <w:rPr>
                <w:sz w:val="1"/>
                <w:szCs w:val="1"/>
                <w:color w:val="auto"/>
              </w:rPr>
            </w:pPr>
          </w:p>
        </w:tc>
      </w:tr>
      <w:tr>
        <w:trPr>
          <w:trHeight w:val="188"/>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Matthew S. Ramsey</w:t>
            </w:r>
          </w:p>
        </w:tc>
        <w:tc>
          <w:tcPr>
            <w:tcW w:w="3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152,950</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252,950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320" w:hanging="312"/>
        <w:spacing w:after="0"/>
        <w:tabs>
          <w:tab w:leader="none" w:pos="320" w:val="left"/>
        </w:tabs>
        <w:numPr>
          <w:ilvl w:val="0"/>
          <w:numId w:val="1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Fees paid in cash are based on amounts paid during the period.</w:t>
      </w:r>
    </w:p>
    <w:p>
      <w:pPr>
        <w:spacing w:after="0" w:line="89"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Equity award amounts reflect the aggregate grant date fair value of unit awards granted for the periods presented, computed in accordance with FASB ASC Topic 718, disregarding any estimates for forfeitures. See Note 9 to our consolidated financial statements included in “Item 8. Financial Statements and Supplementary Data” for additional assumptions underlying the value of the equity awards.</w:t>
      </w:r>
    </w:p>
    <w:p>
      <w:pPr>
        <w:spacing w:after="0" w:line="91" w:lineRule="exact"/>
        <w:rPr>
          <w:rFonts w:ascii="Times New Roman" w:cs="Times New Roman" w:eastAsia="Times New Roman" w:hAnsi="Times New Roman"/>
          <w:sz w:val="23"/>
          <w:szCs w:val="23"/>
          <w:color w:val="auto"/>
          <w:vertAlign w:val="superscript"/>
        </w:rPr>
      </w:pPr>
    </w:p>
    <w:p>
      <w:pPr>
        <w:ind w:left="340"/>
        <w:spacing w:after="0" w:line="28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discussed above, the number of units awarded is based on the annual award amount of $125,000 divided by the same grant-date valuation as is used for annual long-term incentive award to Partnership officers through the modified total unitholders return analysis.</w:t>
      </w:r>
    </w:p>
    <w:p>
      <w:pPr>
        <w:spacing w:after="0" w:line="53"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Current year amounts reflect annual awards granted on January 2, 2025.</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Mr. Anderson had 43,611 unvested Energy Transfer restricted units outstanding, Mr. Brannon had 43,611 unvested Energy Transfer restricted units outstanding, Mr. Grimm had 43,611 unvested Energy Transfer restricted units outstanding, Mr. McReynolds had 34,054 unvested Energy Transfer restricted units outstanding, Mr. Perry had 44,611 unvested Energy Transfer restricted units outstanding and Mr. Ramsey had 31,184 unvested Energy Transfer restricted units outstanding.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chairman and the employee directors do not receive compensation for their service on the board of our General Partner.</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UNITHOLDER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 tabular format, a summary of our equity plan information as of December 31, 2024:</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Plan Category</w:t>
      </w:r>
    </w:p>
    <w:p>
      <w:pPr>
        <w:spacing w:after="0" w:line="3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p>
      <w:pPr>
        <w:spacing w:after="0" w:line="39" w:lineRule="exact"/>
        <w:rPr>
          <w:sz w:val="20"/>
          <w:szCs w:val="20"/>
          <w:color w:val="auto"/>
        </w:rPr>
      </w:pPr>
    </w:p>
    <w:p>
      <w:pPr>
        <w:ind w:left="180" w:right="300" w:hanging="161"/>
        <w:spacing w:after="0" w:line="234"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175"/>
        </w:trPr>
        <w:tc>
          <w:tcPr>
            <w:tcW w:w="2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securities to</w:t>
            </w:r>
          </w:p>
        </w:tc>
        <w:tc>
          <w:tcPr>
            <w:tcW w:w="180" w:type="dxa"/>
            <w:vAlign w:val="bottom"/>
          </w:tcPr>
          <w:p>
            <w:pPr>
              <w:spacing w:after="0"/>
              <w:rPr>
                <w:sz w:val="15"/>
                <w:szCs w:val="15"/>
                <w:color w:val="auto"/>
              </w:rPr>
            </w:pPr>
          </w:p>
        </w:tc>
        <w:tc>
          <w:tcPr>
            <w:tcW w:w="1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2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remaining available for</w:t>
            </w:r>
          </w:p>
        </w:tc>
        <w:tc>
          <w:tcPr>
            <w:tcW w:w="0" w:type="dxa"/>
            <w:vAlign w:val="bottom"/>
          </w:tcPr>
          <w:p>
            <w:pPr>
              <w:spacing w:after="0"/>
              <w:rPr>
                <w:sz w:val="1"/>
                <w:szCs w:val="1"/>
                <w:color w:val="auto"/>
              </w:rPr>
            </w:pPr>
          </w:p>
        </w:tc>
      </w:tr>
      <w:tr>
        <w:trPr>
          <w:trHeight w:val="175"/>
        </w:trPr>
        <w:tc>
          <w:tcPr>
            <w:tcW w:w="2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2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future issuance under</w:t>
            </w:r>
          </w:p>
        </w:tc>
        <w:tc>
          <w:tcPr>
            <w:tcW w:w="0" w:type="dxa"/>
            <w:vAlign w:val="bottom"/>
          </w:tcPr>
          <w:p>
            <w:pPr>
              <w:spacing w:after="0"/>
              <w:rPr>
                <w:sz w:val="1"/>
                <w:szCs w:val="1"/>
                <w:color w:val="auto"/>
              </w:rPr>
            </w:pPr>
          </w:p>
        </w:tc>
      </w:tr>
      <w:tr>
        <w:trPr>
          <w:trHeight w:val="189"/>
        </w:trPr>
        <w:tc>
          <w:tcPr>
            <w:tcW w:w="23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be issued upon exercise</w:t>
            </w:r>
          </w:p>
        </w:tc>
        <w:tc>
          <w:tcPr>
            <w:tcW w:w="180" w:type="dxa"/>
            <w:vAlign w:val="bottom"/>
          </w:tcPr>
          <w:p>
            <w:pPr>
              <w:spacing w:after="0"/>
              <w:rPr>
                <w:sz w:val="16"/>
                <w:szCs w:val="16"/>
                <w:color w:val="auto"/>
              </w:rPr>
            </w:pPr>
          </w:p>
        </w:tc>
        <w:tc>
          <w:tcPr>
            <w:tcW w:w="192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exercise price of</w:t>
            </w:r>
          </w:p>
        </w:tc>
        <w:tc>
          <w:tcPr>
            <w:tcW w:w="25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equity compensation plans</w:t>
            </w:r>
          </w:p>
        </w:tc>
        <w:tc>
          <w:tcPr>
            <w:tcW w:w="0" w:type="dxa"/>
            <w:vAlign w:val="bottom"/>
          </w:tcPr>
          <w:p>
            <w:pPr>
              <w:spacing w:after="0"/>
              <w:rPr>
                <w:sz w:val="1"/>
                <w:szCs w:val="1"/>
                <w:color w:val="auto"/>
              </w:rPr>
            </w:pPr>
          </w:p>
        </w:tc>
      </w:tr>
      <w:tr>
        <w:trPr>
          <w:trHeight w:val="176"/>
        </w:trPr>
        <w:tc>
          <w:tcPr>
            <w:tcW w:w="23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of outstanding options,</w:t>
            </w:r>
          </w:p>
        </w:tc>
        <w:tc>
          <w:tcPr>
            <w:tcW w:w="180" w:type="dxa"/>
            <w:vAlign w:val="bottom"/>
          </w:tcPr>
          <w:p>
            <w:pPr>
              <w:spacing w:after="0"/>
              <w:rPr>
                <w:sz w:val="15"/>
                <w:szCs w:val="15"/>
                <w:color w:val="auto"/>
              </w:rPr>
            </w:pPr>
          </w:p>
        </w:tc>
        <w:tc>
          <w:tcPr>
            <w:tcW w:w="19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2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(excluding securities</w:t>
            </w:r>
          </w:p>
        </w:tc>
        <w:tc>
          <w:tcPr>
            <w:tcW w:w="0" w:type="dxa"/>
            <w:vAlign w:val="bottom"/>
          </w:tcPr>
          <w:p>
            <w:pPr>
              <w:spacing w:after="0"/>
              <w:rPr>
                <w:sz w:val="1"/>
                <w:szCs w:val="1"/>
                <w:color w:val="auto"/>
              </w:rPr>
            </w:pPr>
          </w:p>
        </w:tc>
      </w:tr>
      <w:tr>
        <w:trPr>
          <w:trHeight w:val="175"/>
        </w:trPr>
        <w:tc>
          <w:tcPr>
            <w:tcW w:w="23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warrants and rights</w:t>
            </w:r>
          </w:p>
        </w:tc>
        <w:tc>
          <w:tcPr>
            <w:tcW w:w="180" w:type="dxa"/>
            <w:vAlign w:val="bottom"/>
          </w:tcPr>
          <w:p>
            <w:pPr>
              <w:spacing w:after="0"/>
              <w:rPr>
                <w:sz w:val="15"/>
                <w:szCs w:val="15"/>
                <w:color w:val="auto"/>
              </w:rPr>
            </w:pPr>
          </w:p>
        </w:tc>
        <w:tc>
          <w:tcPr>
            <w:tcW w:w="19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9"/>
              </w:rPr>
              <w:t>warrants and rights</w:t>
            </w:r>
          </w:p>
        </w:tc>
        <w:tc>
          <w:tcPr>
            <w:tcW w:w="2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reflected in column (a))</w:t>
            </w:r>
          </w:p>
        </w:tc>
        <w:tc>
          <w:tcPr>
            <w:tcW w:w="0" w:type="dxa"/>
            <w:vAlign w:val="bottom"/>
          </w:tcPr>
          <w:p>
            <w:pPr>
              <w:spacing w:after="0"/>
              <w:rPr>
                <w:sz w:val="1"/>
                <w:szCs w:val="1"/>
                <w:color w:val="auto"/>
              </w:rPr>
            </w:pPr>
          </w:p>
        </w:tc>
      </w:tr>
      <w:tr>
        <w:trPr>
          <w:trHeight w:val="243"/>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180" w:type="dxa"/>
            <w:vAlign w:val="bottom"/>
          </w:tcPr>
          <w:p>
            <w:pPr>
              <w:spacing w:after="0"/>
              <w:rPr>
                <w:sz w:val="21"/>
                <w:szCs w:val="21"/>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28"/>
        </w:trPr>
        <w:tc>
          <w:tcPr>
            <w:tcW w:w="2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36,119,806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38,573,100</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36,119,806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38,573,100</w:t>
            </w:r>
          </w:p>
        </w:tc>
        <w:tc>
          <w:tcPr>
            <w:tcW w:w="0" w:type="dxa"/>
            <w:vAlign w:val="bottom"/>
          </w:tcPr>
          <w:p>
            <w:pPr>
              <w:spacing w:after="0"/>
              <w:rPr>
                <w:sz w:val="1"/>
                <w:szCs w:val="1"/>
                <w:color w:val="auto"/>
              </w:rPr>
            </w:pP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-187960</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-607695</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220"/>
            <w:col w:w="6920"/>
          </w:cols>
          <w:pgMar w:left="320" w:top="11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Transfer LP Units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February 7, 2025, regarding the beneficial ownership of our voting securities by (i) certain beneficial owners of more than 5% of our Common Units, (ii) each director and named executive officer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General Partner and (iii) all current directors and executive officers of our General Partner as a group. The General Partner knows of no other person not disclosed herein who beneficially owns more than 5% of our Common Units.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4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8"/>
                <w:szCs w:val="18"/>
                <w:color w:val="auto"/>
              </w:rPr>
              <w:t>Name and Address of</w:t>
            </w:r>
          </w:p>
        </w:tc>
        <w:tc>
          <w:tcPr>
            <w:tcW w:w="29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 xml:space="preserve">Beneficially Owned </w:t>
            </w:r>
            <w:r>
              <w:rPr>
                <w:rFonts w:ascii="Times New Roman" w:cs="Times New Roman" w:eastAsia="Times New Roman" w:hAnsi="Times New Roman"/>
                <w:sz w:val="23"/>
                <w:szCs w:val="23"/>
                <w:color w:val="auto"/>
                <w:vertAlign w:val="superscript"/>
              </w:rPr>
              <w:t>(2)</w:t>
            </w:r>
          </w:p>
        </w:tc>
        <w:tc>
          <w:tcPr>
            <w:tcW w:w="288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Percent of Class</w:t>
            </w:r>
          </w:p>
        </w:tc>
        <w:tc>
          <w:tcPr>
            <w:tcW w:w="0" w:type="dxa"/>
            <w:vAlign w:val="bottom"/>
          </w:tcPr>
          <w:p>
            <w:pPr>
              <w:spacing w:after="0"/>
              <w:rPr>
                <w:sz w:val="1"/>
                <w:szCs w:val="1"/>
                <w:color w:val="auto"/>
              </w:rPr>
            </w:pPr>
          </w:p>
        </w:tc>
      </w:tr>
      <w:tr>
        <w:trPr>
          <w:trHeight w:val="169"/>
        </w:trPr>
        <w:tc>
          <w:tcPr>
            <w:tcW w:w="5440" w:type="dxa"/>
            <w:vAlign w:val="bottom"/>
            <w:gridSpan w:val="2"/>
            <w:vMerge w:val="continue"/>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Class A</w:t>
            </w:r>
          </w:p>
        </w:tc>
        <w:tc>
          <w:tcPr>
            <w:tcW w:w="10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ind w:left="1940"/>
              <w:spacing w:after="0" w:line="243" w:lineRule="exact"/>
              <w:rPr>
                <w:sz w:val="20"/>
                <w:szCs w:val="20"/>
                <w:color w:val="auto"/>
              </w:rPr>
            </w:pPr>
            <w:r>
              <w:rPr>
                <w:rFonts w:ascii="Times New Roman" w:cs="Times New Roman" w:eastAsia="Times New Roman" w:hAnsi="Times New Roman"/>
                <w:sz w:val="18"/>
                <w:szCs w:val="18"/>
                <w:color w:val="auto"/>
              </w:rPr>
              <w:t xml:space="preserve">Beneficial Owner </w:t>
            </w:r>
            <w:r>
              <w:rPr>
                <w:rFonts w:ascii="Times New Roman" w:cs="Times New Roman" w:eastAsia="Times New Roman" w:hAnsi="Times New Roman"/>
                <w:sz w:val="23"/>
                <w:szCs w:val="23"/>
                <w:color w:val="auto"/>
                <w:vertAlign w:val="superscript"/>
              </w:rPr>
              <w:t>(1)</w:t>
            </w: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Units</w:t>
            </w:r>
          </w:p>
        </w:tc>
        <w:tc>
          <w:tcPr>
            <w:tcW w:w="146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color w:val="auto"/>
                <w:w w:val="91"/>
              </w:rPr>
              <w:t>Units</w:t>
            </w:r>
            <w:r>
              <w:rPr>
                <w:rFonts w:ascii="Times New Roman" w:cs="Times New Roman" w:eastAsia="Times New Roman" w:hAnsi="Times New Roman"/>
                <w:sz w:val="23"/>
                <w:szCs w:val="23"/>
                <w:color w:val="auto"/>
                <w:w w:val="91"/>
                <w:vertAlign w:val="superscript"/>
              </w:rPr>
              <w:t>(3)</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Units</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Class A Units</w:t>
            </w:r>
          </w:p>
        </w:tc>
        <w:tc>
          <w:tcPr>
            <w:tcW w:w="0" w:type="dxa"/>
            <w:vAlign w:val="bottom"/>
          </w:tcPr>
          <w:p>
            <w:pPr>
              <w:spacing w:after="0"/>
              <w:rPr>
                <w:sz w:val="1"/>
                <w:szCs w:val="1"/>
                <w:color w:val="auto"/>
              </w:rPr>
            </w:pPr>
          </w:p>
        </w:tc>
      </w:tr>
      <w:tr>
        <w:trPr>
          <w:trHeight w:val="223"/>
        </w:trPr>
        <w:tc>
          <w:tcPr>
            <w:tcW w:w="53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Kelcy L. Warren </w:t>
            </w:r>
            <w:r>
              <w:rPr>
                <w:rFonts w:ascii="Times New Roman" w:cs="Times New Roman" w:eastAsia="Times New Roman" w:hAnsi="Times New Roman"/>
                <w:sz w:val="23"/>
                <w:szCs w:val="23"/>
                <w:color w:val="auto"/>
                <w:vertAlign w:val="superscript"/>
              </w:rPr>
              <w:t>(4)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232,221,507</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849,249,512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E. Long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1,555,831</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Marshall S. (Mackie) McCrea, III </w:t>
            </w:r>
            <w:r>
              <w:rPr>
                <w:rFonts w:ascii="Times New Roman" w:cs="Times New Roman" w:eastAsia="Times New Roman" w:hAnsi="Times New Roman"/>
                <w:sz w:val="23"/>
                <w:szCs w:val="23"/>
                <w:color w:val="auto"/>
                <w:vertAlign w:val="superscript"/>
              </w:rPr>
              <w:t>(5)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4,361,151</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Dylan A. Bramhall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177,591</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M. Wright, Jr.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346,566</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Gregory G. McIlwain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243,040</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Troy Sturrock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171,320</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4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Steven R. Anderson </w:t>
            </w:r>
            <w:r>
              <w:rPr>
                <w:rFonts w:ascii="Times New Roman" w:cs="Times New Roman" w:eastAsia="Times New Roman" w:hAnsi="Times New Roman"/>
                <w:sz w:val="23"/>
                <w:szCs w:val="23"/>
                <w:color w:val="auto"/>
                <w:vertAlign w:val="superscript"/>
              </w:rPr>
              <w:t>(6)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1,578,944</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Richard D. Brannon </w:t>
            </w:r>
            <w:r>
              <w:rPr>
                <w:rFonts w:ascii="Times New Roman" w:cs="Times New Roman" w:eastAsia="Times New Roman" w:hAnsi="Times New Roman"/>
                <w:sz w:val="23"/>
                <w:szCs w:val="23"/>
                <w:color w:val="auto"/>
                <w:vertAlign w:val="superscript"/>
              </w:rPr>
              <w:t>(7)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718,833</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Michael K. Grimm </w:t>
            </w:r>
            <w:r>
              <w:rPr>
                <w:rFonts w:ascii="Times New Roman" w:cs="Times New Roman" w:eastAsia="Times New Roman" w:hAnsi="Times New Roman"/>
                <w:sz w:val="23"/>
                <w:szCs w:val="23"/>
                <w:color w:val="auto"/>
                <w:vertAlign w:val="superscript"/>
              </w:rPr>
              <w:t>(8)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851,791</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John W. McReynolds </w:t>
            </w:r>
            <w:r>
              <w:rPr>
                <w:rFonts w:ascii="Times New Roman" w:cs="Times New Roman" w:eastAsia="Times New Roman" w:hAnsi="Times New Roman"/>
                <w:sz w:val="23"/>
                <w:szCs w:val="23"/>
                <w:color w:val="auto"/>
                <w:vertAlign w:val="superscript"/>
              </w:rPr>
              <w:t>(9)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3,023,288</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 Perry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146,770</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S. Ramsey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1,127,011</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(13 persons)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246,523,643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849,249,512</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20" w:hanging="312"/>
        <w:spacing w:after="0"/>
        <w:tabs>
          <w:tab w:leader="none" w:pos="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87" w:lineRule="exact"/>
        <w:rPr>
          <w:sz w:val="20"/>
          <w:szCs w:val="20"/>
          <w:color w:val="auto"/>
        </w:rPr>
      </w:pPr>
    </w:p>
    <w:p>
      <w:pPr>
        <w:ind w:left="320" w:hanging="312"/>
        <w:spacing w:after="0"/>
        <w:tabs>
          <w:tab w:leader="none" w:pos="320" w:val="left"/>
        </w:tabs>
        <w:numPr>
          <w:ilvl w:val="0"/>
          <w:numId w:val="1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address for all listed beneficial owners is 8111 Westchester Drive, Suite 600, Dallas, Texas 75225.</w:t>
      </w:r>
    </w:p>
    <w:p>
      <w:pPr>
        <w:spacing w:after="0" w:line="89" w:lineRule="exact"/>
        <w:rPr>
          <w:rFonts w:ascii="Times New Roman" w:cs="Times New Roman" w:eastAsia="Times New Roman" w:hAnsi="Times New Roman"/>
          <w:sz w:val="23"/>
          <w:szCs w:val="23"/>
          <w:color w:val="auto"/>
          <w:vertAlign w:val="superscript"/>
        </w:rPr>
      </w:pPr>
    </w:p>
    <w:p>
      <w:pPr>
        <w:jc w:val="both"/>
        <w:ind w:left="340" w:hanging="332"/>
        <w:spacing w:after="0" w:line="241" w:lineRule="auto"/>
        <w:tabs>
          <w:tab w:leader="none" w:pos="328" w:val="left"/>
        </w:tabs>
        <w:numPr>
          <w:ilvl w:val="0"/>
          <w:numId w:val="1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Beneficial ownership for the purposes of this table is defined by Rule 13d-3 under the Exchange Act of 1934. Under that rule, a person is generally considered to be the beneficial owner of a security if he has or shares the power to vote or direct the voting thereof or to dispose or direct the disposition thereof or has the right to acquire either of those powers within sixty days. The nature of beneficial ownership for all listed persons is direct with sole investment and disposition power unless otherwise noted. The beneficial ownership of each listed person is based on 3,431,214,964 common units outstanding in the aggregate as of February 7, 2025.</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45" w:lineRule="auto"/>
        <w:tabs>
          <w:tab w:leader="none" w:pos="328" w:val="left"/>
        </w:tabs>
        <w:numPr>
          <w:ilvl w:val="0"/>
          <w:numId w:val="1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Energy Transfer Class A Units are entitled to vote together with the Partnership’s common units and are not entitled to distributions and otherwise have no economic attributes. The Energy Transfer Class A Units are not convertible into, or exchangeable for, Partnership common units. Under the terms of the Energy Transfer Class A Units, upon the issuance by the Partnership of additional common units or any securities that have voting rights that are pari passu with the Partnership common units, the Partnership will issue to the general partner additional Energy Transfer Class A Units such that Mr. Warren, through his majority ownership of our general partner, maintains the approximately 20% voting percentage in the Partnership represented by such Energy Transfer Class A Units equivalent to such Energy Transfer Class A Unit voting interest prior to such issuance of additional common units. This provision of the Energy Transfer Class A Units shall terminate at such time as Mr. Warren ceases to be an officer or director of our general partner, provided that all Energy Transfer Class A Units outstanding at such time shall be unchanged and remain outstanding. Mr. Warren’s combined common unit and Energy Transfer Class A Unit ownership results in a voting interest in the Partnership of 25%.</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45" w:lineRule="auto"/>
        <w:tabs>
          <w:tab w:leader="none" w:pos="328" w:val="left"/>
        </w:tabs>
        <w:numPr>
          <w:ilvl w:val="0"/>
          <w:numId w:val="1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123,385,650 common units held by Kelcy Warren Partners, L.P. and 10,224,429 common units held by Kelcy Warren Partners II, L.P., the general partners of which are owned by Mr. Warren. Also includes 100,577,803 common units held by Kelcy Warren Partners III, LLC formerly known as Seven Bridges Holdings, LLC, of which Mr. Warren is a member. Also includes 328,383 common units attributable to the interest of Mr. Warren in ET Company Ltd and Three Dawaco, Inc., over which Mr. Warren exercises shared voting and dispositive power with Ray Davis. Also includes 601,076 common units and 849,249,512 Energy Transfer Class A Units held by LE GP, LLC. Mr. Warren may be deemed to own common units and Energy Transfer Class A Units held by LE GP, LLC due to his ownership of 81.2% of its member interests. Mr. Warren disclaims beneficial ownership of common units and Energy Transfer Class A Units owned by LE GP, LLC other than to the extent of his interest in such entity. Mr. Warren’s combined common unit and Energy Transfer Class A Unit ownership results in a voting interest in the Partnership of 25%.</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right="20" w:hanging="332"/>
        <w:spacing w:after="0" w:line="229" w:lineRule="auto"/>
        <w:tabs>
          <w:tab w:leader="none" w:pos="328" w:val="left"/>
        </w:tabs>
        <w:numPr>
          <w:ilvl w:val="0"/>
          <w:numId w:val="1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45,389 common units held by a trust for the benefit of Mr. McCrea’s son, for which Mr. McCrea serves as trustee. Mr. McCrea disclaims beneficial ownership of these units.</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1,544,558 common units held by Steven R. Anderson Revocable Trust, for which Mr. Anderson serves as trustee. Includes 603,100 common units pledged as collateral for a line of credit.</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580,000 common units held by B4 Capital Investments, LP, a limited partnership of which a limited liability company owned by Mr. Brannon and his wife is the sole general partner and of which Mr. Brannon and his wife are the sole limited partners.</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629,112 common units held Grimm Family Limited Partnership, a limited partnership of which a limited liability company owned by Mr. Grimm is the sole general partner. Also includes 10,570 common units held by two trusts for the benefit of Mr Grimm’s children, for which Mr. Grimm serves as trustee.</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17,445,608 common units held by McReynolds Energy Partners L.P. and 12,142,593 common units held by McReynolds Equity Partners L.P., the general partners of which are owned by Mr. McReynolds. Mr. McReynolds disclaims beneficial ownership of common units owned by such limited partnerships other than to the extent of his interest in such entities.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Partnership’s principal sources of cash flow are derived from cash flows from the operations of its subsidiaries, including its direct and indirect investments in the limited partner and general partner interests in Sunoco LP and USAC, both of which are limited partnerships engaged in energy-related services.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its director independence determination, the Board considered the nature and extent of any business, employment or familial relationships between the Partnership and each such director and/or any person or entity with which he is affiliated, and determined that no such relationships impacted such director’s independence.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director independence, see “Item 10. Directors, Executive Officers and Corporate Governance.”</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policy matter, our Conflicts Committee generally reviews any proposed related party transaction that may be material to the Partnership to determine whether the transaction is fair and reasonable to the Partnership. The Partnership’s board of directors makes the determinations as to whether there exists a related party transaction in the normal course of reviewing transactions for approval as the Partnership’s board of directors is advised by its management of the parties involved in each material transaction as to which the board of directors’ approval is sought by the Partnership’s management. In addition, the Partnership’s board of directors makes inquiries to independently ascertain whether related parties may have an interest in the proposed transaction. While there are no written policies or procedures for the board of directors to follow in making these determinations, the Partnership’s board makes those determinations in light of its contractually-limited fiduciary duties to the Unitholders. The Partnership Agreement of Energy Transfer provides that any matter approved by the Conflicts Committee will be conclusively deemed to be fair and reasonable to Energy Transfer, approved by all the partners of Energy Transfer and not a breach by the General Partner or its Board of Directors of any duties they may owe Energy Transfer or the Unitholders (see “Risks Related to Conflicts of Interest” in “Item 1A. Risk Factors” in this annual report).</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on our related party transactions is included in Note 2 to our consolidated financial statements included in “Item 8. Financial Statements and Supplementary Data.”</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sets forth fees billed by Grant Thornton LLP for the audit of our annual financial statements and other services rendered (dollars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440" w:type="dxa"/>
            <w:vAlign w:val="bottom"/>
            <w:tcBorders>
              <w:bottom w:val="single" w:sz="8" w:color="auto"/>
            </w:tcBorders>
          </w:tcPr>
          <w:p>
            <w:pPr>
              <w:spacing w:after="0"/>
              <w:rPr>
                <w:sz w:val="20"/>
                <w:szCs w:val="20"/>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19"/>
                <w:szCs w:val="19"/>
                <w:color w:val="auto"/>
              </w:rPr>
            </w:pPr>
          </w:p>
        </w:tc>
      </w:tr>
      <w:tr>
        <w:trPr>
          <w:trHeight w:val="223"/>
        </w:trPr>
        <w:tc>
          <w:tcPr>
            <w:tcW w:w="8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3"/>
                <w:szCs w:val="23"/>
                <w:color w:val="auto"/>
                <w:vertAlign w:val="superscript"/>
              </w:rPr>
              <w:t>(2)</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(3)</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right="20" w:hanging="332"/>
        <w:spacing w:after="0" w:line="229" w:lineRule="auto"/>
        <w:tabs>
          <w:tab w:leader="none" w:pos="328" w:val="left"/>
        </w:tabs>
        <w:numPr>
          <w:ilvl w:val="0"/>
          <w:numId w:val="1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fees for audits of annual financial statements of our companies, reviews of the related quarterly financial statements and services that are normally provided by the independent accountants in connection with statutory 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regulatory filings or engagements, including reviews of documents filed with the SEC and services related to the audit of our internal control over financial reporting.</w:t>
      </w:r>
    </w:p>
    <w:p>
      <w:pPr>
        <w:spacing w:after="0" w:line="23" w:lineRule="exact"/>
        <w:rPr>
          <w:sz w:val="20"/>
          <w:szCs w:val="20"/>
          <w:color w:val="auto"/>
        </w:rPr>
      </w:pPr>
    </w:p>
    <w:p>
      <w:pPr>
        <w:ind w:left="320" w:hanging="312"/>
        <w:spacing w:after="0"/>
        <w:tabs>
          <w:tab w:leader="none" w:pos="320" w:val="left"/>
        </w:tabs>
        <w:numPr>
          <w:ilvl w:val="0"/>
          <w:numId w:val="1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fees for audit-related services of subsidiary entities.</w:t>
      </w:r>
    </w:p>
    <w:p>
      <w:pPr>
        <w:spacing w:after="0" w:line="68" w:lineRule="exact"/>
        <w:rPr>
          <w:rFonts w:ascii="Times New Roman" w:cs="Times New Roman" w:eastAsia="Times New Roman" w:hAnsi="Times New Roman"/>
          <w:sz w:val="23"/>
          <w:szCs w:val="23"/>
          <w:color w:val="auto"/>
          <w:vertAlign w:val="superscript"/>
        </w:rPr>
      </w:pPr>
    </w:p>
    <w:p>
      <w:pPr>
        <w:ind w:left="320" w:hanging="312"/>
        <w:spacing w:after="0" w:line="231" w:lineRule="auto"/>
        <w:tabs>
          <w:tab w:leader="none" w:pos="320" w:val="left"/>
        </w:tabs>
        <w:numPr>
          <w:ilvl w:val="0"/>
          <w:numId w:val="1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fees for tax consulting and tax compliance services.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charter of the Audit Committee, the Audit Committee is responsible for the oversight of our accounting, reporting and financial practices. The Audit Committee has the responsibility to select, appoint, engage, oversee, retain, evaluate and terminate our external auditors; pre-approve all audit and non-audit services to be provided, consistent with all applicable laws, to us by our external auditors; and establish the fees and other compensation to be paid to our external auditors. The Audit Committee also oversees and directs our internal auditing program and reviews our internal controls.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audit and permitted non-audit services provided by our principal independent accountants. The policy requires that all services provided by Grant Thornton LLP including audit services, audit-related services, tax services and other services, must be pre-approved by the Audit Committee. All fees paid or expected to be paid to Grant Thornton LLP for fiscal years 2024 and 2023 were pre-approved by the Audit Committee in accordance with this policy.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reviews the external auditors’ proposed scope and approach as well as the performance of the external auditors. It also has direct responsibility for and sole authority to resolve any disagreements between our management and our external auditors regarding financial reporting, regularly reviews with the external auditors any problems or difficulties the auditors encountered in the course of their audit work, and, at least annually, uses its reasonable efforts to obtain and review a report from the external auditors addressing the following (among other items):</w:t>
      </w:r>
    </w:p>
    <w:p>
      <w:pPr>
        <w:spacing w:after="0" w:line="72" w:lineRule="exact"/>
        <w:rPr>
          <w:sz w:val="20"/>
          <w:szCs w:val="20"/>
          <w:color w:val="auto"/>
        </w:rPr>
      </w:pPr>
    </w:p>
    <w:p>
      <w:pPr>
        <w:ind w:left="320" w:hanging="312"/>
        <w:spacing w:after="0"/>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internal quality-control procedures;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issues raised by the most recent internal quality-control review, or peer review, of the external auditors;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independence of the external auditors;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fees billed by our external auditors for each of the previous two years;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rotation of the lead partner.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98"/>
        </w:trPr>
        <w:tc>
          <w:tcPr>
            <w:tcW w:w="760" w:type="dxa"/>
            <w:vAlign w:val="bottom"/>
          </w:tcPr>
          <w:p>
            <w:pPr>
              <w:spacing w:after="0"/>
              <w:rPr>
                <w:sz w:val="24"/>
                <w:szCs w:val="24"/>
                <w:color w:val="auto"/>
              </w:rPr>
            </w:pPr>
          </w:p>
        </w:tc>
        <w:tc>
          <w:tcPr>
            <w:tcW w:w="9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ITEM 15. EXHIBITS AND FINANCIAL STATEMENT SCHEDULES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40"/>
        </w:trPr>
        <w:tc>
          <w:tcPr>
            <w:tcW w:w="10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Page</w:t>
            </w:r>
          </w:p>
        </w:tc>
        <w:tc>
          <w:tcPr>
            <w:tcW w:w="440" w:type="dxa"/>
            <w:vAlign w:val="bottom"/>
            <w:gridSpan w:val="3"/>
          </w:tcPr>
          <w:p>
            <w:pPr>
              <w:spacing w:after="0"/>
              <w:rPr>
                <w:sz w:val="24"/>
                <w:szCs w:val="24"/>
                <w:color w:val="auto"/>
              </w:rPr>
            </w:pPr>
          </w:p>
        </w:tc>
      </w:tr>
      <w:tr>
        <w:trPr>
          <w:trHeight w:val="37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Statements – see Index to Financial Statements</w:t>
            </w:r>
          </w:p>
        </w:tc>
        <w:tc>
          <w:tcPr>
            <w:tcW w:w="18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 - 1</w:t>
            </w:r>
          </w:p>
        </w:tc>
      </w:tr>
      <w:tr>
        <w:trPr>
          <w:trHeight w:val="4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Statement Schedules – None</w:t>
            </w:r>
          </w:p>
        </w:tc>
        <w:tc>
          <w:tcPr>
            <w:tcW w:w="1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Exhibits – see Index to Exhibits</w:t>
            </w:r>
          </w:p>
        </w:tc>
        <w:tc>
          <w:tcPr>
            <w:tcW w:w="5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0000FF"/>
              </w:rPr>
              <w:t>164</w:t>
            </w:r>
          </w:p>
        </w:tc>
        <w:tc>
          <w:tcPr>
            <w:tcW w:w="280" w:type="dxa"/>
            <w:vAlign w:val="bottom"/>
          </w:tcPr>
          <w:p>
            <w:pPr>
              <w:spacing w:after="0"/>
              <w:rPr>
                <w:sz w:val="24"/>
                <w:szCs w:val="24"/>
                <w:color w:val="auto"/>
              </w:rPr>
            </w:pPr>
          </w:p>
        </w:tc>
      </w:tr>
      <w:tr>
        <w:trPr>
          <w:trHeight w:val="884"/>
        </w:trPr>
        <w:tc>
          <w:tcPr>
            <w:tcW w:w="760" w:type="dxa"/>
            <w:vAlign w:val="bottom"/>
          </w:tcPr>
          <w:p>
            <w:pPr>
              <w:spacing w:after="0"/>
              <w:rPr>
                <w:sz w:val="24"/>
                <w:szCs w:val="24"/>
                <w:color w:val="auto"/>
              </w:rPr>
            </w:pPr>
          </w:p>
        </w:tc>
        <w:tc>
          <w:tcPr>
            <w:tcW w:w="5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listed on the following Exhibit Index are filed as part of this report. Exhibits required by Item 601 of Regulation S-K, but which are not listed below, are not applicable.</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9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460" w:type="dxa"/>
            <w:vAlign w:val="bottom"/>
            <w:gridSpan w:val="39"/>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900" w:type="dxa"/>
            <w:vAlign w:val="bottom"/>
            <w:gridSpan w:val="5"/>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460" w:type="dxa"/>
            <w:vAlign w:val="bottom"/>
            <w:gridSpan w:val="3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4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gridSpan w:val="2"/>
          </w:tcPr>
          <w:p>
            <w:pPr>
              <w:spacing w:after="0"/>
              <w:rPr>
                <w:rFonts w:ascii="Times New Roman" w:cs="Times New Roman" w:eastAsia="Times New Roman" w:hAnsi="Times New Roman"/>
                <w:sz w:val="18"/>
                <w:szCs w:val="18"/>
                <w:color w:val="0000FF"/>
                <w:w w:val="97"/>
              </w:rPr>
            </w:pPr>
            <w:hyperlink r:id="rId19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Certificate of Limited Partnership of Energy Transfer Equity, L.P. (incorporated by reference to Exhibit 3.2 to Form S-1 (File No. 333-</w:t>
              </w:r>
            </w:hyperlink>
          </w:p>
        </w:tc>
        <w:tc>
          <w:tcPr>
            <w:tcW w:w="0" w:type="dxa"/>
            <w:vAlign w:val="bottom"/>
          </w:tcPr>
          <w:p>
            <w:pPr>
              <w:spacing w:after="0"/>
              <w:rPr>
                <w:sz w:val="1"/>
                <w:szCs w:val="1"/>
                <w:color w:val="auto"/>
              </w:rPr>
            </w:pPr>
          </w:p>
        </w:tc>
      </w:tr>
      <w:tr>
        <w:trPr>
          <w:trHeight w:val="156"/>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128097) filed September 2, 2005)</w:t>
              </w:r>
            </w:hyperlink>
          </w:p>
        </w:tc>
        <w:tc>
          <w:tcPr>
            <w:tcW w:w="76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5"/>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w:t>
              </w:r>
            </w:hyperlink>
          </w:p>
        </w:tc>
        <w:tc>
          <w:tcPr>
            <w:tcW w:w="260" w:type="dxa"/>
            <w:vAlign w:val="bottom"/>
          </w:tcPr>
          <w:p>
            <w:pPr>
              <w:spacing w:after="0"/>
              <w:rPr>
                <w:sz w:val="19"/>
                <w:szCs w:val="19"/>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Certificate of Amendment to Certificate of Limited Partnership of Energy Transfer LP (incorporated by reference to Exhibit 3.1 to Form 8-</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K (File No. 1-32740) filed October 19, 2018)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3"/>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Fourth Amended and Restated Agreement of Limited Partnership of Energy Transfer LP, dated November 3, 2023 (incorporated by</w:t>
              </w:r>
            </w:hyperlink>
          </w:p>
        </w:tc>
        <w:tc>
          <w:tcPr>
            <w:tcW w:w="0" w:type="dxa"/>
            <w:vAlign w:val="bottom"/>
          </w:tcPr>
          <w:p>
            <w:pPr>
              <w:spacing w:after="0"/>
              <w:rPr>
                <w:sz w:val="1"/>
                <w:szCs w:val="1"/>
                <w:color w:val="auto"/>
              </w:rPr>
            </w:pPr>
          </w:p>
        </w:tc>
      </w:tr>
      <w:tr>
        <w:trPr>
          <w:trHeight w:val="156"/>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reference to Exhibit 3.2 to Form 8-K (File No. 1-32740) filed November 6,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3"/>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Indenture, dated September 20, 2010 between Energy Transfer Equity, L.P. and U.S. Bank National Association, as trustee (incorporated by</w:t>
              </w:r>
            </w:hyperlink>
          </w:p>
        </w:tc>
        <w:tc>
          <w:tcPr>
            <w:tcW w:w="0" w:type="dxa"/>
            <w:vAlign w:val="bottom"/>
          </w:tcPr>
          <w:p>
            <w:pPr>
              <w:spacing w:after="0"/>
              <w:rPr>
                <w:sz w:val="1"/>
                <w:szCs w:val="1"/>
                <w:color w:val="auto"/>
              </w:rPr>
            </w:pPr>
          </w:p>
        </w:tc>
      </w:tr>
      <w:tr>
        <w:trPr>
          <w:trHeight w:val="156"/>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reference to Exhibit 4.1 to Form 8-K (File No. 1-32740) filed September 20,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3"/>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Seventh Supplemental Indenture, dated May 22, 2015 between Energy Transfer Equity, L.P. and U.S. Bank National Association, as trustee</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(including form of the Notes) (incorporated by reference to Exhibit 4.2 to Form 8-K (File No. 1-32740) filed May 22,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3"/>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Ninth Supplemental Indenture, dated as of March 25, 2019, between Energy Transfer LP and U.S. Bank National Association as trustee</w:t>
              </w:r>
            </w:hyperlink>
          </w:p>
        </w:tc>
        <w:tc>
          <w:tcPr>
            <w:tcW w:w="0" w:type="dxa"/>
            <w:vAlign w:val="bottom"/>
          </w:tcPr>
          <w:p>
            <w:pPr>
              <w:spacing w:after="0"/>
              <w:rPr>
                <w:sz w:val="1"/>
                <w:szCs w:val="1"/>
                <w:color w:val="auto"/>
              </w:rPr>
            </w:pPr>
          </w:p>
        </w:tc>
      </w:tr>
      <w:tr>
        <w:trPr>
          <w:trHeight w:val="156"/>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(incorporated by reference to Exhibit 4.2 to Form 8-K (File No. 1-32740) filed March 27, 2019)</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3"/>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Indenture dated January 18, 2005 among Energy Transfer Partners, L.P., the subsidiary guarantors named therein and Wachovia Bank,</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3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National Association, as trustee (incorporated by reference to Exhibit 4.1 to Form 8-K (File No. 1-11727) filed January 19, 2005)</w:t>
              </w:r>
            </w:hyperlink>
          </w:p>
        </w:tc>
        <w:tc>
          <w:tcPr>
            <w:tcW w:w="10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gridSpan w:val="3"/>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Fifth Supplemental Indenture dated as of October 23, 2006 to Indenture dated January 18, 2005, among Energy Transfer Partners, L.P, the</w:t>
              </w:r>
            </w:hyperlink>
          </w:p>
        </w:tc>
        <w:tc>
          <w:tcPr>
            <w:tcW w:w="0" w:type="dxa"/>
            <w:vAlign w:val="bottom"/>
          </w:tcPr>
          <w:p>
            <w:pPr>
              <w:spacing w:after="0"/>
              <w:rPr>
                <w:sz w:val="1"/>
                <w:szCs w:val="1"/>
                <w:color w:val="auto"/>
              </w:rPr>
            </w:pPr>
          </w:p>
        </w:tc>
      </w:tr>
      <w:tr>
        <w:trPr>
          <w:trHeight w:val="156"/>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subsidiary guarantors named therein and Wachovia Bank, National Association, as trustee (incorporated by reference to Exhibit 4.1 to Form</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360" w:type="dxa"/>
            <w:vAlign w:val="bottom"/>
            <w:gridSpan w:val="34"/>
          </w:tcPr>
          <w:p>
            <w:pPr>
              <w:spacing w:after="0" w:line="16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8-K (File No. 1-11727) filed October 25, 2006)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Sixth Supplemental Indenture dated March 28, 2008, by and between Energy Transfer Partners, L.P., as issuer, and U.S. Bank National</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Association (as successor to Wachovia Bank, National Association), as trustee (incorporated by reference to Exhibit 4.2 to Form 8-K (File</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No. 1-11727) filed March 31, 2008)</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7</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Ninth Supplemental Indenture, dated as of May 12, 2011, to the Indenture dated January 18, 2005, by and between Energy Transfer</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22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Partners, L.P. and U.S. Bank National Association (as successor to Wachovia Bank, National Association), as trustee (incorporated by</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52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reference to Exhibit 4.2 to Form 8-K (File No. 1-11727) filed May 12, 2011)</w:t>
              </w:r>
            </w:hyperlink>
          </w:p>
        </w:tc>
        <w:tc>
          <w:tcPr>
            <w:tcW w:w="4760" w:type="dxa"/>
            <w:vAlign w:val="bottom"/>
            <w:gridSpan w:val="18"/>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Tenth Supplemental Indenture, dated as of January 17, 2012, to the Indenture dated January 18, 2005, by and between Energy Transfer</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Partners, L.P. and U.S. Bank National Association (as successor to Wachovia Bank, National Association), as trustee (incorporated by</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8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reference to Exhibit 4.2 to Form 8-K (File No. 1-11727) filed January 17, 2012)</w:t>
              </w:r>
            </w:hyperlink>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9</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Eleventh Supplemental Indenture dated as of January 22, 2013 by and between Energy Transfer Partners, L.P., as issuer, and U.S. Bank</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National Association (as successor to Wachovia Bank, National Association), as trustee (incorporated by reference to Exhibit 4.2 to Form</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1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8-K (File No. 1-11727) filed January 23, 2013)</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1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gridSpan w:val="4"/>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10</w:t>
              </w:r>
            </w:hyperlink>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Twelfth Supplemental Indenture, dated as of January 24, 2013, by and between Energy Transfer Partners, L.P., as issuer, and U.S. Bank</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National Association (as successor to Wachovia Bank, National Association), as trustee (incorporated by reference to Exhibit 4.2 to Form</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8-K (File No. 1-11727) filed June 26, 2013)</w:t>
              </w:r>
            </w:hyperlink>
          </w:p>
        </w:tc>
        <w:tc>
          <w:tcPr>
            <w:tcW w:w="692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rFonts w:ascii="Times New Roman" w:cs="Times New Roman" w:eastAsia="Times New Roman" w:hAnsi="Times New Roman"/>
                <w:sz w:val="18"/>
                <w:szCs w:val="18"/>
                <w:color w:val="0000FF"/>
                <w:w w:val="95"/>
              </w:rPr>
            </w:pPr>
            <w:hyperlink r:id="rId204">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11</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Thirteenth Supplemental Indenture, dated as of September 19, 2013, by and between Energy Transfer Partners, L.P., as issuer, and U.S.</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Bank National Association (as successor to Wachovia Bank, National Association), as trustee (incorporated by reference to Exhibit 4.2 to</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Form 8-K (File No. 1-11727) filed September 19, 2013)</w:t>
              </w:r>
            </w:hyperlink>
          </w:p>
        </w:tc>
        <w:tc>
          <w:tcPr>
            <w:tcW w:w="20" w:type="dxa"/>
            <w:vAlign w:val="bottom"/>
          </w:tcPr>
          <w:p>
            <w:pPr>
              <w:spacing w:after="0"/>
              <w:rPr>
                <w:sz w:val="14"/>
                <w:szCs w:val="14"/>
                <w:color w:val="auto"/>
              </w:rPr>
            </w:pPr>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10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gridSpan w:val="4"/>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w:t>
              </w:r>
            </w:hyperlink>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Fourteenth Supplemental Indenture, dated as of March 12, 2015, by and between Energy Transfer Partners, L.P., as issuer, and U.S. Bank</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National Association (as successor to Wachovia Bank, National Association), as trustee (incorporated by reference to Exhibit 4.2 to Form</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8-K (File No. 1-11727) filed March 12, 2015)</w:t>
              </w:r>
            </w:hyperlink>
          </w:p>
        </w:tc>
        <w:tc>
          <w:tcPr>
            <w:tcW w:w="680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gridSpan w:val="4"/>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13</w:t>
              </w:r>
            </w:hyperlink>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Fifteenth Supplemental Indenture, dated as of June 23, 2015, by and between Energy Transfer Partners, L.P., as issuer, and U.S. Bank</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National Association (as successor to Wachovia Bank, National Association), as trustee (incorporated by reference to Exhibit 4.3 to Form</w:t>
              </w:r>
            </w:hyperlink>
          </w:p>
        </w:tc>
        <w:tc>
          <w:tcPr>
            <w:tcW w:w="100" w:type="dxa"/>
            <w:vAlign w:val="bottom"/>
            <w:gridSpan w:val="5"/>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8-K (File No. 1-11727) filed June 23, 2015)</w:t>
              </w:r>
            </w:hyperlink>
          </w:p>
        </w:tc>
        <w:tc>
          <w:tcPr>
            <w:tcW w:w="6940" w:type="dxa"/>
            <w:vAlign w:val="bottom"/>
            <w:tcBorders>
              <w:top w:val="single" w:sz="8" w:color="0000FF"/>
            </w:tcBorders>
            <w:gridSpan w:val="15"/>
          </w:tcPr>
          <w:p>
            <w:pPr>
              <w:spacing w:after="0"/>
              <w:rPr>
                <w:sz w:val="14"/>
                <w:szCs w:val="14"/>
                <w:color w:val="auto"/>
              </w:rPr>
            </w:pPr>
          </w:p>
        </w:tc>
        <w:tc>
          <w:tcPr>
            <w:tcW w:w="120" w:type="dxa"/>
            <w:vAlign w:val="bottom"/>
            <w:gridSpan w:val="6"/>
          </w:tcPr>
          <w:p>
            <w:pPr>
              <w:spacing w:after="0"/>
              <w:rPr>
                <w:sz w:val="14"/>
                <w:szCs w:val="14"/>
                <w:color w:val="auto"/>
              </w:rPr>
            </w:pPr>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gridSpan w:val="4"/>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14</w:t>
              </w:r>
            </w:hyperlink>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60" w:type="dxa"/>
            <w:vAlign w:val="bottom"/>
            <w:gridSpan w:val="39"/>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Sixteenth Supplemental Indenture, dated as of January 17, 2017, between Energy Transfer Partners, L.P. and U.S. Bank National</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Association (as successor to Wachovia Bank, National Association), as trustee (incorporated by reference to Exhibit 4.2 to Form 8-K (File</w:t>
              </w:r>
            </w:hyperlink>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No. 1-11727) filed January 17, 2017)</w:t>
              </w:r>
            </w:hyperlink>
          </w:p>
        </w:tc>
        <w:tc>
          <w:tcPr>
            <w:tcW w:w="7580" w:type="dxa"/>
            <w:vAlign w:val="bottom"/>
            <w:tcBorders>
              <w:top w:val="single" w:sz="8" w:color="0000FF"/>
            </w:tcBorders>
            <w:gridSpan w:val="24"/>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0" w:type="dxa"/>
            <w:vAlign w:val="bottom"/>
            <w:gridSpan w:val="4"/>
          </w:tcPr>
          <w:p>
            <w:pPr>
              <w:spacing w:after="0"/>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4.15</w:t>
              </w:r>
            </w:hyperlink>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60" w:type="dxa"/>
            <w:vAlign w:val="bottom"/>
            <w:gridSpan w:val="39"/>
          </w:tcPr>
          <w:p>
            <w:pPr>
              <w:spacing w:after="0"/>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Seventeenth Supplemental Indenture, dated as of December 1, 2017, between Energy Transfer Partners, L.P. and U.S. Bank National</w:t>
              </w:r>
            </w:hyperlink>
          </w:p>
        </w:tc>
        <w:tc>
          <w:tcPr>
            <w:tcW w:w="0" w:type="dxa"/>
            <w:vAlign w:val="bottom"/>
          </w:tcPr>
          <w:p>
            <w:pPr>
              <w:spacing w:after="0"/>
              <w:rPr>
                <w:sz w:val="1"/>
                <w:szCs w:val="1"/>
                <w:color w:val="auto"/>
              </w:rPr>
            </w:pPr>
          </w:p>
        </w:tc>
      </w:tr>
    </w:tbl>
    <w:p>
      <w:pPr>
        <w:ind w:left="1040" w:right="140"/>
        <w:spacing w:after="0" w:line="233"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Association (as successor to Wachovia Bank, National Association), as trustee (incorporated by reference to Exhibit 10.8 to Form 8-K (File</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No. 1-31219) filed December 6, 2017)</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u w:val="single" w:color="auto"/>
          <w:color w:val="auto"/>
        </w:rPr>
        <w:t>Number</w:t>
        <w:tab/>
        <w:t>Description</w:t>
      </w:r>
    </w:p>
    <w:p>
      <w:pPr>
        <w:spacing w:after="0" w:line="21" w:lineRule="exact"/>
        <w:rPr>
          <w:sz w:val="20"/>
          <w:szCs w:val="20"/>
          <w:color w:val="auto"/>
        </w:rPr>
      </w:pPr>
    </w:p>
    <w:p>
      <w:pPr>
        <w:jc w:val="right"/>
        <w:ind w:left="20"/>
        <w:spacing w:after="0" w:line="220" w:lineRule="auto"/>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4.16        Sixteenth Supplemental Indenture, dated as of September 21, 2017, by and among Sunoco Logistics Partners Operations L.P., as issuer,</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Energy Transfer Partners, L.P., as guarantor, and U.S. Bank National Association, as successor trustee (incorporated by reference to Exhibit</w:t>
        </w:r>
      </w:hyperlink>
    </w:p>
    <w:p>
      <w:pPr>
        <w:ind w:left="1040"/>
        <w:spacing w:after="0"/>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4.4 to Form 8-K (File No. 1-31219) filed September 25, 2017)</w:t>
        </w:r>
      </w:hyperlink>
    </w:p>
    <w:tbl>
      <w:tblPr>
        <w:tblLayout w:type="fixed"/>
        <w:tblInd w:w="20" w:type="dxa"/>
        <w:tblCellMar>
          <w:top w:w="0" w:type="dxa"/>
          <w:left w:w="0" w:type="dxa"/>
          <w:bottom w:w="0" w:type="dxa"/>
          <w:right w:w="0" w:type="dxa"/>
        </w:tblCellMar>
      </w:tblPr>
      <w:tr>
        <w:trPr>
          <w:trHeight w:val="196"/>
        </w:trPr>
        <w:tc>
          <w:tcPr>
            <w:tcW w:w="1020" w:type="dxa"/>
            <w:vAlign w:val="bottom"/>
            <w:gridSpan w:val="2"/>
          </w:tcPr>
          <w:p>
            <w:pPr>
              <w:jc w:val="right"/>
              <w:ind w:right="700"/>
              <w:spacing w:after="0" w:line="196" w:lineRule="exact"/>
              <w:rPr>
                <w:rFonts w:ascii="Times New Roman" w:cs="Times New Roman" w:eastAsia="Times New Roman" w:hAnsi="Times New Roman"/>
                <w:sz w:val="18"/>
                <w:szCs w:val="18"/>
                <w:color w:val="0000FF"/>
                <w:w w:val="95"/>
              </w:rPr>
            </w:pPr>
            <w:hyperlink r:id="rId211">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17</w:t>
              </w:r>
            </w:hyperlink>
          </w:p>
        </w:tc>
        <w:tc>
          <w:tcPr>
            <w:tcW w:w="10520" w:type="dxa"/>
            <w:vAlign w:val="bottom"/>
            <w:gridSpan w:val="39"/>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Fifteenth Supplemental Indenture, dated as of September 21, 2017, by and among Sunoco Logistics Partners Operations L.P., as issuer,</w:t>
              </w:r>
            </w:hyperlink>
          </w:p>
        </w:tc>
      </w:tr>
      <w:tr>
        <w:trPr>
          <w:trHeight w:val="156"/>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Energy Transfer Partners, L.P., as guarantor, and U.S. Bank National Association, as successor trustee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0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Form 8-K (File No. 1-31219) filed September 25, 2017)</w:t>
              </w:r>
            </w:hyperlink>
          </w:p>
        </w:tc>
        <w:tc>
          <w:tcPr>
            <w:tcW w:w="590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12">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18</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Eighteenth Supplemental Indenture, dated as of December 12, 2017, by and among Energy Transfer Partners, L.P., Sunoco Logistics</w:t>
              </w:r>
            </w:hyperlink>
          </w:p>
        </w:tc>
      </w:tr>
      <w:tr>
        <w:trPr>
          <w:trHeight w:val="156"/>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4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Partners Operations L.P. and U.S. Bank National Association, as trustee (incorporated by reference to Exhibit 10.2 to Form 8-K (File No.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4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31219) filed December 15, 2017)</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20" w:type="dxa"/>
            <w:vAlign w:val="bottom"/>
            <w:gridSpan w:val="2"/>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13">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19</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Second Supplemental Indenture, dated as of December 1, 2017, by and between Energy Transfer Partners, L.P. and U.S. Bank National</w:t>
              </w:r>
            </w:hyperlink>
          </w:p>
        </w:tc>
      </w:tr>
      <w:tr>
        <w:trPr>
          <w:trHeight w:val="155"/>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8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Association, as trustee (incorporated by reference to Exhibit 10.6 to Form 8-K (File No. 1-31219) filed December 6, 2017)</w:t>
              </w:r>
            </w:hyperlink>
          </w:p>
        </w:tc>
        <w:tc>
          <w:tcPr>
            <w:tcW w:w="13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14">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20</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Indenture, dated as of June 8, 2018, among Energy Transfer Partners, L.P. as issuer, Sunoco Logistics Partners Operations L.P., as</w:t>
              </w:r>
            </w:hyperlink>
          </w:p>
        </w:tc>
      </w:tr>
      <w:tr>
        <w:trPr>
          <w:trHeight w:val="156"/>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4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guarantor, and U.S. Bank National Association, as trustee (incorporated by reference to Exhibit 4.1 to Form 8-K (File No. 1-31219)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June 8, 2018)</w:t>
              </w:r>
            </w:hyperlink>
          </w:p>
        </w:tc>
        <w:tc>
          <w:tcPr>
            <w:tcW w:w="908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15">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21</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First Supplemental Indenture, dated as of June 8, 2018, by and among Energy Transfer Partners, L.P., as issuer, the subsidiary guarantors</w:t>
              </w:r>
            </w:hyperlink>
          </w:p>
        </w:tc>
      </w:tr>
      <w:tr>
        <w:trPr>
          <w:trHeight w:val="155"/>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1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named therein, and U.S. Bank National Association, as trustee (incorporated by reference to Exhibit 4.2 to Form 8-K (File No. 1-31219)</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320" w:type="dxa"/>
            <w:vAlign w:val="bottom"/>
            <w:gridSpan w:val="29"/>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filed June 8,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20" w:type="dxa"/>
            <w:vAlign w:val="bottom"/>
            <w:gridSpan w:val="2"/>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16">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22</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Second Supplemental Indenture, dated as of January 15, 2019, by and among Energy Transfer Operating, L.P., as issuer, the subsidiary</w:t>
              </w:r>
            </w:hyperlink>
          </w:p>
        </w:tc>
      </w:tr>
      <w:tr>
        <w:trPr>
          <w:trHeight w:val="156"/>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28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guarantors named therein, and U.S. Bank National Association, as trustee (incorporated by reference to Exhibit 4.2 to Form 8-K (File No.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1-31219) filed January 15, 2019)</w:t>
              </w:r>
            </w:hyperlink>
          </w:p>
        </w:tc>
        <w:tc>
          <w:tcPr>
            <w:tcW w:w="8100" w:type="dxa"/>
            <w:vAlign w:val="bottom"/>
            <w:gridSpan w:val="3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17">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23</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Third Supplemental Indenture, dated as of March 25, 2019, by and among Energy Transfer Operating, L.P., as issuer, the subsidiary</w:t>
              </w:r>
            </w:hyperlink>
          </w:p>
        </w:tc>
      </w:tr>
      <w:tr>
        <w:trPr>
          <w:trHeight w:val="156"/>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1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guarantors named therein, and U.S. Bank National Association, as trustee (incorporated by reference to Exhibit 4.2 to Form 8-K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500" w:type="dxa"/>
            <w:vAlign w:val="bottom"/>
            <w:tcBorders>
              <w:top w:val="single" w:sz="8" w:color="0000FF"/>
            </w:tcBorders>
            <w:gridSpan w:val="38"/>
          </w:tcPr>
          <w:p>
            <w:pPr>
              <w:spacing w:after="0" w:line="169"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1-31219) filed March 27, 2019)</w:t>
              </w:r>
            </w:hyperlink>
          </w:p>
        </w:tc>
        <w:tc>
          <w:tcPr>
            <w:tcW w:w="20" w:type="dxa"/>
            <w:vAlign w:val="bottom"/>
          </w:tcPr>
          <w:p>
            <w:pPr>
              <w:spacing w:after="0"/>
              <w:rPr>
                <w:sz w:val="14"/>
                <w:szCs w:val="14"/>
                <w:color w:val="auto"/>
              </w:rPr>
            </w:pPr>
          </w:p>
        </w:tc>
      </w:tr>
      <w:tr>
        <w:trPr>
          <w:trHeight w:val="20"/>
        </w:trPr>
        <w:tc>
          <w:tcPr>
            <w:tcW w:w="1020" w:type="dxa"/>
            <w:vAlign w:val="bottom"/>
            <w:gridSpan w:val="2"/>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18">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24</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Fourth Supplemental Indenture dated as of January 22, 2020, by and among Energy Transfer Operating, L.P., as issuer, the subsidiary</w:t>
              </w:r>
            </w:hyperlink>
          </w:p>
        </w:tc>
      </w:tr>
      <w:tr>
        <w:trPr>
          <w:trHeight w:val="155"/>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26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guarantors named therein, U.S. Bank National Association, as trustee (incorporated by reference to Exhibit 4.2 to Form 8-K (File No. 1-</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20" w:type="dxa"/>
            <w:vAlign w:val="bottom"/>
            <w:gridSpan w:val="34"/>
          </w:tcPr>
          <w:p>
            <w:pPr>
              <w:spacing w:after="0" w:line="169"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31219) filed January 22, 2020)</w:t>
              </w:r>
            </w:hyperlink>
          </w:p>
        </w:tc>
        <w:tc>
          <w:tcPr>
            <w:tcW w:w="100" w:type="dxa"/>
            <w:vAlign w:val="bottom"/>
            <w:gridSpan w:val="5"/>
          </w:tcPr>
          <w:p>
            <w:pPr>
              <w:spacing w:after="0"/>
              <w:rPr>
                <w:sz w:val="14"/>
                <w:szCs w:val="14"/>
                <w:color w:val="auto"/>
              </w:rPr>
            </w:pPr>
          </w:p>
        </w:tc>
      </w:tr>
      <w:tr>
        <w:trPr>
          <w:trHeight w:val="20"/>
        </w:trPr>
        <w:tc>
          <w:tcPr>
            <w:tcW w:w="1020" w:type="dxa"/>
            <w:vAlign w:val="bottom"/>
            <w:gridSpan w:val="2"/>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0"/>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19">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25</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Fifth Supplemental Indenture, dated as of December 28, 2021, by and among Energy Transfer LP, Enable Midstream Partners, LP and U.S.</w:t>
              </w:r>
            </w:hyperlink>
          </w:p>
        </w:tc>
      </w:tr>
      <w:tr>
        <w:trPr>
          <w:trHeight w:val="155"/>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980" w:type="dxa"/>
            <w:vAlign w:val="bottom"/>
            <w:gridSpan w:val="4"/>
          </w:tcPr>
          <w:p>
            <w:pPr>
              <w:spacing w:after="0" w:line="156" w:lineRule="exact"/>
              <w:rPr>
                <w:rFonts w:ascii="Times New Roman" w:cs="Times New Roman" w:eastAsia="Times New Roman" w:hAnsi="Times New Roman"/>
                <w:sz w:val="18"/>
                <w:szCs w:val="18"/>
                <w:color w:val="0000FF"/>
                <w:highlight w:val="white"/>
              </w:rPr>
            </w:pPr>
            <w:hyperlink r:id="rId219">
              <w:r>
                <w:rPr>
                  <w:rFonts w:ascii="Times New Roman" w:cs="Times New Roman" w:eastAsia="Times New Roman" w:hAnsi="Times New Roman"/>
                  <w:sz w:val="18"/>
                  <w:szCs w:val="18"/>
                  <w:color w:val="0000FF"/>
                  <w:highlight w:val="white"/>
                </w:rPr>
                <w:t>Bank National Association</w:t>
              </w:r>
            </w:hyperlink>
          </w:p>
        </w:tc>
        <w:tc>
          <w:tcPr>
            <w:tcW w:w="84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(incorporated by reference to Exhibit 4.1 to Form 8-K (File No. 1-32740) filed December 28, 2021)</w:t>
              </w:r>
            </w:hyperlink>
          </w:p>
        </w:tc>
        <w:tc>
          <w:tcPr>
            <w:tcW w:w="140" w:type="dxa"/>
            <w:vAlign w:val="bottom"/>
            <w:gridSpan w:val="7"/>
          </w:tcPr>
          <w:p>
            <w:pPr>
              <w:spacing w:after="0"/>
              <w:rPr>
                <w:sz w:val="13"/>
                <w:szCs w:val="13"/>
                <w:color w:val="auto"/>
              </w:rPr>
            </w:pPr>
          </w:p>
        </w:tc>
      </w:tr>
      <w:tr>
        <w:trPr>
          <w:trHeight w:val="20"/>
        </w:trPr>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20">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26</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Indenture, dated as of May 27, 2014, by and among Enable Midstream Partners, LP, CenterPoint Energy Resources Corp., as guarantor, and</w:t>
              </w:r>
            </w:hyperlink>
          </w:p>
        </w:tc>
      </w:tr>
      <w:tr>
        <w:trPr>
          <w:trHeight w:val="156"/>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U.S. Bank National Association, as trustee (incorporated by reference to Exhibit 4.1 to Form 8-K (File No. 1-36413) filed May 29, 2014)</w:t>
              </w:r>
            </w:hyperlink>
          </w:p>
        </w:tc>
        <w:tc>
          <w:tcPr>
            <w:tcW w:w="2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23"/>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21">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27</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First Supplemental Indenture, dated as of May 27, 2014, by and among Enable Midstream Partners, LP, as issuer, CenterPoint Energy</w:t>
              </w:r>
            </w:hyperlink>
          </w:p>
        </w:tc>
      </w:tr>
      <w:tr>
        <w:trPr>
          <w:trHeight w:val="155"/>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1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Resources Corp., as guarantor and U.S. Bank National Association, as trustee (incorporated by reference to Exhibit 4.2 to Form 8-K (File</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6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No. 1-36413) filed May 29, 2014)</w:t>
              </w:r>
            </w:hyperlink>
          </w:p>
        </w:tc>
        <w:tc>
          <w:tcPr>
            <w:tcW w:w="7800" w:type="dxa"/>
            <w:vAlign w:val="bottom"/>
            <w:gridSpan w:val="19"/>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09"/>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22">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28</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Second Supplemental Indenture, dated as of March 9, 2017, by and among Enable Midstream Partners, LP, as issuer, CenterPoint Energy</w:t>
              </w:r>
            </w:hyperlink>
          </w:p>
        </w:tc>
      </w:tr>
      <w:tr>
        <w:trPr>
          <w:trHeight w:val="156"/>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3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Resources Corp., as guarantor and U.S. Bank National Association, as trustee (incorporated by reference to Exhibit 4.2 to Form 8-K (File</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No. 1-36413) filed March 9, 2017)</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0"/>
        </w:trPr>
        <w:tc>
          <w:tcPr>
            <w:tcW w:w="1020" w:type="dxa"/>
            <w:vAlign w:val="bottom"/>
            <w:gridSpan w:val="2"/>
          </w:tcPr>
          <w:p>
            <w:pPr>
              <w:spacing w:after="0" w:line="20" w:lineRule="exact"/>
              <w:rPr>
                <w:sz w:val="1"/>
                <w:szCs w:val="1"/>
                <w:color w:val="auto"/>
              </w:rPr>
            </w:pPr>
          </w:p>
        </w:tc>
        <w:tc>
          <w:tcPr>
            <w:tcW w:w="2500" w:type="dxa"/>
            <w:vAlign w:val="bottom"/>
            <w:gridSpan w:val="8"/>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23">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29</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Third Supplemental Indenture, dated as of May 10, 2018, by and among Enable Midstream Partners, LP, as issuer, and U.S. Bank National</w:t>
              </w:r>
            </w:hyperlink>
          </w:p>
        </w:tc>
      </w:tr>
      <w:tr>
        <w:trPr>
          <w:trHeight w:val="155"/>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Association, as trustee (incorporated by reference to Exhibit 4.2 to Form 8-K (File No. 1-36413) filed May 10, 2018)</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020" w:type="dxa"/>
            <w:vAlign w:val="bottom"/>
            <w:gridSpan w:val="2"/>
          </w:tcPr>
          <w:p>
            <w:pPr>
              <w:spacing w:after="0" w:line="20" w:lineRule="exact"/>
              <w:rPr>
                <w:sz w:val="1"/>
                <w:szCs w:val="1"/>
                <w:color w:val="auto"/>
              </w:rPr>
            </w:pPr>
          </w:p>
        </w:tc>
        <w:tc>
          <w:tcPr>
            <w:tcW w:w="4060" w:type="dxa"/>
            <w:vAlign w:val="bottom"/>
            <w:gridSpan w:val="9"/>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24">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30</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Fourth Supplemental Indenture, dated as of September 13, 2019, by and among Enable Midstream Partners, LP, as issuer, and U.S. Bank</w:t>
              </w:r>
            </w:hyperlink>
          </w:p>
        </w:tc>
      </w:tr>
      <w:tr>
        <w:trPr>
          <w:trHeight w:val="155"/>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National Association, as trustee (incorporated by reference to Exhibit 4.2 to Form 8-K (File No. 1-36413) filed September 13,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020" w:type="dxa"/>
            <w:vAlign w:val="bottom"/>
            <w:gridSpan w:val="2"/>
          </w:tcPr>
          <w:p>
            <w:pPr>
              <w:spacing w:after="0" w:line="20" w:lineRule="exact"/>
              <w:rPr>
                <w:sz w:val="1"/>
                <w:szCs w:val="1"/>
                <w:color w:val="auto"/>
              </w:rPr>
            </w:pPr>
          </w:p>
        </w:tc>
        <w:tc>
          <w:tcPr>
            <w:tcW w:w="4060" w:type="dxa"/>
            <w:vAlign w:val="bottom"/>
            <w:gridSpan w:val="9"/>
            <w:shd w:val="clear" w:color="auto" w:fill="0000FF"/>
          </w:tcPr>
          <w:p>
            <w:pPr>
              <w:spacing w:after="0" w:line="20" w:lineRule="exact"/>
              <w:rPr>
                <w:sz w:val="1"/>
                <w:szCs w:val="1"/>
                <w:color w:val="auto"/>
              </w:rPr>
            </w:pPr>
          </w:p>
        </w:tc>
        <w:tc>
          <w:tcPr>
            <w:tcW w:w="5460" w:type="dxa"/>
            <w:vAlign w:val="bottom"/>
            <w:gridSpan w:val="5"/>
            <w:shd w:val="clear" w:color="auto" w:fill="0000FF"/>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25">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31</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Indenture, dated as of March 29, 1999, among CMS Panhandle Holding Company, Panhandle Eastern Pipe Line Company and NBD Bank</w:t>
              </w:r>
            </w:hyperlink>
          </w:p>
        </w:tc>
      </w:tr>
      <w:tr>
        <w:trPr>
          <w:trHeight w:val="156"/>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3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(the predecessor to Bank One Trust Company, National Association, J.P. Morgan Trust Company, National Association, The Bank of New</w:t>
              </w:r>
            </w:hyperlink>
          </w:p>
        </w:tc>
        <w:tc>
          <w:tcPr>
            <w:tcW w:w="160" w:type="dxa"/>
            <w:vAlign w:val="bottom"/>
            <w:gridSpan w:val="8"/>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York Trust Company, N.A. and The Bank of New York Mellon Trust Company, N.A.), as Trustee (incorporated by reference to Exhibit 4(a)</w:t>
              </w:r>
            </w:hyperlink>
          </w:p>
        </w:tc>
        <w:tc>
          <w:tcPr>
            <w:tcW w:w="120" w:type="dxa"/>
            <w:vAlign w:val="bottom"/>
            <w:tcBorders>
              <w:bottom w:val="single" w:sz="8" w:color="0000FF"/>
            </w:tcBorders>
            <w:gridSpan w:val="6"/>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 w:type="dxa"/>
            <w:vAlign w:val="bottom"/>
            <w:gridSpan w:val="5"/>
          </w:tcPr>
          <w:p>
            <w:pPr>
              <w:spacing w:after="0"/>
              <w:rPr>
                <w:sz w:val="14"/>
                <w:szCs w:val="14"/>
                <w:color w:val="auto"/>
              </w:rPr>
            </w:pPr>
          </w:p>
        </w:tc>
        <w:tc>
          <w:tcPr>
            <w:tcW w:w="180" w:type="dxa"/>
            <w:vAlign w:val="bottom"/>
            <w:gridSpan w:val="9"/>
          </w:tcPr>
          <w:p>
            <w:pPr>
              <w:spacing w:after="0"/>
              <w:rPr>
                <w:sz w:val="14"/>
                <w:szCs w:val="14"/>
                <w:color w:val="auto"/>
              </w:rPr>
            </w:pPr>
          </w:p>
        </w:tc>
      </w:tr>
      <w:tr>
        <w:trPr>
          <w:trHeight w:val="155"/>
        </w:trPr>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6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to Form 10-Q (File No. 001-02921) filed May 15, 1999)</w:t>
              </w:r>
            </w:hyperlink>
          </w:p>
        </w:tc>
        <w:tc>
          <w:tcPr>
            <w:tcW w:w="6180" w:type="dxa"/>
            <w:vAlign w:val="bottom"/>
            <w:gridSpan w:val="16"/>
          </w:tcPr>
          <w:p>
            <w:pPr>
              <w:spacing w:after="0"/>
              <w:rPr>
                <w:sz w:val="13"/>
                <w:szCs w:val="13"/>
                <w:color w:val="auto"/>
              </w:rPr>
            </w:pPr>
          </w:p>
        </w:tc>
        <w:tc>
          <w:tcPr>
            <w:tcW w:w="100" w:type="dxa"/>
            <w:vAlign w:val="bottom"/>
            <w:gridSpan w:val="5"/>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10"/>
        </w:trPr>
        <w:tc>
          <w:tcPr>
            <w:tcW w:w="1020" w:type="dxa"/>
            <w:vAlign w:val="bottom"/>
            <w:gridSpan w:val="2"/>
          </w:tcPr>
          <w:p>
            <w:pPr>
              <w:jc w:val="right"/>
              <w:ind w:right="700"/>
              <w:spacing w:after="0"/>
              <w:rPr>
                <w:rFonts w:ascii="Times New Roman" w:cs="Times New Roman" w:eastAsia="Times New Roman" w:hAnsi="Times New Roman"/>
                <w:sz w:val="18"/>
                <w:szCs w:val="18"/>
                <w:color w:val="0000FF"/>
                <w:w w:val="95"/>
              </w:rPr>
            </w:pPr>
            <w:hyperlink r:id="rId225">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32</w:t>
              </w:r>
            </w:hyperlink>
          </w:p>
        </w:tc>
        <w:tc>
          <w:tcPr>
            <w:tcW w:w="10520" w:type="dxa"/>
            <w:vAlign w:val="bottom"/>
            <w:gridSpan w:val="39"/>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First Supplemental Indenture dated, as of March 29, 1999, among CMS Panhandle Holding Company, Panhandle Eastern Pipe Line</w:t>
              </w:r>
            </w:hyperlink>
          </w:p>
        </w:tc>
      </w:tr>
      <w:tr>
        <w:trPr>
          <w:trHeight w:val="155"/>
        </w:trPr>
        <w:tc>
          <w:tcPr>
            <w:tcW w:w="3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20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Company and NBD Bank (the predecessor to Bank One Trust Company, National Association, J.P. Morgan Trust Company, National</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8"/>
          </w:tcPr>
          <w:p>
            <w:pPr>
              <w:spacing w:after="0"/>
              <w:rPr>
                <w:sz w:val="13"/>
                <w:szCs w:val="13"/>
                <w:color w:val="auto"/>
              </w:rPr>
            </w:pPr>
          </w:p>
        </w:tc>
      </w:tr>
    </w:tbl>
    <w:p>
      <w:pPr>
        <w:jc w:val="both"/>
        <w:ind w:left="1040"/>
        <w:spacing w:after="0" w:line="219"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Association, The Bank of New York Trust Company, N.A. and The Bank of New York Mellon Trust Company, N.A.), as Trustee, including</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a form of Guarantee by Panhandle Eastern Pipe Line Company of the obligations of CMS Panhandle Holding Company (incorporated by</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reference to Exhibit 4(b) to Form 10-Q (File No. 001-02921) filed May 15, 1999)</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44" w:lineRule="exact"/>
        <w:rPr>
          <w:rFonts w:ascii="Times New Roman" w:cs="Times New Roman" w:eastAsia="Times New Roman" w:hAnsi="Times New Roman"/>
          <w:sz w:val="18"/>
          <w:szCs w:val="18"/>
          <w:u w:val="single" w:color="auto"/>
          <w:color w:val="0000FF"/>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420" w:type="dxa"/>
            <w:vAlign w:val="bottom"/>
            <w:gridSpan w:val="3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420" w:type="dxa"/>
            <w:vAlign w:val="bottom"/>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33</w:t>
              </w:r>
            </w:hyperlink>
          </w:p>
        </w:tc>
        <w:tc>
          <w:tcPr>
            <w:tcW w:w="260" w:type="dxa"/>
            <w:vAlign w:val="bottom"/>
          </w:tcPr>
          <w:p>
            <w:pPr>
              <w:spacing w:after="0"/>
              <w:rPr>
                <w:sz w:val="18"/>
                <w:szCs w:val="18"/>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Indenture dated as of January 15, 1994, by and among Southern Union and The Bank of New York Trust Company, N.A., successor to JP</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26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Morgan Chase Bank, N.A., formerly known as JPMorgan Chase Bank, formerly known as The Chase Manhattan Bank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360" w:type="dxa"/>
            <w:vAlign w:val="bottom"/>
            <w:gridSpan w:val="29"/>
          </w:tcPr>
          <w:p>
            <w:pPr>
              <w:spacing w:after="0" w:line="169"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Association), as trustee (incorporated by reference to Exhibit 4.1 to Form 8-K (File No. 033-58297) filed February 15, 1994)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34</w:t>
              </w:r>
            </w:hyperlink>
          </w:p>
        </w:tc>
        <w:tc>
          <w:tcPr>
            <w:tcW w:w="260" w:type="dxa"/>
            <w:vAlign w:val="bottom"/>
          </w:tcPr>
          <w:p>
            <w:pPr>
              <w:spacing w:after="0"/>
              <w:rPr>
                <w:sz w:val="18"/>
                <w:szCs w:val="18"/>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Indenture dated as of May 10, 1995, by and among Southern Union and The Bank of New York Trust Company, N.A., successor to JP</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Morgan Chase Bank, N.A., formerly known as JPMorgan Chase Bank, formerly known as The Chase Manhattan Bank (National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3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Association), as trustee (incorporated by reference to Exhibit 4-G to Form S-3/A (File No. 033-58297) filed May 12, 1995)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35</w:t>
              </w:r>
            </w:hyperlink>
          </w:p>
        </w:tc>
        <w:tc>
          <w:tcPr>
            <w:tcW w:w="260" w:type="dxa"/>
            <w:vAlign w:val="bottom"/>
          </w:tcPr>
          <w:p>
            <w:pPr>
              <w:spacing w:after="0"/>
              <w:rPr>
                <w:sz w:val="18"/>
                <w:szCs w:val="18"/>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Second Supplemental Indenture between Southern Union Company and The Bank of New York, N.A., as Trustee, dated as of October 23,</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7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2006 (incorporated by reference to Exhibit 4.1 to Form 8-K/A (File No. 001-06407) filed October 24, 2006)</w:t>
              </w:r>
            </w:hyperlink>
          </w:p>
        </w:tc>
        <w:tc>
          <w:tcPr>
            <w:tcW w:w="23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36</w:t>
              </w:r>
            </w:hyperlink>
          </w:p>
        </w:tc>
        <w:tc>
          <w:tcPr>
            <w:tcW w:w="260" w:type="dxa"/>
            <w:vAlign w:val="bottom"/>
          </w:tcPr>
          <w:p>
            <w:pPr>
              <w:spacing w:after="0"/>
              <w:rPr>
                <w:sz w:val="19"/>
                <w:szCs w:val="19"/>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Third Supplemental Indenture, dated as of June 24, 2013, between Southern Union Company and The Bank of New York Mellon Trust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Company, N.A., as Trustee (incorporated by reference to Exhibit 4.3 to Form 8-K (File No. 001-06407) filed June 26, 2013)</w:t>
              </w:r>
            </w:hyperlink>
          </w:p>
        </w:tc>
        <w:tc>
          <w:tcPr>
            <w:tcW w:w="14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37</w:t>
              </w:r>
            </w:hyperlink>
          </w:p>
        </w:tc>
        <w:tc>
          <w:tcPr>
            <w:tcW w:w="260" w:type="dxa"/>
            <w:vAlign w:val="bottom"/>
          </w:tcPr>
          <w:p>
            <w:pPr>
              <w:spacing w:after="0"/>
              <w:rPr>
                <w:sz w:val="19"/>
                <w:szCs w:val="19"/>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of Sixth Supplemental Indenture, dated as of June 12, 2008, between PEPL and The Bank of New York Trust Company, N.A. (now</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1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known as The Bank of New York Mellon Trust Company, N.A.), as Trustee (incorporated by reference to Exhibit 4.1 to Form 8-K (File No.</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231">
              <w:r>
                <w:rPr>
                  <w:rFonts w:ascii="Times New Roman" w:cs="Times New Roman" w:eastAsia="Times New Roman" w:hAnsi="Times New Roman"/>
                  <w:sz w:val="18"/>
                  <w:szCs w:val="18"/>
                  <w:color w:val="0000FF"/>
                  <w:w w:val="98"/>
                </w:rPr>
                <w:t>001-02921) filed June 11, 2008)</w:t>
              </w:r>
            </w:hyperlink>
          </w:p>
        </w:tc>
        <w:tc>
          <w:tcPr>
            <w:tcW w:w="790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38</w:t>
              </w:r>
            </w:hyperlink>
          </w:p>
        </w:tc>
        <w:tc>
          <w:tcPr>
            <w:tcW w:w="260" w:type="dxa"/>
            <w:vAlign w:val="bottom"/>
          </w:tcPr>
          <w:p>
            <w:pPr>
              <w:spacing w:after="0"/>
              <w:rPr>
                <w:sz w:val="18"/>
                <w:szCs w:val="18"/>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Form of Seventh Supplemental Indenture, to be dated as of June 2, 2009, between PEPL and The Bank of New York Mellon Trust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Company, N.A. (incorporated by reference to Exhibit 4.1 to Form 8-K (File No. 001-02921) filed May 28, 2009)</w:t>
              </w:r>
            </w:hyperlink>
          </w:p>
        </w:tc>
        <w:tc>
          <w:tcPr>
            <w:tcW w:w="19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39</w:t>
              </w:r>
            </w:hyperlink>
          </w:p>
        </w:tc>
        <w:tc>
          <w:tcPr>
            <w:tcW w:w="260" w:type="dxa"/>
            <w:vAlign w:val="bottom"/>
          </w:tcPr>
          <w:p>
            <w:pPr>
              <w:spacing w:after="0"/>
              <w:rPr>
                <w:sz w:val="19"/>
                <w:szCs w:val="19"/>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Supplemental Indenture No. 4, dated as of June 24, 2013, between Southern Union Company and The Bank of New York Mellon Trust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9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Company, N.A., as Trustee (incorporated by reference to Exhibit 4.2 to Form 8-K (File No. 001-06407) filed June 26, 2013)</w:t>
              </w:r>
            </w:hyperlink>
          </w:p>
        </w:tc>
        <w:tc>
          <w:tcPr>
            <w:tcW w:w="10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40</w:t>
              </w:r>
            </w:hyperlink>
          </w:p>
        </w:tc>
        <w:tc>
          <w:tcPr>
            <w:tcW w:w="260" w:type="dxa"/>
            <w:vAlign w:val="bottom"/>
          </w:tcPr>
          <w:p>
            <w:pPr>
              <w:spacing w:after="0"/>
              <w:rPr>
                <w:sz w:val="19"/>
                <w:szCs w:val="19"/>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Third Supplemental Indenture, dated as of April 1, 2021 by and between Energy Transfer LP and U.S. Bank National Association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8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(incorporated by reference to Exhibit 10.1 to Form 8-K (File No. 1-32740) filed April 2, 2021)</w:t>
              </w:r>
            </w:hyperlink>
          </w:p>
        </w:tc>
        <w:tc>
          <w:tcPr>
            <w:tcW w:w="3440" w:type="dxa"/>
            <w:vAlign w:val="bottom"/>
            <w:tcBorders>
              <w:top w:val="single" w:sz="8" w:color="0000FF"/>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41</w:t>
              </w:r>
            </w:hyperlink>
          </w:p>
        </w:tc>
        <w:tc>
          <w:tcPr>
            <w:tcW w:w="260" w:type="dxa"/>
            <w:vAlign w:val="bottom"/>
          </w:tcPr>
          <w:p>
            <w:pPr>
              <w:spacing w:after="0"/>
              <w:rPr>
                <w:sz w:val="20"/>
                <w:szCs w:val="20"/>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Fifth Supplemental Indenture, dated as of April 1, 2021 by and between Energy Transfer LP and U.S. Bank National Association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(incorporated by reference to Exhibit 10.3 to Form 8-K (File No. 1-32740) filed April 2, 2021)</w:t>
              </w:r>
            </w:hyperlink>
          </w:p>
        </w:tc>
        <w:tc>
          <w:tcPr>
            <w:tcW w:w="3520" w:type="dxa"/>
            <w:vAlign w:val="bottom"/>
            <w:tcBorders>
              <w:top w:val="single" w:sz="8" w:color="0000FF"/>
            </w:tcBorders>
            <w:gridSpan w:val="2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42</w:t>
              </w:r>
            </w:hyperlink>
          </w:p>
        </w:tc>
        <w:tc>
          <w:tcPr>
            <w:tcW w:w="260" w:type="dxa"/>
            <w:vAlign w:val="bottom"/>
          </w:tcPr>
          <w:p>
            <w:pPr>
              <w:spacing w:after="0"/>
              <w:rPr>
                <w:sz w:val="20"/>
                <w:szCs w:val="20"/>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Seventeenth Supplemental Indenture, dated as of April 1, 2021 by and between Energy Transfer LP and U.S. Bank National Association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8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(incorporated by reference to Exhibit 10.4 to Form 8-K (File No. 1-32740) filed April 2, 2021)</w:t>
              </w:r>
            </w:hyperlink>
          </w:p>
        </w:tc>
        <w:tc>
          <w:tcPr>
            <w:tcW w:w="3560" w:type="dxa"/>
            <w:vAlign w:val="bottom"/>
            <w:tcBorders>
              <w:top w:val="single" w:sz="8" w:color="0000FF"/>
            </w:tcBorders>
            <w:gridSpan w:val="2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43</w:t>
              </w:r>
            </w:hyperlink>
          </w:p>
        </w:tc>
        <w:tc>
          <w:tcPr>
            <w:tcW w:w="260" w:type="dxa"/>
            <w:vAlign w:val="bottom"/>
          </w:tcPr>
          <w:p>
            <w:pPr>
              <w:spacing w:after="0"/>
              <w:rPr>
                <w:sz w:val="20"/>
                <w:szCs w:val="20"/>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Nineteenth Supplemental Indenture, dated as of April 1, 2021 by and between Energy Transfer LP and U.S. Bank National Association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8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(incorporated by reference to Exhibit 10.5 to Form 8-K (File No. 1-32740) filed April 2, 2021)</w:t>
              </w:r>
            </w:hyperlink>
          </w:p>
        </w:tc>
        <w:tc>
          <w:tcPr>
            <w:tcW w:w="3420" w:type="dxa"/>
            <w:vAlign w:val="bottom"/>
            <w:tcBorders>
              <w:top w:val="single" w:sz="8" w:color="0000FF"/>
            </w:tcBorders>
            <w:gridSpan w:val="18"/>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44</w:t>
              </w:r>
            </w:hyperlink>
          </w:p>
        </w:tc>
        <w:tc>
          <w:tcPr>
            <w:tcW w:w="260" w:type="dxa"/>
            <w:vAlign w:val="bottom"/>
          </w:tcPr>
          <w:p>
            <w:pPr>
              <w:spacing w:after="0"/>
              <w:rPr>
                <w:sz w:val="20"/>
                <w:szCs w:val="20"/>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Supplemental Indenture No. 6, dated November 3, 2022, between Panhandle Eastern Pipe Line Company, LP, Energy Transfer LP and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Bank of New York Mellon Trust Company, as Trustee (incorporated by reference to Exhibit 10.1 to Form 8-K (File No. 1-2921) filed</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238">
              <w:r>
                <w:rPr>
                  <w:rFonts w:ascii="Times New Roman" w:cs="Times New Roman" w:eastAsia="Times New Roman" w:hAnsi="Times New Roman"/>
                  <w:sz w:val="18"/>
                  <w:szCs w:val="18"/>
                  <w:color w:val="0000FF"/>
                  <w:w w:val="98"/>
                </w:rPr>
                <w:t>November 17, 2022)</w:t>
              </w:r>
            </w:hyperlink>
          </w:p>
        </w:tc>
        <w:tc>
          <w:tcPr>
            <w:tcW w:w="864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45</w:t>
              </w:r>
            </w:hyperlink>
          </w:p>
        </w:tc>
        <w:tc>
          <w:tcPr>
            <w:tcW w:w="260" w:type="dxa"/>
            <w:vAlign w:val="bottom"/>
          </w:tcPr>
          <w:p>
            <w:pPr>
              <w:spacing w:after="0"/>
              <w:rPr>
                <w:sz w:val="20"/>
                <w:szCs w:val="20"/>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Fifth Supplemental Indenture, dated November 3, 2022, between Panhandle Eastern Pipe Line Company, LP, Energy Transfer LP and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Bank of New York Mellon Trust Company, as Trustee (incorporated by reference to Exhibit 10.2 to Form 8-K (File No. 1-2921) filed</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239">
              <w:r>
                <w:rPr>
                  <w:rFonts w:ascii="Times New Roman" w:cs="Times New Roman" w:eastAsia="Times New Roman" w:hAnsi="Times New Roman"/>
                  <w:sz w:val="18"/>
                  <w:szCs w:val="18"/>
                  <w:color w:val="0000FF"/>
                  <w:w w:val="98"/>
                </w:rPr>
                <w:t>November 17, 2022)</w:t>
              </w:r>
            </w:hyperlink>
          </w:p>
        </w:tc>
        <w:tc>
          <w:tcPr>
            <w:tcW w:w="864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46</w:t>
              </w:r>
            </w:hyperlink>
          </w:p>
        </w:tc>
        <w:tc>
          <w:tcPr>
            <w:tcW w:w="260" w:type="dxa"/>
            <w:vAlign w:val="bottom"/>
          </w:tcPr>
          <w:p>
            <w:pPr>
              <w:spacing w:after="0"/>
              <w:rPr>
                <w:sz w:val="20"/>
                <w:szCs w:val="20"/>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Eighth Supplemental Indenture, dated November 3, 2022, between Panhandle Eastern Pipe Line Company, LP, Energy Transfer LP and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Bank of New York Mellon Trust Company, as Trustee (incorporated by reference to Exhibit 10.3 to Form 8-K (File No. 1-2921) filed</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240">
              <w:r>
                <w:rPr>
                  <w:rFonts w:ascii="Times New Roman" w:cs="Times New Roman" w:eastAsia="Times New Roman" w:hAnsi="Times New Roman"/>
                  <w:sz w:val="18"/>
                  <w:szCs w:val="18"/>
                  <w:color w:val="0000FF"/>
                  <w:w w:val="98"/>
                </w:rPr>
                <w:t>November 17, 2022)</w:t>
              </w:r>
            </w:hyperlink>
          </w:p>
        </w:tc>
        <w:tc>
          <w:tcPr>
            <w:tcW w:w="864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47</w:t>
              </w:r>
            </w:hyperlink>
          </w:p>
        </w:tc>
        <w:tc>
          <w:tcPr>
            <w:tcW w:w="260" w:type="dxa"/>
            <w:vAlign w:val="bottom"/>
          </w:tcPr>
          <w:p>
            <w:pPr>
              <w:spacing w:after="0"/>
              <w:rPr>
                <w:sz w:val="20"/>
                <w:szCs w:val="20"/>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Indenture, dated as of December 14, 2022, between Energy Transfer LP, as issuer, and U.S. Bank Trust Company, National Association, as</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6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trustee (incorporated by reference to Exhibit 4.1 to Form 8-K (File No. 1-32740) filed December 14, 2022)</w:t>
              </w:r>
            </w:hyperlink>
          </w:p>
        </w:tc>
        <w:tc>
          <w:tcPr>
            <w:tcW w:w="248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48</w:t>
              </w:r>
            </w:hyperlink>
          </w:p>
        </w:tc>
        <w:tc>
          <w:tcPr>
            <w:tcW w:w="260" w:type="dxa"/>
            <w:vAlign w:val="bottom"/>
          </w:tcPr>
          <w:p>
            <w:pPr>
              <w:spacing w:after="0"/>
              <w:rPr>
                <w:sz w:val="20"/>
                <w:szCs w:val="20"/>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First Supplemental Indenture, dated as of December 14, 2022, between Energy Transfer LP, as issuer, and U.S. Bank Trust Company,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948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National Association, as trustee (incorporated by reference to Exhibit 4.2 to Form 8-K (File No. 1-32740) filed December 14, 2022)</w:t>
              </w:r>
            </w:hyperlink>
          </w:p>
        </w:tc>
        <w:tc>
          <w:tcPr>
            <w:tcW w:w="740" w:type="dxa"/>
            <w:vAlign w:val="bottom"/>
            <w:tcBorders>
              <w:top w:val="single" w:sz="8" w:color="0000FF"/>
            </w:tcBorders>
            <w:gridSpan w:val="10"/>
          </w:tcPr>
          <w:p>
            <w:pPr>
              <w:spacing w:after="0"/>
              <w:rPr>
                <w:sz w:val="15"/>
                <w:szCs w:val="15"/>
                <w:color w:val="auto"/>
              </w:rPr>
            </w:pPr>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49</w:t>
              </w:r>
            </w:hyperlink>
          </w:p>
        </w:tc>
        <w:tc>
          <w:tcPr>
            <w:tcW w:w="260" w:type="dxa"/>
            <w:vAlign w:val="bottom"/>
          </w:tcPr>
          <w:p>
            <w:pPr>
              <w:spacing w:after="0"/>
              <w:rPr>
                <w:sz w:val="20"/>
                <w:szCs w:val="20"/>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Second Supplemental Indenture, dated as of October 13, 2023, between Energy Transfer LP, as issuer, and U.S. Bank Trust Company,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3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43">
              <w:r>
                <w:rPr>
                  <w:rFonts w:ascii="Times New Roman" w:cs="Times New Roman" w:eastAsia="Times New Roman" w:hAnsi="Times New Roman"/>
                  <w:sz w:val="18"/>
                  <w:szCs w:val="18"/>
                  <w:color w:val="0000FF"/>
                  <w:w w:val="99"/>
                </w:rPr>
                <w:t>National Association, as trustee (incorporated by reference to Exhibit 4.2 to Form 8-K (File No. 1-32740) filed October 13, 2023)</w:t>
              </w:r>
            </w:hyperlink>
          </w:p>
        </w:tc>
        <w:tc>
          <w:tcPr>
            <w:tcW w:w="860" w:type="dxa"/>
            <w:vAlign w:val="bottom"/>
            <w:tcBorders>
              <w:top w:val="single" w:sz="8" w:color="0000FF"/>
            </w:tcBorders>
            <w:gridSpan w:val="9"/>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50</w:t>
              </w:r>
            </w:hyperlink>
          </w:p>
        </w:tc>
        <w:tc>
          <w:tcPr>
            <w:tcW w:w="260" w:type="dxa"/>
            <w:vAlign w:val="bottom"/>
          </w:tcPr>
          <w:p>
            <w:pPr>
              <w:spacing w:after="0"/>
              <w:rPr>
                <w:sz w:val="19"/>
                <w:szCs w:val="19"/>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Third Supplemental Indenture, dated as of January 25, 2024, between Energy Transfer LP, as issuer, and U.S. Bank Trust Company,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3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National Association, as trustee (incorporated by reference to Exhibit 4.2 to Form 8-K (File No. 1-32740) filed January 25, 2024)</w:t>
              </w:r>
            </w:hyperlink>
          </w:p>
        </w:tc>
        <w:tc>
          <w:tcPr>
            <w:tcW w:w="860" w:type="dxa"/>
            <w:vAlign w:val="bottom"/>
            <w:tcBorders>
              <w:top w:val="single" w:sz="8" w:color="0000FF"/>
            </w:tcBorders>
            <w:gridSpan w:val="9"/>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4"/>
          </w:tcPr>
          <w:p>
            <w:pPr>
              <w:jc w:val="right"/>
              <w:ind w:right="440"/>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51</w:t>
              </w:r>
            </w:hyperlink>
          </w:p>
        </w:tc>
        <w:tc>
          <w:tcPr>
            <w:tcW w:w="260" w:type="dxa"/>
            <w:vAlign w:val="bottom"/>
          </w:tcPr>
          <w:p>
            <w:pPr>
              <w:spacing w:after="0"/>
              <w:rPr>
                <w:sz w:val="19"/>
                <w:szCs w:val="19"/>
                <w:color w:val="auto"/>
              </w:rPr>
            </w:pPr>
          </w:p>
        </w:tc>
        <w:tc>
          <w:tcPr>
            <w:tcW w:w="10420" w:type="dxa"/>
            <w:vAlign w:val="bottom"/>
            <w:gridSpan w:val="32"/>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Fourth Supplemental Indenture, dated as of January 25, 2024, between Energy Transfer LP, as issuer, and U.S. Bank Trust Company,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National Association, as trustee (incorporated by reference to Exhibit 4.3 to Form 8-K (File No. 1-32740) filed January 25, 2024)</w:t>
              </w:r>
            </w:hyperlink>
          </w:p>
        </w:tc>
        <w:tc>
          <w:tcPr>
            <w:tcW w:w="30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tcBorders>
              <w:top w:val="single" w:sz="8" w:color="0000FF"/>
            </w:tcBorders>
            <w:gridSpan w:val="4"/>
          </w:tcPr>
          <w:p>
            <w:pPr>
              <w:jc w:val="right"/>
              <w:ind w:right="2100"/>
              <w:spacing w:after="0"/>
              <w:rPr>
                <w:sz w:val="20"/>
                <w:szCs w:val="20"/>
                <w:color w:val="auto"/>
              </w:rPr>
            </w:pPr>
            <w:r>
              <w:rPr>
                <w:rFonts w:ascii="Times New Roman" w:cs="Times New Roman" w:eastAsia="Times New Roman" w:hAnsi="Times New Roman"/>
                <w:sz w:val="18"/>
                <w:szCs w:val="18"/>
                <w:color w:val="auto"/>
              </w:rPr>
              <w:t>166</w:t>
            </w:r>
          </w:p>
        </w:tc>
        <w:tc>
          <w:tcPr>
            <w:tcW w:w="8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440" w:type="dxa"/>
            <w:vAlign w:val="bottom"/>
            <w:gridSpan w:val="4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6"/>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440" w:type="dxa"/>
            <w:vAlign w:val="bottom"/>
            <w:gridSpan w:val="4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52</w:t>
              </w:r>
            </w:hyperlink>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Fifth Supplemental Indenture, dated as of June 21, 2024, between Energy Transfer LP, as issuer, and U.S. Bank Trust Company, National</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42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Association, as trustee (incorporated by reference to Exhibit 4.2 to Form 8-K (File No. 1-32740) filed June 21, 2024)</w:t>
              </w:r>
            </w:hyperlink>
          </w:p>
        </w:tc>
        <w:tc>
          <w:tcPr>
            <w:tcW w:w="19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53</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Sixth Supplemental Indenture, dated as of June 21, 2024, between Energy Transfer LP, as issuer, and U.S. Bank Trust Company, National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Association, as trustee (incorporated by reference to Exhibit 4.3 to Form 8-K (File No. 1-32740) filed June 21, 2024)</w:t>
              </w:r>
            </w:hyperlink>
          </w:p>
        </w:tc>
        <w:tc>
          <w:tcPr>
            <w:tcW w:w="19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54</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Description of Registrant’s securities registered pursuant to Section 12 of the Securities Exchange Act of 1934 - Description of Series I</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40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Preferred Units (incorporated by reference to Exhibit 4.69 to Form 10-K (File No. 1-32740) filed February 16, 2024)</w:t>
              </w:r>
            </w:hyperlink>
          </w:p>
        </w:tc>
        <w:tc>
          <w:tcPr>
            <w:tcW w:w="200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55</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Description of Registrant’s securities registered pursuant to Section 12 of the Securities Exchange Act of 1934 - Description of common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units (incorporated by reference to Exhibit 4.70 to Form 10-K (File No. 1-32740) filed February 16, 2024)</w:t>
              </w:r>
            </w:hyperlink>
          </w:p>
        </w:tc>
        <w:tc>
          <w:tcPr>
            <w:tcW w:w="24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 w:type="dxa"/>
            <w:vAlign w:val="bottom"/>
            <w:gridSpan w:val="6"/>
          </w:tcPr>
          <w:p>
            <w:pPr>
              <w:ind w:left="20"/>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Amended and Restated Energy Transfer LP Long-Term Incentive Plan (formerly Amended and Restated Energy Transfer Equity, L.P.</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34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Long-Term Incentive Plan) (incorporated by reference to Exhibit 10.15 to Form 10-K (File No. 1-32740) filed February 16, 2023)</w:t>
              </w:r>
            </w:hyperlink>
          </w:p>
        </w:tc>
        <w:tc>
          <w:tcPr>
            <w:tcW w:w="104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 w:type="dxa"/>
            <w:vAlign w:val="bottom"/>
            <w:gridSpan w:val="6"/>
          </w:tcPr>
          <w:p>
            <w:pPr>
              <w:ind w:left="20"/>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First Amendment to the Amended and Restated Energy Transfer LP Long-Term Incentive Plan (incorporated by reference to Exhibit 10.2</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to Form 10-K (File No. 1-32740) filed February 19, 2021)</w:t>
              </w:r>
            </w:hyperlink>
          </w:p>
        </w:tc>
        <w:tc>
          <w:tcPr>
            <w:tcW w:w="602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 w:type="dxa"/>
            <w:vAlign w:val="bottom"/>
            <w:gridSpan w:val="6"/>
          </w:tcPr>
          <w:p>
            <w:pPr>
              <w:ind w:left="20"/>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Second Amendment to the Amended and Restated Energy Transfer LP Long-Term Incentive Plan (incorporated by reference to Exhibit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8-K (File No. 1-32740) filed January 6,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p>
        </w:tc>
        <w:tc>
          <w:tcPr>
            <w:tcW w:w="260" w:type="dxa"/>
            <w:vAlign w:val="bottom"/>
          </w:tcPr>
          <w:p>
            <w:pPr>
              <w:spacing w:after="0"/>
              <w:rPr>
                <w:sz w:val="19"/>
                <w:szCs w:val="19"/>
                <w:color w:val="auto"/>
              </w:rPr>
            </w:pPr>
          </w:p>
        </w:tc>
        <w:tc>
          <w:tcPr>
            <w:tcW w:w="104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under the A&amp;R Long-Term Incentive Plan</w:t>
            </w: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6"/>
          </w:tcPr>
          <w:p>
            <w:pPr>
              <w:ind w:left="20"/>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Energy Transfer LP Long-Term Cash Restricted Unit Plan (incorporated by reference to Exhibit 10.2 to Form 8-K (File No. 1-32740) filed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January 6,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 w:type="dxa"/>
            <w:vAlign w:val="bottom"/>
            <w:gridSpan w:val="6"/>
          </w:tcPr>
          <w:p>
            <w:pPr>
              <w:ind w:left="20"/>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Form of Cash Unit Award Agreement under the Energy Transfer LP Long-Term Cash Restricted Unit Plan (incorporated by reference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Exhibit 10.15 to Form 10-K (File No. 1-32740) filed February 16, 2023)</w:t>
              </w:r>
            </w:hyperlink>
          </w:p>
        </w:tc>
        <w:tc>
          <w:tcPr>
            <w:tcW w:w="49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 w:type="dxa"/>
            <w:vAlign w:val="bottom"/>
            <w:gridSpan w:val="6"/>
          </w:tcPr>
          <w:p>
            <w:pPr>
              <w:ind w:left="20"/>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Second Amended and Restated Energy Transfer LP 2008 Long-Term Incentive Plan (formerly Second Amended and Restated Energy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2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Transfer Partners, L.P. 2008 Long-Term Incentive Plan) (incorporated by reference to Exhibit 4.1 to Form S-8 (File No. 333-229456) filed</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256">
              <w:r>
                <w:rPr>
                  <w:rFonts w:ascii="Times New Roman" w:cs="Times New Roman" w:eastAsia="Times New Roman" w:hAnsi="Times New Roman"/>
                  <w:sz w:val="18"/>
                  <w:szCs w:val="18"/>
                  <w:color w:val="0000FF"/>
                  <w:w w:val="98"/>
                </w:rPr>
                <w:t>January 31, 2019)</w:t>
              </w:r>
            </w:hyperlink>
          </w:p>
        </w:tc>
        <w:tc>
          <w:tcPr>
            <w:tcW w:w="878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 w:type="dxa"/>
            <w:vAlign w:val="bottom"/>
            <w:gridSpan w:val="6"/>
          </w:tcPr>
          <w:p>
            <w:pPr>
              <w:ind w:left="20"/>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Director and Officer Indemnification Agreement (incorporated by reference to Exhibit 10.26 to Form S-1 (File No. 333-128097)</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filed December 20, 2005)</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 w:type="dxa"/>
            <w:vAlign w:val="bottom"/>
            <w:gridSpan w:val="6"/>
          </w:tcPr>
          <w:p>
            <w:pPr>
              <w:ind w:left="20"/>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LE GP, LLC Amended and Restated Outside Director Compensation Policy (incorporated by reference to Exhibit 10.15 to Form 10-K (File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7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8"/>
              </w:rPr>
            </w:pPr>
            <w:hyperlink r:id="rId252">
              <w:r>
                <w:rPr>
                  <w:rFonts w:ascii="Times New Roman" w:cs="Times New Roman" w:eastAsia="Times New Roman" w:hAnsi="Times New Roman"/>
                  <w:sz w:val="18"/>
                  <w:szCs w:val="18"/>
                  <w:color w:val="0000FF"/>
                  <w:w w:val="98"/>
                </w:rPr>
                <w:t>No. 1-32740) filed February 16, 2023)</w:t>
              </w:r>
            </w:hyperlink>
          </w:p>
        </w:tc>
        <w:tc>
          <w:tcPr>
            <w:tcW w:w="73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gridSpan w:val="7"/>
          </w:tcPr>
          <w:p>
            <w:pPr>
              <w:ind w:left="20"/>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Energy Transfer Deferred Compensation Plan (formerly called Energy Transfer Partners Deferred Compensation Plan) (incorporated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reference to Exhibit 10.1 to Form 10-Q (File No. 1-11727) filed May 7, 2010)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 w:type="dxa"/>
            <w:vAlign w:val="bottom"/>
            <w:gridSpan w:val="6"/>
          </w:tcPr>
          <w:p>
            <w:pPr>
              <w:ind w:left="20"/>
              <w:spacing w:after="0"/>
              <w:rPr>
                <w:rFonts w:ascii="Times New Roman" w:cs="Times New Roman" w:eastAsia="Times New Roman" w:hAnsi="Times New Roman"/>
                <w:sz w:val="18"/>
                <w:szCs w:val="18"/>
                <w:color w:val="0000FF"/>
                <w:w w:val="94"/>
              </w:rPr>
            </w:pPr>
            <w:hyperlink r:id="rId259">
              <w:r>
                <w:rPr>
                  <w:rFonts w:ascii="Times New Roman" w:cs="Times New Roman" w:eastAsia="Times New Roman" w:hAnsi="Times New Roman"/>
                  <w:sz w:val="18"/>
                  <w:szCs w:val="18"/>
                  <w:color w:val="0000FF"/>
                  <w:w w:val="94"/>
                </w:rPr>
                <w:t>10.</w:t>
              </w:r>
              <w:r>
                <w:rPr>
                  <w:rFonts w:ascii="Times New Roman" w:cs="Times New Roman" w:eastAsia="Times New Roman" w:hAnsi="Times New Roman"/>
                  <w:sz w:val="18"/>
                  <w:szCs w:val="18"/>
                  <w:u w:val="single" w:color="auto"/>
                  <w:color w:val="0000FF"/>
                  <w:w w:val="94"/>
                </w:rPr>
                <w:t>11+</w:t>
              </w:r>
            </w:hyperlink>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Amendment No. 1 to the Energy Transfer Deferred Compensation Plan (formerly called Energy Transfer Partners Deferred Compensation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760" w:type="dxa"/>
            <w:vAlign w:val="bottom"/>
            <w:tcBorders>
              <w:top w:val="single" w:sz="8" w:color="0000FF"/>
              <w:bottom w:val="single" w:sz="8" w:color="0000FF"/>
            </w:tcBorders>
            <w:gridSpan w:val="19"/>
          </w:tcPr>
          <w:p>
            <w:pPr>
              <w:spacing w:after="0" w:line="182"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Plan) (incorporated by reference to Exhibit 10.12 to Form 10-K (File No. 1-32740) filed February 18, 2022)</w:t>
              </w:r>
            </w:hyperlink>
          </w:p>
        </w:tc>
        <w:tc>
          <w:tcPr>
            <w:tcW w:w="2160" w:type="dxa"/>
            <w:vAlign w:val="bottom"/>
            <w:tcBorders>
              <w:top w:val="single" w:sz="8" w:color="0000FF"/>
            </w:tcBorders>
            <w:gridSpan w:val="5"/>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80" w:type="dxa"/>
            <w:vAlign w:val="bottom"/>
            <w:gridSpan w:val="7"/>
          </w:tcPr>
          <w:p>
            <w:pPr>
              <w:ind w:left="20"/>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260" w:type="dxa"/>
            <w:vAlign w:val="bottom"/>
          </w:tcPr>
          <w:p>
            <w:pPr>
              <w:spacing w:after="0"/>
              <w:rPr>
                <w:sz w:val="20"/>
                <w:szCs w:val="20"/>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Amendment No. 2 to the Energy Transfer Deferred Compensation Plan (incorporated by reference to Exhibit 10.13 to Form 10-K (File No.</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1-32740) filed February 18, 2022)</w:t>
              </w:r>
            </w:hyperlink>
          </w:p>
        </w:tc>
        <w:tc>
          <w:tcPr>
            <w:tcW w:w="8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gridSpan w:val="7"/>
          </w:tcPr>
          <w:p>
            <w:pPr>
              <w:ind w:left="20"/>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260" w:type="dxa"/>
            <w:vAlign w:val="bottom"/>
          </w:tcPr>
          <w:p>
            <w:pPr>
              <w:spacing w:after="0"/>
              <w:rPr>
                <w:sz w:val="20"/>
                <w:szCs w:val="20"/>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Energy Transfer LP Amended and Restated Annual Bonus Plan (incorporated by reference to Exhibit 10.15 to Form 10-K (File No. 1-</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3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252">
              <w:r>
                <w:rPr>
                  <w:rFonts w:ascii="Times New Roman" w:cs="Times New Roman" w:eastAsia="Times New Roman" w:hAnsi="Times New Roman"/>
                  <w:sz w:val="18"/>
                  <w:szCs w:val="18"/>
                  <w:color w:val="0000FF"/>
                  <w:w w:val="98"/>
                </w:rPr>
                <w:t>32740) filed February 16, 2023)</w:t>
              </w:r>
            </w:hyperlink>
          </w:p>
        </w:tc>
        <w:tc>
          <w:tcPr>
            <w:tcW w:w="7980" w:type="dxa"/>
            <w:vAlign w:val="bottom"/>
            <w:tcBorders>
              <w:top w:val="single" w:sz="8" w:color="0000FF"/>
            </w:tcBorders>
            <w:gridSpan w:val="31"/>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 w:type="dxa"/>
            <w:vAlign w:val="bottom"/>
            <w:gridSpan w:val="5"/>
          </w:tcPr>
          <w:p>
            <w:pPr>
              <w:ind w:left="20"/>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Registration Rights Agreement, dated November 27, 2006, by and among Energy Transfer Equity, L.P. and certain investors named therein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2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(incorporated by reference to Exhibit 99.1 to Form 8-K (File No. 1-32740) filed November 30, 2006)</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4940" w:type="dxa"/>
            <w:vAlign w:val="bottom"/>
            <w:gridSpan w:val="9"/>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gridSpan w:val="5"/>
          </w:tcPr>
          <w:p>
            <w:pPr>
              <w:ind w:left="20"/>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Registration Rights Agreement, dated March 2, 2007, by and among Energy Transfer Equity, L.P. and certain investors named therein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(incorporated by reference to Exhibit 99.1 to Form 8-K (File No. 1-32740) filed March 5,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4940" w:type="dxa"/>
            <w:vAlign w:val="bottom"/>
            <w:gridSpan w:val="9"/>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gridSpan w:val="5"/>
          </w:tcPr>
          <w:p>
            <w:pPr>
              <w:ind w:left="20"/>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Unitholder Rights and Restrictions Agreement, dated as of May 7, 2007, by and among Energy Transfer Equity, L.P., Ray C. Davis, Natural</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8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Gas Partners VI, L.P. and Enterprise GP Holdings, L.P. (incorporated by reference to Exhibit 10.45 to Form 8-K (File No. 1-32740) filed</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263">
              <w:r>
                <w:rPr>
                  <w:rFonts w:ascii="Times New Roman" w:cs="Times New Roman" w:eastAsia="Times New Roman" w:hAnsi="Times New Roman"/>
                  <w:sz w:val="18"/>
                  <w:szCs w:val="18"/>
                  <w:color w:val="0000FF"/>
                  <w:w w:val="98"/>
                </w:rPr>
                <w:t>May 7, 2007)</w:t>
              </w:r>
            </w:hyperlink>
          </w:p>
        </w:tc>
        <w:tc>
          <w:tcPr>
            <w:tcW w:w="9280" w:type="dxa"/>
            <w:vAlign w:val="bottom"/>
            <w:gridSpan w:val="34"/>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gridSpan w:val="5"/>
          </w:tcPr>
          <w:p>
            <w:pPr>
              <w:ind w:left="20"/>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Equity Restructuring Agreement, dated as of January 15, 2018, by and among Energy Transfer Equity, L.P., USA Compression Partners,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76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LP and USA Compression GP, LLC. (incorporated by reference to Exhibit 10.1 to Form 8-K (File No. 1-32740) filed January 16, 2018)</w:t>
              </w:r>
            </w:hyperlink>
          </w:p>
        </w:tc>
        <w:tc>
          <w:tcPr>
            <w:tcW w:w="3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 w:type="dxa"/>
            <w:vAlign w:val="bottom"/>
            <w:gridSpan w:val="5"/>
          </w:tcPr>
          <w:p>
            <w:pPr>
              <w:ind w:left="20"/>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Registration Rights Agreement, dated as of April 2, 2018, by and among Energy Transfer Partners, L.P., Energy Transfer Equity, L.P., USA</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Compression Partners, LP and USA Compression Holdings, LLC. (incorporated by reference to Exhibit 10.1 to Form 8-K (File No. 1-</w:t>
              </w:r>
            </w:hyperlink>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32740) filed April 3, 2018)</w:t>
              </w:r>
            </w:hyperlink>
          </w:p>
        </w:tc>
        <w:tc>
          <w:tcPr>
            <w:tcW w:w="8220" w:type="dxa"/>
            <w:vAlign w:val="bottom"/>
            <w:tcBorders>
              <w:top w:val="single" w:sz="8" w:color="0000FF"/>
            </w:tcBorders>
            <w:gridSpan w:val="26"/>
          </w:tcPr>
          <w:p>
            <w:pPr>
              <w:spacing w:after="0"/>
              <w:rPr>
                <w:sz w:val="14"/>
                <w:szCs w:val="14"/>
                <w:color w:val="auto"/>
              </w:rPr>
            </w:pPr>
          </w:p>
        </w:tc>
        <w:tc>
          <w:tcPr>
            <w:tcW w:w="200" w:type="dxa"/>
            <w:vAlign w:val="bottom"/>
            <w:gridSpan w:val="10"/>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 w:type="dxa"/>
            <w:vAlign w:val="bottom"/>
            <w:gridSpan w:val="5"/>
          </w:tcPr>
          <w:p>
            <w:pPr>
              <w:ind w:left="20"/>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40" w:type="dxa"/>
            <w:vAlign w:val="bottom"/>
            <w:gridSpan w:val="46"/>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Note Purchase Agreement, dated as of May 24, 2007, by and among Transwestern Pipeline Company, LLC and the Purchasers parties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60" w:type="dxa"/>
            <w:vAlign w:val="bottom"/>
            <w:tcBorders>
              <w:top w:val="single" w:sz="8" w:color="0000FF"/>
            </w:tcBorders>
            <w:gridSpan w:val="42"/>
          </w:tcPr>
          <w:p>
            <w:pPr>
              <w:spacing w:after="0" w:line="169"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thereto (incorporated by reference to Exhibit 10.56 to Form 10-Q (File No. 1-11727) filed July 10, 2007)</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top w:val="single" w:sz="8" w:color="0000FF"/>
            </w:tcBorders>
            <w:gridSpan w:val="12"/>
          </w:tcPr>
          <w:p>
            <w:pPr>
              <w:jc w:val="right"/>
              <w:ind w:right="500"/>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9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900" w:type="dxa"/>
            <w:vAlign w:val="bottom"/>
            <w:gridSpan w:val="5"/>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260" w:type="dxa"/>
            <w:vAlign w:val="bottom"/>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2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26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20</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60" w:type="dxa"/>
            <w:vAlign w:val="bottom"/>
            <w:gridSpan w:val="26"/>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Amended and Restated Credit Agreement, dated as of April 11, 2022, by and among Energy Transfer LP, as borrower, Wells Fargo Bank,</w:t>
              </w:r>
            </w:hyperlink>
          </w:p>
        </w:tc>
        <w:tc>
          <w:tcPr>
            <w:tcW w:w="0" w:type="dxa"/>
            <w:vAlign w:val="bottom"/>
          </w:tcPr>
          <w:p>
            <w:pPr>
              <w:spacing w:after="0"/>
              <w:rPr>
                <w:sz w:val="1"/>
                <w:szCs w:val="1"/>
                <w:color w:val="auto"/>
              </w:rPr>
            </w:pPr>
          </w:p>
        </w:tc>
      </w:tr>
      <w:tr>
        <w:trPr>
          <w:trHeight w:val="169"/>
        </w:trPr>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4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National Association., as administrative agent, swingline lender and an LC issuer and the lenders party thereto (incorporated by reference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0" w:type="dxa"/>
            <w:vAlign w:val="bottom"/>
            <w:gridSpan w:val="23"/>
          </w:tcPr>
          <w:p>
            <w:pPr>
              <w:spacing w:after="0" w:line="182"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to Exhibit 10.1 of Form 8-K (File No. 1-32740) filed April 12,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27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hyperlink>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60" w:type="dxa"/>
            <w:vAlign w:val="bottom"/>
            <w:gridSpan w:val="26"/>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Cushion Gas Litigation Agreement, dated January 26, 2005, by and among AEP Energy Services Gas Holding Company II, L.L.C. and</w:t>
              </w:r>
            </w:hyperlink>
          </w:p>
        </w:tc>
        <w:tc>
          <w:tcPr>
            <w:tcW w:w="0" w:type="dxa"/>
            <w:vAlign w:val="bottom"/>
          </w:tcPr>
          <w:p>
            <w:pPr>
              <w:spacing w:after="0"/>
              <w:rPr>
                <w:sz w:val="1"/>
                <w:szCs w:val="1"/>
                <w:color w:val="auto"/>
              </w:rPr>
            </w:pPr>
          </w:p>
        </w:tc>
      </w:tr>
      <w:tr>
        <w:trPr>
          <w:trHeight w:val="169"/>
        </w:trPr>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1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HPL Storage LP, as Sellers, and La Grange Acquisition, L.P., as Buyer, and AEP Asset Holdings LP, AEP Leaseco LP, Houston Pipe Line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6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Company, LP and HPL Resources Company LP, as Companies (incorporated by reference to Exhibit 10.2 to Form 8-K (File No. 1-11727)</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14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filed February 1, 2005)</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27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22</w:t>
              </w:r>
            </w:hyperlink>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60" w:type="dxa"/>
            <w:vAlign w:val="bottom"/>
            <w:gridSpan w:val="26"/>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Guarantee of Collection, made as of March 26, 2012, by Citrus ETP Finance LLC, to Energy Transfer Partners, L.P. (incorporated by</w:t>
              </w:r>
            </w:hyperlink>
          </w:p>
        </w:tc>
        <w:tc>
          <w:tcPr>
            <w:tcW w:w="0" w:type="dxa"/>
            <w:vAlign w:val="bottom"/>
          </w:tcPr>
          <w:p>
            <w:pPr>
              <w:spacing w:after="0"/>
              <w:rPr>
                <w:sz w:val="1"/>
                <w:szCs w:val="1"/>
                <w:color w:val="auto"/>
              </w:rPr>
            </w:pPr>
          </w:p>
        </w:tc>
      </w:tr>
      <w:tr>
        <w:trPr>
          <w:trHeight w:val="183"/>
        </w:trPr>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reference to Exhibit 10.1 to Form 8-K (File No. 1-11727) filed March 28, 2012)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27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23</w:t>
              </w:r>
            </w:hyperlink>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60" w:type="dxa"/>
            <w:vAlign w:val="bottom"/>
            <w:gridSpan w:val="26"/>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Support Agreement, dated March 26, 2012, by and among PEPL Holdings, LLC, Energy Transfer Partners, L.P., and Citrus ETP Finance</w:t>
              </w:r>
            </w:hyperlink>
          </w:p>
        </w:tc>
        <w:tc>
          <w:tcPr>
            <w:tcW w:w="0" w:type="dxa"/>
            <w:vAlign w:val="bottom"/>
          </w:tcPr>
          <w:p>
            <w:pPr>
              <w:spacing w:after="0"/>
              <w:rPr>
                <w:sz w:val="1"/>
                <w:szCs w:val="1"/>
                <w:color w:val="auto"/>
              </w:rPr>
            </w:pPr>
          </w:p>
        </w:tc>
      </w:tr>
      <w:tr>
        <w:trPr>
          <w:trHeight w:val="183"/>
        </w:trPr>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36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LLC (incorporated by reference to Exhibit 10.2 to Form 8-K (File No. 1-11727) filed March 28, 2012)</w:t>
              </w:r>
            </w:hyperlink>
          </w:p>
        </w:tc>
        <w:tc>
          <w:tcPr>
            <w:tcW w:w="2740" w:type="dxa"/>
            <w:vAlign w:val="bottom"/>
            <w:tcBorders>
              <w:top w:val="single" w:sz="8" w:color="0000FF"/>
            </w:tcBorders>
            <w:gridSpan w:val="5"/>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27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24</w:t>
              </w:r>
            </w:hyperlink>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60" w:type="dxa"/>
            <w:vAlign w:val="bottom"/>
            <w:gridSpan w:val="26"/>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Form of Commercial Paper Dealer Agreement between Energy Transfer Partners, L.P., as Issuer, and the Dealer party thereto (incorporated</w:t>
              </w:r>
            </w:hyperlink>
          </w:p>
        </w:tc>
        <w:tc>
          <w:tcPr>
            <w:tcW w:w="0" w:type="dxa"/>
            <w:vAlign w:val="bottom"/>
          </w:tcPr>
          <w:p>
            <w:pPr>
              <w:spacing w:after="0"/>
              <w:rPr>
                <w:sz w:val="1"/>
                <w:szCs w:val="1"/>
                <w:color w:val="auto"/>
              </w:rPr>
            </w:pPr>
          </w:p>
        </w:tc>
      </w:tr>
      <w:tr>
        <w:trPr>
          <w:trHeight w:val="183"/>
        </w:trPr>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by reference to Exhibit 99.1 to Form 8-K (File No. 1-11727) filed August 22, 2016)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19.</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Energy Transfer LP Insider Trading Policy</w:t>
            </w:r>
          </w:p>
        </w:tc>
        <w:tc>
          <w:tcPr>
            <w:tcW w:w="424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gridSpan w:val="3"/>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22.</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60" w:type="dxa"/>
            <w:vAlign w:val="bottom"/>
            <w:gridSpan w:val="26"/>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Issuers and Guarantors of Registered Securities (incorporated by reference to Exhibit 22.1 of Form 10-Q (File No. 1-32740) filed August 5,</w:t>
              </w:r>
            </w:hyperlink>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0"/>
              </w:rPr>
            </w:pPr>
            <w:hyperlink r:id="rId274">
              <w:r>
                <w:rPr>
                  <w:rFonts w:ascii="Times New Roman" w:cs="Times New Roman" w:eastAsia="Times New Roman" w:hAnsi="Times New Roman"/>
                  <w:sz w:val="18"/>
                  <w:szCs w:val="18"/>
                  <w:color w:val="0000FF"/>
                  <w:w w:val="90"/>
                </w:rPr>
                <w:t>2021)</w:t>
              </w:r>
            </w:hyperlink>
          </w:p>
        </w:tc>
        <w:tc>
          <w:tcPr>
            <w:tcW w:w="4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50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60" w:type="dxa"/>
            <w:vAlign w:val="bottom"/>
          </w:tcPr>
          <w:p>
            <w:pPr>
              <w:spacing w:after="0"/>
              <w:rPr>
                <w:sz w:val="18"/>
                <w:szCs w:val="18"/>
                <w:color w:val="auto"/>
              </w:rPr>
            </w:pP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5"/>
              </w:rPr>
              <w:t>Act of 2002</w:t>
            </w:r>
          </w:p>
        </w:tc>
        <w:tc>
          <w:tcPr>
            <w:tcW w:w="92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260" w:type="dxa"/>
            <w:vAlign w:val="bottom"/>
          </w:tcPr>
          <w:p>
            <w:pPr>
              <w:spacing w:after="0"/>
              <w:rPr>
                <w:sz w:val="19"/>
                <w:szCs w:val="19"/>
                <w:color w:val="auto"/>
              </w:rPr>
            </w:pP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5"/>
              </w:rPr>
              <w:t>Act of 2002</w:t>
            </w:r>
          </w:p>
        </w:tc>
        <w:tc>
          <w:tcPr>
            <w:tcW w:w="92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3**</w:t>
            </w:r>
          </w:p>
        </w:tc>
        <w:tc>
          <w:tcPr>
            <w:tcW w:w="260" w:type="dxa"/>
            <w:vAlign w:val="bottom"/>
          </w:tcPr>
          <w:p>
            <w:pPr>
              <w:spacing w:after="0"/>
              <w:rPr>
                <w:sz w:val="19"/>
                <w:szCs w:val="19"/>
                <w:color w:val="auto"/>
              </w:rPr>
            </w:pP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55"/>
        </w:trPr>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2002</w:t>
            </w: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60" w:type="dxa"/>
            <w:vAlign w:val="bottom"/>
            <w:gridSpan w:val="26"/>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Energy Transfer LP Executive Officer Incentive Compensation Clawback Policy (incorporated by reference to Exhibit 97.1 of Form 10-K</w:t>
              </w:r>
            </w:hyperlink>
          </w:p>
        </w:tc>
        <w:tc>
          <w:tcPr>
            <w:tcW w:w="0" w:type="dxa"/>
            <w:vAlign w:val="bottom"/>
          </w:tcPr>
          <w:p>
            <w:pPr>
              <w:spacing w:after="0"/>
              <w:rPr>
                <w:sz w:val="1"/>
                <w:szCs w:val="1"/>
                <w:color w:val="auto"/>
              </w:rPr>
            </w:pPr>
          </w:p>
        </w:tc>
      </w:tr>
      <w:tr>
        <w:trPr>
          <w:trHeight w:val="156"/>
        </w:trPr>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(File No. 1-32740) filed February 16, 2024)</w:t>
              </w:r>
            </w:hyperlink>
          </w:p>
        </w:tc>
        <w:tc>
          <w:tcPr>
            <w:tcW w:w="6940" w:type="dxa"/>
            <w:vAlign w:val="bottom"/>
            <w:tcBorders>
              <w:top w:val="single" w:sz="8" w:color="0000FF"/>
            </w:tcBorders>
            <w:gridSpan w:val="9"/>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formatted in iXBRL (Inline eXtensible Business Reporting Language) in this</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60" w:type="dxa"/>
            <w:vAlign w:val="bottom"/>
            <w:gridSpan w:val="26"/>
          </w:tcPr>
          <w:p>
            <w:pPr>
              <w:spacing w:after="0" w:line="184" w:lineRule="exact"/>
              <w:rPr>
                <w:sz w:val="20"/>
                <w:szCs w:val="20"/>
                <w:color w:val="auto"/>
              </w:rPr>
            </w:pPr>
            <w:r>
              <w:rPr>
                <w:rFonts w:ascii="Times New Roman" w:cs="Times New Roman" w:eastAsia="Times New Roman" w:hAnsi="Times New Roman"/>
                <w:sz w:val="18"/>
                <w:szCs w:val="18"/>
                <w:color w:val="auto"/>
              </w:rPr>
              <w:t>Form 10-K include: (i) our Consolidated Balance Sheets; (ii) our Consolidated Statements of Operations; (iii) our Consolidated Statements</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60" w:type="dxa"/>
            <w:vAlign w:val="bottom"/>
            <w:gridSpan w:val="26"/>
          </w:tcPr>
          <w:p>
            <w:pPr>
              <w:spacing w:after="0" w:line="181" w:lineRule="exact"/>
              <w:rPr>
                <w:sz w:val="20"/>
                <w:szCs w:val="20"/>
                <w:color w:val="auto"/>
              </w:rPr>
            </w:pPr>
            <w:r>
              <w:rPr>
                <w:rFonts w:ascii="Times New Roman" w:cs="Times New Roman" w:eastAsia="Times New Roman" w:hAnsi="Times New Roman"/>
                <w:sz w:val="18"/>
                <w:szCs w:val="18"/>
                <w:color w:val="auto"/>
              </w:rPr>
              <w:t>of Comprehensive Income; (iv) our Consolidated Statements of Equity; (v) our Consolidated Statements of Cash Flows; and (vi) the notes</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to our Consolidated Financial Statements</w:t>
            </w:r>
          </w:p>
        </w:tc>
        <w:tc>
          <w:tcPr>
            <w:tcW w:w="0" w:type="dxa"/>
            <w:vAlign w:val="bottom"/>
          </w:tcPr>
          <w:p>
            <w:pPr>
              <w:spacing w:after="0"/>
              <w:rPr>
                <w:sz w:val="1"/>
                <w:szCs w:val="1"/>
                <w:color w:val="auto"/>
              </w:rPr>
            </w:pPr>
          </w:p>
        </w:tc>
      </w:tr>
      <w:tr>
        <w:trPr>
          <w:trHeight w:val="23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020" w:hanging="994"/>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020" w:hanging="994"/>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1020" w:hanging="994"/>
        <w:spacing w:after="0"/>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0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ENERGY TRANSFER LP</w:t>
            </w:r>
          </w:p>
        </w:tc>
      </w:tr>
      <w:tr>
        <w:trPr>
          <w:trHeight w:val="500"/>
        </w:trPr>
        <w:tc>
          <w:tcPr>
            <w:tcW w:w="3140" w:type="dxa"/>
            <w:vAlign w:val="bottom"/>
          </w:tcPr>
          <w:p>
            <w:pPr>
              <w:spacing w:after="0"/>
              <w:rPr>
                <w:sz w:val="24"/>
                <w:szCs w:val="24"/>
                <w:color w:val="auto"/>
              </w:rPr>
            </w:pPr>
          </w:p>
        </w:tc>
        <w:tc>
          <w:tcPr>
            <w:tcW w:w="17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 GP, LLC, its general partner</w:t>
            </w:r>
          </w:p>
        </w:tc>
      </w:tr>
      <w:tr>
        <w:trPr>
          <w:trHeight w:val="76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2025</w:t>
            </w:r>
          </w:p>
        </w:tc>
        <w:tc>
          <w:tcPr>
            <w:tcW w:w="17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 Troy Sturrock</w:t>
            </w:r>
          </w:p>
        </w:tc>
      </w:tr>
      <w:tr>
        <w:trPr>
          <w:trHeight w:val="228"/>
        </w:trPr>
        <w:tc>
          <w:tcPr>
            <w:tcW w:w="3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Troy Sturrock</w:t>
            </w:r>
          </w:p>
        </w:tc>
      </w:tr>
    </w:tbl>
    <w:p>
      <w:pPr>
        <w:ind w:left="5040" w:right="600" w:hanging="161"/>
        <w:spacing w:after="0" w:line="231" w:lineRule="auto"/>
        <w:rPr>
          <w:sz w:val="20"/>
          <w:szCs w:val="20"/>
          <w:color w:val="auto"/>
        </w:rPr>
      </w:pPr>
      <w:r>
        <w:rPr>
          <w:rFonts w:ascii="Times New Roman" w:cs="Times New Roman" w:eastAsia="Times New Roman" w:hAnsi="Times New Roman"/>
          <w:sz w:val="18"/>
          <w:szCs w:val="18"/>
          <w:color w:val="auto"/>
        </w:rPr>
        <w:t>Group Senior Vice President, Controller and Principal Accounting Officer (duly authorized to sign on behalf of the registrant)</w:t>
      </w:r>
    </w:p>
    <w:p>
      <w:pPr>
        <w:spacing w:after="0" w:line="2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Signature</w:t>
            </w:r>
          </w:p>
        </w:tc>
        <w:tc>
          <w:tcPr>
            <w:tcW w:w="57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Title</w:t>
            </w:r>
          </w:p>
        </w:tc>
        <w:tc>
          <w:tcPr>
            <w:tcW w:w="26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Date</w:t>
            </w:r>
          </w:p>
        </w:tc>
      </w:tr>
      <w:tr>
        <w:trPr>
          <w:trHeight w:val="49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Kelcy L. Warren</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Chairman</w:t>
            </w: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Kelcy L. Warren</w:t>
            </w:r>
          </w:p>
        </w:tc>
        <w:tc>
          <w:tcPr>
            <w:tcW w:w="57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06"/>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Marshall S. McCrea, III</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Co-Chief Executive Officer and Director</w:t>
            </w: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 S. McCrea, III</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(Co-Principal Executive Officer)</w:t>
            </w:r>
          </w:p>
        </w:tc>
        <w:tc>
          <w:tcPr>
            <w:tcW w:w="2620" w:type="dxa"/>
            <w:vAlign w:val="bottom"/>
          </w:tcPr>
          <w:p>
            <w:pPr>
              <w:spacing w:after="0"/>
              <w:rPr>
                <w:sz w:val="19"/>
                <w:szCs w:val="19"/>
                <w:color w:val="auto"/>
              </w:rPr>
            </w:pPr>
          </w:p>
        </w:tc>
      </w:tr>
      <w:tr>
        <w:trPr>
          <w:trHeight w:val="31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E. Long</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Co-Chief Executive Officer and Director</w:t>
            </w: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E. Long</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(Co-Principal Executive Officer)</w:t>
            </w:r>
          </w:p>
        </w:tc>
        <w:tc>
          <w:tcPr>
            <w:tcW w:w="2620" w:type="dxa"/>
            <w:vAlign w:val="bottom"/>
          </w:tcPr>
          <w:p>
            <w:pPr>
              <w:spacing w:after="0"/>
              <w:rPr>
                <w:sz w:val="19"/>
                <w:szCs w:val="19"/>
                <w:color w:val="auto"/>
              </w:rPr>
            </w:pPr>
          </w:p>
        </w:tc>
      </w:tr>
      <w:tr>
        <w:trPr>
          <w:trHeight w:val="306"/>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Dylan A. Bramhall</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Group Chief Financial Officer</w:t>
            </w: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Dylan A. Bramhall</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620" w:type="dxa"/>
            <w:vAlign w:val="bottom"/>
          </w:tcPr>
          <w:p>
            <w:pPr>
              <w:spacing w:after="0"/>
              <w:rPr>
                <w:sz w:val="19"/>
                <w:szCs w:val="19"/>
                <w:color w:val="auto"/>
              </w:rPr>
            </w:pPr>
          </w:p>
        </w:tc>
      </w:tr>
      <w:tr>
        <w:trPr>
          <w:trHeight w:val="36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 Troy Sturrock</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Group Senior Vice President and Controller</w:t>
            </w: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Troy Sturrock</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620" w:type="dxa"/>
            <w:vAlign w:val="bottom"/>
          </w:tcPr>
          <w:p>
            <w:pPr>
              <w:spacing w:after="0"/>
              <w:rPr>
                <w:sz w:val="19"/>
                <w:szCs w:val="19"/>
                <w:color w:val="auto"/>
              </w:rPr>
            </w:pPr>
          </w:p>
        </w:tc>
      </w:tr>
      <w:tr>
        <w:trPr>
          <w:trHeight w:val="27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R. Anderson</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R. Anderson</w:t>
            </w:r>
          </w:p>
        </w:tc>
        <w:tc>
          <w:tcPr>
            <w:tcW w:w="57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7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D. Brannon</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D. Brannon</w:t>
            </w:r>
          </w:p>
        </w:tc>
        <w:tc>
          <w:tcPr>
            <w:tcW w:w="57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7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K. Grimm</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K. Grimm</w:t>
            </w:r>
          </w:p>
        </w:tc>
        <w:tc>
          <w:tcPr>
            <w:tcW w:w="57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06"/>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W. McReynolds</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W. McReynolds</w:t>
            </w:r>
          </w:p>
        </w:tc>
        <w:tc>
          <w:tcPr>
            <w:tcW w:w="57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06"/>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R. Perry</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R. Perry</w:t>
            </w:r>
          </w:p>
        </w:tc>
        <w:tc>
          <w:tcPr>
            <w:tcW w:w="57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7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S. Ramsey</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S. Ramsey</w:t>
            </w:r>
          </w:p>
        </w:tc>
        <w:tc>
          <w:tcPr>
            <w:tcW w:w="57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927"/>
        </w:trPr>
        <w:tc>
          <w:tcPr>
            <w:tcW w:w="2900" w:type="dxa"/>
            <w:vAlign w:val="bottom"/>
          </w:tcPr>
          <w:p>
            <w:pPr>
              <w:spacing w:after="0"/>
              <w:rPr>
                <w:sz w:val="24"/>
                <w:szCs w:val="24"/>
                <w:color w:val="auto"/>
              </w:rPr>
            </w:pPr>
          </w:p>
        </w:tc>
        <w:tc>
          <w:tcPr>
            <w:tcW w:w="57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169</w:t>
            </w:r>
          </w:p>
        </w:tc>
        <w:tc>
          <w:tcPr>
            <w:tcW w:w="2620" w:type="dxa"/>
            <w:vAlign w:val="bottom"/>
          </w:tcPr>
          <w:p>
            <w:pPr>
              <w:spacing w:after="0"/>
              <w:rPr>
                <w:sz w:val="24"/>
                <w:szCs w:val="24"/>
                <w:color w:val="auto"/>
              </w:rPr>
            </w:pPr>
          </w:p>
        </w:tc>
      </w:tr>
      <w:tr>
        <w:trPr>
          <w:trHeight w:val="115"/>
        </w:trPr>
        <w:tc>
          <w:tcPr>
            <w:tcW w:w="2900" w:type="dxa"/>
            <w:vAlign w:val="bottom"/>
            <w:tcBorders>
              <w:bottom w:val="single" w:sz="8" w:color="9A9A9A"/>
            </w:tcBorders>
          </w:tcPr>
          <w:p>
            <w:pPr>
              <w:spacing w:after="0"/>
              <w:rPr>
                <w:sz w:val="10"/>
                <w:szCs w:val="10"/>
                <w:color w:val="auto"/>
              </w:rPr>
            </w:pPr>
          </w:p>
        </w:tc>
        <w:tc>
          <w:tcPr>
            <w:tcW w:w="57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INDEX TO FINANCIAL STATEMENTS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4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Number </w:t>
            </w:r>
            <w:r>
              <w:rPr>
                <w:rFonts w:ascii="Times New Roman" w:cs="Times New Roman" w:eastAsia="Times New Roman" w:hAnsi="Times New Roman"/>
                <w:sz w:val="18"/>
                <w:szCs w:val="18"/>
                <w:color w:val="3051F2"/>
              </w:rPr>
              <w:t>248</w:t>
            </w:r>
            <w:r>
              <w:rPr>
                <w:rFonts w:ascii="Times New Roman" w:cs="Times New Roman" w:eastAsia="Times New Roman" w:hAnsi="Times New Roman"/>
                <w:sz w:val="18"/>
                <w:szCs w:val="18"/>
                <w:u w:val="single" w:color="auto"/>
                <w:color w:val="0000FF"/>
              </w:rPr>
              <w:t>)</w:t>
            </w: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0000FF"/>
                <w:w w:val="99"/>
              </w:rPr>
              <w:t>F - 2</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0000FF"/>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6320" w:type="dxa"/>
            <w:vAlign w:val="bottom"/>
            <w:tcBorders>
              <w:bottom w:val="single" w:sz="8" w:color="CCEEFF"/>
            </w:tcBorders>
            <w:gridSpan w:val="18"/>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F - 4</w:t>
            </w:r>
          </w:p>
        </w:tc>
        <w:tc>
          <w:tcPr>
            <w:tcW w:w="260" w:type="dxa"/>
            <w:vAlign w:val="bottom"/>
            <w:tcBorders>
              <w:bottom w:val="single" w:sz="8" w:color="CCEEFF"/>
            </w:tcBorders>
            <w:gridSpan w:val="2"/>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84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0000FF"/>
                <w:w w:val="99"/>
              </w:rPr>
              <w:t>F - 6</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2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0000FF"/>
                <w:w w:val="99"/>
              </w:rPr>
              <w:t>F - 7</w:t>
            </w:r>
          </w:p>
        </w:tc>
      </w:tr>
      <w:tr>
        <w:trPr>
          <w:trHeight w:val="189"/>
        </w:trPr>
        <w:tc>
          <w:tcPr>
            <w:tcW w:w="20" w:type="dxa"/>
            <w:vAlign w:val="bottom"/>
            <w:tcBorders>
              <w:top w:val="single" w:sz="8" w:color="CCEEFF"/>
            </w:tcBorders>
          </w:tcPr>
          <w:p>
            <w:pPr>
              <w:spacing w:after="0"/>
              <w:rPr>
                <w:sz w:val="16"/>
                <w:szCs w:val="16"/>
                <w:color w:val="auto"/>
              </w:rPr>
            </w:pPr>
          </w:p>
        </w:tc>
        <w:tc>
          <w:tcPr>
            <w:tcW w:w="3740" w:type="dxa"/>
            <w:vAlign w:val="bottom"/>
            <w:tcBorders>
              <w:top w:val="single" w:sz="8" w:color="0000FF"/>
            </w:tcBorders>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4680" w:type="dxa"/>
            <w:vAlign w:val="bottom"/>
            <w:tcBorders>
              <w:top w:val="single" w:sz="8" w:color="CCEEFF"/>
            </w:tcBorders>
            <w:gridSpan w:val="8"/>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F - 8</w:t>
            </w:r>
          </w:p>
        </w:tc>
        <w:tc>
          <w:tcPr>
            <w:tcW w:w="260" w:type="dxa"/>
            <w:vAlign w:val="bottom"/>
            <w:tcBorders>
              <w:top w:val="single" w:sz="8" w:color="CCEEFF"/>
            </w:tcBorders>
            <w:gridSpan w:val="2"/>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540" w:type="dxa"/>
            <w:vAlign w:val="bottom"/>
            <w:tcBorders>
              <w:bottom w:val="single" w:sz="8" w:color="CCEEFF"/>
            </w:tcBorders>
            <w:gridSpan w:val="13"/>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F - 9</w:t>
            </w:r>
          </w:p>
        </w:tc>
        <w:tc>
          <w:tcPr>
            <w:tcW w:w="260" w:type="dxa"/>
            <w:vAlign w:val="bottom"/>
            <w:tcBorders>
              <w:bottom w:val="single" w:sz="8" w:color="CCEEFF"/>
            </w:tcBorders>
            <w:gridSpan w:val="2"/>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84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160" w:type="dxa"/>
            <w:vAlign w:val="bottom"/>
          </w:tcPr>
          <w:p>
            <w:pPr>
              <w:spacing w:after="0"/>
              <w:rPr>
                <w:sz w:val="16"/>
                <w:szCs w:val="16"/>
                <w:color w:val="auto"/>
              </w:rPr>
            </w:pPr>
          </w:p>
        </w:tc>
        <w:tc>
          <w:tcPr>
            <w:tcW w:w="640" w:type="dxa"/>
            <w:vAlign w:val="bottom"/>
            <w:gridSpan w:val="4"/>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0000FF"/>
                <w:w w:val="97"/>
              </w:rPr>
              <w:t>F - 11</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18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8100" w:type="dxa"/>
            <w:vAlign w:val="bottom"/>
            <w:gridSpan w:val="2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Operations and Basis of Presentation</w:t>
            </w:r>
          </w:p>
        </w:tc>
        <w:tc>
          <w:tcPr>
            <w:tcW w:w="216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3051F2"/>
                <w:w w:val="97"/>
              </w:rPr>
              <w:t>F - 11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4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gridSpan w:val="2"/>
          </w:tcPr>
          <w:p>
            <w:pPr>
              <w:spacing w:after="0"/>
              <w:rPr>
                <w:sz w:val="16"/>
                <w:szCs w:val="16"/>
                <w:color w:val="auto"/>
              </w:rPr>
            </w:pPr>
          </w:p>
        </w:tc>
        <w:tc>
          <w:tcPr>
            <w:tcW w:w="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810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Estimates, Significant Accounting Policies and Balance Sheet Detail</w:t>
            </w:r>
          </w:p>
        </w:tc>
        <w:tc>
          <w:tcPr>
            <w:tcW w:w="2800" w:type="dxa"/>
            <w:vAlign w:val="bottom"/>
            <w:gridSpan w:val="5"/>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- 12</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4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18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3760" w:type="dxa"/>
            <w:vAlign w:val="bottom"/>
            <w:gridSpan w:val="2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Acquisitions, Divestitures and Related Transactions</w:t>
            </w:r>
          </w:p>
        </w:tc>
        <w:tc>
          <w:tcPr>
            <w:tcW w:w="4340" w:type="dxa"/>
            <w:vAlign w:val="bottom"/>
            <w:gridSpan w:val="7"/>
            <w:shd w:val="clear" w:color="auto" w:fill="CCEEFF"/>
          </w:tcPr>
          <w:p>
            <w:pPr>
              <w:spacing w:after="0"/>
              <w:rPr>
                <w:sz w:val="16"/>
                <w:szCs w:val="16"/>
                <w:color w:val="auto"/>
              </w:rPr>
            </w:pPr>
          </w:p>
        </w:tc>
        <w:tc>
          <w:tcPr>
            <w:tcW w:w="2800" w:type="dxa"/>
            <w:vAlign w:val="bottom"/>
            <w:gridSpan w:val="5"/>
            <w:shd w:val="clear" w:color="auto" w:fill="CCEEFF"/>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- 24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4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gridSpan w:val="2"/>
          </w:tcPr>
          <w:p>
            <w:pPr>
              <w:spacing w:after="0"/>
              <w:rPr>
                <w:sz w:val="16"/>
                <w:szCs w:val="16"/>
                <w:color w:val="auto"/>
              </w:rPr>
            </w:pPr>
          </w:p>
        </w:tc>
        <w:tc>
          <w:tcPr>
            <w:tcW w:w="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376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Investments in Unconsolidated Affiliates</w:t>
            </w:r>
          </w:p>
        </w:tc>
        <w:tc>
          <w:tcPr>
            <w:tcW w:w="4340" w:type="dxa"/>
            <w:vAlign w:val="bottom"/>
            <w:gridSpan w:val="7"/>
          </w:tcPr>
          <w:p>
            <w:pPr>
              <w:spacing w:after="0"/>
              <w:rPr>
                <w:sz w:val="16"/>
                <w:szCs w:val="16"/>
                <w:color w:val="auto"/>
              </w:rPr>
            </w:pPr>
          </w:p>
        </w:tc>
        <w:tc>
          <w:tcPr>
            <w:tcW w:w="2800" w:type="dxa"/>
            <w:vAlign w:val="bottom"/>
            <w:gridSpan w:val="5"/>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- 29</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4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18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240" w:type="dxa"/>
            <w:vAlign w:val="bottom"/>
            <w:gridSpan w:val="1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Net Income Per Common Unit</w:t>
            </w:r>
          </w:p>
        </w:tc>
        <w:tc>
          <w:tcPr>
            <w:tcW w:w="5860" w:type="dxa"/>
            <w:vAlign w:val="bottom"/>
            <w:gridSpan w:val="16"/>
            <w:shd w:val="clear" w:color="auto" w:fill="CCEEFF"/>
          </w:tcPr>
          <w:p>
            <w:pPr>
              <w:spacing w:after="0"/>
              <w:rPr>
                <w:sz w:val="16"/>
                <w:szCs w:val="16"/>
                <w:color w:val="auto"/>
              </w:rPr>
            </w:pPr>
          </w:p>
        </w:tc>
        <w:tc>
          <w:tcPr>
            <w:tcW w:w="2800" w:type="dxa"/>
            <w:vAlign w:val="bottom"/>
            <w:gridSpan w:val="5"/>
            <w:shd w:val="clear" w:color="auto" w:fill="CCEEFF"/>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4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gridSpan w:val="2"/>
          </w:tcPr>
          <w:p>
            <w:pPr>
              <w:spacing w:after="0"/>
              <w:rPr>
                <w:sz w:val="16"/>
                <w:szCs w:val="16"/>
                <w:color w:val="auto"/>
              </w:rPr>
            </w:pPr>
          </w:p>
        </w:tc>
        <w:tc>
          <w:tcPr>
            <w:tcW w:w="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224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Debt Obligations</w:t>
            </w:r>
          </w:p>
        </w:tc>
        <w:tc>
          <w:tcPr>
            <w:tcW w:w="5860" w:type="dxa"/>
            <w:vAlign w:val="bottom"/>
            <w:gridSpan w:val="16"/>
          </w:tcPr>
          <w:p>
            <w:pPr>
              <w:spacing w:after="0"/>
              <w:rPr>
                <w:sz w:val="16"/>
                <w:szCs w:val="16"/>
                <w:color w:val="auto"/>
              </w:rPr>
            </w:pPr>
          </w:p>
        </w:tc>
        <w:tc>
          <w:tcPr>
            <w:tcW w:w="2800" w:type="dxa"/>
            <w:vAlign w:val="bottom"/>
            <w:gridSpan w:val="5"/>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- 33</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4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18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272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Redeemable Noncontrolling Interests</w:t>
            </w:r>
          </w:p>
        </w:tc>
        <w:tc>
          <w:tcPr>
            <w:tcW w:w="5380" w:type="dxa"/>
            <w:vAlign w:val="bottom"/>
            <w:gridSpan w:val="11"/>
            <w:shd w:val="clear" w:color="auto" w:fill="CCEEFF"/>
          </w:tcPr>
          <w:p>
            <w:pPr>
              <w:spacing w:after="0"/>
              <w:rPr>
                <w:sz w:val="16"/>
                <w:szCs w:val="16"/>
                <w:color w:val="auto"/>
              </w:rPr>
            </w:pPr>
          </w:p>
        </w:tc>
        <w:tc>
          <w:tcPr>
            <w:tcW w:w="2800" w:type="dxa"/>
            <w:vAlign w:val="bottom"/>
            <w:gridSpan w:val="5"/>
            <w:shd w:val="clear" w:color="auto" w:fill="CCEEFF"/>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- 39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4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gridSpan w:val="2"/>
          </w:tcPr>
          <w:p>
            <w:pPr>
              <w:spacing w:after="0"/>
              <w:rPr>
                <w:sz w:val="16"/>
                <w:szCs w:val="16"/>
                <w:color w:val="auto"/>
              </w:rPr>
            </w:pPr>
          </w:p>
        </w:tc>
        <w:tc>
          <w:tcPr>
            <w:tcW w:w="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2720" w:type="dxa"/>
            <w:vAlign w:val="bottom"/>
            <w:gridSpan w:val="16"/>
          </w:tcPr>
          <w:p>
            <w:pPr>
              <w:ind w:left="20"/>
              <w:spacing w:after="0" w:line="189" w:lineRule="exact"/>
              <w:rPr>
                <w:sz w:val="20"/>
                <w:szCs w:val="20"/>
                <w:color w:val="auto"/>
              </w:rPr>
            </w:pPr>
            <w:r>
              <w:rPr>
                <w:rFonts w:ascii="Times New Roman" w:cs="Times New Roman" w:eastAsia="Times New Roman" w:hAnsi="Times New Roman"/>
                <w:sz w:val="18"/>
                <w:szCs w:val="18"/>
                <w:color w:val="0000FF"/>
              </w:rPr>
              <w:t>Equity</w:t>
            </w:r>
          </w:p>
        </w:tc>
        <w:tc>
          <w:tcPr>
            <w:tcW w:w="5380" w:type="dxa"/>
            <w:vAlign w:val="bottom"/>
            <w:gridSpan w:val="11"/>
          </w:tcPr>
          <w:p>
            <w:pPr>
              <w:spacing w:after="0"/>
              <w:rPr>
                <w:sz w:val="16"/>
                <w:szCs w:val="16"/>
                <w:color w:val="auto"/>
              </w:rPr>
            </w:pPr>
          </w:p>
        </w:tc>
        <w:tc>
          <w:tcPr>
            <w:tcW w:w="2800" w:type="dxa"/>
            <w:vAlign w:val="bottom"/>
            <w:gridSpan w:val="5"/>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- 40</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4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18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16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Equity Incentive Plans</w:t>
            </w:r>
          </w:p>
        </w:tc>
        <w:tc>
          <w:tcPr>
            <w:tcW w:w="6440" w:type="dxa"/>
            <w:vAlign w:val="bottom"/>
            <w:gridSpan w:val="19"/>
            <w:shd w:val="clear" w:color="auto" w:fill="CCEEFF"/>
          </w:tcPr>
          <w:p>
            <w:pPr>
              <w:spacing w:after="0"/>
              <w:rPr>
                <w:sz w:val="16"/>
                <w:szCs w:val="16"/>
                <w:color w:val="auto"/>
              </w:rPr>
            </w:pPr>
          </w:p>
        </w:tc>
        <w:tc>
          <w:tcPr>
            <w:tcW w:w="2800" w:type="dxa"/>
            <w:vAlign w:val="bottom"/>
            <w:gridSpan w:val="5"/>
            <w:shd w:val="clear" w:color="auto" w:fill="CCEEFF"/>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- 46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4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gridSpan w:val="2"/>
          </w:tcPr>
          <w:p>
            <w:pPr>
              <w:spacing w:after="0"/>
              <w:rPr>
                <w:sz w:val="16"/>
                <w:szCs w:val="16"/>
                <w:color w:val="auto"/>
              </w:rPr>
            </w:pPr>
          </w:p>
        </w:tc>
        <w:tc>
          <w:tcPr>
            <w:tcW w:w="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156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6440" w:type="dxa"/>
            <w:vAlign w:val="bottom"/>
            <w:gridSpan w:val="19"/>
          </w:tcPr>
          <w:p>
            <w:pPr>
              <w:spacing w:after="0"/>
              <w:rPr>
                <w:sz w:val="16"/>
                <w:szCs w:val="16"/>
                <w:color w:val="auto"/>
              </w:rPr>
            </w:pPr>
          </w:p>
        </w:tc>
        <w:tc>
          <w:tcPr>
            <w:tcW w:w="2800" w:type="dxa"/>
            <w:vAlign w:val="bottom"/>
            <w:gridSpan w:val="5"/>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- 47</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4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11. Regulatory Matters, Commitments, Contingencies and Environmental Liabilities</w:t>
            </w:r>
          </w:p>
        </w:tc>
        <w:tc>
          <w:tcPr>
            <w:tcW w:w="2800" w:type="dxa"/>
            <w:vAlign w:val="bottom"/>
            <w:gridSpan w:val="5"/>
            <w:shd w:val="clear" w:color="auto" w:fill="CCEEFF"/>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- 50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4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gridSpan w:val="2"/>
          </w:tcPr>
          <w:p>
            <w:pPr>
              <w:spacing w:after="0"/>
              <w:rPr>
                <w:sz w:val="16"/>
                <w:szCs w:val="16"/>
                <w:color w:val="auto"/>
              </w:rPr>
            </w:pPr>
          </w:p>
        </w:tc>
        <w:tc>
          <w:tcPr>
            <w:tcW w:w="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5820" w:type="dxa"/>
            <w:vAlign w:val="bottom"/>
            <w:gridSpan w:val="25"/>
          </w:tcPr>
          <w:p>
            <w:pPr>
              <w:ind w:left="20"/>
              <w:spacing w:after="0" w:line="189" w:lineRule="exact"/>
              <w:rPr>
                <w:sz w:val="20"/>
                <w:szCs w:val="20"/>
                <w:color w:val="auto"/>
              </w:rPr>
            </w:pPr>
            <w:r>
              <w:rPr>
                <w:rFonts w:ascii="Times New Roman" w:cs="Times New Roman" w:eastAsia="Times New Roman" w:hAnsi="Times New Roman"/>
                <w:sz w:val="18"/>
                <w:szCs w:val="18"/>
                <w:color w:val="0000FF"/>
              </w:rPr>
              <w:t>Revenue</w:t>
            </w:r>
          </w:p>
        </w:tc>
        <w:tc>
          <w:tcPr>
            <w:tcW w:w="2180" w:type="dxa"/>
            <w:vAlign w:val="bottom"/>
          </w:tcPr>
          <w:p>
            <w:pPr>
              <w:spacing w:after="0"/>
              <w:rPr>
                <w:sz w:val="16"/>
                <w:szCs w:val="16"/>
                <w:color w:val="auto"/>
              </w:rPr>
            </w:pPr>
          </w:p>
        </w:tc>
        <w:tc>
          <w:tcPr>
            <w:tcW w:w="2800" w:type="dxa"/>
            <w:vAlign w:val="bottom"/>
            <w:gridSpan w:val="5"/>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- 62</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4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180" w:type="dxa"/>
            <w:vAlign w:val="bottom"/>
            <w:gridSpan w:val="2"/>
            <w:shd w:val="clear" w:color="auto" w:fill="CCEEFF"/>
          </w:tcPr>
          <w:p>
            <w:pPr>
              <w:spacing w:after="0"/>
              <w:rPr>
                <w:sz w:val="16"/>
                <w:szCs w:val="16"/>
                <w:color w:val="auto"/>
              </w:rPr>
            </w:pPr>
          </w:p>
        </w:tc>
        <w:tc>
          <w:tcPr>
            <w:tcW w:w="2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8000" w:type="dxa"/>
            <w:vAlign w:val="bottom"/>
            <w:gridSpan w:val="2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Lease Accounting</w:t>
            </w:r>
          </w:p>
        </w:tc>
        <w:tc>
          <w:tcPr>
            <w:tcW w:w="2800" w:type="dxa"/>
            <w:vAlign w:val="bottom"/>
            <w:gridSpan w:val="5"/>
            <w:shd w:val="clear" w:color="auto" w:fill="CCEEFF"/>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- 69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4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gridSpan w:val="2"/>
          </w:tcPr>
          <w:p>
            <w:pPr>
              <w:spacing w:after="0"/>
              <w:rPr>
                <w:sz w:val="16"/>
                <w:szCs w:val="16"/>
                <w:color w:val="auto"/>
              </w:rPr>
            </w:pPr>
          </w:p>
        </w:tc>
        <w:tc>
          <w:tcPr>
            <w:tcW w:w="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800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Derivative Assets and Liabilities</w:t>
            </w:r>
          </w:p>
        </w:tc>
        <w:tc>
          <w:tcPr>
            <w:tcW w:w="2800" w:type="dxa"/>
            <w:vAlign w:val="bottom"/>
            <w:gridSpan w:val="5"/>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- 72</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4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180" w:type="dxa"/>
            <w:vAlign w:val="bottom"/>
            <w:gridSpan w:val="2"/>
            <w:shd w:val="clear" w:color="auto" w:fill="CCEEFF"/>
          </w:tcPr>
          <w:p>
            <w:pPr>
              <w:spacing w:after="0"/>
              <w:rPr>
                <w:sz w:val="16"/>
                <w:szCs w:val="16"/>
                <w:color w:val="auto"/>
              </w:rPr>
            </w:pPr>
          </w:p>
        </w:tc>
        <w:tc>
          <w:tcPr>
            <w:tcW w:w="2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8000" w:type="dxa"/>
            <w:vAlign w:val="bottom"/>
            <w:gridSpan w:val="2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Retirement Benefits</w:t>
            </w:r>
          </w:p>
        </w:tc>
        <w:tc>
          <w:tcPr>
            <w:tcW w:w="2800" w:type="dxa"/>
            <w:vAlign w:val="bottom"/>
            <w:gridSpan w:val="5"/>
            <w:shd w:val="clear" w:color="auto" w:fill="CCEEFF"/>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- 76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4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gridSpan w:val="2"/>
          </w:tcPr>
          <w:p>
            <w:pPr>
              <w:spacing w:after="0"/>
              <w:rPr>
                <w:sz w:val="16"/>
                <w:szCs w:val="16"/>
                <w:color w:val="auto"/>
              </w:rPr>
            </w:pPr>
          </w:p>
        </w:tc>
        <w:tc>
          <w:tcPr>
            <w:tcW w:w="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800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Reportable Segments</w:t>
            </w:r>
          </w:p>
        </w:tc>
        <w:tc>
          <w:tcPr>
            <w:tcW w:w="2800" w:type="dxa"/>
            <w:vAlign w:val="bottom"/>
            <w:gridSpan w:val="5"/>
          </w:tcPr>
          <w:p>
            <w:pPr>
              <w:jc w:val="center"/>
              <w:ind w:left="1850"/>
              <w:spacing w:after="0" w:line="189" w:lineRule="exact"/>
              <w:rPr>
                <w:sz w:val="20"/>
                <w:szCs w:val="20"/>
                <w:color w:val="auto"/>
              </w:rPr>
            </w:pPr>
            <w:r>
              <w:rPr>
                <w:rFonts w:ascii="Times New Roman" w:cs="Times New Roman" w:eastAsia="Times New Roman" w:hAnsi="Times New Roman"/>
                <w:sz w:val="18"/>
                <w:szCs w:val="18"/>
                <w:color w:val="3051F2"/>
                <w:w w:val="97"/>
              </w:rPr>
              <w:t>F - 80</w:t>
            </w:r>
          </w:p>
        </w:tc>
      </w:tr>
      <w:tr>
        <w:trPr>
          <w:trHeight w:val="88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 - 1</w:t>
            </w:r>
          </w:p>
        </w:tc>
        <w:tc>
          <w:tcPr>
            <w:tcW w:w="2160" w:type="dxa"/>
            <w:vAlign w:val="bottom"/>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34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LE GP, LLC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of Energy Transfer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Energy Transfer LP (a Delaware limited partnership) and subsidiaries (the “Partnership”) as of December 31, 2024 and 2023, the related consolidated statements of operations, comprehensive income,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Partnership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Partnership’s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14, 2025 expressed an unqualified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Partnership’s management. Our responsibility is to express an opinion on the Partnership’s consolidated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further in Note 2 to the consolidated financial statements, the Partnership’s consolidated goodwill balance was $3.90 billion as of December 31, 2024. Management evaluates goodwill for impairment annually on October 1st of each year or whenever events or changes in circumstances indicate potential asset impairment has occurred. As of December 31, 2024, there was $368 million of goodwill associated with a reporting unit within the NGL and Refined Products Transportation and Services segment in which we identified the Partnership’s determination of the fair value of the reporting unit as a critical audit matter.</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estimation of the fair value of the reporting unit is a critical audit matter are that there are significant judgments required by management when determining the fair value of the reporting unit. In particular, the fair value estimate was sensitive to significant assumptions used to estimate future revenues and cash flows, including revenue growth rates, operating expenses, discount rate, and the inherent uncertainty around future market conditions as well as valuation methodologies applied by the Partnership.</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valuation of the reporting unit within the NGL and Refined Products Transportation and Services segment included the following, among others:</w:t>
      </w:r>
    </w:p>
    <w:p>
      <w:pPr>
        <w:spacing w:after="0" w:line="54" w:lineRule="exact"/>
        <w:rPr>
          <w:sz w:val="20"/>
          <w:szCs w:val="20"/>
          <w:color w:val="auto"/>
        </w:rPr>
      </w:pPr>
    </w:p>
    <w:p>
      <w:pPr>
        <w:ind w:left="660" w:hanging="328"/>
        <w:spacing w:after="0" w:line="282"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relating to management’s review of the assumptions used to develop the future cash flows, the discount rate used, and valuation methodologies applied.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660" w:right="20" w:hanging="328"/>
        <w:spacing w:after="0" w:line="282"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management’s forecast of future projected results by comparing such items to industry projections and conditions found in industry reports.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forecasted revenues and expected future cash flows by comparing forecasted amounts to actual historical results to identify material changes, corroborating the basis for increases in forecasted revenues and expected future cash flows.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significant operating expenses and cash expenditures by comparing to historical trends and evaluating significant deviations from recent actual amounts.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utilized our valuation specialists to evaluate:</w:t>
      </w:r>
    </w:p>
    <w:p>
      <w:pPr>
        <w:spacing w:after="0" w:line="117" w:lineRule="exact"/>
        <w:rPr>
          <w:sz w:val="20"/>
          <w:szCs w:val="20"/>
          <w:color w:val="auto"/>
        </w:rPr>
      </w:pPr>
    </w:p>
    <w:p>
      <w:pPr>
        <w:ind w:left="66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methodologies used and whether they were acceptable for the underlying assets or operations and whether such methodologies were being applied correctly,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the discount rate by developing an independent range of acceptable discount rates and comparing those ranges to the amounts selected and applied by management.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2004.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right="1320"/>
        <w:spacing w:after="0" w:line="266" w:lineRule="auto"/>
        <w:rPr>
          <w:sz w:val="20"/>
          <w:szCs w:val="20"/>
          <w:color w:val="auto"/>
        </w:rPr>
      </w:pPr>
      <w:r>
        <w:rPr>
          <w:rFonts w:ascii="Times New Roman" w:cs="Times New Roman" w:eastAsia="Times New Roman" w:hAnsi="Times New Roman"/>
          <w:sz w:val="18"/>
          <w:szCs w:val="18"/>
          <w:color w:val="auto"/>
        </w:rPr>
        <w:t>Cash and cash equivalents Accounts receivable, net</w:t>
      </w:r>
    </w:p>
    <w:p>
      <w:pPr>
        <w:ind w:left="180"/>
        <w:spacing w:after="0" w:line="266" w:lineRule="auto"/>
        <w:rPr>
          <w:sz w:val="20"/>
          <w:szCs w:val="20"/>
          <w:color w:val="auto"/>
        </w:rPr>
      </w:pPr>
      <w:r>
        <w:rPr>
          <w:rFonts w:ascii="Times New Roman" w:cs="Times New Roman" w:eastAsia="Times New Roman" w:hAnsi="Times New Roman"/>
          <w:sz w:val="18"/>
          <w:szCs w:val="18"/>
          <w:color w:val="auto"/>
        </w:rPr>
        <w:t>Accounts receivable from related companies Inventories</w:t>
      </w:r>
    </w:p>
    <w:p>
      <w:pPr>
        <w:ind w:left="180"/>
        <w:spacing w:after="0"/>
        <w:rPr>
          <w:sz w:val="20"/>
          <w:szCs w:val="20"/>
          <w:color w:val="auto"/>
        </w:rPr>
      </w:pPr>
      <w:r>
        <w:rPr>
          <w:rFonts w:ascii="Times New Roman" w:cs="Times New Roman" w:eastAsia="Times New Roman" w:hAnsi="Times New Roman"/>
          <w:sz w:val="18"/>
          <w:szCs w:val="18"/>
          <w:color w:val="auto"/>
        </w:rPr>
        <w:t>Income taxes receivable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Derivative assets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93" w:lineRule="exact"/>
        <w:rPr>
          <w:sz w:val="20"/>
          <w:szCs w:val="20"/>
          <w:color w:val="auto"/>
        </w:rPr>
      </w:pPr>
    </w:p>
    <w:p>
      <w:pPr>
        <w:ind w:left="20" w:right="460"/>
        <w:spacing w:after="0" w:line="273" w:lineRule="auto"/>
        <w:rPr>
          <w:sz w:val="20"/>
          <w:szCs w:val="20"/>
          <w:color w:val="auto"/>
        </w:rPr>
      </w:pPr>
      <w:r>
        <w:rPr>
          <w:rFonts w:ascii="Times New Roman" w:cs="Times New Roman" w:eastAsia="Times New Roman" w:hAnsi="Times New Roman"/>
          <w:sz w:val="18"/>
          <w:szCs w:val="18"/>
          <w:color w:val="auto"/>
        </w:rPr>
        <w:t>Property, plant and equipment Accumulated depreciation and depletion</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93" w:lineRule="exact"/>
        <w:rPr>
          <w:sz w:val="20"/>
          <w:szCs w:val="20"/>
          <w:color w:val="auto"/>
        </w:rPr>
      </w:pPr>
    </w:p>
    <w:p>
      <w:pPr>
        <w:ind w:left="20" w:right="520"/>
        <w:spacing w:after="0" w:line="268" w:lineRule="auto"/>
        <w:rPr>
          <w:sz w:val="20"/>
          <w:szCs w:val="20"/>
          <w:color w:val="auto"/>
        </w:rPr>
      </w:pPr>
      <w:r>
        <w:rPr>
          <w:rFonts w:ascii="Times New Roman" w:cs="Times New Roman" w:eastAsia="Times New Roman" w:hAnsi="Times New Roman"/>
          <w:sz w:val="18"/>
          <w:szCs w:val="18"/>
          <w:color w:val="auto"/>
        </w:rPr>
        <w:t>Investments in unconsolidated affiliates Lease right-of-use assets, net</w:t>
      </w:r>
    </w:p>
    <w:p>
      <w:pPr>
        <w:spacing w:after="0" w:line="2" w:lineRule="exact"/>
        <w:rPr>
          <w:sz w:val="20"/>
          <w:szCs w:val="20"/>
          <w:color w:val="auto"/>
        </w:rPr>
      </w:pPr>
    </w:p>
    <w:p>
      <w:pPr>
        <w:ind w:left="20" w:right="1300"/>
        <w:spacing w:after="0" w:line="279" w:lineRule="auto"/>
        <w:rPr>
          <w:sz w:val="20"/>
          <w:szCs w:val="20"/>
          <w:color w:val="auto"/>
        </w:rPr>
      </w:pPr>
      <w:r>
        <w:rPr>
          <w:rFonts w:ascii="Times New Roman" w:cs="Times New Roman" w:eastAsia="Times New Roman" w:hAnsi="Times New Roman"/>
          <w:sz w:val="18"/>
          <w:szCs w:val="18"/>
          <w:color w:val="auto"/>
        </w:rPr>
        <w:t>Other non-current assets, net Intangible assets, net Goodwill</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u w:val="single" w:color="auto"/>
          <w:color w:val="auto"/>
        </w:rPr>
        <w:t>ENERGY TRANSFER LP AND SUBSIDIARIES</w:t>
      </w:r>
    </w:p>
    <w:p>
      <w:pPr>
        <w:spacing w:after="0" w:line="43"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1560" w:type="dxa"/>
        <w:tblCellMar>
          <w:top w:w="0" w:type="dxa"/>
          <w:left w:w="0" w:type="dxa"/>
          <w:bottom w:w="0" w:type="dxa"/>
          <w:right w:w="0" w:type="dxa"/>
        </w:tblCellMar>
      </w:tblPr>
      <w:tr>
        <w:trPr>
          <w:trHeight w:val="223"/>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3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0" w:type="dxa"/>
            <w:vAlign w:val="bottom"/>
          </w:tcPr>
          <w:p>
            <w:pPr>
              <w:spacing w:after="0"/>
              <w:rPr>
                <w:sz w:val="1"/>
                <w:szCs w:val="1"/>
                <w:color w:val="auto"/>
              </w:rPr>
            </w:pPr>
          </w:p>
        </w:tc>
      </w:tr>
      <w:tr>
        <w:trPr>
          <w:trHeight w:val="490"/>
        </w:trPr>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129,242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114,932</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85,351</w:t>
            </w:r>
          </w:p>
        </w:tc>
        <w:tc>
          <w:tcPr>
            <w:tcW w:w="0" w:type="dxa"/>
            <w:vAlign w:val="bottom"/>
          </w:tcPr>
          <w:p>
            <w:pPr>
              <w:spacing w:after="0"/>
              <w:rPr>
                <w:sz w:val="1"/>
                <w:szCs w:val="1"/>
                <w:color w:val="auto"/>
              </w:rPr>
            </w:pPr>
          </w:p>
        </w:tc>
      </w:tr>
      <w:tr>
        <w:trPr>
          <w:trHeight w:val="490"/>
        </w:trPr>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113,698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-2879725</wp:posOffset>
            </wp:positionV>
            <wp:extent cx="713232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-2588260</wp:posOffset>
            </wp:positionV>
            <wp:extent cx="713232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-2296795</wp:posOffset>
            </wp:positionV>
            <wp:extent cx="7132320"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-2005330</wp:posOffset>
            </wp:positionV>
            <wp:extent cx="713232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-1704975</wp:posOffset>
            </wp:positionV>
            <wp:extent cx="713232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-1388110</wp:posOffset>
            </wp:positionV>
            <wp:extent cx="7132320" cy="146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-1088390</wp:posOffset>
            </wp:positionV>
            <wp:extent cx="713232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-770890</wp:posOffset>
            </wp:positionV>
            <wp:extent cx="713232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-479425</wp:posOffset>
            </wp:positionV>
            <wp:extent cx="7132320"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-187960</wp:posOffset>
            </wp:positionV>
            <wp:extent cx="713232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320"/>
            <w:col w:w="7520"/>
          </w:cols>
          <w:pgMar w:left="320" w:top="114"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60" w:type="dxa"/>
            <w:vAlign w:val="bottom"/>
            <w:vMerge w:val="restart"/>
          </w:tcPr>
          <w:p>
            <w:pPr>
              <w:ind w:left="44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5"/>
        </w:trPr>
        <w:tc>
          <w:tcPr>
            <w:tcW w:w="82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to related companies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0" w:type="dxa"/>
            <w:vAlign w:val="bottom"/>
          </w:tcPr>
          <w:p>
            <w:pPr>
              <w:spacing w:after="0"/>
              <w:rPr>
                <w:sz w:val="1"/>
                <w:szCs w:val="1"/>
                <w:color w:val="auto"/>
              </w:rPr>
            </w:pPr>
          </w:p>
        </w:tc>
      </w:tr>
      <w:tr>
        <w:trPr>
          <w:trHeight w:val="270"/>
        </w:trPr>
        <w:tc>
          <w:tcPr>
            <w:tcW w:w="8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derivative liabilities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70"/>
        </w:trPr>
        <w:tc>
          <w:tcPr>
            <w:tcW w:w="8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Preferred Unitholders (44,898,959 and 113,648,967 units authorized, issued and outstanding as of December</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31, 2024 and 2023,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Unitholders (3,431,088,022 and 3,367,525,806 units authorized, issued and outstanding as of</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30,197</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partners’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unit data)</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6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Refined product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Gathering, transportation and other fees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89,876</w:t>
            </w:r>
          </w:p>
        </w:tc>
        <w:tc>
          <w:tcPr>
            <w:tcW w:w="0" w:type="dxa"/>
            <w:vAlign w:val="bottom"/>
          </w:tcPr>
          <w:p>
            <w:pPr>
              <w:spacing w:after="0"/>
              <w:rPr>
                <w:sz w:val="1"/>
                <w:szCs w:val="1"/>
                <w:color w:val="auto"/>
              </w:rPr>
            </w:pP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72,232</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82,138</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interest capitalized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extinguishments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on interest rate derivatives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Non-operating litigation-related loss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Sunoco LP West Texas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Partner’s interest in 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Unitholders’ interest in net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redemption of preferred units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Unitholders’ interest in net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UNIT: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value of available-for-sale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Actuarial gain (loss) relating to pension and other postretirement benefits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other comprehensive income from unconsolidated affiliates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7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9"/>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partners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140" w:type="dxa"/>
            <w:vAlign w:val="bottom"/>
          </w:tcPr>
          <w:p>
            <w:pPr>
              <w:spacing w:after="0"/>
              <w:rPr>
                <w:sz w:val="16"/>
                <w:szCs w:val="16"/>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Non-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Common</w:t>
            </w: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Preferred</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98"/>
              </w:rPr>
              <w:t>General</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w w:val="98"/>
              </w:rPr>
              <w:t>Other</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controlling</w:t>
            </w:r>
          </w:p>
        </w:tc>
        <w:tc>
          <w:tcPr>
            <w:tcW w:w="24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Unitholders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Unitholders</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Partner</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Income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Interests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39,345</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contributions from noncontrolling interests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Energy Transfer Canada sale</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62"/>
        </w:trPr>
        <w:tc>
          <w:tcPr>
            <w:tcW w:w="37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Net income, excluding amounts attributable to</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5,817</w:t>
            </w:r>
          </w:p>
        </w:tc>
        <w:tc>
          <w:tcPr>
            <w:tcW w:w="0" w:type="dxa"/>
            <w:vAlign w:val="bottom"/>
          </w:tcPr>
          <w:p>
            <w:pPr>
              <w:spacing w:after="0"/>
              <w:rPr>
                <w:sz w:val="1"/>
                <w:szCs w:val="1"/>
                <w:color w:val="auto"/>
              </w:rPr>
            </w:pPr>
          </w:p>
        </w:tc>
      </w:tr>
      <w:tr>
        <w:trPr>
          <w:trHeight w:val="213"/>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40,659</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contributions from noncontrolling interests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Lotus Midstream acquisition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Crestwood acquisition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Net income, excluding amounts attributable to</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43,939</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contributions from noncontrolling interests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WTG Midstream acquisition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162"/>
        </w:trPr>
        <w:tc>
          <w:tcPr>
            <w:tcW w:w="37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Conversion of USAC preferred to USAC common</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3"/>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NuStar acquisition</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Redemption of NuStar preferred units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Redemption of preferred units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Net income, excluding amounts attributable to</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07"/>
        </w:trPr>
        <w:tc>
          <w:tcPr>
            <w:tcW w:w="6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r>
      <w:tr>
        <w:trPr>
          <w:trHeight w:val="199"/>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w:t>
            </w:r>
          </w:p>
        </w:tc>
      </w:tr>
      <w:tr>
        <w:trPr>
          <w:trHeight w:val="21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Reconciliation of net income to net cash provided by operating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 valuation adjustments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 losses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non-cash</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sale of Sunoco LP West Texas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(Gains) losses on extinguishments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on unvested awards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change in operating assets and liabilities, net of effects of acquisitions and divestitures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r>
      <w:tr>
        <w:trPr>
          <w:trHeight w:val="212"/>
        </w:trPr>
        <w:tc>
          <w:tcPr>
            <w:tcW w:w="6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WTG Midstream acquisition, net of cash received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Edwards Lime Gathering, LLC noncontrolling interest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received by Sunoco LP from NuStar acquisition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Lotus Midstream acquisition, net of cash received</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Crestwood acquisition, net of cash received</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other acquisitions, net of cash received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by Sunoco LP for acquisitions of terminals and other assets, net of cash received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 excluding allowance for equity funds used during construction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w:t>
            </w: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Contributions in aid of construction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Contributions to unconsolidated affiliates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from unconsolidated affiliates in excess of cumulative earnings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Sunoco LP West Texas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Energy Transfer Canada interest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sales of other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(4,022)</w:t>
            </w:r>
          </w:p>
        </w:tc>
      </w:tr>
      <w:tr>
        <w:trPr>
          <w:trHeight w:val="19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borrowings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28,838</w:t>
            </w: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(29,681)</w:t>
            </w:r>
          </w:p>
        </w:tc>
      </w:tr>
      <w:tr>
        <w:trPr>
          <w:trHeight w:val="175"/>
        </w:trPr>
        <w:tc>
          <w:tcPr>
            <w:tcW w:w="67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USAC investments in government securities in connection with the legal defeasance of</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notes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Redemption of Series A, Series C, Series D and Series E Preferred Units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Sunoco LP redemption of NuStar preferred units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Redemption of Crestwood Niobrara LLC preferred units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contributions from noncontrolling interests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contributions from redeemable noncontrolling interests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w:t>
            </w:r>
          </w:p>
        </w:tc>
      </w:tr>
      <w:tr>
        <w:trPr>
          <w:trHeight w:val="21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r>
      <w:tr>
        <w:trPr>
          <w:trHeight w:val="210"/>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redeemable noncontrolling interests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issuance costs</w:t>
            </w: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7"/>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(5,108)</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 and unit amounts, except per unit data, are in millions)</w:t>
      </w:r>
    </w:p>
    <w:p>
      <w:pPr>
        <w:spacing w:after="0" w:line="149"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OPERATIONS AND BASIS OF PRESENTATION</w:t>
      </w:r>
      <w:r>
        <w:rPr>
          <w:rFonts w:ascii="Times New Roman" w:cs="Times New Roman" w:eastAsia="Times New Roman" w:hAnsi="Times New Roman"/>
          <w:sz w:val="18"/>
          <w:szCs w:val="18"/>
          <w:b w:val="1"/>
          <w:bCs w:val="1"/>
          <w:color w:val="auto"/>
        </w:rPr>
        <w:t>:</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presented herein contain the results of Energy Transfer LP and its subsidiaries (the “Partnership,” “we,” “us,” “our” or “Energy Transfer”).</w:t>
      </w:r>
    </w:p>
    <w:p>
      <w:pPr>
        <w:spacing w:after="0" w:line="10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consolidated financial statements reflect the following reportable segments: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midstream;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refined products transportation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transportation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Sunoco LP;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USAC;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w:t>
      </w:r>
    </w:p>
    <w:p>
      <w:pPr>
        <w:spacing w:after="0" w:line="17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Partnership owns and operates intrastate natural gas pipeline systems and storage facilities that are engaged in the business of purchasing, gathering, transporting, processing and marketing natural gas and NGLs in the states of Texas, Oklahoma and Louisiana.</w:t>
      </w:r>
    </w:p>
    <w:p>
      <w:pPr>
        <w:spacing w:after="0" w:line="10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Partnership also owns and operates interstate pipelines, either directly or through equity method investments, that transport natural gas to various markets in the United States.</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Partnership is also engaged in midstream services, focusing on providing gathering, processing, compression, treating and transportation of natural gas in some of the most prolific natural gas producing regions in the United States, including the Permian, Anadarko, Arkoma, Hugoton, Powder River and Williston basins, as well as the Eagle Ford, Haynesville, Barnett, Marcellus and Utica shales.</w:t>
      </w:r>
    </w:p>
    <w:p>
      <w:pPr>
        <w:spacing w:after="0" w:line="12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Partnership’s operations also include crude oil, NGL and refined products transportation, terminalling services, and acquisition and marketing activities, as well as NGL storage and fractionation and LNG regasification.</w:t>
      </w:r>
    </w:p>
    <w:p>
      <w:pPr>
        <w:spacing w:after="0" w:line="10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Partnership owns a controlling interest in Sunoco LP which is engaged in energy infrastructure and distribution of motor fuels in over 40 U.S. states, Puerto Rico, Europe and Mexico. Sunoco LP’s midstream operations include an extensive network of over 14,000 miles of pipeline and over 100 terminals. Sunoco LP’s fuel distribution operations serve approximately 7,400 Sunoco and partner branded locations and additional independent dealers and commercial customers. As of December 31, 2024, our interest in Sunoco LP consisted of 100% of the general partner and IDRs, as well as 28.5 million common units.</w:t>
      </w:r>
    </w:p>
    <w:p>
      <w:pPr>
        <w:spacing w:after="0" w:line="1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Partnership owns a controlling interest in USAC which provides compression services to producers, processors, gatherers and transporters of natural gas and crude oil. As of December 31, 2024, our interest in USAC consisted of 100% of the general partner and 46.1 million common units.</w:t>
      </w:r>
    </w:p>
    <w:p>
      <w:pPr>
        <w:spacing w:after="0" w:line="106"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of Energy Transfer LP presented herein have been prepared in accordance with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pursuant to the rules and regulations of the SEC. We consolidate all subsidiaries in which we have a controlling financial interest and limited partnerships in which we control the general partner. All significant intercompany transactions and accounts are eliminated in consolidation.</w:t>
      </w:r>
    </w:p>
    <w:p>
      <w:pPr>
        <w:spacing w:after="0" w:line="12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Energy Transfer presented herein include the results of operations of our controlled subsidiaries, including Sunoco LP and USAC.</w:t>
      </w:r>
    </w:p>
    <w:p>
      <w:pPr>
        <w:spacing w:after="0" w:line="10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operations of certain pipelines and terminals in which we own an undivided interest are proportionately consolidated in the accompanying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right="3600" w:hanging="332"/>
        <w:spacing w:after="0" w:line="440" w:lineRule="auto"/>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ESTIMATES, SIGNIFICANT ACCOUNTING POLICIES AND BALANCE SHEET DETAIL</w:t>
      </w:r>
      <w:r>
        <w:rPr>
          <w:rFonts w:ascii="Times New Roman" w:cs="Times New Roman" w:eastAsia="Times New Roman" w:hAnsi="Times New Roman"/>
          <w:sz w:val="18"/>
          <w:szCs w:val="18"/>
          <w:b w:val="1"/>
          <w:bCs w:val="1"/>
          <w:color w:val="auto"/>
        </w:rPr>
        <w:t>: Use of Estimates</w:t>
      </w:r>
    </w:p>
    <w:p>
      <w:pPr>
        <w:spacing w:after="0" w:line="1" w:lineRule="exact"/>
        <w:rPr>
          <w:rFonts w:ascii="Times New Roman" w:cs="Times New Roman" w:eastAsia="Times New Roman" w:hAnsi="Times New Roman"/>
          <w:sz w:val="18"/>
          <w:szCs w:val="18"/>
          <w:b w:val="1"/>
          <w:bCs w:val="1"/>
          <w:color w:val="auto"/>
        </w:rPr>
      </w:pPr>
    </w:p>
    <w:p>
      <w:pPr>
        <w:jc w:val="both"/>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accrual for and disclosure of contingent assets and liabilities at the date of the financial statements and the reported amounts of revenues and expenses during the reporting period.</w:t>
      </w:r>
    </w:p>
    <w:p>
      <w:pPr>
        <w:spacing w:after="0" w:line="12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oil and gas industry conducts its business by processing actual transactions at the end of the month following the month of delivery. Consequently, the most current month’s financial results for much of our business are estimated using volume estimates and market prices. Any differences between estimated results and actual results are recognized in the following month’s financial statements. Management believes that the estimated operating results represent the actual results in all material respects.</w:t>
      </w:r>
    </w:p>
    <w:p>
      <w:pPr>
        <w:spacing w:after="0" w:line="12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Some of the other significant estimates made by management include, but are not limited to, the timing of certain forecasted transactions that are hedged, the fair value of derivative instruments, useful lives for depreciation and amortization, purchase accounting allocations and subsequent realizability of intangible assets, fair value measurements used in the goodwill impairment test, market value of inventory, assets and liabilities resulting from the regulated ratemaking process, contingency reserves and environmental reserves. Actual results could differ from those estimates.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Accounting – Regulatory Assets and Liabilities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interstate transportation and storage segment is subject to regulation by certain state and federal authorities, and certain subsidiaries in that segment have accounting policies that conform to the accounting requirements and ratemaking practices of the regulatory authorities, in accordance with Accounting Standards Codification (“ASC”) Topic 980. The application of these accounting policies allows certain of our regulated entities to defer expenses and revenues on the balance sheet as regulatory assets and liabilities when it is probable that those expenses and revenues will be allowed in the ratemaking process in a period different from the period in which they would have been reflected in the consolidated statement of operations by an unregulated company. These deferred assets and liabilities will be reported in results of operations in the period in which the same amounts are included in rates and recovered from or refunded to customers. Management’s assessment of the probability of recovery or pass through of regulatory assets and liabilities will require judgment and interpretation of laws and regulatory commission orders. If, for any reason, we cease to meet the criteria for application of regulatory accounting treatment under ASC Topic 980 for these entities, the regulatory assets and liabilities related to those portions ceasing to meet such criteria would be eliminated from the consolidated balance sheet for the period in which the discontinuance of regulatory accounting treatment occurs.</w:t>
      </w:r>
    </w:p>
    <w:p>
      <w:pPr>
        <w:spacing w:after="0" w:line="13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Panhandle’s natural gas transmission systems and storage operations are subject to the jurisdiction of the FERC in accordance with the NGA and NGPA, Panhandle does not currently apply ASC Topic 980 in its GAAP-basis consolidated financial statements, primarily due to the level of discounting from tariff rates and its inability to recover specific costs.</w:t>
      </w:r>
    </w:p>
    <w:p>
      <w:pPr>
        <w:spacing w:after="0" w:line="11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Supplemental Cash Flow Information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all cash on hand, demand deposits and investments with original maturities of three months or less. We consider cash equivalents to include short-term, highly liquid investments that are readily convertible to known amounts of cash and that are subject to an insignificant risk of changes in value.</w:t>
      </w:r>
    </w:p>
    <w:p>
      <w:pPr>
        <w:spacing w:after="0" w:line="12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place our cash deposits and temporary cash investments with high credit quality financial institutions. At times, our cash and cash equivalents may be uninsured or in deposit accounts that exceed the Federal Deposit Insurance Corporation insurance limit.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net change in operating assets and liabilities, net of effects of acquisitions and divestitures, included in cash flows from operating activities is comprised as follows:</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left="5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from related companies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to related companies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Derivative assets and liabilities, net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155"/>
        </w:trPr>
        <w:tc>
          <w:tcPr>
            <w:tcW w:w="610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Net change in operating assets and liabilities, net of effects of acquisitions and</w:t>
            </w:r>
          </w:p>
        </w:tc>
        <w:tc>
          <w:tcPr>
            <w:tcW w:w="900" w:type="dxa"/>
            <w:vAlign w:val="bottom"/>
            <w:vMerge w:val="restart"/>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36"/>
        </w:trPr>
        <w:tc>
          <w:tcPr>
            <w:tcW w:w="6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divestitures</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are as follows: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left="5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Units issued in connection with the WTG Midstream acquisition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Units issued in connection with the Crestwood acquisition </w:t>
            </w:r>
            <w:r>
              <w:rPr>
                <w:rFonts w:ascii="Times New Roman" w:cs="Times New Roman" w:eastAsia="Times New Roman" w:hAnsi="Times New Roman"/>
                <w:sz w:val="23"/>
                <w:szCs w:val="23"/>
                <w:color w:val="auto"/>
                <w:vertAlign w:val="superscript"/>
              </w:rPr>
              <w:t>(1)</w:t>
            </w:r>
          </w:p>
        </w:tc>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Units issued in connection with the Lotus Midstream acquisition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USAC exercise and conversion of preferred units into common units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1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USAC government securities transferred in connection with the legal defeasance</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USAC senior notes due 2026</w:t>
            </w: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defeasance of USAC senior notes due 2026</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Sunoco LP common units (noncontrolling interest) issued in connection with the</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18"/>
                <w:szCs w:val="18"/>
                <w:color w:val="auto"/>
              </w:rPr>
              <w:t xml:space="preserve">NuStar acquisition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 net of interest capitalized</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175"/>
        </w:trPr>
        <w:tc>
          <w:tcPr>
            <w:tcW w:w="61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Cash paid for income taxes, net of refunds (excluding $47 million of federal tax</w:t>
            </w: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credits purchased from non-governmental third parties by Sunoco LP in 2024)</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See Note 3 for additional information.</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operations deal with a variety of counterparties across the energy sector. Internal credit ratings and credit limits are assigned to all counterparties and limits are monitored against credit exposure. Letters of credit or prepayments may be required from those counterparties that are not investment grade depending on the internal credit rating and level of commercial activity with the counterparty.</w:t>
      </w:r>
    </w:p>
    <w:p>
      <w:pPr>
        <w:spacing w:after="0" w:line="12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We have a diverse portfolio of customers; however, because of the midstream and transportation services we provide, many of our customers are engaged in the exploration and production sector. We manage trade credit risk to mitigate credit losses and exposure to uncollectible trade receivables. Prospective and existing customers are reviewed regularly for creditworthiness to manage credit risk within approved tolerances. Customers that do not meet minimum credit standards are required to provide additional credit support in the form of a letter of credit, prepayment, or other forms of security. We establish an allowance for credit losses on trade receivables based on the expected ultimate recovery of these receivables and consider many factors including historical customer collection experience, general and specific economic trends,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known specific issues related to individual customers, sectors, and transactions that might impact collectability. Changes in the allowance are recorded as a component of operating expenses; reductions in the allowance are recorded when receivables are subsequently collected or written-off. Past due receivable balances are written-off when our efforts have been unsuccessful in collecting the amount due.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7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Inventories consist principally of natural gas held in storage, NGLs and refined products, crude oil and spare parts, all of which are valued at the lower of cost or net realizable value utilizing the weighted-average cost method.</w:t>
      </w:r>
    </w:p>
    <w:p>
      <w:pPr>
        <w:spacing w:after="0" w:line="10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Sunoco LP’s fuel inventories are stated at the lower of cost or market using the last-in-first-out (“LIFO”) method. As of December 31, 2024 and 2023, Sunoco LP’s fuel inventory balance included lower of cost or market reserves of $316 million and $230 million, respectively. For the years ended December 31, 2024, 2023 and 2022, the Partnership’s consolidated statements of operations and comprehensive income did not include any material amounts of income from the liquidation of Sunoco LP’s LIFO fuel inventory. For the years ended December 31, 2024 and 2023, the Partnership’s cost of products sold included unfavorable inventory adjustments of $86 million and $114 million, respectively, which decreased net income. For the year ended December 31, 2022 the Partnership’s cost of products sold included favorable inventory adjustments of $5 million, which increased net income.</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Partnership’s inventories consisted of the following:</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76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4"/>
                <w:szCs w:val="24"/>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NGLs and refined products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Spare parts and other</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3"/>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3,070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1"/>
        </w:trPr>
        <w:tc>
          <w:tcPr>
            <w:tcW w:w="7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We utilize commodity derivatives to manage price volatility associated with our natural gas inventory. Changes in fair value of designated hedged inventory are recorded in inventory on our consolidated balance sheets and cost of products sold in our consolidated statements of operations.</w:t>
      </w:r>
    </w:p>
    <w:p>
      <w:pPr>
        <w:spacing w:after="0" w:line="104"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7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4"/>
                <w:szCs w:val="24"/>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paid to vendors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Property, plant and equipment is stated at cost less accumulated depreciation. Depreciation is computed using the straight-line method over the estimated useful or FERC-mandated lives of the assets, if applicable. Expenditures for maintenance and repairs that do not add capacity or extend the useful life are expensed as incurred. Expenditures to refurbish assets that either extend the useful lives of the asset or prevent environmental contamination are capitalized and depreciated over the remaining useful life of the asset. Additionally, we capitalize certain costs directly related to the construction of assets including internal labor costs, interest and engineering costs. Upon disposition or retirement of pipeline components or natural gas plant components, any gain or loss is recorded to accumulated depreciation. When entire pipeline systems, gas plants or other property and equipment is retired or sold, any gain or loss is included in our consolidated statements of operations.</w:t>
      </w:r>
    </w:p>
    <w:p>
      <w:pPr>
        <w:spacing w:after="0" w:line="13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Property, plant and equipment is reviewed for impairment whenever events or changes in circumstances indicate that the carrying amount of such assets may not be recoverable. If such a review should indicate that the carrying amount of long-lived assets is not recoverable, we reduce the carrying amount of such assets to fair value.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USAC recognized fixed asset impairments of $1 million, $12 million and $1 million, respectively, primarily related to its compression equipment as a result of its evaluation of the future deployment of idle fleet.</w:t>
      </w:r>
    </w:p>
    <w:p>
      <w:pPr>
        <w:spacing w:after="0" w:line="10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Capitalized interest is included for pipeline construction projects, except for certain interstate projects for which an allowance for funds used during construction (“AFUDC”) is accrued. Interest is capitalized based on the then current weighted average interest rate of our outstanding debt when the related costs are incurred. AFUDC is calculated under guidelines prescribed by the FERC and capitalized as part of the cost of utility plant for interstate projects. It represents the cost of servicing the capital invested in construction work-in-process. AFUDC is segregated into two component parts – borrowed funds and equity funds.</w:t>
      </w: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Components and useful lives of property, plant and equipment were as follows: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8"/>
        </w:trPr>
        <w:tc>
          <w:tcPr>
            <w:tcW w:w="7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7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line="223" w:lineRule="exact"/>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3"/>
                <w:szCs w:val="23"/>
                <w:color w:val="auto"/>
                <w:vertAlign w:val="superscript"/>
              </w:rPr>
              <w:t>(1)</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 (1 to 45 years)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Pipelines and equipment (5 to 83 years)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86,905</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storage and related facilities (2 to 83 years)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way (20 to 83 years)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(1 to 48 years)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39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work-in-process</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23"/>
        </w:trPr>
        <w:tc>
          <w:tcPr>
            <w:tcW w:w="7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114,932</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depletion</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(29,581)</w:t>
            </w:r>
          </w:p>
        </w:tc>
      </w:tr>
      <w:tr>
        <w:trPr>
          <w:trHeight w:val="223"/>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85,351</w:t>
            </w:r>
          </w:p>
        </w:tc>
      </w:tr>
      <w:tr>
        <w:trPr>
          <w:trHeight w:val="21"/>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hanging="328"/>
        <w:spacing w:after="0" w:line="229" w:lineRule="auto"/>
        <w:tabs>
          <w:tab w:leader="none" w:pos="648" w:val="left"/>
        </w:tabs>
        <w:numPr>
          <w:ilvl w:val="0"/>
          <w:numId w:val="1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components of property, plant and equipment were reclassified in the current year. The balances as of December 31, 2023 reflected above have been adjusted to conform to the current year presentation. These changes did not impact total property, plant and equipment.</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 recognized the following amounts for the periods presented:</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6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4"/>
                <w:szCs w:val="24"/>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depletion and amortization expense</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Investments in Unconsolidated Affiliates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own interests in a number of related businesses that are accounted for by the equity method. In general, we use the equity method of accounting for an investment for which we exercise significant influence over, but do not control, the investee’s operating and financial policies. An impairment of an investment in an unconsolidated affiliate is recognized when circumstances indicate that a decline in the investment value is other than temporary.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Non-Current Assets,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assets, net are stated at cost less accumulated amortization. Other non-current assets, net consisted of the following:</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pipeline linefill and tank bottoms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assets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funds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non-current assets, net</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Restricted funds primarily consist of investments held in our wholly owned captive insurance companies, including an immaterial amount of restricted cash.</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75"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Intangible assets are stated at cost, net of amortization computed on the straight-line method. The Partnership removes the gross carrying amount and the related accumulated amortization for any fully amortized intangibles in the year they are fully amortized.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and useful lives of intangible assets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Accumulated</w:t>
            </w:r>
          </w:p>
        </w:tc>
        <w:tc>
          <w:tcPr>
            <w:tcW w:w="240" w:type="dxa"/>
            <w:vAlign w:val="bottom"/>
          </w:tcPr>
          <w:p>
            <w:pPr>
              <w:spacing w:after="0"/>
              <w:rPr>
                <w:sz w:val="14"/>
                <w:szCs w:val="14"/>
                <w:color w:val="auto"/>
              </w:rPr>
            </w:pPr>
          </w:p>
        </w:tc>
        <w:tc>
          <w:tcPr>
            <w:tcW w:w="12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4"/>
                <w:szCs w:val="14"/>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Accumulated</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Amortization</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Customer relationships, contracts and agreements (3 to 46</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years)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Patents (10 years)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 (20 years)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(5 to 20 years)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Non-amortizable intangible assets: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non-amortizable intangible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Aggregate amortization expense of intangible assets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7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in depreciation, depletion and amortization expense</w:t>
            </w: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0" w:type="dxa"/>
            <w:vAlign w:val="bottom"/>
          </w:tcPr>
          <w:p>
            <w:pPr>
              <w:spacing w:after="0"/>
              <w:rPr>
                <w:sz w:val="19"/>
                <w:szCs w:val="19"/>
                <w:color w:val="auto"/>
              </w:rPr>
            </w:pPr>
          </w:p>
        </w:tc>
      </w:tr>
      <w:tr>
        <w:trPr>
          <w:trHeight w:val="864"/>
        </w:trPr>
        <w:tc>
          <w:tcPr>
            <w:tcW w:w="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30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F - 16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aggregate amortization of intangible assets for the next five years is as follows:</w:t>
            </w:r>
          </w:p>
        </w:tc>
        <w:tc>
          <w:tcPr>
            <w:tcW w:w="19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78"/>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2040" w:type="dxa"/>
            <w:vAlign w:val="bottom"/>
            <w:tcBorders>
              <w:top w:val="single" w:sz="8" w:color="auto"/>
            </w:tcBorders>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9"/>
        </w:trPr>
        <w:tc>
          <w:tcPr>
            <w:tcW w:w="204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2025</w:t>
            </w:r>
          </w:p>
        </w:tc>
        <w:tc>
          <w:tcPr>
            <w:tcW w:w="57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204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2026</w:t>
            </w:r>
          </w:p>
        </w:tc>
        <w:tc>
          <w:tcPr>
            <w:tcW w:w="57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9"/>
        </w:trPr>
        <w:tc>
          <w:tcPr>
            <w:tcW w:w="204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2027</w:t>
            </w:r>
          </w:p>
        </w:tc>
        <w:tc>
          <w:tcPr>
            <w:tcW w:w="57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204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2028</w:t>
            </w:r>
          </w:p>
        </w:tc>
        <w:tc>
          <w:tcPr>
            <w:tcW w:w="57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204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2029</w:t>
            </w:r>
          </w:p>
        </w:tc>
        <w:tc>
          <w:tcPr>
            <w:tcW w:w="57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bl>
    <w:p>
      <w:pPr>
        <w:spacing w:after="0" w:line="23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review amortizable intangible assets for impairment whenever events or changes in circumstances indicate that the carrying amount of such assets may not be recoverable. If such a review should indicate that the carrying amount of amortizable intangible assets is not recoverable, we reduce the carrying amount of such assets to fair value. We review non-amortizable intangible assets for impairment annually, or more frequently if circumstances dictate.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Goodwill is tested for impairment annually or more frequently if circumstances indicate that goodwill might be impaired. The annual impairment test was performed during the fourth quarter.</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4"/>
              </w:rPr>
              <w:t>Intrastate</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w w:val="99"/>
              </w:rPr>
              <w:t>Interstate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color w:val="auto"/>
                <w:w w:val="96"/>
              </w:rPr>
              <w:t>NGL and Refined</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6"/>
              </w:rPr>
              <w:t>Crude Oil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color w:val="auto"/>
                <w:w w:val="96"/>
              </w:rPr>
              <w:t>Products</w:t>
            </w: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8"/>
              </w:rPr>
              <w:t>Investment in</w:t>
            </w: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Investment in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color w:val="auto"/>
                <w:w w:val="96"/>
              </w:rPr>
              <w:t>Transportation</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color w:val="auto"/>
                <w:w w:val="93"/>
              </w:rPr>
              <w:t>Transportation</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color w:val="auto"/>
                <w:w w:val="96"/>
              </w:rPr>
              <w:t>Transportation</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color w:val="auto"/>
                <w:w w:val="96"/>
              </w:rPr>
              <w:t>Transportation</w:t>
            </w:r>
          </w:p>
        </w:tc>
        <w:tc>
          <w:tcPr>
            <w:tcW w:w="920" w:type="dxa"/>
            <w:vAlign w:val="bottom"/>
            <w:gridSpan w:val="3"/>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7"/>
              </w:rPr>
              <w:t>and Storage</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7"/>
              </w:rPr>
              <w:t>and Storage</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Midstream</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and Services</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and Services</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3"/>
              </w:rPr>
              <w:t>Sunoco LP</w:t>
            </w:r>
          </w:p>
        </w:tc>
        <w:tc>
          <w:tcPr>
            <w:tcW w:w="1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USAC</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All Other</w:t>
            </w:r>
          </w:p>
        </w:tc>
        <w:tc>
          <w:tcPr>
            <w:tcW w:w="16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2,566</w:t>
            </w:r>
          </w:p>
        </w:tc>
        <w:tc>
          <w:tcPr>
            <w:tcW w:w="0" w:type="dxa"/>
            <w:vAlign w:val="bottom"/>
          </w:tcPr>
          <w:p>
            <w:pPr>
              <w:spacing w:after="0"/>
              <w:rPr>
                <w:sz w:val="1"/>
                <w:szCs w:val="1"/>
                <w:color w:val="auto"/>
              </w:rPr>
            </w:pPr>
          </w:p>
        </w:tc>
      </w:tr>
      <w:tr>
        <w:trPr>
          <w:trHeight w:val="170"/>
        </w:trPr>
        <w:tc>
          <w:tcPr>
            <w:tcW w:w="1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Acquired</w:t>
            </w:r>
          </w:p>
        </w:tc>
        <w:tc>
          <w:tcPr>
            <w:tcW w:w="10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December 31, 2023</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1,599</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4,019</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Acquired</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0"/>
        </w:trPr>
        <w:tc>
          <w:tcPr>
            <w:tcW w:w="1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Disposed</w:t>
            </w:r>
          </w:p>
        </w:tc>
        <w:tc>
          <w:tcPr>
            <w:tcW w:w="10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December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3,903</w:t>
            </w:r>
          </w:p>
        </w:tc>
        <w:tc>
          <w:tcPr>
            <w:tcW w:w="0" w:type="dxa"/>
            <w:vAlign w:val="bottom"/>
          </w:tcPr>
          <w:p>
            <w:pPr>
              <w:spacing w:after="0"/>
              <w:rPr>
                <w:sz w:val="1"/>
                <w:szCs w:val="1"/>
                <w:color w:val="auto"/>
              </w:rPr>
            </w:pPr>
          </w:p>
        </w:tc>
      </w:tr>
      <w:tr>
        <w:trPr>
          <w:trHeight w:val="26"/>
        </w:trPr>
        <w:tc>
          <w:tcPr>
            <w:tcW w:w="1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Goodwill is recorded at the acquisition date based on a preliminary purchase price allocation and generally may be adjusted when the purchase price allocation is finalized. During 2024, $16 million of goodwill was recorded in connection with Sunoco LP’s acquisition of NuStar and $138 million of goodwill was removed in connection with Sunoco LP’s sale of 204 convenience stores to 7-Eleven Inc. During the fourth quarter of 2023, $1.46 billion of goodwill was recorded in connection with the acquisition of Crestwood, which is not expected to be deductible for tax purposes.</w:t>
      </w:r>
    </w:p>
    <w:p>
      <w:pPr>
        <w:spacing w:after="0" w:line="126"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Partnership determines the fair value of our reporting units using the discounted cash flow method, the guideline company method, or a weighted combination of the discounted cash flow method and the guideline company method. Determining the fair value of a reporting unit requires judgment and the use of significant estimates and assumptions. Such estimates and assumptions include revenue growth rates, operating margins, weighted average costs of capital and future market conditions, among others. The Partnership believes the estimates and assumptions used in our impairment assessments are reasonable and based on available market information, but variations in any of the assumptions could result in materially different calculations of fair value and determinations of whether or not an impairment is indicated. Under the discounted cash flow method, the Partnership determines fair value based on estimated future cash flows of each reporting unit including estimates for capital expenditures, discounted to present value using the risk-adjusted industry rate, which reflect the overall level of inherent risk of the reporting unit. Cash flow projections are derived from one year budgeted amounts and five year operating forecasts plus an estimate of later period cash flows, all of which are evaluated by management. Subsequent period cash flows are developed for each reporting unit using growth rates that management believes are reasonably likely to occur. Under the guideline company method, the Partnership determines the estimated fair value of each of our reporting units by applying valuation multiples of comparable publicly-traded companies to each reporting unit’s projected EBITDA and then averaging that estimate with similar historical calculations using a three year average. In addition, the Partnership estimates a reasonable control premium representing the incremental value that accrues to the majority owner from the opportunity to dictate the strategic and operational actions of the business. The fair value estimates used in the long-lived asset and goodwill tests were primarily based on Level 3 inputs of the fair value hierarchy.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have determined that we are obligated by contractual or regulatory requirements to remove facilities or perform other remediation upon retirement of certain assets. The fair value of any ARO is determined based on estimates and assumptions related to retirement costs, which the Partnership bases on historical retirement costs, future inflation rates and credit-adjusted risk-free interest rates. These fair value assessments are considered to be Level 3 measurements, as they are based on both observable and unobservable inputs. Changes in the liability are recorded for the passage of time (accretion) or for revisions to cash flows originally estimated to settle the ARO.</w:t>
      </w:r>
    </w:p>
    <w:p>
      <w:pPr>
        <w:spacing w:after="0" w:line="1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An ARO is required to be recorded when a legal obligation to retire an asset exists and such obligation can be reasonably estimated. We will record an ARO in the periods in which management can reasonably estimate the settlement dates.</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other non-current liabilities in the Partnership’s consolidated balance sheets included AROs of $418 million and $410 million, respectively. For the years ended December 31, 2024, 2023 and 2022 aggregate accretion expense related to AROs was $11 million, $10 million and $4 million, respectively.</w:t>
      </w:r>
    </w:p>
    <w:p>
      <w:pPr>
        <w:spacing w:after="0" w:line="12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Except for the AROs discussed above, management was not able to reasonably measure the fair value of AROs as of December 31, 2024 and 2023, in most cases because the settlement dates were indeterminable. Although a number of onshore assets in our systems are subject to agreements or regulations that give rise to an ARO upon discontinued use of these assets, AROs were not recorded because these assets have an indeterminate removal or abandonment date given the expected continued use of the assets with proper maintenance or replacement. Our subsidiaries also have legal obligations for several other assets at previously owned refineries, pipelines and terminals, for which it is not possible to estimate when the obligations will be settled. Consequently, the retirement obligations for these assets cannot be measured at this time. At the end of the useful life of these underlying assets, our subsidiaries are legally or contractually required to abandon in place or remove the asset. We believe we may have additional AROs related to pipeline assets and storage tanks, for which it is not possible to estimate whether or when the AROs will be settled. Consequently, these AROs cannot be measured at this time. Sunoco LP also has AROs related to the estimated future cost to remove underground storage tanks.</w:t>
      </w:r>
    </w:p>
    <w:p>
      <w:pPr>
        <w:spacing w:after="0" w:line="13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Individual component assets have been and will continue to be replaced, but the pipeline and the natural gas gathering and processing systems will continue in operation as long as supply and demand for natural gas exists. Based on the widespread use of natural gas in industrial and power generation activities, management expects supply and demand to exist for the foreseeable future. We have in place a rigorous repair and maintenance program that keeps the pipelines and the natural gas gathering and processing systems in good working order. Therefore, although some of the individual assets may be replaced, the pipelines and the natural gas gathering and processing systems themselves will remain intact indefinitely.</w:t>
      </w:r>
    </w:p>
    <w:p>
      <w:pPr>
        <w:spacing w:after="0" w:line="1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both December 31, 2024 and 2023, other non-current assets on the Partnership’s consolidated balance sheets included $31 million of funds that were legally restricted for the purpose of settling AROs.</w:t>
      </w:r>
    </w:p>
    <w:p>
      <w:pPr>
        <w:spacing w:after="0" w:line="104"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76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4"/>
                <w:szCs w:val="24"/>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advances and deposits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payable other than income taxes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Exchanges payable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 certain circumstances, customer advances and deposits are received from our customers as prepayments for natural gas deliveries in the following month. Prepayments and security deposits may be required when customers exceed their credit limits or do not qualify for open credit.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Our redeemable noncontrolling interests relate to certain preferred unitholders of our consolidated subsidiaries that have the option to convert their preferred units to such subsidiary’s common units at the election of the holders and the noncontrolling interest holders in our consolidated subsidiaries that have the option to sell their interests to us. In accordance with applicable accounting guidance, the noncontrolling interest is excluded from total equity and reflected as redeemable noncontrolling interests on our consolidated balance sheets. See Note 7 for further information.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Environmental Remediation</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accrue environmental remediation costs for work at identified sites where an assessment has indicated that cleanup costs are probable and reasonably estimable. Such accruals are undiscounted and are based on currently available information, estimated timing of remedial actions and related inflation assumptions, existing technology and presently enacted laws and regulations. If a range of probable environmental cleanup costs exists for an identified site, the minimum of the range is accrued unless some other point in the range is more likely in which case the most likely amount in the range is accrued.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amounts of cash and cash equivalents, accounts receivable and accounts payable approximate their fair value.</w:t>
      </w:r>
    </w:p>
    <w:p>
      <w:pPr>
        <w:spacing w:after="0" w:line="171"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We have commodity derivatives and interest rate derivatives that are accounted for as assets and liabilities at fair value in our consolidated balance sheets. We determine the fair value of our assets and liabilities subject to fair value measurement by using the highest possible “level” of inputs. Level 1 inputs are observable quotes in an active market for identical assets and liabilities. We consider the valuation of marketable securities and commodity derivatives transacted through a clearing broker with a published price from the appropriate exchange as a Level 1 valuation. Level 2 inputs are inputs observable for similar assets and liabilities. We consider OTC commodity derivatives entered into directly with third parties as a Level 2 valuation since the values of these derivatives are quoted on an exchange for similar transactions. Additionally, we consider our options transacted through our clearing broker as having Level 2 inputs due to the level of activity of these contracts on the exchange in which they trade. We consider the valuation of our interest rate derivatives as Level 2 as the primary input, the LIBOR or SOFR curve, is based on quotes from an active exchange of futures for the same period as the future interest swap settlements. Level 3 inputs are unobservable. During the year ended December 31, 2024, no transfers were made between any levels within the fair value hierarchy.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fair value of our financial assets and liabilities measured and recorded at fair value on a recurring basis as of</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31, 2024 and 2023 based on inputs used to derive their fair values: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Fair Value Measurements at</w:t>
            </w: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color w:val="auto"/>
              </w:rPr>
              <w:t>December 31, 2024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40" w:type="dxa"/>
            <w:vAlign w:val="bottom"/>
          </w:tcPr>
          <w:p>
            <w:pPr>
              <w:spacing w:after="0"/>
              <w:rPr>
                <w:sz w:val="22"/>
                <w:szCs w:val="22"/>
                <w:color w:val="auto"/>
              </w:rPr>
            </w:pPr>
          </w:p>
        </w:tc>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Total</w:t>
            </w:r>
          </w:p>
        </w:tc>
        <w:tc>
          <w:tcPr>
            <w:tcW w:w="260" w:type="dxa"/>
            <w:vAlign w:val="bottom"/>
          </w:tcPr>
          <w:p>
            <w:pPr>
              <w:spacing w:after="0"/>
              <w:rPr>
                <w:sz w:val="22"/>
                <w:szCs w:val="22"/>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2"/>
                <w:szCs w:val="22"/>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Natural Gas:</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Basis Swaps FERC/NYMEX</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Swing Swaps IFERC</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Swaps/Futures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Forwards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Futures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NGLs – Forwards/Swaps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Refined Products – Futures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Crude – Forwards/Swaps</w:t>
            </w:r>
          </w:p>
        </w:tc>
        <w:tc>
          <w:tcPr>
            <w:tcW w:w="2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commodity derivatives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3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Natural Gas: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Basis Swaps IFERC/NYMEX</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Swing Swaps IFERC</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Fixed Swaps/Futures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Power:</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Forwards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Futures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NGLs – Forwards/Swaps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Refined Products – Futures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Crude – Forwards/Swaps</w:t>
            </w:r>
          </w:p>
        </w:tc>
        <w:tc>
          <w:tcPr>
            <w:tcW w:w="2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commodity derivatives</w:t>
            </w:r>
          </w:p>
        </w:tc>
        <w:tc>
          <w:tcPr>
            <w:tcW w:w="2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F - 20</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Fair Value Measurements at</w:t>
            </w: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54"/>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Total</w:t>
            </w:r>
          </w:p>
        </w:tc>
        <w:tc>
          <w:tcPr>
            <w:tcW w:w="260" w:type="dxa"/>
            <w:vAlign w:val="bottom"/>
          </w:tcPr>
          <w:p>
            <w:pPr>
              <w:spacing w:after="0"/>
              <w:rPr>
                <w:sz w:val="22"/>
                <w:szCs w:val="22"/>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2"/>
                <w:szCs w:val="22"/>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09"/>
        </w:trPr>
        <w:tc>
          <w:tcPr>
            <w:tcW w:w="60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Basis Swaps IFERC/NYMEX</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Swing Swaps IFERC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Swaps/Futures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Forward Physical Contracts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Forwards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NGLs – Forwards/Swaps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Refined Products – Futures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 Forwards/Swaps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commodity derivatives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Basis Swaps IFERC/NYMEX</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Swing Swaps IFERC</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Swaps/Futures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 Puts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Power:</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Forwards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Futures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NGL/Refined Products Option - Puts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NGL/Refined Products Option - Calls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NGLs – Forwards/Swaps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Refined Products – Futures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Crude - Forwards/Swaps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commodity derivatives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Based on the estimated borrowing rates currently available to us and our subsidiaries for loans with similar terms and average maturities, the aggregate fair value and carrying amount of our debt obligations as of December 31, 2024 was $59.01 billion and $59.76 billion, respectively. As of December 31, 2023, the aggregate fair value and carrying amount of our debt obligations was $51.93 billion and $52.39 billion, respectively. The fair value of our consolidated debt obligations is a Level 2 valuation based on the observable inputs used for similar liabilities.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 Costs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certain of our capital projects, third parties are obligated to reimburse us for all or a portion of project expenditures. The majority of such arrangements are associated with pipeline construction and production well tie-ins. For our regulated businesses, contributions in aid of construction costs (“CIAC”) are netted against our project costs as they are received. For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right="1220"/>
        <w:spacing w:after="0" w:line="438" w:lineRule="auto"/>
        <w:rPr>
          <w:sz w:val="20"/>
          <w:szCs w:val="20"/>
          <w:color w:val="auto"/>
        </w:rPr>
      </w:pPr>
      <w:r>
        <w:rPr>
          <w:rFonts w:ascii="Times New Roman" w:cs="Times New Roman" w:eastAsia="Times New Roman" w:hAnsi="Times New Roman"/>
          <w:sz w:val="18"/>
          <w:szCs w:val="18"/>
          <w:color w:val="auto"/>
        </w:rPr>
        <w:t xml:space="preserve">our non-regulated businesses, contributions in aid of construction costs are included in the transaction price of the underlying contract. </w:t>
      </w:r>
      <w:r>
        <w:rPr>
          <w:rFonts w:ascii="Times New Roman" w:cs="Times New Roman" w:eastAsia="Times New Roman" w:hAnsi="Times New Roman"/>
          <w:sz w:val="18"/>
          <w:szCs w:val="18"/>
          <w:b w:val="1"/>
          <w:bCs w:val="1"/>
          <w:color w:val="auto"/>
        </w:rPr>
        <w:t>Shipping and Handling Costs</w:t>
      </w:r>
    </w:p>
    <w:p>
      <w:pPr>
        <w:spacing w:after="0" w:line="1"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in cost of products sold, except for shipping and handling costs related to fuel consumed for compression and treating which are included in operating expenses.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Cost of products sold include actual cost of fuel sold, adjusted for the effects of our hedging and other commodity derivative activities, and the cost of appliances, parts and fittings. Operating expenses include all costs incurred to provide products to customers, including compensation for operations personnel, insurance costs, vehicle maintenance, advertising costs, purchasing costs and plant operations. Selling, general and administrative expenses include all partnership related expenses and compensation for executive, partnership and administrative personnel.</w:t>
      </w:r>
    </w:p>
    <w:p>
      <w:pPr>
        <w:spacing w:after="0" w:line="12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record the collection of taxes to be remitted to government authorities on a net basis, except for consumer excise taxes collected by Sunoco LP on sales of refined products and merchandise which are included in both revenues and costs and expenses in the consolidated statements of operations, with no effect on net income. For the years ended December 31, 2024, 2023 and 2022, excise taxes collected by Sunoco LP were $164 million, $274 million and $285 million,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Issuances of Subsidiary Units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record changes in our ownership interest of our subsidiaries as equity transactions, with no gain or loss recognized in consolidated net income or comprehensive income. For example, upon our subsidiary’s issuance of common units in a public offering, we record any difference between the amount of consideration received or paid and the amount by which the noncontrolling interests are adjusted as a change in partners’ capital.</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Partnership regularly enters into related party transactions with several of its unconsolidated affiliates. In addition to commercial transactions, these transactions include the provision of certain management services and leases of certain assets. While the Partnership believes that such related party transactions generally reflect market rates, the pricing under such agreements may not be comparable to similar transactions with unaffiliated third parties. For the years ended December 31, 2024, 2023 and 2022, the Partnership’s consolidated income statements reflect revenues from related parties of $603 million, $626 million and $391 million, respectively.</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Energy Transfer is a publicly traded limited partnership and is not taxable for federal and most state income tax purposes. As a result, our earnings or losses, to the extent not included in a taxable subsidiary, for federal and most state purposes are included in the tax returns of the individual partners. Net earnings for financial statement purposes may differ significantly from taxable income reportable to Unitholders as a result of differences between the tax basis and financial reporting basis of assets and liabilities, in addition to the allocation requirements related to taxable income under our Partnership Agreement. We do not have access to information regarding each partner’s individual tax basis in our limited partner interests.</w:t>
      </w:r>
    </w:p>
    <w:p>
      <w:pPr>
        <w:spacing w:after="0" w:line="1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 publicly traded limited partnership, we are subject to a statutory requirement that our “qualifying income” (as defined by the Internal Revenue Code, related Treasury Regulations, and IRS pronouncements) exceed 90% of our total gross income, determined on a calendar year basis. If our qualifying income does not meet this statutory requirement, Energy Transfer would be taxed as a corporation for federal and state income tax purposes. For the years ended December 31, 2024, 2023 and 2022, our qualifying income met the statutory requirement.</w:t>
      </w:r>
    </w:p>
    <w:p>
      <w:pPr>
        <w:spacing w:after="0" w:line="126"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Partnership conducts certain activities through corporate subsidiaries which are subject to federal, state and local, and foreign income taxes. These corporate subsidiaries include ETP Holdco, Sunoco Retail LLC, and Aloha, among others. The Partnership and its corporate subsidiaries account for income taxes under the asset and liability method.</w:t>
      </w:r>
    </w:p>
    <w:p>
      <w:pPr>
        <w:spacing w:after="0" w:line="12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Under this method, deferred tax assets and liabilities are recognized for the estimated future tax consequences attributable to differences between the financial statement carrying amounts of existing assets and liabilities and their respective tax basis. Deferred tax assets and liabilities are measured using enacted tax rates in effect for the year in which those temporary differences are expected to be recovered or settled. The effect on deferred tax assets and liabilities of a change in tax rate 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recognized in earnings in the period that includes the enactment date. Valuation allowances are established when necessary to reduce deferred tax assets to the amounts more likely than not to be realized.</w:t>
      </w:r>
    </w:p>
    <w:p>
      <w:pPr>
        <w:spacing w:after="0" w:line="10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determination of the provision for income taxes requires significant judgment, use of estimates, and the interpretation and application of complex tax laws. Significant judgment is required in assessing the timing and amounts of deductible and taxable items and the probability of sustaining uncertain tax positions. The benefits of uncertain tax positions are recorded in our consolidated financial statements only after determining a more-likely-than-not probability that the uncertain tax positions will withstand challenge, if any, from taxing authorities. When facts and circumstances change, we reassess these probabilities and record any changes through the provision for income taxes.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Accounting for Derivative Instruments and Hedging Activities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qualifying hedges, we formally document, designate and assess the effectiveness of transactions that receive hedge accounting treatment and the gains and losses offset related results on the hedged item in the statement of operations. The market prices used to value our financial derivatives and related transactions have been determined using independent third-party prices, readily available market information, broker quotes and appropriate valuation techniques.</w:t>
      </w:r>
    </w:p>
    <w:p>
      <w:pPr>
        <w:spacing w:after="0" w:line="12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At inception of a hedge, we formally document the relationship between the hedging instrument and the hedged item, the risk management objectives, and the methods used for assessing and testing effectiveness and how any ineffectiveness will be measured and recorded. We also assess, both at the inception of the hedge and on a quarterly basis, whether the derivatives that are used in our hedging transactions are highly effective in offsetting changes in cash flows. If we determine that a derivative is no longer highly effective as a hedge, we discontinue hedge accounting prospectively by including changes in the fair value of the derivative in net income for the period.</w:t>
      </w:r>
    </w:p>
    <w:p>
      <w:pPr>
        <w:spacing w:after="0" w:line="1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If we designate a commodity hedging relationship as a fair value hedge, we record the changes in fair value of the hedged asset or liability in cost of products sold in our consolidated statements of operations. This amount is offset by the changes in fair value of the related hedging instrument. Any ineffective portion or amount excluded from the assessment of hedge ineffectiveness is also included in the cost of products sold in the consolidated statements of operations.</w:t>
      </w:r>
    </w:p>
    <w:p>
      <w:pPr>
        <w:spacing w:after="0" w:line="126"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Cash flows from derivatives accounted for as cash flow hedges are reported as cash flows from operating activities, in the same category as the cash flows from the items being hedged.</w:t>
      </w:r>
    </w:p>
    <w:p>
      <w:pPr>
        <w:spacing w:after="0" w:line="10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If we designate a derivative financial instrument as a cash flow hedge and it qualifies for hedge accounting, the change in the fair value is deferred in AOCI until the underlying hedged transaction occurs. Any ineffective portion of a cash flow hedge’s change in fair value is recognized each period in earnings. Gains and losses deferred in AOCI related to cash flow hedges remain in AOCI until the underlying physical transaction occurs, unless it is probable that the forecasted transaction will not occur by the end of the originally specified time period or within an additional two-month period of time thereafter. For financial derivative instruments that do not qualify for hedge accounting, the change in fair value is recorded in cost of products sold in the consolidated statements of operations.</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manage a portion of our interest rate exposures by utilizing interest rate swaps and similar instruments. Certain of our interest rate derivatives are accounted for as either cash flow hedges or fair value hedges. For interest rate derivatives accounted for as either cash flow or fair value hedges, we report realized gains and losses and ineffectiveness portions of those hedges in interest expense. For interest rate derivatives not designated as hedges for accounting purposes, we report realized and unrealized gains and losses on those derivatives in “Gains (losses) on interest rate derivatives” in the consolidated statements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Equity Incentive Compensation</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awards of restricted units, we recognize compensation expense over the vesting period based on the grant-date fair value, which is determined based on the market price of the underlying common units on the grant date. For awards of cash restricted units, we remeasure the fair value of the award at the end of each reporting period based on the market price of the underlying common units as of the reporting date, and the fair value is recorded in other non-current liabilities on our consolidated balance sheets.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Pensions and Other Postretirement Benefit Plans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Partnership recognizes the overfunded or underfunded status of defined benefit pension and other postretirement plans, measured as the difference between the fair value of the plan assets and the benefit obligation (the projected benefit obligation for pension plans and the accumulated postretirement benefit obligation for other postretirement plans). Each overfunded plan is recognized as an asset and each underfunded plan is recognized as a liability. Changes in the funded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status of the plan are recorded in the year in which the change occurs within AOCI in equity or, for entities applying regulatory accounting, as a regulatory asset or regulatory liability.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Allocation of Income</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purposes of maintaining partner capital accounts, the Partnership Agreement specifies that items of income and loss shall generally be allocated among the partners in accordance with their percentage interests.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 (Subtopic 220-40)</w:t>
      </w:r>
      <w:r>
        <w:rPr>
          <w:rFonts w:ascii="Times New Roman" w:cs="Times New Roman" w:eastAsia="Times New Roman" w:hAnsi="Times New Roman"/>
          <w:sz w:val="18"/>
          <w:szCs w:val="18"/>
          <w:color w:val="auto"/>
        </w:rPr>
        <w:t>. ASU 2024-03 requires disclosure of specified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in the notes to the consolidated financial statements. ASU 2024-03 is effective for annual periods beginning after December 15, 2026, and interim periods within annual periods beginning after December 15, 2027, with early adoption permitted. ASU 2024-03 is to be applied on a prospective basis, with retrospective application permitted. We are currently evaluating the impact, if any, of ASU 2024-03 on our consolidated financial statements and related disclosures.</w:t>
      </w:r>
    </w:p>
    <w:p>
      <w:pPr>
        <w:spacing w:after="0" w:line="12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improves and enhances income tax disclosure requirements, including new disclosures related to tax rate reconciliation and income taxes paid. ASU 2023-09 is effective for annual periods beginning after December 15, 2024, and interim periods within annual periods beginning after December 15, 2025, with early adoption permitted. ASU 2023-09 is to be applied on a prospective basis, with retrospective application permitted. We are currently evaluating the impact, if any, of ASU 2023-09 on our consolidated financial statements and related disclosures.</w:t>
      </w:r>
    </w:p>
    <w:p>
      <w:pPr>
        <w:spacing w:after="0" w:line="127" w:lineRule="exact"/>
        <w:rPr>
          <w:sz w:val="20"/>
          <w:szCs w:val="20"/>
          <w:color w:val="auto"/>
        </w:rPr>
      </w:pPr>
    </w:p>
    <w:p>
      <w:pPr>
        <w:ind w:left="340" w:right="5280" w:hanging="332"/>
        <w:spacing w:after="0" w:line="440" w:lineRule="auto"/>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ACQUISITIONS, DIVESTITURES AND RELATED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WTG Midstream Acquisition</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15, 2024, Energy Transfer completed the acquisition of 100% of the membership interest in WTG Midstream. Consideration for the transaction was comprised of $2.28 billion in cash and approximately 50.8 million newly issued Energy Transfer common units, which had a fair value of approximately $833 million.</w:t>
      </w:r>
    </w:p>
    <w:p>
      <w:pPr>
        <w:spacing w:after="0" w:line="12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acquired assets include approximately 6,000 miles of complementary gas gathering pipelines that extended Energy Transfer’s network in the Midland Basin. Also, as part of the transaction, the Partnership added eight gas processing plants with a total capacity of approximately 1.3 Bcf/d, and two additional processing plants that were under construction at closing. Since closing the transaction, one of these 200 MMcf/d processing plants was placed into service.</w:t>
      </w:r>
    </w:p>
    <w:p>
      <w:pPr>
        <w:spacing w:after="0" w:line="125"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WTG Midstream acquisition was recorded using the acquisition method of accounting, which requires, among other things, that assets acquired and liabilities assumed be recognized on the balance sheet at their estimated fair values on the date of acquisition with any excess purchase price over the fair value of net assets acquired recorded to goodwill. Determining the fair value of acquired assets requires management’s judgment and the utilization of a third-party valuation specialist, if applicable, and involves the use of significant estimates and assumptions. Acquired assets were valued based on a combination of the discounted cash flow, the guideline company and the reproduction and replacement methods.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assumed allocation of the purchase price among the assets acquired and liabilities assumed: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At July 15, 2024</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r>
      <w:tr>
        <w:trPr>
          <w:trHeight w:val="256"/>
        </w:trPr>
        <w:tc>
          <w:tcPr>
            <w:tcW w:w="8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70"/>
        </w:trPr>
        <w:tc>
          <w:tcPr>
            <w:tcW w:w="84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spacing w:after="0"/>
              <w:rPr>
                <w:sz w:val="23"/>
                <w:szCs w:val="23"/>
                <w:color w:val="auto"/>
              </w:rPr>
            </w:pPr>
          </w:p>
        </w:tc>
      </w:tr>
      <w:tr>
        <w:trPr>
          <w:trHeight w:val="223"/>
        </w:trPr>
        <w:tc>
          <w:tcPr>
            <w:tcW w:w="8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 net of cash received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Crestwood Acquisition</w:t>
      </w:r>
    </w:p>
    <w:p>
      <w:pPr>
        <w:spacing w:after="0" w:line="1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November 3, 2023, Energy Transfer acquired Crestwood, which owns gathering and processing assets located in the Williston, Delaware and Powder River basins. Under the terms of the merger agreement, holders of Crestwood common units received 2.07 Energy Transfer common units for each Crestwood common unit held by them (the “Common Unit Merger Consideration”). Additionally, each outstanding Crestwood preferred unit was, at the election of the holder of such Crestwood preferred unit, either, (i) converted into a Series I Preferred Unit, which is a new preferred unit of Energy Transfer that has substantially similar terms, including with respect to economics and structural protections, as the Crestwood preferred units;</w:t>
      </w:r>
    </w:p>
    <w:p>
      <w:pPr>
        <w:spacing w:after="0" w:line="3" w:lineRule="exact"/>
        <w:rPr>
          <w:sz w:val="20"/>
          <w:szCs w:val="20"/>
          <w:color w:val="auto"/>
        </w:rPr>
      </w:pPr>
    </w:p>
    <w:p>
      <w:pPr>
        <w:jc w:val="both"/>
        <w:ind w:left="340" w:hanging="8"/>
        <w:spacing w:after="0" w:line="255" w:lineRule="auto"/>
        <w:tabs>
          <w:tab w:leader="none" w:pos="63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redeemed in exchange for $9.857484 in cash plus accrued and unpaid distributions to the date of such redemption; or (iii) converted into a Crestwood common unit at the then-applicable conversion ratio of one Crestwood common unit for ten Crestwood preferred units, and such Crestwood common units then received the Common Unit Merger Consideration.</w:t>
      </w:r>
    </w:p>
    <w:p>
      <w:pPr>
        <w:spacing w:after="0" w:line="13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total, consideration issued in the transaction included approximately 216 million Energy Transfer common units, 41 million Series I Preferred Units and $300 million in cash. Concurrent with the closing of the Crestwood acquisition, the Partnership assumed $2.85 billion aggregate principal amount of Crestwood senior notes and terminated its revolving credit facility, which included the repayment of $613 million in outstanding borrowings.</w:t>
      </w:r>
    </w:p>
    <w:p>
      <w:pPr>
        <w:spacing w:after="0" w:line="12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Crestwood acquisition was recorded using the acquisition method of accounting, which requires, among other things, that assets acquired and liabilities assumed be recognized on the balance sheet at their estimated fair values on the date of acquisition with any excess purchase price over the fair value of net assets acquired recorded to goodwill. Determining the fair value of acquired assets requires management’s judgment and the utilization of an independent valuation specialist, if applicable, and involves the use of significant estimates and assumptions. Acquired assets were valued based on a combination of the discounted cash flow, the guideline company and the reproduction and replacement methods.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assumed allocation of the purchase price among the assets acquired and liabilities assumed: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At November 3, 2023</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23"/>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r>
      <w:tr>
        <w:trPr>
          <w:trHeight w:val="257"/>
        </w:trPr>
        <w:tc>
          <w:tcPr>
            <w:tcW w:w="8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3"/>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r>
      <w:tr>
        <w:trPr>
          <w:trHeight w:val="257"/>
        </w:trPr>
        <w:tc>
          <w:tcPr>
            <w:tcW w:w="8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57"/>
        </w:trPr>
        <w:tc>
          <w:tcPr>
            <w:tcW w:w="84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r>
      <w:tr>
        <w:trPr>
          <w:trHeight w:val="223"/>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received</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8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 net of cash received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Lotus Midstream Acquisition</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May 2, 2023, Energy Transfer acquired Lotus Midstream for total consideration of $1.50 billion, including working capital. Consideration included $930 million in cash and approximately 44.5 million newly issued Energy Transfer common units, which had an aggregate acquisition-date fair value of $574 million. Lotus Midstream owns and operates Centurion Pipeline Company LLC, an integrated crude midstream platform located in the Permian Basin.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allocation of the purchase price among the assets acquired and liabilities assumed: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 May 2, 2023</w:t>
            </w:r>
          </w:p>
        </w:tc>
      </w:tr>
      <w:tr>
        <w:trPr>
          <w:trHeight w:val="223"/>
        </w:trPr>
        <w:tc>
          <w:tcPr>
            <w:tcW w:w="340" w:type="dxa"/>
            <w:vAlign w:val="bottom"/>
          </w:tcPr>
          <w:p>
            <w:pPr>
              <w:spacing w:after="0"/>
              <w:rPr>
                <w:sz w:val="19"/>
                <w:szCs w:val="19"/>
                <w:color w:val="auto"/>
              </w:rPr>
            </w:pPr>
          </w:p>
        </w:tc>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43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4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4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400" w:type="dxa"/>
            <w:vAlign w:val="bottom"/>
          </w:tcPr>
          <w:p>
            <w:pPr>
              <w:spacing w:after="0"/>
              <w:rPr>
                <w:sz w:val="19"/>
                <w:szCs w:val="19"/>
                <w:color w:val="auto"/>
              </w:rPr>
            </w:pPr>
          </w:p>
        </w:tc>
      </w:tr>
      <w:tr>
        <w:trPr>
          <w:trHeight w:val="257"/>
        </w:trPr>
        <w:tc>
          <w:tcPr>
            <w:tcW w:w="34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30"/>
        </w:trPr>
        <w:tc>
          <w:tcPr>
            <w:tcW w:w="34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4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19"/>
                <w:szCs w:val="19"/>
                <w:color w:val="auto"/>
              </w:rPr>
            </w:pPr>
          </w:p>
        </w:tc>
      </w:tr>
      <w:tr>
        <w:trPr>
          <w:trHeight w:val="256"/>
        </w:trPr>
        <w:tc>
          <w:tcPr>
            <w:tcW w:w="340" w:type="dxa"/>
            <w:vAlign w:val="bottom"/>
          </w:tcPr>
          <w:p>
            <w:pPr>
              <w:spacing w:after="0"/>
              <w:rPr>
                <w:sz w:val="22"/>
                <w:szCs w:val="22"/>
                <w:color w:val="auto"/>
              </w:rPr>
            </w:pPr>
          </w:p>
        </w:tc>
        <w:tc>
          <w:tcPr>
            <w:tcW w:w="4080" w:type="dxa"/>
            <w:vAlign w:val="bottom"/>
            <w:tcBorders>
              <w:bottom w:val="single" w:sz="8" w:color="CCEEFF"/>
            </w:tcBorders>
          </w:tcPr>
          <w:p>
            <w:pPr>
              <w:spacing w:after="0"/>
              <w:rPr>
                <w:sz w:val="22"/>
                <w:szCs w:val="22"/>
                <w:color w:val="auto"/>
              </w:rPr>
            </w:pPr>
          </w:p>
        </w:tc>
        <w:tc>
          <w:tcPr>
            <w:tcW w:w="43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r>
      <w:tr>
        <w:trPr>
          <w:trHeight w:val="223"/>
        </w:trPr>
        <w:tc>
          <w:tcPr>
            <w:tcW w:w="340" w:type="dxa"/>
            <w:vAlign w:val="bottom"/>
          </w:tcPr>
          <w:p>
            <w:pPr>
              <w:spacing w:after="0"/>
              <w:rPr>
                <w:sz w:val="19"/>
                <w:szCs w:val="19"/>
                <w:color w:val="auto"/>
              </w:rPr>
            </w:pP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4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received</w:t>
            </w:r>
          </w:p>
        </w:tc>
        <w:tc>
          <w:tcPr>
            <w:tcW w:w="4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 net of cash received</w:t>
            </w:r>
          </w:p>
        </w:tc>
        <w:tc>
          <w:tcPr>
            <w:tcW w:w="4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40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24"/>
        </w:trPr>
        <w:tc>
          <w:tcPr>
            <w:tcW w:w="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60" w:type="dxa"/>
            <w:vAlign w:val="bottom"/>
            <w:gridSpan w:val="2"/>
          </w:tcPr>
          <w:p>
            <w:pPr>
              <w:jc w:val="right"/>
              <w:ind w:right="3150"/>
              <w:spacing w:after="0"/>
              <w:rPr>
                <w:sz w:val="20"/>
                <w:szCs w:val="20"/>
                <w:color w:val="auto"/>
              </w:rPr>
            </w:pPr>
            <w:r>
              <w:rPr>
                <w:rFonts w:ascii="Times New Roman" w:cs="Times New Roman" w:eastAsia="Times New Roman" w:hAnsi="Times New Roman"/>
                <w:sz w:val="18"/>
                <w:szCs w:val="18"/>
                <w:color w:val="auto"/>
              </w:rPr>
              <w:t>F - 26</w:t>
            </w: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Woodford Express Acquisition</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September 13, 2022, Energy Transfer completed the acquisition of 100% of the membership interests in Woodford Express, LLC, which owns a Midcontinent gas gathering and processing system, for approximately $485 million plus working capital. The system, which is located in the heart of the SCOOP play, has 450 MMcf/d of cryogenic gas processing and treating capacity and over 200 miles of gathering lines, which are connected to Energy Transfer’s pipeline network. Woodford Express, LLC repaid aggregate principal of $292 million on its revolving credit facility and term loan on the closing date of the acquisition, which amount is included in the total consideration.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Canada Sale</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August 2022, the Partnership completed the sale of its 51% interest in Energy Transfer Canada. The sale resulted in cash proceeds to Energy Transfer of $302 million.</w:t>
      </w:r>
    </w:p>
    <w:p>
      <w:pPr>
        <w:spacing w:after="0" w:line="10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Energy Transfer Canada’s assets and operations were included in the Partnership’s all other segment until August 2022. Energy Transfer Canada did not meet the criteria to be reflected as discontinued operations in the Partnership’s consolidated statement of operations. Based on the anticipated proceeds upon signing of the share purchase agreement in February 2022, during the three months ended March 31, 2022, the Partnership recorded a write-down on Energy Transfer Canada’s assets of $300 million, of which $164 million was allocated to noncontrolling interests and $136 million was reflected in net income attributable to partners. Upon the completion of the sale in August 2022, the Partnership recorded an $85 million loss on deconsolidation.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Spindletop Assets Purchase</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March 2022, the Partnership purchased the membership interests in Caliche Coastal Holdings, LLC (subsequently renamed Energy Transfer Spindletop LLC), which owns an underground storage facility near Mont Belvieu, Texas, for approximately $325 million.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Sunoco LP</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NuStar Acquisition</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May 3, 2024, Sunoco LP completed the acquisition of all of the common units of NuStar. Under the terms of the merger agreement, NuStar common unitholders received 0.400 Sunoco LP common units for each NuStar common unit. In connection with the acquisition, Sunoco LP issued approximately 51.5 million common units, which had a fair value of approximately $2.85 billion, assumed debt totaling approximately $3.5 billion, including approximately $56 million of lease related financing obligations, and assumed preferred units with a fair value of approximately $800 million. NuStar has approximately 9,500 miles of pipeline and 63 terminal and storage facilities that store and distribute crude oil, refined products, renewable fuels, ammonia and specialty liquids.</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NuStar acquisition was recorded using the acquisition method of accounting, which requires, among other things, that assets acquired and liabilities assumed be recognized on the balance sheet at their estimated fair values on the date of acquisition with any excess purchase price over the fair value of net assets acquired recorded to goodwill. Determining the fair value of acquired assets requires management’s judgment and the utilization of a third-party valuation specialist, if applicable, and involves the use of significant estimates and assumptions. Acquired assets were valued based on a combination of the discounted cash flow, the guideline company and the reproduction and replacement methods.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assumed allocation of the purchase price among the assets acquired and liabilities assumed: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At May 3, 2024</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Intangible assets, net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r>
      <w:tr>
        <w:trPr>
          <w:trHeight w:val="257"/>
        </w:trPr>
        <w:tc>
          <w:tcPr>
            <w:tcW w:w="8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8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less current maturities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r>
      <w:tr>
        <w:trPr>
          <w:trHeight w:val="270"/>
        </w:trPr>
        <w:tc>
          <w:tcPr>
            <w:tcW w:w="84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30"/>
        </w:trPr>
        <w:tc>
          <w:tcPr>
            <w:tcW w:w="8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Preferred units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70"/>
        </w:trPr>
        <w:tc>
          <w:tcPr>
            <w:tcW w:w="84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spacing w:after="0"/>
              <w:rPr>
                <w:sz w:val="23"/>
                <w:szCs w:val="23"/>
                <w:color w:val="auto"/>
              </w:rPr>
            </w:pPr>
          </w:p>
        </w:tc>
      </w:tr>
      <w:tr>
        <w:trPr>
          <w:trHeight w:val="223"/>
        </w:trPr>
        <w:tc>
          <w:tcPr>
            <w:tcW w:w="8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 net of cash received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w:t>
            </w:r>
          </w:p>
        </w:tc>
      </w:tr>
      <w:tr>
        <w:trPr>
          <w:trHeight w:val="21"/>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hanging="328"/>
        <w:spacing w:after="0" w:line="229" w:lineRule="auto"/>
        <w:tabs>
          <w:tab w:leader="none" w:pos="648" w:val="left"/>
        </w:tabs>
        <w:numPr>
          <w:ilvl w:val="0"/>
          <w:numId w:val="1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Goodwill primarily represents expected commercial and operational synergies. None of the goodwill recorded as a result of this transaction is deductible for tax purposes.</w:t>
      </w:r>
    </w:p>
    <w:p>
      <w:pPr>
        <w:spacing w:after="0" w:line="90"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48" w:val="left"/>
        </w:tabs>
        <w:numPr>
          <w:ilvl w:val="0"/>
          <w:numId w:val="1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Intangible assets, net comprised of $151 million of favorable contracts, with a remaining weighted average life of approximately 7 years, and $44 million of customer relationships, with a remaining weighted average life of approximately 15 years.</w:t>
      </w:r>
    </w:p>
    <w:p>
      <w:pPr>
        <w:spacing w:after="0" w:line="90"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1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Subsequent to the closing of the NuStar acquisition, Sunoco LP redeemed all outstanding NuStar preferred units totaling $784 million, redeemed NuStar’s subordinated notes totaling $403 million and repaid the outstanding balance on the NuStar credit facility totaling $455 million.</w:t>
      </w:r>
    </w:p>
    <w:p>
      <w:pPr>
        <w:spacing w:after="0" w:line="14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Subsequent to the NuStar acquisition, Sunoco LP purchased a property previously leased by NuStar and cancelled the lease, resulting in an impairment of $50 million based on the value of comparable real property.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Zenith European Terminals Acquisition</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March 13, 2024, Sunoco LP completed the acquisition of liquid fuels terminals in Amsterdam, Netherlands and Bantry Bay, Ireland from Zenith Energy for approximately €170 million ($185 million), including working capital. The acquisition is expected to supply optimization for Sunoco LP’s existing East Coast business and continues its focus on growing its portfolio of stable midstream income. The purchase price was allocated $6 million to other current assets, $204 million to property, plant and equipment, $36 million to other non-current assets and $6 million to deferred tax assets. In connection with this transaction, Sunoco LP also assumed $14 million in current liabilities, $4 million in deferred tax liabilities and $43 million in other non-current liabilities. Sunoco LP also recognized a $6 million bargain purchase gain related to the acquisition.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2024 Acquisition</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August 30, 2024, Sunoco LP acquired a terminal in Portland, Maine for approximately $24 million, including working capital. The purchase price was primarily allocated to property, plant and equipment.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2023 Acquisition</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May 1, 2023, Sunoco LP completed the acquisition of 16 refined product terminals located across the East Coast and Midwest from Zenith Energy for $111 million, including working capital. The purchase price was primarily allocated to property and equipment.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2022 Acquisitions</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November 30, 2022, Sunoco LP completed the acquisition of Peerless Oil &amp; Chemicals, Inc., an established terminal operator that distributes fuel products to over 100 locations primarily within Puerto Rico, for $67 million, net of cash acquired.</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April 1, 2022, Sunoco LP completed the acquisition of a transmix processing and terminal facility in Huntington, Indiana for $252 million, net of cash acquired, of which $98 million was allocated to intangible assets, $20 million to goodwill, $73 million to property, plant and equipment and $76 million to working capital.</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West Texas Sale</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April 16, 2024, Sunoco LP completed the sale of 204 convenience stores located in West Texas, New Mexico and Oklahoma to 7-Eleven, Inc. for approximately $1.00 billion, including customary adjustments for fuel and merchandise inventory. As part of the sale, Sunoco LP also amended its existing take-or-pay fuel supply agreement with 7-Eleven, Inc. to incorporate additional fuel gross profit. As a result of the sale, Sunoco LP recorded a $586 million gain ($438 million, net of current tax expense of $175 million and deferred tax benefit of $27 million).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Joint Venture Transaction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ET-S Permian</w:t>
      </w:r>
    </w:p>
    <w:p>
      <w:pPr>
        <w:spacing w:after="0" w:line="1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Effective July 1, 2024, Energy Transfer and Sunoco LP formed ET-S Permian, a joint venture combining their respective crude oil and produced water gathering assets in the Permian Basin. Pursuant to the contribution agreement by and among Sunoco LP, SUN Pipeline Holdings LLC, NuStar Permian Transportation and Storage LLC, NuStar Permian Crude Logistics LLC, NuStar Permian Holdings LLC, NuStar Logistics, L.P., ET-S Permian Holdings Company LP, ET-S Permian Pipeline Company LLC, ET-S Permian Marketing Company LLC, Energy Transfer and Energy Transfer Crude Marketing, LLC dated July 14, 2024, in a cashless transaction, Energy Transfer contributed its Permian crude oil and produced water gathering assets and operations to ET-S Permian. Sunoco LP contributed all of its Permian crude oil gathering assets and operations to ET-S Permian. Energy Transfer’s long-haul crude pipeline network that provides transportation of crude oil out of the Permian Basin to Nederland, Houston and Cushing is excluded from ET-S Permian.</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ET-S Permian operates more than 5,000 miles of crude oil and water gathering pipelines with crude oil storage capacity in excess of 11 million barrels.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Energy Transfer holds a 67.5% interest, with Sunoco LP holding the remaining 32.5% interest in ET-S Permian. Energy Transfer is the operator of ET-</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Permian.</w:t>
      </w:r>
    </w:p>
    <w:p>
      <w:pPr>
        <w:spacing w:after="0" w:line="148" w:lineRule="exact"/>
        <w:rPr>
          <w:sz w:val="20"/>
          <w:szCs w:val="20"/>
          <w:color w:val="auto"/>
        </w:rPr>
      </w:pPr>
    </w:p>
    <w:p>
      <w:pPr>
        <w:ind w:left="340" w:right="6440" w:hanging="332"/>
        <w:spacing w:after="0" w:line="440" w:lineRule="auto"/>
        <w:tabs>
          <w:tab w:leader="none" w:pos="3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 IN UNCONSOLIDATED AFFILIATES</w:t>
      </w:r>
      <w:r>
        <w:rPr>
          <w:rFonts w:ascii="Times New Roman" w:cs="Times New Roman" w:eastAsia="Times New Roman" w:hAnsi="Times New Roman"/>
          <w:sz w:val="18"/>
          <w:szCs w:val="18"/>
          <w:b w:val="1"/>
          <w:bCs w:val="1"/>
          <w:color w:val="auto"/>
        </w:rPr>
        <w:t>: Description of Investments</w:t>
      </w:r>
    </w:p>
    <w:p>
      <w:pPr>
        <w:spacing w:after="0" w:line="1" w:lineRule="exact"/>
        <w:rPr>
          <w:rFonts w:ascii="Times New Roman" w:cs="Times New Roman" w:eastAsia="Times New Roman" w:hAnsi="Times New Roman"/>
          <w:sz w:val="18"/>
          <w:szCs w:val="18"/>
          <w:b w:val="1"/>
          <w:bCs w:val="1"/>
          <w:color w:val="auto"/>
        </w:rPr>
      </w:pPr>
    </w:p>
    <w:p>
      <w:pPr>
        <w:ind w:left="340" w:right="5040"/>
        <w:spacing w:after="0" w:line="43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Following is a summary of the Partnership’s significant unconsolidated investees. </w:t>
      </w:r>
      <w:r>
        <w:rPr>
          <w:rFonts w:ascii="Times New Roman" w:cs="Times New Roman" w:eastAsia="Times New Roman" w:hAnsi="Times New Roman"/>
          <w:sz w:val="18"/>
          <w:szCs w:val="18"/>
          <w:i w:val="1"/>
          <w:iCs w:val="1"/>
          <w:color w:val="auto"/>
        </w:rPr>
        <w:t>Citrus</w:t>
      </w: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Energy Transfer owns a 50% interest in Citrus. Citrus owns 100% of FGT, an approximately 5,362-mile natural gas pipeline system that originates in Texas and delivers natural gas to the Florida peninsula. Our investment in Citrus is reflected in our interstate transportation and storage segment.</w:t>
      </w:r>
    </w:p>
    <w:p>
      <w:pPr>
        <w:spacing w:after="0" w:line="10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MEP</w:t>
      </w:r>
    </w:p>
    <w:p>
      <w:pPr>
        <w:spacing w:after="0" w:line="17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Energy Transfer owns a 50% interest in MEP, which owns the Midcontinent Express Pipeline, an approximately 500-mile natural gas pipeline that extends from Southeast Oklahoma, across Northeast Texas, Northern Louisiana and Central Mississippi to an interconnect with the Transcontinental natural gas pipeline system in Butler, Alabama. Our investment in MEP is reflected in the interstate transportation and storage segment.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White Cliffs</w:t>
      </w:r>
    </w:p>
    <w:p>
      <w:pPr>
        <w:spacing w:after="0" w:line="17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Energy Transfer owns a 54.3% interest in White Cliffs, which consists of two parallel, 12-inch common carrier pipelines: one crude oil pipeline and one NGL pipeline. These pipelines transport crude and NGLs from Platteville, Colorado to Cushing, Oklahoma. White Cliffs is accounted for as an unconsolidated affiliate, despite the Partnership’s ownership of greater than 50%, due to substantive participating rights held by the minority interest owner.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Explorer</w:t>
      </w:r>
    </w:p>
    <w:p>
      <w:pPr>
        <w:spacing w:after="0" w:line="17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Energy Transfer owns a 15% membership interest in Explorer, which consists of a 1,850-mile pipeline which originates from refining centers in Beaumont, Port Arthur, and Houston, Texas and extends to Chicago, Illinois. Our investment in Explorer is reflected in our NGL and refined products transportation and services segment.</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SESH</w:t>
      </w:r>
    </w:p>
    <w:p>
      <w:pPr>
        <w:spacing w:after="0" w:line="17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Energy Transfer owns a 50% interest in SESH, which consists of a 290-mile pipeline which provides transportation services in Louisiana, Mississippi and Alabama. Our investment in SESH is reflected in our interstate transportation and storage segment.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of Balances Related to Unconsolidated Affiliates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of the Partnership’s investments in unconsolidated affiliates as of December 31, 2024 and 2023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Citrus</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MEP</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 Cliffs</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Explorer</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SESH</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equity in earnings (losses) of unconsolidated affiliates:</w:t>
            </w:r>
          </w:p>
        </w:tc>
        <w:tc>
          <w:tcPr>
            <w:tcW w:w="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4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color w:val="auto"/>
              </w:rPr>
              <w:t>Years Ended December 31,</w:t>
            </w:r>
          </w:p>
        </w:tc>
        <w:tc>
          <w:tcPr>
            <w:tcW w:w="9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Citrus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MEP</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 Cliffs</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Explorer</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SESH</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in earnings of unconsolidated affiliates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ind w:left="5060"/>
              <w:spacing w:after="0"/>
              <w:rPr>
                <w:sz w:val="20"/>
                <w:szCs w:val="20"/>
                <w:color w:val="auto"/>
              </w:rPr>
            </w:pPr>
            <w:r>
              <w:rPr>
                <w:rFonts w:ascii="Times New Roman" w:cs="Times New Roman" w:eastAsia="Times New Roman" w:hAnsi="Times New Roman"/>
                <w:sz w:val="18"/>
                <w:szCs w:val="18"/>
                <w:color w:val="auto"/>
              </w:rPr>
              <w:t>F - 30</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4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Summarized Financial Information</w:t>
      </w:r>
    </w:p>
    <w:p>
      <w:pPr>
        <w:spacing w:after="0" w:line="17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tables present aggregated selected balance sheet and income statement data for our unconsolidated affiliates, Citrus, MEP, White Cliffs, Explorer and SESH (on a 100% basis) for all periods presented:</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8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48"/>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6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color w:val="auto"/>
              </w:rPr>
              <w:t>Years Ended December 31,</w:t>
            </w:r>
          </w:p>
        </w:tc>
        <w:tc>
          <w:tcPr>
            <w:tcW w:w="900" w:type="dxa"/>
            <w:vAlign w:val="bottom"/>
            <w:tcBorders>
              <w:bottom w:val="single" w:sz="8" w:color="auto"/>
            </w:tcBorders>
          </w:tcPr>
          <w:p>
            <w:pPr>
              <w:spacing w:after="0"/>
              <w:rPr>
                <w:sz w:val="24"/>
                <w:szCs w:val="24"/>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bl>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 addition to the equity method investments described above, we have other equity method investments which are not significant to our consolidated financial statements.</w:t>
      </w:r>
    </w:p>
    <w:p>
      <w:pPr>
        <w:spacing w:after="0" w:line="104"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NET INCOME PER COMMON UNIT</w:t>
      </w:r>
      <w:r>
        <w:rPr>
          <w:rFonts w:ascii="Times New Roman" w:cs="Times New Roman" w:eastAsia="Times New Roman" w:hAnsi="Times New Roman"/>
          <w:sz w:val="18"/>
          <w:szCs w:val="18"/>
          <w:b w:val="1"/>
          <w:bCs w:val="1"/>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income per common unit is computed by dividing net income, after considering the General Partner’s interest, by the weighted average number of limited partner interests outstanding. Diluted net income per common unit is computed by dividing net income (as adjusted as discussed herein), after considering the General Partner’s interest, by the weighted average number of limited partner interests outstanding. For the diluted earnings per share computation, income allocable to the limited partners is reduced, where applicable, for the decrease in earnings from Energy Transfer’s limited partner unit ownership in Sunoco LP and USAC that would have resulted assuming the incremental units related to Sunoco LP’s and USAC’s respective long-term incentive plans, as applicable, had been issued during the respective periods. Such units have been determined based on the treasury stock method.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income and weighted average units used in computing basic and diluted net income per unit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net of noncontrolling interests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General Partner’s interest in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Preferred Unitholders’ interest in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Loss on redemption of preferred units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Unitholders’ interest in 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6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Income per Common Unit: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units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Basic income per common unit</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per Common Unit: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0" w:type="dxa"/>
            <w:vAlign w:val="bottom"/>
          </w:tcPr>
          <w:p>
            <w:pPr>
              <w:spacing w:after="0"/>
              <w:rPr>
                <w:sz w:val="15"/>
                <w:szCs w:val="15"/>
                <w:color w:val="auto"/>
              </w:rPr>
            </w:pPr>
          </w:p>
        </w:tc>
        <w:tc>
          <w:tcPr>
            <w:tcW w:w="61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Unitholders’ interest in 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61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equity-based compensation of subsidiaries and distributions to</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convertible units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available to Common Unitholders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common units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61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3,395.1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3,161.7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3,086.8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unvested unit awards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10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Weighted average common units, assuming dilutive effect of unvested unit</w:t>
            </w:r>
          </w:p>
        </w:tc>
        <w:tc>
          <w:tcPr>
            <w:tcW w:w="3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3,177.2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per common unit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ind w:left="5060"/>
              <w:spacing w:after="0"/>
              <w:rPr>
                <w:sz w:val="20"/>
                <w:szCs w:val="20"/>
                <w:color w:val="auto"/>
              </w:rPr>
            </w:pPr>
            <w:r>
              <w:rPr>
                <w:rFonts w:ascii="Times New Roman" w:cs="Times New Roman" w:eastAsia="Times New Roman" w:hAnsi="Times New Roman"/>
                <w:sz w:val="18"/>
                <w:szCs w:val="18"/>
                <w:color w:val="auto"/>
              </w:rPr>
              <w:t>F - 32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34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 OBLIGATIONS</w:t>
      </w:r>
      <w:r>
        <w:rPr>
          <w:rFonts w:ascii="Times New Roman" w:cs="Times New Roman" w:eastAsia="Times New Roman" w:hAnsi="Times New Roman"/>
          <w:sz w:val="18"/>
          <w:szCs w:val="18"/>
          <w:b w:val="1"/>
          <w:bCs w:val="1"/>
          <w:color w:val="auto"/>
        </w:rPr>
        <w:t>:</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debt obligations consist of the following:</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31,</w:t>
            </w:r>
          </w:p>
        </w:tc>
        <w:tc>
          <w:tcPr>
            <w:tcW w:w="920" w:type="dxa"/>
            <w:vAlign w:val="bottom"/>
            <w:tcBorders>
              <w:bottom w:val="single" w:sz="8" w:color="auto"/>
            </w:tcBorders>
          </w:tcPr>
          <w:p>
            <w:pPr>
              <w:spacing w:after="0"/>
              <w:rPr>
                <w:sz w:val="18"/>
                <w:szCs w:val="18"/>
                <w:color w:val="auto"/>
              </w:rPr>
            </w:pPr>
          </w:p>
        </w:tc>
      </w:tr>
      <w:tr>
        <w:trPr>
          <w:trHeight w:val="207"/>
        </w:trPr>
        <w:tc>
          <w:tcPr>
            <w:tcW w:w="7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r>
      <w:tr>
        <w:trPr>
          <w:trHeight w:val="19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Energy Transfer Indebtedness</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7600" w:type="dxa"/>
            <w:vAlign w:val="bottom"/>
            <w:gridSpan w:val="2"/>
            <w:shd w:val="clear" w:color="auto" w:fill="CCEEFF"/>
          </w:tcPr>
          <w:p>
            <w:pPr>
              <w:ind w:left="340"/>
              <w:spacing w:after="0" w:line="219" w:lineRule="exact"/>
              <w:rPr>
                <w:sz w:val="20"/>
                <w:szCs w:val="20"/>
                <w:color w:val="auto"/>
              </w:rPr>
            </w:pPr>
            <w:r>
              <w:rPr>
                <w:rFonts w:ascii="Times New Roman" w:cs="Times New Roman" w:eastAsia="Times New Roman" w:hAnsi="Times New Roman"/>
                <w:sz w:val="16"/>
                <w:szCs w:val="16"/>
                <w:color w:val="auto"/>
              </w:rPr>
              <w:t>5.875% Senior Notes due January 15, 2024</w:t>
            </w:r>
            <w:r>
              <w:rPr>
                <w:rFonts w:ascii="Times New Roman" w:cs="Times New Roman" w:eastAsia="Times New Roman" w:hAnsi="Times New Roman"/>
                <w:sz w:val="21"/>
                <w:szCs w:val="21"/>
                <w:color w:val="auto"/>
                <w:vertAlign w:val="superscript"/>
              </w:rPr>
              <w:t>(1)</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6"/>
        </w:trPr>
        <w:tc>
          <w:tcPr>
            <w:tcW w:w="760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6"/>
                <w:szCs w:val="16"/>
                <w:color w:val="auto"/>
              </w:rPr>
              <w:t>5.875% Senior Notes due January 15, 2024</w:t>
            </w:r>
            <w:r>
              <w:rPr>
                <w:rFonts w:ascii="Times New Roman" w:cs="Times New Roman" w:eastAsia="Times New Roman" w:hAnsi="Times New Roman"/>
                <w:sz w:val="21"/>
                <w:szCs w:val="21"/>
                <w:color w:val="auto"/>
                <w:vertAlign w:val="superscript"/>
              </w:rPr>
              <w:t>(1)</w:t>
            </w:r>
          </w:p>
        </w:tc>
        <w:tc>
          <w:tcPr>
            <w:tcW w:w="920" w:type="dxa"/>
            <w:vAlign w:val="bottom"/>
          </w:tcPr>
          <w:p>
            <w:pPr>
              <w:spacing w:after="0"/>
              <w:rPr>
                <w:sz w:val="18"/>
                <w:szCs w:val="18"/>
                <w:color w:val="auto"/>
              </w:rPr>
            </w:pPr>
          </w:p>
        </w:tc>
        <w:tc>
          <w:tcPr>
            <w:tcW w:w="106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r>
      <w:tr>
        <w:trPr>
          <w:trHeight w:val="216"/>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7.60%</w:t>
            </w:r>
          </w:p>
        </w:tc>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February 1, 2024</w:t>
            </w:r>
            <w:r>
              <w:rPr>
                <w:rFonts w:ascii="Times New Roman" w:cs="Times New Roman" w:eastAsia="Times New Roman" w:hAnsi="Times New Roman"/>
                <w:sz w:val="21"/>
                <w:szCs w:val="21"/>
                <w:color w:val="auto"/>
                <w:vertAlign w:val="superscript"/>
              </w:rPr>
              <w:t>(1)</w:t>
            </w:r>
          </w:p>
        </w:tc>
        <w:tc>
          <w:tcPr>
            <w:tcW w:w="9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4.90%</w:t>
            </w:r>
          </w:p>
        </w:tc>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February 1, 2024</w:t>
            </w:r>
            <w:r>
              <w:rPr>
                <w:rFonts w:ascii="Times New Roman" w:cs="Times New Roman" w:eastAsia="Times New Roman" w:hAnsi="Times New Roman"/>
                <w:sz w:val="21"/>
                <w:szCs w:val="21"/>
                <w:color w:val="auto"/>
                <w:vertAlign w:val="superscript"/>
              </w:rPr>
              <w:t>(1)</w:t>
            </w:r>
          </w:p>
        </w:tc>
        <w:tc>
          <w:tcPr>
            <w:tcW w:w="920" w:type="dxa"/>
            <w:vAlign w:val="bottom"/>
          </w:tcPr>
          <w:p>
            <w:pPr>
              <w:spacing w:after="0"/>
              <w:rPr>
                <w:sz w:val="18"/>
                <w:szCs w:val="18"/>
                <w:color w:val="auto"/>
              </w:rPr>
            </w:pPr>
          </w:p>
        </w:tc>
        <w:tc>
          <w:tcPr>
            <w:tcW w:w="106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6"/>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4.25%</w:t>
            </w:r>
          </w:p>
        </w:tc>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April 1, 2024</w:t>
            </w:r>
            <w:r>
              <w:rPr>
                <w:rFonts w:ascii="Times New Roman" w:cs="Times New Roman" w:eastAsia="Times New Roman" w:hAnsi="Times New Roman"/>
                <w:sz w:val="21"/>
                <w:szCs w:val="21"/>
                <w:color w:val="auto"/>
                <w:vertAlign w:val="superscript"/>
              </w:rPr>
              <w:t>(1)</w:t>
            </w:r>
          </w:p>
        </w:tc>
        <w:tc>
          <w:tcPr>
            <w:tcW w:w="9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4.50%</w:t>
            </w:r>
          </w:p>
        </w:tc>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April 15, 2024</w:t>
            </w:r>
            <w:r>
              <w:rPr>
                <w:rFonts w:ascii="Times New Roman" w:cs="Times New Roman" w:eastAsia="Times New Roman" w:hAnsi="Times New Roman"/>
                <w:sz w:val="21"/>
                <w:szCs w:val="21"/>
                <w:color w:val="auto"/>
                <w:vertAlign w:val="superscript"/>
              </w:rPr>
              <w:t>(1)</w:t>
            </w:r>
          </w:p>
        </w:tc>
        <w:tc>
          <w:tcPr>
            <w:tcW w:w="920" w:type="dxa"/>
            <w:vAlign w:val="bottom"/>
          </w:tcPr>
          <w:p>
            <w:pPr>
              <w:spacing w:after="0"/>
              <w:rPr>
                <w:sz w:val="18"/>
                <w:szCs w:val="18"/>
                <w:color w:val="auto"/>
              </w:rPr>
            </w:pPr>
          </w:p>
        </w:tc>
        <w:tc>
          <w:tcPr>
            <w:tcW w:w="106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6"/>
        </w:trPr>
        <w:tc>
          <w:tcPr>
            <w:tcW w:w="7600" w:type="dxa"/>
            <w:vAlign w:val="bottom"/>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3.90% Senior Notes due May 15, 2024</w:t>
            </w:r>
            <w:r>
              <w:rPr>
                <w:rFonts w:ascii="Times New Roman" w:cs="Times New Roman" w:eastAsia="Times New Roman" w:hAnsi="Times New Roman"/>
                <w:sz w:val="21"/>
                <w:szCs w:val="21"/>
                <w:color w:val="auto"/>
                <w:vertAlign w:val="superscript"/>
              </w:rPr>
              <w:t>(1)</w:t>
            </w:r>
          </w:p>
        </w:tc>
        <w:tc>
          <w:tcPr>
            <w:tcW w:w="9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6"/>
        </w:trPr>
        <w:tc>
          <w:tcPr>
            <w:tcW w:w="760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6"/>
                <w:szCs w:val="16"/>
                <w:color w:val="auto"/>
              </w:rPr>
              <w:t>9.00% Debentures due November 1, 2024</w:t>
            </w:r>
            <w:r>
              <w:rPr>
                <w:rFonts w:ascii="Times New Roman" w:cs="Times New Roman" w:eastAsia="Times New Roman" w:hAnsi="Times New Roman"/>
                <w:sz w:val="21"/>
                <w:szCs w:val="21"/>
                <w:color w:val="auto"/>
                <w:vertAlign w:val="superscript"/>
              </w:rPr>
              <w:t>(1)</w:t>
            </w:r>
          </w:p>
        </w:tc>
        <w:tc>
          <w:tcPr>
            <w:tcW w:w="920" w:type="dxa"/>
            <w:vAlign w:val="bottom"/>
          </w:tcPr>
          <w:p>
            <w:pPr>
              <w:spacing w:after="0"/>
              <w:rPr>
                <w:sz w:val="18"/>
                <w:szCs w:val="18"/>
                <w:color w:val="auto"/>
              </w:rPr>
            </w:pPr>
          </w:p>
        </w:tc>
        <w:tc>
          <w:tcPr>
            <w:tcW w:w="106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6"/>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4.05%</w:t>
            </w:r>
          </w:p>
        </w:tc>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March 15, 2025</w:t>
            </w:r>
            <w:r>
              <w:rPr>
                <w:rFonts w:ascii="Times New Roman" w:cs="Times New Roman" w:eastAsia="Times New Roman" w:hAnsi="Times New Roman"/>
                <w:sz w:val="21"/>
                <w:szCs w:val="21"/>
                <w:color w:val="auto"/>
                <w:vertAlign w:val="superscript"/>
              </w:rPr>
              <w:t>(2)</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5.75%</w:t>
            </w:r>
          </w:p>
        </w:tc>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April 1, 2025</w:t>
            </w:r>
            <w:r>
              <w:rPr>
                <w:rFonts w:ascii="Times New Roman" w:cs="Times New Roman" w:eastAsia="Times New Roman" w:hAnsi="Times New Roman"/>
                <w:sz w:val="21"/>
                <w:szCs w:val="21"/>
                <w:color w:val="auto"/>
                <w:vertAlign w:val="superscript"/>
              </w:rPr>
              <w:t>(1)</w:t>
            </w:r>
          </w:p>
        </w:tc>
        <w:tc>
          <w:tcPr>
            <w:tcW w:w="920" w:type="dxa"/>
            <w:vAlign w:val="bottom"/>
          </w:tcPr>
          <w:p>
            <w:pPr>
              <w:spacing w:after="0"/>
              <w:rPr>
                <w:sz w:val="18"/>
                <w:szCs w:val="18"/>
                <w:color w:val="auto"/>
              </w:rPr>
            </w:pPr>
          </w:p>
        </w:tc>
        <w:tc>
          <w:tcPr>
            <w:tcW w:w="106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6"/>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2.90%</w:t>
            </w:r>
          </w:p>
        </w:tc>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May 15, 2025</w:t>
            </w:r>
            <w:r>
              <w:rPr>
                <w:rFonts w:ascii="Times New Roman" w:cs="Times New Roman" w:eastAsia="Times New Roman" w:hAnsi="Times New Roman"/>
                <w:sz w:val="21"/>
                <w:szCs w:val="21"/>
                <w:color w:val="auto"/>
                <w:vertAlign w:val="superscript"/>
              </w:rPr>
              <w:t>(2)</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5.95%</w:t>
            </w:r>
          </w:p>
        </w:tc>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December 1, 2025</w:t>
            </w:r>
            <w:r>
              <w:rPr>
                <w:rFonts w:ascii="Times New Roman" w:cs="Times New Roman" w:eastAsia="Times New Roman" w:hAnsi="Times New Roman"/>
                <w:sz w:val="21"/>
                <w:szCs w:val="21"/>
                <w:color w:val="auto"/>
                <w:vertAlign w:val="superscript"/>
              </w:rPr>
              <w:t>(2)</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6"/>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4.75%</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January 15, 2026</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3.90%</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July 15, 2026</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6.05%</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December 1, 2026</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4.40%</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March 15, 2027</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4.20%</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April 15, 2027</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6.05%</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May 1, 2027</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5.50%</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June 1, 2027</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5.50%</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June 1, 2027</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4.00%</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October 1, 2027</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5.55%</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February 15, 2028</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4.95%</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May 15, 2028</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4.95%</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June 15, 2028</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6.10%</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December 1, 2028</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6.00%</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February 1, 2029</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8.00%</w:t>
            </w:r>
          </w:p>
        </w:tc>
        <w:tc>
          <w:tcPr>
            <w:tcW w:w="6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Senior Notes due April 1, 2029</w:t>
            </w:r>
            <w:r>
              <w:rPr>
                <w:rFonts w:ascii="Times New Roman" w:cs="Times New Roman" w:eastAsia="Times New Roman" w:hAnsi="Times New Roman"/>
                <w:sz w:val="21"/>
                <w:szCs w:val="21"/>
                <w:color w:val="auto"/>
                <w:vertAlign w:val="superscript"/>
              </w:rPr>
              <w:t>(1)</w:t>
            </w:r>
          </w:p>
        </w:tc>
        <w:tc>
          <w:tcPr>
            <w:tcW w:w="9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5.25%</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April 15, 2029</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5.25%</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July 1, 2029</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7.00%</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July 15, 2029</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4.15%</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September 15, 2029</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8.25%</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November 15, 2029</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8.25%</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November 15, 2029</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3.75%</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 due May 15, 2030</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6.40%</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December 1, 2030</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7.38%</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April 1, 2031</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5.75%</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February 15, 2033</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4.05%</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Tax-Exempt Bonds due June 1, 2033</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6.55%</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December 1,2033</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5.55%</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May 15, 2034</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5.60%</w:t>
            </w: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September 1, 2034</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4.90%</w:t>
            </w: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March 15, 2035</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7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6.625% Senior Notes due October 15, 2036</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4" w:right="7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5.80%</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June 15, 2038</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7.50%</w:t>
            </w:r>
          </w:p>
        </w:tc>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July 1, 2038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6.85%</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February 15, 2040</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6.05%</w:t>
            </w:r>
          </w:p>
        </w:tc>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June 1, 2041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6.50%</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February 1, 2042</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6.10%</w:t>
            </w:r>
          </w:p>
        </w:tc>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February 15, 2042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4.95%</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January 15, 2043</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5.15%</w:t>
            </w:r>
          </w:p>
        </w:tc>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February 1, 2043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5.95%</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October 1, 2043</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5.30%</w:t>
            </w:r>
          </w:p>
        </w:tc>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April 1, 2044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5.00%</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May 15, 2044</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5.15%</w:t>
            </w:r>
          </w:p>
        </w:tc>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March 15, 2045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5.35%</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May 15, 2045</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9"/>
        </w:trPr>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6.125%</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December 15, 2045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5.30%</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April 15, 2047</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5.40%</w:t>
            </w:r>
          </w:p>
        </w:tc>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October 1, 2047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6.00%</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June 15, 2048</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6.25%</w:t>
            </w:r>
          </w:p>
        </w:tc>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April 15, 2049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5.00%</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May 15, 2050</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5.95%</w:t>
            </w:r>
          </w:p>
        </w:tc>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May 15, 2054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6.05%</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September 1, 2054</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8.00%</w:t>
            </w:r>
          </w:p>
        </w:tc>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Fixed-to-Fixed Reset Rate Junior Subordinated Notes due May 15, 2054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7.125%</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Fixed-to-Fixed Reset Rate Junior Subordinated Notes due October 1, 2054</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Floating Rate Junior Subordinated Notes due November 1, 2066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76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Five-Year Credit Facility due April 11, 2029</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r>
      <w:tr>
        <w:trPr>
          <w:trHeight w:val="219"/>
        </w:trPr>
        <w:tc>
          <w:tcPr>
            <w:tcW w:w="7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Unamortized premiums, discounts and fair value adjustments, net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3"/>
        </w:trPr>
        <w:tc>
          <w:tcPr>
            <w:tcW w:w="76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2"/>
        </w:trPr>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44,359</w:t>
            </w:r>
          </w:p>
        </w:tc>
      </w:tr>
      <w:tr>
        <w:trPr>
          <w:trHeight w:val="214"/>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Subsidiary Indebtedness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8"/>
        </w:trPr>
        <w:tc>
          <w:tcPr>
            <w:tcW w:w="7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Transwestern Debt</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5.66%</w:t>
            </w:r>
          </w:p>
        </w:tc>
        <w:tc>
          <w:tcPr>
            <w:tcW w:w="68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December 9, 2024</w:t>
            </w:r>
            <w:r>
              <w:rPr>
                <w:rFonts w:ascii="Times New Roman" w:cs="Times New Roman" w:eastAsia="Times New Roman" w:hAnsi="Times New Roman"/>
                <w:sz w:val="21"/>
                <w:szCs w:val="21"/>
                <w:color w:val="auto"/>
                <w:vertAlign w:val="superscript"/>
              </w:rPr>
              <w:t>(1)</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3"/>
        </w:trPr>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6.16%</w:t>
            </w:r>
          </w:p>
        </w:tc>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May 24, 2037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0"/>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9"/>
        </w:trPr>
        <w:tc>
          <w:tcPr>
            <w:tcW w:w="7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Bakken Project Debt</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3.90%</w:t>
            </w:r>
          </w:p>
        </w:tc>
        <w:tc>
          <w:tcPr>
            <w:tcW w:w="68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April 1, 2024</w:t>
            </w:r>
            <w:r>
              <w:rPr>
                <w:rFonts w:ascii="Times New Roman" w:cs="Times New Roman" w:eastAsia="Times New Roman" w:hAnsi="Times New Roman"/>
                <w:sz w:val="21"/>
                <w:szCs w:val="21"/>
                <w:color w:val="auto"/>
                <w:vertAlign w:val="superscript"/>
              </w:rPr>
              <w:t>(1)</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6"/>
        </w:trPr>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4.625%</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April 1, 2029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213"/>
        </w:trPr>
        <w:tc>
          <w:tcPr>
            <w:tcW w:w="76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Unamortized premiums, discounts and fair value adjustments, net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r>
      <w:tr>
        <w:trPr>
          <w:trHeight w:val="219"/>
        </w:trPr>
        <w:tc>
          <w:tcPr>
            <w:tcW w:w="7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Sunoco LP Debt</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5.750%</w:t>
            </w:r>
          </w:p>
        </w:tc>
        <w:tc>
          <w:tcPr>
            <w:tcW w:w="67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October 1, 2025</w:t>
            </w:r>
            <w:r>
              <w:rPr>
                <w:rFonts w:ascii="Times New Roman" w:cs="Times New Roman" w:eastAsia="Times New Roman" w:hAnsi="Times New Roman"/>
                <w:sz w:val="21"/>
                <w:szCs w:val="21"/>
                <w:color w:val="auto"/>
                <w:vertAlign w:val="superscript"/>
              </w:rPr>
              <w:t>(2)(3)</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6.000%</w:t>
            </w:r>
          </w:p>
        </w:tc>
        <w:tc>
          <w:tcPr>
            <w:tcW w:w="67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June 1, 2026</w:t>
            </w:r>
            <w:r>
              <w:rPr>
                <w:rFonts w:ascii="Times New Roman" w:cs="Times New Roman" w:eastAsia="Times New Roman" w:hAnsi="Times New Roman"/>
                <w:sz w:val="21"/>
                <w:szCs w:val="21"/>
                <w:color w:val="auto"/>
                <w:vertAlign w:val="superscript"/>
              </w:rPr>
              <w:t>(3)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6.000%</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April 15, 2027</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9"/>
        </w:trPr>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5.625%</w:t>
            </w:r>
          </w:p>
        </w:tc>
        <w:tc>
          <w:tcPr>
            <w:tcW w:w="67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Senior Notes due April 28, 2027</w:t>
            </w:r>
            <w:r>
              <w:rPr>
                <w:rFonts w:ascii="Times New Roman" w:cs="Times New Roman" w:eastAsia="Times New Roman" w:hAnsi="Times New Roman"/>
                <w:sz w:val="21"/>
                <w:szCs w:val="21"/>
                <w:color w:val="auto"/>
                <w:vertAlign w:val="superscript"/>
              </w:rPr>
              <w:t>(3)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5.875%</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March 15, 2028</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9"/>
        </w:trPr>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7.000%</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September 25, 2028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3"/>
        </w:trPr>
        <w:tc>
          <w:tcPr>
            <w:tcW w:w="76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7.000% Senior Notes due May 1, 2029</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4.500%</w:t>
            </w: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May 15, 2029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0"/>
        </w:trPr>
        <w:tc>
          <w:tcPr>
            <w:tcW w:w="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4.500%</w:t>
            </w: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April 30, 2030</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4" w:right="7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6.375%</w:t>
            </w:r>
          </w:p>
        </w:tc>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October 1, 2030</w:t>
            </w:r>
            <w:r>
              <w:rPr>
                <w:rFonts w:ascii="Times New Roman" w:cs="Times New Roman" w:eastAsia="Times New Roman" w:hAnsi="Times New Roman"/>
                <w:sz w:val="21"/>
                <w:szCs w:val="21"/>
                <w:color w:val="auto"/>
                <w:vertAlign w:val="superscript"/>
              </w:rPr>
              <w:t>(3)</w:t>
            </w: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7.250% Senior Notes due May 1, 2032</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gridSpan w:val="2"/>
            <w:shd w:val="clear" w:color="auto" w:fill="CCEEFF"/>
          </w:tcPr>
          <w:p>
            <w:pPr>
              <w:ind w:left="340"/>
              <w:spacing w:after="0" w:line="219" w:lineRule="exact"/>
              <w:rPr>
                <w:sz w:val="20"/>
                <w:szCs w:val="20"/>
                <w:color w:val="auto"/>
              </w:rPr>
            </w:pPr>
            <w:r>
              <w:rPr>
                <w:rFonts w:ascii="Times New Roman" w:cs="Times New Roman" w:eastAsia="Times New Roman" w:hAnsi="Times New Roman"/>
                <w:sz w:val="16"/>
                <w:szCs w:val="16"/>
                <w:color w:val="auto"/>
              </w:rPr>
              <w:t>GoZone Bonds</w:t>
            </w:r>
            <w:r>
              <w:rPr>
                <w:rFonts w:ascii="Times New Roman" w:cs="Times New Roman" w:eastAsia="Times New Roman" w:hAnsi="Times New Roman"/>
                <w:sz w:val="21"/>
                <w:szCs w:val="21"/>
                <w:color w:val="auto"/>
                <w:vertAlign w:val="superscript"/>
              </w:rPr>
              <w:t>(2)(3)</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Sunoco LP Credit Facility due May 3, 2029</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19"/>
        </w:trPr>
        <w:tc>
          <w:tcPr>
            <w:tcW w:w="7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Lease-related obligations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3"/>
        </w:trPr>
        <w:tc>
          <w:tcPr>
            <w:tcW w:w="76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Unamortized premiums, discounts and fair value adjustments, net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9"/>
        </w:trPr>
        <w:tc>
          <w:tcPr>
            <w:tcW w:w="8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w:t>
            </w:r>
          </w:p>
        </w:tc>
      </w:tr>
      <w:tr>
        <w:trPr>
          <w:trHeight w:val="219"/>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USAC Debt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6"/>
        </w:trPr>
        <w:tc>
          <w:tcPr>
            <w:tcW w:w="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6.875%</w:t>
            </w:r>
          </w:p>
        </w:tc>
        <w:tc>
          <w:tcPr>
            <w:tcW w:w="67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Senior Notes due April 1, 2026</w:t>
            </w:r>
            <w:r>
              <w:rPr>
                <w:rFonts w:ascii="Times New Roman" w:cs="Times New Roman" w:eastAsia="Times New Roman" w:hAnsi="Times New Roman"/>
                <w:sz w:val="21"/>
                <w:szCs w:val="21"/>
                <w:color w:val="auto"/>
                <w:vertAlign w:val="superscript"/>
              </w:rPr>
              <w:t>(1)</w:t>
            </w:r>
          </w:p>
        </w:tc>
        <w:tc>
          <w:tcPr>
            <w:tcW w:w="4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16"/>
        </w:trPr>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6.875%</w:t>
            </w:r>
          </w:p>
        </w:tc>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September 1, 2027</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7.125%</w:t>
            </w:r>
          </w:p>
        </w:tc>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March 15, 2029</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USAC Credit Facility due December 8, 2026</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13"/>
        </w:trPr>
        <w:tc>
          <w:tcPr>
            <w:tcW w:w="76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86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r>
      <w:tr>
        <w:trPr>
          <w:trHeight w:val="257"/>
        </w:trPr>
        <w:tc>
          <w:tcPr>
            <w:tcW w:w="760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6"/>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debt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57"/>
        </w:trPr>
        <w:tc>
          <w:tcPr>
            <w:tcW w:w="860" w:type="dxa"/>
            <w:vAlign w:val="bottom"/>
            <w:tcBorders>
              <w:bottom w:val="single" w:sz="8" w:color="CCEEFF"/>
            </w:tcBorders>
          </w:tcPr>
          <w:p>
            <w:pPr>
              <w:spacing w:after="0"/>
              <w:rPr>
                <w:sz w:val="22"/>
                <w:szCs w:val="22"/>
                <w:color w:val="auto"/>
              </w:rPr>
            </w:pPr>
          </w:p>
        </w:tc>
        <w:tc>
          <w:tcPr>
            <w:tcW w:w="67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209"/>
        </w:trPr>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debt</w:t>
            </w:r>
          </w:p>
        </w:tc>
        <w:tc>
          <w:tcPr>
            <w:tcW w:w="67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52,388</w:t>
            </w:r>
          </w:p>
        </w:tc>
      </w:tr>
      <w:tr>
        <w:trPr>
          <w:trHeight w:val="207"/>
        </w:trPr>
        <w:tc>
          <w:tcPr>
            <w:tcW w:w="76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237"/>
        </w:trPr>
        <w:tc>
          <w:tcPr>
            <w:tcW w:w="7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51,380</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1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notes were redeemed in 2024.</w:t>
      </w:r>
    </w:p>
    <w:p>
      <w:pPr>
        <w:spacing w:after="0" w:line="89"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1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2024, these obligations (including $75 million of Sunoco LP’s GoZone bonds) were classified as long-term as management had the intent and ability to refinance the borrowings on a long-term basis.</w:t>
      </w:r>
    </w:p>
    <w:p>
      <w:pPr>
        <w:spacing w:after="0" w:line="90"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1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Sunoco LP assumed $2.57 billion aggregate principal amount of NuStar senior notes and bonds in connection with the closing of the NuStar acquisition in May 2024.</w:t>
      </w:r>
    </w:p>
    <w:p>
      <w:pPr>
        <w:spacing w:after="0" w:line="14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reflects future maturities of long-term debt for each of the next five years and thereafter. These amounts exclude $233 million in unamortized premiums, fair value adjustments and deferred debt issuance costs, net:</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30"/>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30"/>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r>
      <w:tr>
        <w:trPr>
          <w:trHeight w:val="229"/>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r>
      <w:tr>
        <w:trPr>
          <w:trHeight w:val="230"/>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w:t>
            </w:r>
          </w:p>
        </w:tc>
      </w:tr>
      <w:tr>
        <w:trPr>
          <w:trHeight w:val="230"/>
        </w:trPr>
        <w:tc>
          <w:tcPr>
            <w:tcW w:w="9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32,852</w:t>
            </w:r>
          </w:p>
        </w:tc>
      </w:tr>
      <w:tr>
        <w:trPr>
          <w:trHeight w:val="248"/>
        </w:trPr>
        <w:tc>
          <w:tcPr>
            <w:tcW w:w="9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59,993</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Long-term debt reflected on our consolidated balance sheets includes fair value adjustments related to interest rate swaps, which represent fair value adjustments that had been recorded in connection with fair value hedge accounting prior to the termination of the interest rate swap.</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Notes and Debentures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Energy Transfer senior notes are the Partnership’s senior obligations, ranking equally in right of payment with our other existing and future unsubordinated debt and senior to any of its future subordinated debt. The Energy Transfer senior notes are not guaranteed by any of its subsidiaries.</w:t>
      </w:r>
    </w:p>
    <w:p>
      <w:pPr>
        <w:spacing w:after="0" w:line="10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covenants related to the Energy Transfer senior notes include a limitation on liens, a limitation on transactions with affiliates, a restriction on sale-leaseback transactions and limitations on mergers and sales of all or substantially all of the Partnership’s assets.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2024 Senior Notes Redemptions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Partnership redeemed its $1.15 billion aggregate principal amount of 5.875% senior notes due January 2024, $350 million aggregate principal amount of 4.90% senior notes due February 2024 and $82 million aggregate principal amount of 7.60% senior notes due February 2024 using proceeds from its January 2024 notes issuance described below.</w:t>
      </w:r>
    </w:p>
    <w:p>
      <w:pPr>
        <w:spacing w:after="0" w:line="12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the Partnership redeemed its $500 million aggregate principal amount of 4.25% senior notes due April 2024, $750 million aggregate principal amount of 4.50% senior notes due April 2024, $450 million aggregate principal amount of 8.00% senior notes due April 2029 and $600 million aggregate principal amount of 3.90% senior notes due May 2024 using cash on hand and proceeds from its Five-Year Credit Facility (defined below).</w:t>
      </w:r>
    </w:p>
    <w:p>
      <w:pPr>
        <w:spacing w:after="0" w:line="12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the Partnership redeemed its $65 million aggregate principal amount of 9.00% debentures due November 2024, its Transwestern $175 million aggregate principal amount of 5.66% senior notes due December 2024 and its $500 million aggregate principal amount of 5.75% senior notes due April 2025 using cash on hand and proceeds from its Five-Year Credit Facility.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Bakken Project Debt Redemption</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April 2024, the Bakken Pipeline entities redeemed $1.00 billion aggregate principal amount of 3.90% senior notes due April 2024 using proceeds from member contributions, which included $637 million reflected as capital contributions from noncontrolling interests recorded in the Partnership’s consolidated financial statements.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2024 Notes Issuance</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January 2024, the Partnership issued $1.25 billion aggregate principal amount of 5.55% senior notes due 2034, $1.75 billion aggregate principal amount of 5.95% senior notes due 2054 and $800 million aggregate principal amount of 8.00% fixed-to-fixed reset rate junior subordinated notes due 2054. The Partnership used the net proceeds to refinance existing indebtedness, including borrowings under its Five-Year Credit Facility (defined below), to redeem its outstanding Series C Preferred Units and Series D Preferred Units and for general partnership purposes. The Partnership also used the proceeds to redeem its Series E Preferred Units in May 2024.</w:t>
      </w:r>
    </w:p>
    <w:p>
      <w:pPr>
        <w:spacing w:after="0" w:line="1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June 2024, the Partnership issued $1.00 billion aggregate principal amount of 5.25% senior notes due 2029, $1.25 billion aggregate principal amount of 5.60% senior notes due 2034, $1.25 billion aggregate principal amount of 6.05% senior notes due 2054 and $400 million aggregate principal amount of 7.125% fixed-to-fixed reset rate junior subordinated notes due 2054. The Partnership used part of the net proceeds to redeem its outstanding Series A Preferred Units. It also used the net proceeds to fund a portion of its acquisition of WTG Midstream, refinance existing indebtedness, including borrowings under its Five-Year Credit Facility, and for general partnership purposes.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Sunoco LP April 2024 Notes Issuance</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April 30, 2024, the Sunoco LP issued $750 million aggregate principal amount of 7.000% senior notes due 2029 and $750 million aggregate principal amount of 7.250% senior notes due 2032 in a private offering. Sunoco LP used the net proceeds from the offering to (i) repay certain outstanding indebtedness of NuStar, in connection with the merger between the Sunoco LP and NuStar, (ii) fund the redemption of NuStar's preferred units in connection with the merger and (iii) pay offering fees and expenses.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NuStar Subordinated Note Redemption and Credit Facility Termination</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subsequent to the closing of the NuStar acquisition, Sunoco LP redeemed NuStar's subordinated notes totaling $403 million and repaid and terminated NuStar's credit facility totaling $455 million. Upon the closing of the NuStar acquisition, the commitments under NuStar’s receivables financing agreement were reduced to zero during a suspension period, for which the period end has not been determined. As of December 31, 2024, this facility had zero outstanding borrowings.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USAC March 2024 Notes Issuance</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March 2024, USAC issued $1.00 billion aggregate principal amount of 7.125% senior notes due 2029. The net proceeds from this issuance were used to repay a portion of existing borrowings under USAC’s revolving credit facility, to redeem its $725 million aggregate principal amount of 6.875% senior notes due 2026, which constituted a legal defeasance under GAAP, and for general partnership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Defeasance required a cash outlay in the net amount of $749 million, which was used to purchase U.S. government securities. These securities generated sufficient cash upon maturity to fund interest payments on the senior notes due 2026 occurring between the effective date of the Defeasance through April 4, 2024, when the senior notes due 2026 were redeemed at par, as well as fund the redemption of the senior notes due 2026 in full. As a result of the Defeasance, USAC recognized a loss on early extinguishment of debt of $5 million for the three months ended March 31, 2024.</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GoZone Bonds</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Sunoco LP’s obligations also include revenue bonds issued by the Parish of St. James, Louisiana pursuant to the Gulf Opportunity Zone Act of 2005 (the “GoZone Bonds”).</w:t>
      </w:r>
    </w:p>
    <w:p>
      <w:pPr>
        <w:spacing w:after="0" w:line="10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reflected in the table below, the holders of the Series 2008, Series 2010B and Series 2011 GoZone Bonds are required to tender their bonds at the applicable mandatory purchase date in exchange for 100% of the principal plus accrued and unpaid interest, after which these bonds are expected to be remarketed with a new interest rate established. Each of the Series 2010 and Series 2010A GoZone Bonds is subject to redemption on or after June 1, 2030 by the Parish of St. James, at our option, in whole or in part, at a redemption price of 100% of the principal amount to be redeemed plus accrued and unpaid interest. Interest on the GoZone Bonds is payable semi-annually on June 1 and December 1 of each year.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GoZone Bonds outstanding as of December 31, 2024:</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3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Series</w:t>
            </w:r>
          </w:p>
        </w:tc>
        <w:tc>
          <w:tcPr>
            <w:tcW w:w="1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Date Issued</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Mandatory</w:t>
            </w:r>
          </w:p>
        </w:tc>
        <w:tc>
          <w:tcPr>
            <w:tcW w:w="15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132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540" w:type="dxa"/>
            <w:vAlign w:val="bottom"/>
            <w:gridSpan w:val="2"/>
            <w:vMerge w:val="continue"/>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Purchase Date</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Redemption Date</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2008</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26, 2008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1, 2030</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2038</w:t>
            </w:r>
          </w:p>
        </w:tc>
        <w:tc>
          <w:tcPr>
            <w:tcW w:w="0" w:type="dxa"/>
            <w:vAlign w:val="bottom"/>
          </w:tcPr>
          <w:p>
            <w:pPr>
              <w:spacing w:after="0"/>
              <w:rPr>
                <w:sz w:val="1"/>
                <w:szCs w:val="1"/>
                <w:color w:val="auto"/>
              </w:rPr>
            </w:pPr>
          </w:p>
        </w:tc>
      </w:tr>
      <w:tr>
        <w:trPr>
          <w:trHeight w:val="227"/>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2010</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15, 2010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6.35 %</w:t>
            </w: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1, 2030</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July 1, 2040</w:t>
            </w:r>
          </w:p>
        </w:tc>
        <w:tc>
          <w:tcPr>
            <w:tcW w:w="0" w:type="dxa"/>
            <w:vAlign w:val="bottom"/>
          </w:tcPr>
          <w:p>
            <w:pPr>
              <w:spacing w:after="0"/>
              <w:rPr>
                <w:sz w:val="1"/>
                <w:szCs w:val="1"/>
                <w:color w:val="auto"/>
              </w:rPr>
            </w:pPr>
          </w:p>
        </w:tc>
      </w:tr>
      <w:tr>
        <w:trPr>
          <w:trHeight w:val="232"/>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2010A</w:t>
            </w: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7, 2010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6.35 %</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2030</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2040</w:t>
            </w:r>
          </w:p>
        </w:tc>
        <w:tc>
          <w:tcPr>
            <w:tcW w:w="0" w:type="dxa"/>
            <w:vAlign w:val="bottom"/>
          </w:tcPr>
          <w:p>
            <w:pPr>
              <w:spacing w:after="0"/>
              <w:rPr>
                <w:sz w:val="1"/>
                <w:szCs w:val="1"/>
                <w:color w:val="auto"/>
              </w:rPr>
            </w:pPr>
          </w:p>
        </w:tc>
      </w:tr>
      <w:tr>
        <w:trPr>
          <w:trHeight w:val="227"/>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2010B</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29, 2010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6.10 %</w:t>
            </w: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June 1, 2030</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 2040</w:t>
            </w:r>
          </w:p>
        </w:tc>
        <w:tc>
          <w:tcPr>
            <w:tcW w:w="0" w:type="dxa"/>
            <w:vAlign w:val="bottom"/>
          </w:tcPr>
          <w:p>
            <w:pPr>
              <w:spacing w:after="0"/>
              <w:rPr>
                <w:sz w:val="1"/>
                <w:szCs w:val="1"/>
                <w:color w:val="auto"/>
              </w:rPr>
            </w:pPr>
          </w:p>
        </w:tc>
      </w:tr>
      <w:tr>
        <w:trPr>
          <w:trHeight w:val="233"/>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2011</w:t>
            </w: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9, 2011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5.85 %</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1, 2025</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 2041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Sunoco LP’s agreements with the Parish of St. James related to the GoZone Bonds contain: (i) customary restrictive covenants that limit the ability of Sunoco LP and its subsidiaries to, among other things, create liens, enter into certain sale leaseback transactions, and engage in certain consolidations, mergers or asset sales; and (ii) a repurchase provision which provides that if we undergo a change of control that is followed by a ratings decline that occurs within 60 days of the change of control, then each holder may require the trustee, with funds provided by Sunoco LP, to repurchase all or a portion of that holder’s GoZone Bonds at a price equal to 101% of the aggregate principal amount repurchased, plus any accrued and unpaid interest.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Facilities and Commercial Paper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Five-Year Credit Facility</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Partnership’s Five-Year Credit Facility allows for unsecured borrowings up to $5.00 billion until April 11, 2027, and, following the Partnership’s exercise of its option to extend the maturity date on December 18, 2024, up to $4.84 billion until April 11, 2029. The Five-Year Credit Facility contains an accordion feature, under which the total aggregate commitment may be increased up to $7.00 billion under certain conditions.</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2024, the Five-Year Credit Facility had $2.76 billion of outstanding borrowings, all of which consisted of commercial paper. The amount available for future borrowings was $2.21 billion, after accounting for outstanding letters of credit in the amount of $30 million. The weighted average interest rate on the total amount outstanding as of December 31, 2024 was 4.65%.</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Sunoco LP Credit Facility</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Sunoco LP maintains a $1.50 billion revolving credit facility (the “Sunoco LP Credit Facility”). As of December 31, 2024, the Sunoco LP Credit Facility had $203 million of outstanding borrowings and $43 million in standby letters of credit and matures in May 2029. The amount available for future borrowings was $1.25 billion at December 31, 2024. The weighted average interest rate on the total amount outstanding as of December 31, 2024 was 6.57%.</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USAC Credit Facility</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USAC maintains a $1.60 billion revolving credit facility (the “USAC Credit Facility”) which matures on December 8, 2026. As of December 31, 2024, USAC had $772 million of outstanding borrowings and $1 million in outstanding letters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of credit under the credit agreement. As of December 31, 2024, USAC had $827 million of remaining unused availability of which, due to restrictions related to compliance with the applicable financial covenants, $783 million was available to be drawn. The weighted average interest rate on the total amount outstanding as of December 31, 2024 was 6.98%.</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Covenants Related to Our Credit Agreements</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agreements relating to the senior notes contain restrictive covenants customary for an issuer with an investment-grade rating from the rating agencies, which covenants include limitations on liens and a restriction on sale-leaseback transactions.</w:t>
      </w:r>
    </w:p>
    <w:p>
      <w:pPr>
        <w:spacing w:after="0" w:line="10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Five-Year Credit Facility contains covenants that limit (subject to certain exceptions) the Partnership’s and certain of the Partnership’s subsidiaries’ ability to, among other things:</w:t>
      </w:r>
    </w:p>
    <w:p>
      <w:pPr>
        <w:spacing w:after="0" w:line="54"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mergers;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(as defined in the Five-Year Credit Facility) during certain Defaults (as defined in the Five-Year Credit Facility) and during any Event of Default (as defined in the Five-Year Credit Facility);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substantially different in nature than the business currently conducted by the Partnership and its subsidiaries;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restrictive agreements.</w:t>
      </w:r>
    </w:p>
    <w:p>
      <w:pPr>
        <w:spacing w:after="0" w:line="171"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applicable margin and rate used in connection with the interest rates and commitment fees, respectively, are based on the credit ratings assigned to our senior, unsecured, non-credit enhanced long-term debt. The applicable margin for eurodollar rate loans under the Five-Year Credit Facility ranges from 1.125% to 2.000% and the applicable margin for base rate loans ranges from 0.125% to 1.000%. The applicable rate for commitment fees under the Five-Year Credit Facility ranges from 0.125% to 0.300%.</w:t>
      </w:r>
    </w:p>
    <w:p>
      <w:pPr>
        <w:spacing w:after="0" w:line="12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Five-Year Credit Facility contains various covenants including limitations on the creation of indebtedness and liens and related to the operation and conduct of our business. The Five-Year Credit Facility also limits us, on a rolling four quarter basis, to a maximum Consolidated Funded Indebtedness to Consolidated EBITDA ratio, as defined in the underlying credit agreement, of 5.00 to 1.00, which can generally be increased to 5.50 to 1.00 during a Specified Acquisition Period. Our Leverage Ratio was 3.12 to 1.00 at December 31, 2024, as calculated in accordance with the credit agreement.</w:t>
      </w:r>
    </w:p>
    <w:p>
      <w:pPr>
        <w:spacing w:after="0" w:line="1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Failure to comply with the various restrictive and affirmative covenants of our revolving credit facilities could require us to pay debt balances prior to scheduled maturity and could negatively impact the Partnership’s or our subsidiaries’ ability to incur additional debt and/or our ability to pay distributions to Unitholders.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Transwestern</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agreements relating to the Transwestern senior notes contain certain restrictions that, among other things, limit the incurrence of additional debt, the sale of assets and the payment of dividends and specify a maximum debt to capitalization ratio.</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Sunoco LP</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Sunoco LP Credit Facility contains various customary representations, warranties, covenants and events of default, including a change of control event of default, as defined therein. Sunoco LP’s Credit Facility requires Sunoco LP to maintain a specified net leverage ratio and interest coverage ratio.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Covenants Related to USAC</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USAC Credit Facility contains covenants that limit (subject to certain exceptions) USAC’s ability to, among other things:</w:t>
      </w:r>
    </w:p>
    <w:p>
      <w:pPr>
        <w:spacing w:after="0" w:line="117" w:lineRule="exact"/>
        <w:rPr>
          <w:sz w:val="20"/>
          <w:szCs w:val="20"/>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loans or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guarantee other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our assets;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acquisitions.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USAC Credit Facility is also subject to the following financial covenants, including covenants requiring USAC to maintain:</w:t>
      </w:r>
    </w:p>
    <w:p>
      <w:pPr>
        <w:spacing w:after="0" w:line="117" w:lineRule="exact"/>
        <w:rPr>
          <w:sz w:val="20"/>
          <w:szCs w:val="20"/>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EBITDA to interest coverage ratio;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ratio of total secured indebtedness to EBITDA within a specified range;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funded debt to EBITDA ratio.</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our Covenants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Failure to comply with the various restrictive and affirmative covenants of our revolving credit facilities and note agreements could require us or our subsidiaries to pay debt balances prior to scheduled maturity and could negatively impact the subsidiaries ability to incur additional debt and/or our ability to pay distributions.</w:t>
      </w:r>
    </w:p>
    <w:p>
      <w:pPr>
        <w:spacing w:after="0" w:line="12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We and our subsidiaries were in compliance with all requirements, tests, limitations, and covenants related to our debt agreements as of December 31, 2024.</w:t>
      </w:r>
    </w:p>
    <w:p>
      <w:pPr>
        <w:spacing w:after="0" w:line="104" w:lineRule="exact"/>
        <w:rPr>
          <w:sz w:val="20"/>
          <w:szCs w:val="20"/>
          <w:color w:val="auto"/>
        </w:rPr>
      </w:pPr>
    </w:p>
    <w:p>
      <w:pPr>
        <w:ind w:left="340" w:hanging="332"/>
        <w:spacing w:after="0"/>
        <w:tabs>
          <w:tab w:leader="none" w:pos="3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REDEEMABLE NONCONTROLLING INTERESTS</w:t>
      </w:r>
      <w:r>
        <w:rPr>
          <w:rFonts w:ascii="Times New Roman" w:cs="Times New Roman" w:eastAsia="Times New Roman" w:hAnsi="Times New Roman"/>
          <w:sz w:val="18"/>
          <w:szCs w:val="18"/>
          <w:b w:val="1"/>
          <w:bCs w:val="1"/>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redeemable noncontrolling interests in the Partnership’s subsidiaries are reflected as mezzanine equity on the consolidated balance sheet. As of December 31, 2024 and 2023, redeemable noncontrolling interests included $169 million and $476 million, respectively, related to the USAC Preferred Units, described below, $23 million and $22 million, respectively, related to noncontrolling interest holders in one of the Partnership’s consolidated subsidiaries that have the option to sell their interests to the Partnership, and $225 million and $280 million, respectively, related to the Niobrara Preferred Units described below.</w:t>
      </w:r>
    </w:p>
    <w:p>
      <w:pPr>
        <w:spacing w:after="0" w:line="1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USAC Series A Preferred Units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12, 2024, the holders of the USAC Preferred Units elected to convert 40,000 USAC Preferred Units into 1,998,850 USAC common units. These preferred units were converted into common units and, for USAC’s fourth-quarter 2023 distribution, the holders received the common unit distribution of $0.525 on the 1,998,850 common units in lieu of the preferred unit distribution of $24.375 on the converted 40,000 preferred units.</w:t>
      </w:r>
    </w:p>
    <w:p>
      <w:pPr>
        <w:spacing w:after="0" w:line="12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 2024, the holders of USAC preferred units elected to convert 280,000 preferred units into 13,991,954 common units. These preferred units were converted into common units and, for USAC’s first-quarter 2024 distribution, the holders received the common unit distribution of $0.525 on the 13,991,954 common units in lieu of the preferred unit distribution of $24.375 on the converted 280,000 preferred units.</w:t>
      </w:r>
    </w:p>
    <w:p>
      <w:pPr>
        <w:spacing w:after="0" w:line="11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Niobrara Preferred Units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Crestwood Niobrara LLC (“Crestwood Niobrara”), a subsidiary acquired in the Crestwood acquisition in November 2023, has outstanding two series of preferred units (collectively, the “Niobrara Preferred Units”) held by a third-party. The Niobrara Preferred Units are redeemable by the Partnership or the preferred interest holder and are also convertible by the preferred interest holder into Crestwood Niobrara common units. The preferred interest holder also has the option to contribute additional capital to Crestwood Niobrara to increase their common ownership percentage in Crestwood Niobrara to 50% upon the conversion.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On February 23, 2024, the Partnership paid approximately $37 million in cash to redeem a portion of the outstanding Crestwood Niobrara LLC preferred units.</w:t>
      </w:r>
    </w:p>
    <w:p>
      <w:pPr>
        <w:spacing w:after="0" w:line="104" w:lineRule="exact"/>
        <w:rPr>
          <w:sz w:val="20"/>
          <w:szCs w:val="20"/>
          <w:color w:val="auto"/>
        </w:rPr>
      </w:pPr>
    </w:p>
    <w:p>
      <w:pPr>
        <w:ind w:left="340" w:right="9580" w:hanging="332"/>
        <w:spacing w:after="0" w:line="466" w:lineRule="auto"/>
        <w:tabs>
          <w:tab w:leader="none" w:pos="34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EQUITY</w:t>
      </w:r>
      <w:r>
        <w:rPr>
          <w:rFonts w:ascii="Times New Roman" w:cs="Times New Roman" w:eastAsia="Times New Roman" w:hAnsi="Times New Roman"/>
          <w:sz w:val="17"/>
          <w:szCs w:val="17"/>
          <w:b w:val="1"/>
          <w:bCs w:val="1"/>
          <w:color w:val="auto"/>
        </w:rPr>
        <w:t>: Limited Partners</w:t>
      </w:r>
    </w:p>
    <w:p>
      <w:pPr>
        <w:jc w:val="both"/>
        <w:ind w:left="34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Limited partner interests in the Partnership are represented by Common Units that entitle the holders thereof to the rights and privileges specified in the Partnership Agreement. The Partnership’s Common Units are registered under the Securities Exchange Act of 1934 (as amended) and are listed for trading on the NYSE. Each holder of a Common Unit is entitled to one vote per unit on all matters presented to the Limited Partners for a vote. In addition, if at any time any person or group (other than the Partnership’s General Partner and its affiliates) owns beneficially 20% or more of all Common Units, any Common Units owned by that person or group may not be voted on any matter and are not considered to be outstanding when sending notices of a meeting of Unitholders (unless otherwise required by law), calculating required votes, determining the presence of a quorum or for other similar purposes under the Partnership Agreement. The Common Units are entitled to distributions of Available Cash as described at “Quarterly Distributions of Available Cash.”</w:t>
      </w:r>
    </w:p>
    <w:p>
      <w:pPr>
        <w:spacing w:after="0" w:line="137" w:lineRule="exact"/>
        <w:rPr>
          <w:rFonts w:ascii="Times New Roman" w:cs="Times New Roman" w:eastAsia="Times New Roman" w:hAnsi="Times New Roman"/>
          <w:sz w:val="17"/>
          <w:szCs w:val="17"/>
          <w:b w:val="1"/>
          <w:bCs w:val="1"/>
          <w:color w:val="auto"/>
        </w:rPr>
      </w:pPr>
    </w:p>
    <w:p>
      <w:pPr>
        <w:jc w:val="both"/>
        <w:ind w:left="34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Our Partnership Agreement contains specific provisions for the allocation of net earnings and losses to the partners for purposes of maintaining the partner capital accounts. For any fiscal year that the Partnership has net profits, such net profits are first allocated to the General Partner (which currently holds an approximately 0.1% general partner interest) until the aggregate amount of net profits for the current and all prior fiscal years equals the aggregate amount of net losses allocated to the General Partner for the current and all prior fiscal years. Second, such net profits shall be allocated to the Limited Partners pro rata in accordance with their respective sharing ratios. For any fiscal year in which the Partnership has net losses, such net losses shall be first allocated to the Limited Partners in proportion to their respective adjusted capital account balances, as defined by the Partnership Agreement, (before taking into account such net losses) until their adjusted capital account balances have been reduced to zero. Second, all remaining net losses shall be allocated to the General Partner. The General Partner may distribute to the Limited Partners funds of the Partnership that the General Partner reasonably determines are not needed for the payment of existing or foreseeable Partnership obligations and expenditures.</w:t>
      </w:r>
    </w:p>
    <w:p>
      <w:pPr>
        <w:spacing w:after="0" w:line="130"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Common Units</w:t>
      </w:r>
    </w:p>
    <w:p>
      <w:pPr>
        <w:spacing w:after="0" w:line="175"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change in Energy Transfer Common Units during the years ended December 31, 2024, 2023 and 2022 was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334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Common Units, beginning of period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3,082.5</w:t>
            </w:r>
          </w:p>
        </w:tc>
      </w:tr>
      <w:tr>
        <w:trPr>
          <w:trHeight w:val="229"/>
        </w:trPr>
        <w:tc>
          <w:tcPr>
            <w:tcW w:w="61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Common Units issued in mergers and acquisitions </w:t>
            </w:r>
            <w:r>
              <w:rPr>
                <w:rFonts w:ascii="Times New Roman" w:cs="Times New Roman" w:eastAsia="Times New Roman" w:hAnsi="Times New Roman"/>
                <w:sz w:val="23"/>
                <w:szCs w:val="23"/>
                <w:color w:val="auto"/>
                <w:vertAlign w:val="superscript"/>
              </w:rPr>
              <w:t>(1)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Issuance of Common Units </w:t>
            </w:r>
            <w:r>
              <w:rPr>
                <w:rFonts w:ascii="Times New Roman" w:cs="Times New Roman" w:eastAsia="Times New Roman" w:hAnsi="Times New Roman"/>
                <w:sz w:val="23"/>
                <w:szCs w:val="23"/>
                <w:color w:val="auto"/>
                <w:vertAlign w:val="superscript"/>
              </w:rPr>
              <w:t>(2)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Common Units, end of period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3,431.0</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3,094.4</w:t>
            </w:r>
          </w:p>
        </w:tc>
      </w:tr>
      <w:tr>
        <w:trPr>
          <w:trHeight w:val="21"/>
        </w:trPr>
        <w:tc>
          <w:tcPr>
            <w:tcW w:w="6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1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common units issued related to our acquisitions of WTG Midstream in 2024 and of Crestwood and Lotus Midstream in 2023.</w:t>
      </w:r>
    </w:p>
    <w:p>
      <w:pPr>
        <w:spacing w:after="0" w:line="68" w:lineRule="exact"/>
        <w:rPr>
          <w:rFonts w:ascii="Times New Roman" w:cs="Times New Roman" w:eastAsia="Times New Roman" w:hAnsi="Times New Roman"/>
          <w:sz w:val="23"/>
          <w:szCs w:val="23"/>
          <w:color w:val="auto"/>
          <w:vertAlign w:val="superscript"/>
        </w:rPr>
      </w:pPr>
    </w:p>
    <w:p>
      <w:pPr>
        <w:ind w:left="640" w:hanging="308"/>
        <w:spacing w:after="0" w:line="231" w:lineRule="auto"/>
        <w:tabs>
          <w:tab w:leader="none" w:pos="640" w:val="left"/>
        </w:tabs>
        <w:numPr>
          <w:ilvl w:val="0"/>
          <w:numId w:val="1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common units issued in connection with the distribution reinvestment program and restricted unit vestings.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Class A Units</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As of December 31, 2024, the Partnership had outstanding 847,443,096 Class A units (“Energy Transfer Class A Units”) representing limited partner interests in the Partnership to the General Partner. The Energy Transfer Class A Units are entitled to vote together with the Partnership’s common units, as a single class, except as required by law. Additionally, Energy Transfer’s Partnership Agreement provides that, under certain circumstances, upon the issuance by the Partnership of additional common units or any securities that have voting rights that are pari passu with the Partnership common units, the Partnership will issue to any holder of Energy Transfer Class A Units additional Energy Transfer Class A Units such that the holder maintains a voting interest in the Partnership that is identical to its voting interest in the Partnership prior to such issuance. The Energy Transfer Class A Units are not entitled to distributions and otherwise have no economic attributes.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Repurchase Program</w:t>
      </w:r>
    </w:p>
    <w:p>
      <w:pPr>
        <w:spacing w:after="0" w:line="17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In February 2015, the Partnership announced a common unit repurchase program, whereby the Partnership may repurchase up to $2 billion of Energy Transfer Common Units in the open market at the Partnership’s discretion, subject to market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conditions and other factors, and in accordance with applicable regulatory requirements. The Partnership did not repurchase any Energy Transfer Common Units under this program in 2024 or 2023. As of December 31, 2024, $880 million remained available to repurchase under the current program.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Distribution Reinvestment Program</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distributions of $89 million were reinvested under the distribution reinvestment program. As of December 31, 2024, a total of 38.9 million Energy Transfer common units remained available to be issued under currently effective registration statements in connection with the distribution reinvestment program.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Energy Transfer Preferred Units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2024, Energy Transfer’s outstanding preferred units included 550,000 Series B Preferred Units, 500,000 Series F Preferred Units, 1,484,780 Series G Preferred Units, 900,000 Series H Preferred Units and 41,464,179 Series I Preferred Units. As of December 31, 2023, Energy Transfer’s outstanding preferred units also included the Series A Preferred Units, Series C Preferred Units, Series D Preferred Units and Series E Preferred Units, all of which were redeemed in 2024.</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changes in the Energy Transfer Preferred Units: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Preferred Unitholders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Series A</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Series B</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Series C</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Series D</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Series E</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Series F</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Series G</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Series H</w:t>
            </w: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Series I</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0" w:type="dxa"/>
            <w:vAlign w:val="bottom"/>
          </w:tcPr>
          <w:p>
            <w:pPr>
              <w:spacing w:after="0"/>
              <w:rPr>
                <w:sz w:val="1"/>
                <w:szCs w:val="1"/>
                <w:color w:val="auto"/>
              </w:rPr>
            </w:pPr>
          </w:p>
        </w:tc>
      </w:tr>
      <w:tr>
        <w:trPr>
          <w:trHeight w:val="195"/>
        </w:trPr>
        <w:tc>
          <w:tcPr>
            <w:tcW w:w="1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39"/>
        </w:trPr>
        <w:tc>
          <w:tcPr>
            <w:tcW w:w="17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Units issued in Crestwood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93"/>
        </w:trPr>
        <w:tc>
          <w:tcPr>
            <w:tcW w:w="1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w:t>
            </w: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39"/>
        </w:trPr>
        <w:tc>
          <w:tcPr>
            <w:tcW w:w="17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Redemption of Preferred</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0" w:type="dxa"/>
            <w:vAlign w:val="bottom"/>
          </w:tcPr>
          <w:p>
            <w:pPr>
              <w:spacing w:after="0"/>
              <w:rPr>
                <w:sz w:val="1"/>
                <w:szCs w:val="1"/>
                <w:color w:val="auto"/>
              </w:rPr>
            </w:pPr>
          </w:p>
        </w:tc>
      </w:tr>
      <w:tr>
        <w:trPr>
          <w:trHeight w:val="193"/>
        </w:trPr>
        <w:tc>
          <w:tcPr>
            <w:tcW w:w="1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Units</w:t>
            </w: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228"/>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Units</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Prior to February 15, 2023, distributions on the Series A Preferred Units accrued at a fixed rate of 6.250% per annum of the liquidation preference of $1,000. Beginning February 15, 2023 to, but excluding, August 15, 2023, the Series A Preferred Units accrued a floating distribution rate set each quarterly distribution period at a percentage of the $1,000 liquidation preference equal to the then-current three-month LIBOR plus a spread of 4.028% per annum. On and after August 15, 2023, the floating distribution rate on the Series A Preferred Units is based on the three-month SOFR, plus a tenor spread adjustment of 0.26161%, plus 4.028% per annum. Distributions on the Series A Preferred Units were previously payable semiannually in arrears until February 15, 2023, and, after February 15, 2023, quarterly in arrears, when, as, and if declared by our General Partner out of legally available funds for such purpose. The Partnership redeemed the Series A Preferred Units in 2024.</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Units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Distributions on the Series B Preferred Units will accrue and be cumulative from and including the date of original issue to, but excluding, February 15, 2028, at a rate of 6.625% per annum of the stated liquidation preference of $1,000. On and after February 15, 2028, distributions on the Series B Preferred Units will accumulate at a percentage of the $1,000 liquidation preference equal to an annual floating rate based on the three-month SOFR, plus a tenor spread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adjustment of 0.26161%, plus a spread of 4.155% per annum. The Series B Preferred Units are redeemable at Energy Transfer’s option on or after February 15, 2028 at a redemption price of $1,000 per Series B Preferred Unit, plus an amount equal to all accumulated and unpaid distributions thereon to, but excluding, the date of redemption.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Units</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Prior to May 15, 2023, distributions on the Series C Preferred Units accrued at a fixed rate of 7.375% per annum of the liquidation preference of $25. Beginning May 15, 2023 to, but excluding, August 15, 2023, the Series C Preferred Units accrued a floating distribution rate set each quarterly distribution period at a percentage of the $25 liquidation preference equal to the then-current three-month LIBOR plus a spread of 4.530% per annum. On and after August 15, 2023, the floating distribution rate on the Series C Preferred Units was based on the three-month SOFR, plus a tenor spread adjustment of 0.26161%, plus 4.530% per annum. The Partnership redeemed the Series C Preferred Units in 2024.</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D Preferred Units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Prior to August 15, 2023, distributions on the Series D Preferred Units accrued at a fixed rate of 7.625% per annum of the liquidation preference of $25. On and after August 15, 2023, the Series D Preferred Units accrued a floating distribution rate set each quarterly distribution period at a percentage of the $25 liquidation preference equal to the three-month SOFR, plus a tenor spread adjustment of 0.26161%, plus 4.738% per annum. The Partnership redeemed the Series D Preferred Units in 2024.</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E Preferred Units</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Distributions on the Series E Preferred Units accrued at a rate of 7.600% per annum of the stated liquidation preference of $25. The Partnership redeemed the Series E Preferred Units in 2024.</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F Preferred Units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Distributions on the Series F Preferred Units are cumulative from and including the original issue date and will be payable semi-annually in arrears on the 15th day of May and November of each year, commencing on May 15, 2020 to, but excluding, May 15, 2025, at a rate equal to 6.750% per annum of the $1,000 liquidation preference. On and after May 15, 2025, the distribution rate on the Series F Preferred Units will equal a percentage of the $1,000 liquidation preference equal to the five-year U.S. treasury rate plus a spread of 5.134% per annum. The Series F Preferred Units are redeemable at Energy Transfer’s option on or after May 15, 2025 at a redemption price of $1,000 per Series F Preferred Unit, plus an amount equal to all accumulated and unpaid distributions thereon to, but excluding, the date of redemption.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G Preferred Units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Distributions on the Series G Preferred Units are cumulative from and including the original issue date and will be payable semi-annually in arrears on the 15th day of May and November of each year, commencing on May 15, 2020 to, but excluding, May 15, 2030, at a rate equal to 7.125% per annum of the $1,000 liquidation preference. On and after May 15, 2030, the distribution rate on the Series G Preferred Units will equal a percentage of the $1,000 liquidation preference equal to the five-year U.S. treasury rate plus a spread of 5.306% per annum. The Series G Preferred Units are redeemable at Energy Transfer’s option on or after May 15, 2030 at a redemption price of $1,000 per Series G Preferred Unit, plus an amount equal to all accumulated and unpaid distributions thereon to, but excluding, the date of redemption.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H Preferred Units</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Distributions on the Series H Preferred Units will accrue and be cumulative to, but excluding, November 15, 2026, at a rate equal to 6.500% per annum of the $1,000 liquidation preference. On and after November 15, 2026 and each fifth anniversary thereafter, the distribution rate on the Series H Preferred Units will reset to be a percentage of the $1,000 liquidation preference equal to the five-year U.S. treasury rate plus a spread of 5.694% per annum. Distributions on the Series H Preferred Units will be payable semi-annually in arrears on the 15th day of May and November of each year. The Series H Preferred Units are redeemable at Energy Transfer’s option during the three-month period prior to, and including, each distribution reset date at a redemption price of $1,000 per Series H Preferred Unit, plus an amount equal to all accumulated and unpaid distributions thereon to, but excluding, the date of redemption.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I Preferred Units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November 3, 2023, Energy Transfer, in connection with its acquisition of Crestwood, issued 41,464,179 of its Series I Preferred Units in exchange for a commensurate number of Crestwood preferred units. Subject to certain conditions, the holders of the Series I Preferred Units will have the right to convert preferred units into (i) common units on a 10-for-2.07</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basis, or (ii) a number of common units determined pursuant to a conversion ratio set forth in the Partnership Agreement upon the occurrence of certain events, such as a change in control. The Series I Preferred Units, on an as converted basis, have voting rights that are identical to the voting rights of the common units and will vote with the common units as a single class, except that the preferred units are entitled to vote as a separate class on any matter on which all unitholders are entitled to vote that adversely affects the rights, powers, privileges or preferences of the preferred units in relation to Energy Transfer’s other securities outstanding</w:t>
      </w:r>
    </w:p>
    <w:p>
      <w:pPr>
        <w:spacing w:after="0" w:line="1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holders of the Series I Preferred Units are entitled to receive fixed quarterly distributions of $0.2111 per unit. Distributions on the preferred units are paid in cash unless, subject to certain exceptions, (i) there is no distribution being paid on our common units; and (ii) our available cash (as defined in our Partnership Agreement) is insufficient to make a cash distribution to Series I Preferred Unitholders.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Sale of Common Units by Subsidiaries</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Energy Transfer on a stand-alone basis (the “Parent Company”) accounts for the difference between the carrying amount of its investment in subsidiaries and the underlying book value arising from issuance of units by subsidiaries (excluding unit issuances to the Parent Company) as a capital transaction. If a subsidiary issues units at a price less than the Parent Company’s carrying value per unit, the Parent Company assesses whether the investment has been impaired, in which case a provision would be reflected in our statement of operations. The Parent Company did not recognize any impairment related to the issuances of subsidiary common units during the periods presented.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Subsidiary Equity Transactions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USAC’s Distribution Reinvestment Program</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USAC issued 65,352, 87,808 and 124,255 USAC common units, respectively, under the USAC distribution reinvestment program.</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USAC’s Warrants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April 2022, USAC issued 534,308 of its common units in connection with the exercise of outstanding warrants. In October 2023, the remainder of USAC’s outstanding warrants were exercised in full and net settled for 2,360,488 USAC common units. No warrants remained outstanding subsequent to the exercise on October 27, 2023.</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Energy Transfer Common Unit Distributions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distribution policy is consistent with the terms of our Partnership Agreement, which requires that we distribute all of our available cash quarterly.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distributions declared and paid with respect to our common units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6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Quarter Ended</w:t>
            </w:r>
          </w:p>
        </w:tc>
        <w:tc>
          <w:tcPr>
            <w:tcW w:w="23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Record Date</w:t>
            </w:r>
          </w:p>
        </w:tc>
        <w:tc>
          <w:tcPr>
            <w:tcW w:w="2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Payment Date</w:t>
            </w:r>
          </w:p>
        </w:tc>
        <w:tc>
          <w:tcPr>
            <w:tcW w:w="520" w:type="dxa"/>
            <w:vAlign w:val="bottom"/>
          </w:tcPr>
          <w:p>
            <w:pPr>
              <w:spacing w:after="0"/>
              <w:rPr>
                <w:sz w:val="20"/>
                <w:szCs w:val="20"/>
                <w:color w:val="auto"/>
              </w:rPr>
            </w:pPr>
          </w:p>
        </w:tc>
        <w:tc>
          <w:tcPr>
            <w:tcW w:w="2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Rate</w:t>
            </w:r>
          </w:p>
        </w:tc>
      </w:tr>
      <w:tr>
        <w:trPr>
          <w:trHeight w:val="223"/>
        </w:trPr>
        <w:tc>
          <w:tcPr>
            <w:tcW w:w="340" w:type="dxa"/>
            <w:vAlign w:val="bottom"/>
          </w:tcPr>
          <w:p>
            <w:pPr>
              <w:spacing w:after="0"/>
              <w:rPr>
                <w:sz w:val="19"/>
                <w:szCs w:val="19"/>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8, 2022</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18, 2022</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2022</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19, 2022</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0.2000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8, 2022</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2022</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0.2300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21, 2022</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0.2650</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2023</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21, 2023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2023</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22, 2023</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0.3075</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14, 2023</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21, 2023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0.3100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30, 2023</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 2023</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0.3125</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2024</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2024</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13, 2024</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 2024</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9, 2024</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2024</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0.3200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8, 2024</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19, 2024</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0.3225</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2025</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0.3250</w:t>
            </w:r>
          </w:p>
        </w:tc>
        <w:tc>
          <w:tcPr>
            <w:tcW w:w="400" w:type="dxa"/>
            <w:vAlign w:val="bottom"/>
          </w:tcPr>
          <w:p>
            <w:pPr>
              <w:spacing w:after="0"/>
              <w:rPr>
                <w:sz w:val="19"/>
                <w:szCs w:val="19"/>
                <w:color w:val="auto"/>
              </w:rPr>
            </w:pPr>
          </w:p>
        </w:tc>
      </w:tr>
      <w:tr>
        <w:trPr>
          <w:trHeight w:val="864"/>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F - 43</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Energy Transfer Preferred Unit Distributions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Distributions on Energy Transfer’s preferred units declared and/or paid by Energy Transfer were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Period Ended</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Record Date</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 Date</w:t>
            </w: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A</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Series B </w:t>
            </w:r>
            <w:r>
              <w:rPr>
                <w:rFonts w:ascii="Times New Roman" w:cs="Times New Roman" w:eastAsia="Times New Roman" w:hAnsi="Times New Roman"/>
                <w:sz w:val="18"/>
                <w:szCs w:val="18"/>
                <w:color w:val="auto"/>
                <w:vertAlign w:val="superscript"/>
              </w:rPr>
              <w:t>(1)</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Series C</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Series D</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Series E</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Series F </w:t>
            </w:r>
            <w:r>
              <w:rPr>
                <w:rFonts w:ascii="Times New Roman" w:cs="Times New Roman" w:eastAsia="Times New Roman" w:hAnsi="Times New Roman"/>
                <w:sz w:val="18"/>
                <w:szCs w:val="18"/>
                <w:color w:val="auto"/>
                <w:vertAlign w:val="superscript"/>
              </w:rPr>
              <w:t>(1)</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Series G </w:t>
            </w:r>
            <w:r>
              <w:rPr>
                <w:rFonts w:ascii="Times New Roman" w:cs="Times New Roman" w:eastAsia="Times New Roman" w:hAnsi="Times New Roman"/>
                <w:sz w:val="18"/>
                <w:szCs w:val="18"/>
                <w:color w:val="auto"/>
                <w:vertAlign w:val="superscript"/>
              </w:rPr>
              <w:t>(1)</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xml:space="preserve">Series H </w:t>
            </w:r>
            <w:r>
              <w:rPr>
                <w:rFonts w:ascii="Times New Roman" w:cs="Times New Roman" w:eastAsia="Times New Roman" w:hAnsi="Times New Roman"/>
                <w:sz w:val="18"/>
                <w:szCs w:val="18"/>
                <w:color w:val="auto"/>
                <w:vertAlign w:val="superscript"/>
              </w:rPr>
              <w:t>(1)</w:t>
            </w: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Series I</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82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December</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February 1,</w:t>
            </w: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February 15,</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31.25</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33.125</w:t>
            </w: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0.4609</w:t>
            </w: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0.4766</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0.4750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31, 2021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March 31,</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May 2, 2022</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May 16, 2022</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0.4609</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0.4766</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0.4750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33.7500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June 30,</w:t>
            </w:r>
          </w:p>
        </w:tc>
        <w:tc>
          <w:tcPr>
            <w:tcW w:w="9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August 1,</w:t>
            </w:r>
          </w:p>
        </w:tc>
        <w:tc>
          <w:tcPr>
            <w:tcW w:w="10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August 15,</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31.25</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33.125</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0.4609</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0.4766</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September</w:t>
            </w:r>
          </w:p>
        </w:tc>
        <w:tc>
          <w:tcPr>
            <w:tcW w:w="9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November 1,</w:t>
            </w:r>
          </w:p>
        </w:tc>
        <w:tc>
          <w:tcPr>
            <w:tcW w:w="10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November 15,</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0.4609</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0.4766</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0.4750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33.7500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30, 2022</w:t>
            </w:r>
          </w:p>
        </w:tc>
        <w:tc>
          <w:tcPr>
            <w:tcW w:w="10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December</w:t>
            </w:r>
          </w:p>
        </w:tc>
        <w:tc>
          <w:tcPr>
            <w:tcW w:w="9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February 1,</w:t>
            </w:r>
          </w:p>
        </w:tc>
        <w:tc>
          <w:tcPr>
            <w:tcW w:w="10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February 15,</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31.25</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33.125</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0.4609</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0.4766</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31, 2022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March 31,</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May 1, 2023</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May 15, 2023</w:t>
            </w: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21.98</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0.4609</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0.4766</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0.4750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33.7500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June 30,</w:t>
            </w:r>
          </w:p>
        </w:tc>
        <w:tc>
          <w:tcPr>
            <w:tcW w:w="9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August 1,</w:t>
            </w:r>
          </w:p>
        </w:tc>
        <w:tc>
          <w:tcPr>
            <w:tcW w:w="10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August 15,</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23.89</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33.125</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0.6294</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0.4766</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September</w:t>
            </w:r>
          </w:p>
        </w:tc>
        <w:tc>
          <w:tcPr>
            <w:tcW w:w="9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November 1,</w:t>
            </w:r>
          </w:p>
        </w:tc>
        <w:tc>
          <w:tcPr>
            <w:tcW w:w="10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November 15,</w:t>
            </w: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24.67</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0.6489</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0.6622</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0.4750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33.7500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30, 2023</w:t>
            </w:r>
          </w:p>
        </w:tc>
        <w:tc>
          <w:tcPr>
            <w:tcW w:w="10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December</w:t>
            </w:r>
          </w:p>
        </w:tc>
        <w:tc>
          <w:tcPr>
            <w:tcW w:w="9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February 1,</w:t>
            </w:r>
          </w:p>
        </w:tc>
        <w:tc>
          <w:tcPr>
            <w:tcW w:w="10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February 15,</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24.71</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33.125</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0.6075</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0.6199</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0.2111</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31, 2023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March 31,</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May 1, 2024</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May 15, 2024</w:t>
            </w: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23.99</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0.4750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33.7500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0.2111</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June 30,</w:t>
            </w:r>
          </w:p>
        </w:tc>
        <w:tc>
          <w:tcPr>
            <w:tcW w:w="9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August 1,</w:t>
            </w:r>
          </w:p>
        </w:tc>
        <w:tc>
          <w:tcPr>
            <w:tcW w:w="10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August 15,</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33.125</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0.2111</w:t>
            </w:r>
          </w:p>
        </w:tc>
        <w:tc>
          <w:tcPr>
            <w:tcW w:w="3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September</w:t>
            </w:r>
          </w:p>
        </w:tc>
        <w:tc>
          <w:tcPr>
            <w:tcW w:w="9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November 1,</w:t>
            </w:r>
          </w:p>
        </w:tc>
        <w:tc>
          <w:tcPr>
            <w:tcW w:w="10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November 15,</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33.7500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0.2111</w:t>
            </w: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193"/>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30, 2024</w:t>
            </w:r>
          </w:p>
        </w:tc>
        <w:tc>
          <w:tcPr>
            <w:tcW w:w="10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December</w:t>
            </w:r>
          </w:p>
        </w:tc>
        <w:tc>
          <w:tcPr>
            <w:tcW w:w="9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February 1,</w:t>
            </w:r>
          </w:p>
        </w:tc>
        <w:tc>
          <w:tcPr>
            <w:tcW w:w="10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February 15,</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33.125</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0.2111</w:t>
            </w:r>
          </w:p>
        </w:tc>
        <w:tc>
          <w:tcPr>
            <w:tcW w:w="3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31, 2024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328"/>
        <w:spacing w:after="0" w:line="229" w:lineRule="auto"/>
        <w:tabs>
          <w:tab w:leader="none" w:pos="648" w:val="left"/>
        </w:tabs>
        <w:numPr>
          <w:ilvl w:val="0"/>
          <w:numId w:val="1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Series B, Series F, Series G and Series H distributions are currently paid on a semi-annual basis. Distributions on the Series B Preferred Units will begin to be paid quarterly on February 15, 2028.</w:t>
      </w:r>
    </w:p>
    <w:p>
      <w:pPr>
        <w:spacing w:after="0" w:line="90" w:lineRule="exact"/>
        <w:rPr>
          <w:rFonts w:ascii="Times New Roman" w:cs="Times New Roman" w:eastAsia="Times New Roman" w:hAnsi="Times New Roman"/>
          <w:sz w:val="23"/>
          <w:szCs w:val="23"/>
          <w:color w:val="auto"/>
          <w:vertAlign w:val="superscript"/>
        </w:rPr>
      </w:pPr>
    </w:p>
    <w:p>
      <w:pPr>
        <w:jc w:val="both"/>
        <w:ind w:left="660" w:hanging="328"/>
        <w:spacing w:after="0" w:line="241" w:lineRule="auto"/>
        <w:tabs>
          <w:tab w:leader="none" w:pos="648" w:val="left"/>
        </w:tabs>
        <w:numPr>
          <w:ilvl w:val="0"/>
          <w:numId w:val="1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period ended December 31, 2024, the cash distribution for the Series I Preferred Units was paid on February 14, 2025 to unitholders of record as of the close of business on February 4, 2025. For the period ended September 30, 2024, the cash distribution for the Series I Preferred Units was paid on November 14, 2024 to unitholders of record as of the close of business on November 4, 2024. For the period ended June 30, 2024, the cash distribution for the Series I Preferred Units was paid on August 14, 2024 to unitholders of record as of the close of business on August 2, 2024.</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Sunoco LP Cash Distributions</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Energy Transfer owns approximately 28.5 million Sunoco LP common units and all of Sunoco LP’s IDRs. As of December 31, 2024, Sunoco LP had approximately 136.2 million common units outstanding.</w:t>
      </w:r>
    </w:p>
    <w:p>
      <w:pPr>
        <w:spacing w:after="0" w:line="10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following table illustrates the percentage allocations of available cash from operating surplus between Sunoco LP’s common unitholders and the holder of its IDRs based on the specified target distribution levels, after the payment of distributions to Class C unitholders. The amounts set forth under “marginal percentage interest in distributions” are the percentage interests of the IDR holder and the common unitholders in any available cash from operating surplus which Sunoco LP distributes up to and including the corresponding amount in the column “total quarterly distribution per unit target amount.” The percentage interests shown for common unitholders and IDR holder for the minimum quarterly distribution are also applicable to quarterly distribution amounts that are less than the minimum quarterly distribution.</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Marginal Percentage Interest in</w:t>
            </w:r>
          </w:p>
        </w:tc>
      </w:tr>
      <w:tr>
        <w:trPr>
          <w:trHeight w:val="239"/>
        </w:trPr>
        <w:tc>
          <w:tcPr>
            <w:tcW w:w="37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Distributions</w:t>
            </w:r>
          </w:p>
        </w:tc>
      </w:tr>
      <w:tr>
        <w:trPr>
          <w:trHeight w:val="173"/>
        </w:trPr>
        <w:tc>
          <w:tcPr>
            <w:tcW w:w="37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20"/>
              <w:spacing w:after="0" w:line="173" w:lineRule="exact"/>
              <w:rPr>
                <w:sz w:val="20"/>
                <w:szCs w:val="20"/>
                <w:color w:val="auto"/>
              </w:rPr>
            </w:pPr>
            <w:r>
              <w:rPr>
                <w:rFonts w:ascii="Times New Roman" w:cs="Times New Roman" w:eastAsia="Times New Roman" w:hAnsi="Times New Roman"/>
                <w:sz w:val="18"/>
                <w:szCs w:val="18"/>
                <w:color w:val="auto"/>
                <w:w w:val="98"/>
              </w:rPr>
              <w:t>Common</w:t>
            </w:r>
          </w:p>
        </w:tc>
        <w:tc>
          <w:tcPr>
            <w:tcW w:w="1380" w:type="dxa"/>
            <w:vAlign w:val="bottom"/>
          </w:tcPr>
          <w:p>
            <w:pPr>
              <w:spacing w:after="0"/>
              <w:rPr>
                <w:sz w:val="15"/>
                <w:szCs w:val="15"/>
                <w:color w:val="auto"/>
              </w:rPr>
            </w:pPr>
          </w:p>
        </w:tc>
      </w:tr>
      <w:tr>
        <w:trPr>
          <w:trHeight w:val="243"/>
        </w:trPr>
        <w:tc>
          <w:tcPr>
            <w:tcW w:w="3720" w:type="dxa"/>
            <w:vAlign w:val="bottom"/>
          </w:tcPr>
          <w:p>
            <w:pPr>
              <w:spacing w:after="0"/>
              <w:rPr>
                <w:sz w:val="21"/>
                <w:szCs w:val="21"/>
                <w:color w:val="auto"/>
              </w:rPr>
            </w:pPr>
          </w:p>
        </w:tc>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Total Quarterly Distribution Target Amount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Unitholders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Holder of IDRs</w:t>
            </w:r>
          </w:p>
        </w:tc>
      </w:tr>
      <w:tr>
        <w:trPr>
          <w:trHeight w:val="22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Quarterly Distribution</w:t>
            </w: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$0.4375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Target Distribution</w:t>
            </w:r>
          </w:p>
        </w:tc>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$0.4375 to $0.503125</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Target Distribution</w:t>
            </w:r>
          </w:p>
        </w:tc>
        <w:tc>
          <w:tcPr>
            <w:tcW w:w="3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$0.503125 to $0.546875</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Target Distribution</w:t>
            </w: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$0.546875 to $0.656250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Above $0.656250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Distributions on Sunoco LP’s units declared and/or paid by Sunoco LP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Quarter Ended</w:t>
            </w:r>
          </w:p>
        </w:tc>
        <w:tc>
          <w:tcPr>
            <w:tcW w:w="37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Payment Date</w:t>
            </w:r>
          </w:p>
        </w:tc>
        <w:tc>
          <w:tcPr>
            <w:tcW w:w="660" w:type="dxa"/>
            <w:vAlign w:val="bottom"/>
          </w:tcPr>
          <w:p>
            <w:pPr>
              <w:spacing w:after="0"/>
              <w:rPr>
                <w:sz w:val="20"/>
                <w:szCs w:val="20"/>
                <w:color w:val="auto"/>
              </w:rPr>
            </w:pPr>
          </w:p>
        </w:tc>
        <w:tc>
          <w:tcPr>
            <w:tcW w:w="21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Rate</w:t>
            </w: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18, 2022</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19, 2022</w:t>
            </w:r>
          </w:p>
        </w:tc>
        <w:tc>
          <w:tcPr>
            <w:tcW w:w="6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2022</w:t>
            </w:r>
          </w:p>
        </w:tc>
        <w:tc>
          <w:tcPr>
            <w:tcW w:w="6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18, 2022</w:t>
            </w:r>
          </w:p>
        </w:tc>
        <w:tc>
          <w:tcPr>
            <w:tcW w:w="6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21, 2023</w:t>
            </w:r>
          </w:p>
        </w:tc>
        <w:tc>
          <w:tcPr>
            <w:tcW w:w="6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0.8255</w:t>
            </w: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22, 2023</w:t>
            </w:r>
          </w:p>
        </w:tc>
        <w:tc>
          <w:tcPr>
            <w:tcW w:w="6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0.8420</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21, 2023</w:t>
            </w:r>
          </w:p>
        </w:tc>
        <w:tc>
          <w:tcPr>
            <w:tcW w:w="6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0.8420</w:t>
            </w: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 2023</w:t>
            </w:r>
          </w:p>
        </w:tc>
        <w:tc>
          <w:tcPr>
            <w:tcW w:w="6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0.8420</w:t>
            </w: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2024</w:t>
            </w:r>
          </w:p>
        </w:tc>
        <w:tc>
          <w:tcPr>
            <w:tcW w:w="6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0.8420</w:t>
            </w: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 2024</w:t>
            </w:r>
          </w:p>
        </w:tc>
        <w:tc>
          <w:tcPr>
            <w:tcW w:w="6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0.8756</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19, 2024</w:t>
            </w:r>
          </w:p>
        </w:tc>
        <w:tc>
          <w:tcPr>
            <w:tcW w:w="6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0.8756</w:t>
            </w: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19, 2024</w:t>
            </w:r>
          </w:p>
        </w:tc>
        <w:tc>
          <w:tcPr>
            <w:tcW w:w="6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0.8756</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6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0.8865</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USAC Cash Distributions</w:t>
      </w:r>
    </w:p>
    <w:p>
      <w:pPr>
        <w:spacing w:after="0" w:line="17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Energy Transfer owns approximately 46.1 million USAC common units. As of December 31, 2024, USAC had approximately 117 million common units outstanding. USAC currently has a non-economic general partner interest and no outstanding IDRs.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Distributions on USAC’s units declared and/or paid by USAC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Quarter Ended</w:t>
            </w:r>
          </w:p>
        </w:tc>
        <w:tc>
          <w:tcPr>
            <w:tcW w:w="36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Payment Date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w w:val="96"/>
              </w:rPr>
              <w:t>Rate</w:t>
            </w: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4, 2022</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6, 2022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5, 2022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3, 2023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5, 2023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4, 2023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 2023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 2024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 2024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 2024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7, 2025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400" w:type="dxa"/>
            <w:vAlign w:val="bottom"/>
          </w:tcPr>
          <w:p>
            <w:pPr>
              <w:spacing w:after="0"/>
              <w:rPr>
                <w:sz w:val="19"/>
                <w:szCs w:val="19"/>
                <w:color w:val="auto"/>
              </w:rPr>
            </w:pPr>
          </w:p>
        </w:tc>
      </w:tr>
      <w:tr>
        <w:trPr>
          <w:trHeight w:val="459"/>
        </w:trPr>
        <w:tc>
          <w:tcPr>
            <w:tcW w:w="3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AOCI, net of tax:</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3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7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related to pensions and other postretirement benefits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 net</w:t>
            </w:r>
          </w:p>
        </w:tc>
        <w:tc>
          <w:tcPr>
            <w:tcW w:w="35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14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AOCI, net of tax</w:t>
            </w:r>
          </w:p>
        </w:tc>
        <w:tc>
          <w:tcPr>
            <w:tcW w:w="3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73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11"/>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F - 45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tax amounts included in the respective components of other comprehensive income:</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5"/>
              </w:rPr>
              <w:t>(3)</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tabs>
          <w:tab w:leader="none" w:pos="34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INCENTIVE PLANS</w:t>
      </w:r>
      <w:r>
        <w:rPr>
          <w:rFonts w:ascii="Times New Roman" w:cs="Times New Roman" w:eastAsia="Times New Roman" w:hAnsi="Times New Roman"/>
          <w:sz w:val="18"/>
          <w:szCs w:val="18"/>
          <w:b w:val="1"/>
          <w:bCs w:val="1"/>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Sunoco LP and USAC, have issued equity incentive plans for employees, officers and directors, which provide for various types of awards, including options to purchase Common Units, restricted units, phantom units, distribution equivalent rights (“DERs”), common unit appreciation rights, cash restricted units and other equity-based compensation awards. As of December 31, 2024, an aggregate total of 38.6 million Energy Transfer Common Units remain available to be awarded under our equity incentive plans.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Energy Transfer Long-Term Incentive Plan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granted restricted unit awards to employees that vest over a specified time period, typically a five-year service vesting requirement, with vesting based on continued employment as of each applicable vesting date. Upon vesting, Energy Transfer Common Units are issued. These unit awards entitle the recipients of the unit awards to receive, with respect to each Common Unit subject to such award that has not either vested or been forfeited, a cash payment equal to each cash distribution per Common Unit made by us on our Common Units promptly following each such distribution by us to our Unitholders. We refer to these rights as “distribution equivalent rights.” Under our equity incentive plans, our non-employee directors each receive grants with a five-year service vesting requirement.</w:t>
      </w:r>
    </w:p>
    <w:p>
      <w:pPr>
        <w:spacing w:after="0" w:line="13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activity of the awards granted to employees and non-employee directors: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Weighted Average Grant-</w:t>
            </w:r>
          </w:p>
        </w:tc>
      </w:tr>
      <w:tr>
        <w:trPr>
          <w:trHeight w:val="243"/>
        </w:trPr>
        <w:tc>
          <w:tcPr>
            <w:tcW w:w="614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Number of Units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Date Fair Value Per Unit</w:t>
            </w: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awards as of December 31, 2023</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3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granted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3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vested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30"/>
        </w:trPr>
        <w:tc>
          <w:tcPr>
            <w:tcW w:w="6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Awards forfeited</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awards as of December 31, 2024</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weighted average grant-date fair value per unit award granted was $18.95, $13.78 and $11.56, respectively, and the total fair value of awards vested was $194 million, $106 million and $103 million, respectively, based on the market price of the respective Common Units as of the vesting date. As of December 31, 2024, a total of 36.1 million unit awards remain unvested, for which Energy Transfer expects to recognize a total of $313 million in compensation expense over a weighted average period of 3.0 years.</w:t>
      </w:r>
    </w:p>
    <w:p>
      <w:pPr>
        <w:spacing w:after="0" w:line="12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Restricted Units. </w:t>
      </w:r>
      <w:r>
        <w:rPr>
          <w:rFonts w:ascii="Times New Roman" w:cs="Times New Roman" w:eastAsia="Times New Roman" w:hAnsi="Times New Roman"/>
          <w:sz w:val="18"/>
          <w:szCs w:val="18"/>
          <w:color w:val="auto"/>
        </w:rPr>
        <w:t>The Partnership has also granted cash restricted units, which vest through three years of service. A cash restricted unit entitles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award recipient to receive cash equal to the market value of one Energy Transfer Common Unit upon vesting. For the years ended December 31, 2024, 2023 and 2022, the Partnership granted a total of 2.8 million, 3.2 million and 3.8 million cash restricted units, respectively. As of December 31, 2024, a total of 6.0 million cash restricted units were unvested. As of December 31, 2024, the Partnership’s consolidated balance sheet reflected aggregate liabilities of $5.1 million related to cash restricted units.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Subsidiary Long-Term Incentive Plans</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Each of Sunoco LP and USAC has granted restricted or phantom unit awards (collectively, the “Subsidiary Unit Awards”) to employees and directors that entitle the grantees to receive common units of the respective subsidiary. In some cases, at the discretion of the respective subsidiary’s compensation committee, the grantee may instead receive an amount of cash equivalent to the value of common units upon vesting. Substantially all of the Subsidiary Unit Awards are time-vested grants, which generally vest over a three or five-year period, that entitles the grantees of the unit awards to receive an amount of cash equal to the per unit cash distributions made by the respective subsidiaries during the period the restricted unit is outstanding.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of the Subsidiary Unit Awards: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000" w:type="dxa"/>
            <w:vAlign w:val="bottom"/>
            <w:gridSpan w:val="5"/>
          </w:tcPr>
          <w:p>
            <w:pPr>
              <w:ind w:left="1060"/>
              <w:spacing w:after="0"/>
              <w:rPr>
                <w:sz w:val="20"/>
                <w:szCs w:val="20"/>
                <w:color w:val="auto"/>
              </w:rPr>
            </w:pPr>
            <w:r>
              <w:rPr>
                <w:rFonts w:ascii="Times New Roman" w:cs="Times New Roman" w:eastAsia="Times New Roman" w:hAnsi="Times New Roman"/>
                <w:sz w:val="18"/>
                <w:szCs w:val="18"/>
                <w:color w:val="auto"/>
              </w:rPr>
              <w:t>Sunoco LP</w:t>
            </w:r>
          </w:p>
        </w:tc>
        <w:tc>
          <w:tcPr>
            <w:tcW w:w="290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USAC</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4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8"/>
                <w:szCs w:val="18"/>
                <w:color w:val="auto"/>
                <w:w w:val="99"/>
              </w:rPr>
              <w:t>Grant-Date Fair</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Grant-Date Fair</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2"/>
              </w:rPr>
              <w:t>Value</w:t>
            </w: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Unit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Per Unit</w:t>
            </w:r>
          </w:p>
        </w:tc>
        <w:tc>
          <w:tcPr>
            <w:tcW w:w="0" w:type="dxa"/>
            <w:vAlign w:val="bottom"/>
          </w:tcPr>
          <w:p>
            <w:pPr>
              <w:spacing w:after="0"/>
              <w:rPr>
                <w:sz w:val="1"/>
                <w:szCs w:val="1"/>
                <w:color w:val="auto"/>
              </w:rPr>
            </w:pPr>
          </w:p>
        </w:tc>
      </w:tr>
      <w:tr>
        <w:trPr>
          <w:trHeight w:val="227"/>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awards as of December 31, 2023</w:t>
            </w:r>
          </w:p>
        </w:tc>
        <w:tc>
          <w:tcPr>
            <w:tcW w:w="1400" w:type="dxa"/>
            <w:vAlign w:val="bottom"/>
            <w:tcBorders>
              <w:top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29"/>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granted</w:t>
            </w:r>
          </w:p>
        </w:tc>
        <w:tc>
          <w:tcPr>
            <w:tcW w:w="14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tcPr>
          <w:p>
            <w:pPr>
              <w:spacing w:after="0"/>
              <w:rPr>
                <w:sz w:val="19"/>
                <w:szCs w:val="19"/>
                <w:color w:val="auto"/>
              </w:rPr>
            </w:pPr>
          </w:p>
        </w:tc>
        <w:tc>
          <w:tcPr>
            <w:tcW w:w="14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vested</w:t>
            </w:r>
          </w:p>
        </w:tc>
        <w:tc>
          <w:tcPr>
            <w:tcW w:w="140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Awards forfeited</w:t>
            </w:r>
          </w:p>
        </w:tc>
        <w:tc>
          <w:tcPr>
            <w:tcW w:w="140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awards as of December 31, 2024</w:t>
            </w:r>
          </w:p>
        </w:tc>
        <w:tc>
          <w:tcPr>
            <w:tcW w:w="140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7"/>
              </w:rPr>
              <w:t>1.7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7"/>
              </w:rPr>
              <w:t>1.6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weighted average grant-date fair value per unit award granted: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Sunoco LP</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USAC</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bl>
    <w:p>
      <w:pPr>
        <w:spacing w:after="0" w:line="22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total fair value of Subsidiary Unit Awards vested for the years ended December 31, 2024, 2023 and 2022 was $29 million, $37 million and $26 million, respectively, based on the market price of Sunoco LP and USAC common units as of the vesting date. As of December 31, 2024, estimated compensation cost related to Subsidiary Unit Awards not yet recognized was $51 million, and the weighted average period over which this cost is expected to be recognized in expense is 3.7 years.</w:t>
      </w:r>
    </w:p>
    <w:p>
      <w:pPr>
        <w:spacing w:after="0" w:line="126"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of December 31, 2024, Sunoco LP and USAC also had outstanding grants of cash restricted units totaling 134,225 and 107,820, respectively, for which an aggregate liability of $0.1 million is included on the Partnership’s consolidated balance sheet.</w:t>
      </w:r>
    </w:p>
    <w:p>
      <w:pPr>
        <w:spacing w:after="0" w:line="104" w:lineRule="exact"/>
        <w:rPr>
          <w:sz w:val="20"/>
          <w:szCs w:val="20"/>
          <w:color w:val="auto"/>
        </w:rPr>
      </w:pPr>
    </w:p>
    <w:p>
      <w:pPr>
        <w:ind w:left="320" w:hanging="312"/>
        <w:spacing w:after="0"/>
        <w:tabs>
          <w:tab w:leader="none" w:pos="3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r>
        <w:rPr>
          <w:rFonts w:ascii="Times New Roman" w:cs="Times New Roman" w:eastAsia="Times New Roman" w:hAnsi="Times New Roman"/>
          <w:sz w:val="18"/>
          <w:szCs w:val="18"/>
          <w:b w:val="1"/>
          <w:bCs w:val="1"/>
          <w:color w:val="auto"/>
        </w:rPr>
        <w:t>:</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partnership, we are not subject to United States federal income tax and most state income taxes. However, the Partnership conducts certain activities through corporate subsidiaries which are subject to federal and state income taxes.</w:t>
      </w:r>
    </w:p>
    <w:p>
      <w:pPr>
        <w:spacing w:after="0" w:line="10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Partnership’s income (loss) before income tax expense by geographic area is shown in the table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r>
      <w:tr>
        <w:trPr>
          <w:trHeight w:val="236"/>
        </w:trPr>
        <w:tc>
          <w:tcPr>
            <w:tcW w:w="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0"/>
        </w:trPr>
        <w:tc>
          <w:tcPr>
            <w:tcW w:w="340" w:type="dxa"/>
            <w:vAlign w:val="bottom"/>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96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40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96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F - 47</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federal and state income tax expense (benefit) of our taxable subsidiaries are summarized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3"/>
        </w:trPr>
        <w:tc>
          <w:tcPr>
            <w:tcW w:w="6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income tax expense</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Historically, our effective tax rate has differed from the statutory rate primarily due to partnership earnings that are not subject to United States federal and most state income taxes at the partnership level. A reconciliation of income tax expense at the United States statutory rate to the Partnership’s income tax benefit for the years ended December 31, 2024, 2023 and 2022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r>
      <w:tr>
        <w:trPr>
          <w:trHeight w:val="372"/>
        </w:trPr>
        <w:tc>
          <w:tcPr>
            <w:tcW w:w="340" w:type="dxa"/>
            <w:vAlign w:val="bottom"/>
          </w:tcPr>
          <w:p>
            <w:pPr>
              <w:spacing w:after="0"/>
              <w:rPr>
                <w:sz w:val="24"/>
                <w:szCs w:val="24"/>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United States statutory rate</w:t>
            </w:r>
          </w:p>
        </w:tc>
        <w:tc>
          <w:tcPr>
            <w:tcW w:w="2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4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(reduction) in income taxes resulting from:</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 earnings not subject to tax</w:t>
            </w: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tax, net of federal tax benefit</w:t>
            </w: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rate change</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positions</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Non-deductible goodwill</w:t>
            </w: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received deduction</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taxes</w:t>
            </w: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25"/>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F - 48</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taxes result from the temporary differences between financial reporting carrying amounts and the tax basis of existing assets and liabilities.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principal components of the deferred tax assets (liabilities) as follows: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09"/>
        </w:trPr>
        <w:tc>
          <w:tcPr>
            <w:tcW w:w="76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losses and other carryforwards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affiliates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0" w:type="dxa"/>
            <w:vAlign w:val="bottom"/>
          </w:tcPr>
          <w:p>
            <w:pPr>
              <w:spacing w:after="0"/>
              <w:rPr>
                <w:sz w:val="1"/>
                <w:szCs w:val="1"/>
                <w:color w:val="auto"/>
              </w:rPr>
            </w:pPr>
          </w:p>
        </w:tc>
      </w:tr>
      <w:tr>
        <w:trPr>
          <w:trHeight w:val="229"/>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As of December 31, 2024, ETP Holdco had a federal net operating loss carryforward of $537 million, that can be carried forward indefinitely. A total of $341 million of the federal net operating loss carryforward is limited under IRC §382. Although we expect to fully utilize the IRC §382 limited federal net operating loss, the amount utilized in a particular year may be limited. As of December 31, 2024, Sunoco Retail LLC, a corporate subsidiary of Sunoco LP, had a state net operating loss carryforward of $20 million, which we expect to fully utilize. Sunoco Retail LLC has no federal net operating loss carryforward. A foreign subsidiary of Sunoco Retail LLC had a net operating loss carryforward of $56 million, which we expect to fully utilize.</w:t>
      </w:r>
    </w:p>
    <w:p>
      <w:pPr>
        <w:spacing w:after="0" w:line="13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corporate subsidiaries have state net operating loss carryforward benefits of $64 million, net of federal tax, some of which expire between 2025 and 2043, while others are carried forward indefinitely. Our corporate subsidiaries have cumulative excess business interest expense of $118 million available for carryforward indefinitely, of which $4 million is limited under IRC §382.</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changes in unrecognized tax benefits:</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61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4"/>
                <w:szCs w:val="24"/>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attributable to tax positions taken in prior years</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attributable to tax positions taken in prior years</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5"/>
              </w:rPr>
              <w:t>(4)</w:t>
            </w:r>
          </w:p>
        </w:tc>
      </w:tr>
      <w:tr>
        <w:trPr>
          <w:trHeight w:val="23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10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2024, we had $74 million ($65 million after federal income tax benefits) related to tax positions which, if recognized, would impact our effective tax rate.</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policy is to accrue interest expense and penalties on income tax underpayments (overpayments) as a component of income tax expense. During 2024, we recognized an interest and penalty benefit of $6 million. At December 31, 2024, we have interest and penalties accrued of $5 million, net of tax.</w:t>
      </w:r>
    </w:p>
    <w:p>
      <w:pPr>
        <w:spacing w:after="0" w:line="12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 November 2015, the Pennsylvania Commonwealth Court determined in Nextel Communications v. Commonwealth (“Nextel”) that the Pennsylvania limitation on NOL carryforward deductions violated the uniformity clause of the Pennsylvania Constitution and struck the NOL limitation in its entirety. In October 2017, the Pennsylvania Supreme Court affirmed the decision with respect to the uniformity clause violation; however, the Court reversed with respect to the remedy and instead severed the flat-dollar limitation, leaving the percentage-based limitation intact. ETC Sunoco previously recognized approximately $67 million ($53 million after federal income tax benefits) in tax benefit based on previously filed tax returns and certain previously filed protective claims held pending the Nextel matter. Based upon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Pennsylvania Supreme Court’s October 2017 decision, and because of uncertainty in the breadth of the application of the decision, ETC Sunoco reserved $34 million ($27 million after federal income tax benefits) against the receivable. On December 22, 2021, the Pennsylvania Supreme Court found in General Motors Corporation v. Commonwealth (“GM”) that the taxpayer was entitled to meaningful backwards looking relief under the Due Process Clause, meaning the Commonwealth must equalize the taxpayer’s position with taxpayers who were not affected by the NOL cap in place for the year at issue. The Court therefore held the taxpayer was entitled to a refund by calculating its tax for that year with an uncapped NOL deduction. We believed the Pennsylvania Supreme Court’s ruling in GM would more likely than not be upheld if challenged by the Commonwealth, and we reversed the reserve thereby recognizing the entire tax benefit of $34 million ($27 million after federal income tax effects). On November 20, 2024, the Pennsylvania Supreme Court reversed its earlier holding in GM and determined taxpayers are not entitled to refunds for excess taxes paid in earlier years. A motion for rehearing of this decision was filed with the court on December 4, 2024. Following the reversal of the GM decision, we reinstated the reserve.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IRS Audits</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Partnership’s 2020 U.S. Federal income tax return is currently under examination by the IRS. In general, Energy Transfer and its subsidiaries are no longer subject to examination by the IRS, and most state jurisdictions, for the 2019 and prior tax years. Energy Transfer and its other subsidiaries also have various state and local income tax returns in the process of examination or administrative appeal in various jurisdictions. We believe the appropriate accruals or unrecognized tax benefits have been recorded for any potential assessment with respect to these examinations.</w:t>
      </w:r>
    </w:p>
    <w:p>
      <w:pPr>
        <w:spacing w:after="0" w:line="12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USAC is currently under examination by the IRS for years 2019 and 2020. The IRS has issued preliminary partnership examination changes, along with imputed underpayment computations. Based on discussions with the IRS, USAC has estimated a potential range of loss up to $28 million, including interest. Once a final partnership imputed underpayment, if any, is determined, USAC’s general partner may either elect to pay the imputed underpayment (including any applicable penalties and interest) directly to the IRS or, if eligible, issue a revised information statement to each USAC unitholder, and former USAC unitholder, as applicable, with respect to an audited and adjusted return.</w:t>
      </w:r>
    </w:p>
    <w:p>
      <w:pPr>
        <w:spacing w:after="0" w:line="125" w:lineRule="exact"/>
        <w:rPr>
          <w:sz w:val="20"/>
          <w:szCs w:val="20"/>
          <w:color w:val="auto"/>
        </w:rPr>
      </w:pPr>
    </w:p>
    <w:p>
      <w:pPr>
        <w:ind w:left="340" w:right="2260" w:hanging="332"/>
        <w:spacing w:after="0" w:line="438" w:lineRule="auto"/>
        <w:tabs>
          <w:tab w:leader="none" w:pos="325"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MATTERS, COMMITMENTS, CONTINGENCIES AND ENVIRONMENTAL LIABILITIES</w:t>
      </w:r>
      <w:r>
        <w:rPr>
          <w:rFonts w:ascii="Times New Roman" w:cs="Times New Roman" w:eastAsia="Times New Roman" w:hAnsi="Times New Roman"/>
          <w:sz w:val="18"/>
          <w:szCs w:val="18"/>
          <w:b w:val="1"/>
          <w:bCs w:val="1"/>
          <w:color w:val="auto"/>
        </w:rPr>
        <w:t>: FERC Proceedings</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Rover – FERC – Stoneman House</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late 2016, FERC Enforcement Staff began a non-public investigation related to Rover’s purchase and removal of a potentially historic home (known as the Stoneman House) while Rover’s application for permission to construct the new 711-mile interstate natural gas pipeline and related facilities was pending. On March 18, 2021, FERC issued an Order to Show Cause and Notice of Proposed Penalty (Docket No. IN19-4-000), ordering Rover to explain why it should not pay a $20 million civil penalty for alleged violations of FERC regulations requiring certificate holders to be forthright in their submissions of information to the FERC. Rover filed its answer and denial to the order on June 21, 2021 and a surreply on September 15, 2021. FERC issued an order on January 20, 2022 setting the matter for hearing before an administrative law judge. The hearing was set to commence on March 6, 2023; as explained below, this FERC proceeding has been stayed.</w:t>
      </w:r>
    </w:p>
    <w:p>
      <w:pPr>
        <w:spacing w:after="0" w:line="134"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 2022, Energy Transfer and Rover filed a Complaint for Declaratory Relief in the United States District Court for the Northern District of Texas (the “Federal District Court”) seeking an order declaring that FERC must bring its enforcement action in federal district court (instead of before an administrative law judge). Also on February 1, 2022, Energy Transfer and Rover filed an expedited request to stay the proceedings before the FERC administrative law judge pending the outcome of the Federal District Court case. On May 24, 2022, the Federal District Court ordered a stay of the FERC’s enforcement case and the District Court case pending the resolution of two cases pending before the United States Supreme Court. Arguments were heard in those cases on November 7, 2022. On April 14, 2023, the United States Supreme Court held against the government in both cases, finding that the federal district courts had jurisdiction to hear those suits and to resolve the parties’ constitutional challenges. The cases were remanded to the federal district courts for further proceedings.</w:t>
      </w:r>
    </w:p>
    <w:p>
      <w:pPr>
        <w:spacing w:after="0" w:line="137"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13, 2023, the Federal District Court ordered that the Federal District Court case would be stayed pending the resolution of another case pending before the United States Supreme Court and that the FERC enforcement case would remain stayed. On November 13, 2023, the FERC appealed the Federal District Court order to the United States Court of Appeals for the Fifth Circuit. On December 11, 2023, FERC filed a motion to withdraw that appeal, which the Fifth Circuit granted on December 12, 2023. The FERC and the Federal District Court proceedings were stayed pending resolution of the case pending before the United States Supreme Court. The Supreme Court issued a decision in that case on June 27,</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right="660"/>
        <w:spacing w:after="0" w:line="438" w:lineRule="auto"/>
        <w:rPr>
          <w:sz w:val="20"/>
          <w:szCs w:val="20"/>
          <w:color w:val="auto"/>
        </w:rPr>
      </w:pPr>
      <w:r>
        <w:rPr>
          <w:rFonts w:ascii="Times New Roman" w:cs="Times New Roman" w:eastAsia="Times New Roman" w:hAnsi="Times New Roman"/>
          <w:sz w:val="18"/>
          <w:szCs w:val="18"/>
          <w:color w:val="auto"/>
        </w:rPr>
        <w:t xml:space="preserve">2024. The FERC and District Court proceedings remain stayed at this time. Energy Transfer and Rover intend to vigorously defend this claim. </w:t>
      </w:r>
      <w:r>
        <w:rPr>
          <w:rFonts w:ascii="Times New Roman" w:cs="Times New Roman" w:eastAsia="Times New Roman" w:hAnsi="Times New Roman"/>
          <w:sz w:val="18"/>
          <w:szCs w:val="18"/>
          <w:b w:val="1"/>
          <w:bCs w:val="1"/>
          <w:i w:val="1"/>
          <w:iCs w:val="1"/>
          <w:color w:val="auto"/>
        </w:rPr>
        <w:t>Rover – FERC – Tuscarawas</w:t>
      </w:r>
    </w:p>
    <w:p>
      <w:pPr>
        <w:spacing w:after="0" w:line="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In mid-2017, FERC Enforcement Staff began a non-public investigation regarding allegations that diesel fuel may have been included in the drilling mud at the Tuscarawas River horizontal directional drilling (“HDD”) operations. Rover and the Partnership are cooperating with the investigation. In 2019, Enforcement Staff provided Rover with a notice pursuant to Section 1b.19 of the FERC regulations that Enforcement Staff intended to recommend that the FERC pursue an enforcement action against Rover and the Partnership. On December 16, 2021, FERC issued an Order to Show Cause and Notice of Proposed Penalty (Docket No. IN17-4-000), ordering Rover and Energy Transfer to show cause why they should not be found to have violated Section 7(e) of the Natural Gas Act, Section 157.20 of FERC’s regulations, and the Rover Pipeline Certificate Order, and assessed civil penalties of $40 million.</w:t>
      </w:r>
    </w:p>
    <w:p>
      <w:pPr>
        <w:spacing w:after="0" w:line="13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Rover and Energy Transfer filed their answer to this order on March 21, 2022, and Enforcement Staff filed a reply on April 20, 2022. Rover and Energy Transfer filed their surreply to this order on May 13, 2022. FERC has taken no further action on the case since that time.</w:t>
      </w:r>
    </w:p>
    <w:p>
      <w:pPr>
        <w:spacing w:after="0" w:line="10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primary contractor (and one of the subcontractors) responsible for the HDD operations of the Tuscarawas River site have agreed to indemnify Rover and the Partnership for any and all losses, including any fines and penalties from government agencies, resulting from their actions in conducting such HDD operations. Given the stage of the proceedings, the Partnership is unable at this time to provide an assessment of the potential outcome or range of potential liability, if any; however, the Partnership believes the indemnity described above will be applicable to the penalty proposed by Enforcement Staff and intends to vigorously defend itself against the subject claims.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FERC Proceedings</w:t>
      </w:r>
    </w:p>
    <w:p>
      <w:pPr>
        <w:spacing w:after="0" w:line="175"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8"/>
          <w:szCs w:val="18"/>
          <w:color w:val="auto"/>
        </w:rPr>
        <w:t>By an order issued on January 16, 2019, the FERC initiated a review of Panhandle’s then existing rates pursuant to Section 5 of the Natural Gas Act to determine whether the rates charged by Panhandle are just and reasonable and set the matter for hearing. On August 30, 2019, Panhandle filed a general rate proceeding under Section 4 of the Natural Gas Act. The Natural Gas Act Section 5 and Section 4 proceedings were consolidated by order of the Chief Judge on October 1, 2019. The initial decision by the administrative law judge was issued on March 26, 2021, and on December 16, 2022, the FERC issued its order on the initial decision. On January 17, 2023, Panhandle and the Michigan Public Service Commission each filed a request for rehearing of FERC’s order on the initial decision, which were denied by operation of law as of February 17, 2023. On March 23, 2023, Panhandle appealed these orders to the United States Court of Appeals for the District of Columbia Circuit (“Court of Appeals”), and the Michigan Public Service Commission also subsequently appealed these orders. On April 25, 2023, the Court of Appeals consolidated Panhandle’s and Michigan Public Service Commission’s appeals and stayed the consolidated appeal proceeding while the FERC further considered the requests for rehearing of its December 16, 2022 order. On September 25, 2023, the FERC issued its order addressing arguments raised on rehearing and compliance, which denied our requests for rehearing. Panhandle filed its Petition for Review with the Court of Appeals regarding the September 25, 2023 order. On October 25, 2023, Panhandle filed a limited request for rehearing of the September 25 order addressing arguments raised on rehearing and compliance, which was subsequently denied by operation of law on November 27, 2023. On November 17, 2023, Panhandle provided refunds to shippers and on November 30, 2023, Panhandle submitted a refund report regarding the consolidated rate proceedings, which was protested by several parties. On January 5, 2024, the FERC issued a second order addressing arguments raised on rehearing in which it modified certain discussion from its September 25, 2023 order and sustained its prior conclusions. Panhandle has timely filed its Petition for Review with the Court of Appeals regarding the January 5, 2024 order. On May 28, 2024, the FERC issued an order rejecting Panhandle’s refund report. On June 27, 2024, Panhandle filed a revised refund report in compliance with the FERC’s May 28, 2024 order rejecting Panhandle’s refund report and a request for rehearing of the FERC’s May 28, 2024 order rejecting Panhandle’s refund report, and provided revised refunds to shippers, or in the case of shippers whose revised refunds are less than the original amounts refunded, notices of upcoming debits. One party protested Panhandle’s revised refund report, and Panhandle submitted a response to the protest on July 24, 2024. By notice issued July 29, 2024, Panhandle’s rehearing request was deemed denied. In an ordered issued September 9, 2024, FERC addressed arguments raised on rehearing, modified the discussion in the May 28, 2024 order and continued to reach the same result. On September 18, 2024, Panhandle petitioned the Court of Appeals for review of the September 9, 2024, July 29, 2024, and May 28, 2024 orders. On December 5, 2024, the FERC issued an order rejecting Panhandle’s June 27, 2024, refund report, ordering a corrected refund report and directing the issuance of additional refunds. On January 3, 2025, Panhandle submitted an adjusted refund report as well as a request for rehearing of the FERC’s December 5, 2024 order. The FERC approved the adjusted refund report by letter order dated January 23, 2025. On February 3, 2025, the FERC</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issued a Notice of Denial of Rehearing by Operation of Law and Providing for Further Consideration. The request for rehearing will be addressed in a future order.</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December 1, 2022, Sea Robin filed a general rate proceeding under Section 4 of the NGA reflecting a general rate increase for gathering and transportation services. The parties reached a settlement in the case, and the settlement was filed with the FERC on December 29, 2023 and approved by order dated February 21, 2024.</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Energy Transfer purchases, processes and sells natural gas pursuant to long-term contracts and enters into long-term transportation and storage agreements. Such contracts contain terms that are customary in the industry. Energy Transfer believes that the terms of these agreements are commercially reasonable and will not have a material adverse effect on the Partnership’s financial position or results of operations.</w:t>
      </w:r>
    </w:p>
    <w:p>
      <w:pPr>
        <w:spacing w:after="0" w:line="12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Our joint venture agreements require that we fund our proportionate share of capital contributions to our unconsolidated affiliates. Such contributions will depend upon the unconsolidated affiliates’ capital requirements, such as for funding capital projects or repayment of long-term obligations.</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have certain non-cancelable rights-of-way (“ROW”) commitments which require fixed payments and either expire upon our chosen abandonment or at various dates in the future. The following table reflects ROW expense included in operating expenses in the accompanying consolidated statements of operations: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ROW expense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Litigation and Contingencies</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We may, from time to time, be involved in litigation and claims arising out of our operations in the normal course of business. Due to the flammable and combustible nature of natural gas and crude oil, the potential exists for personal injury and/or property damage to occur in connection with their transportation, storage or use. In the ordinary course of business, we are sometimes threatened with or named as a defendant in various lawsuits seeking actual and punitive damages for product liability, personal injury and property damage. We maintain liability insurance with insurers in amounts and with coverage and deductibles management believes are reasonable and prudent, and which are generally accepted in the industry. However, there can be no assurance that the levels of insurance protection currently in effect will continue to be available at reasonable prices or that such levels will remain adequate to protect us from material expenses related to product liability, personal injury or property damage in the future.</w:t>
      </w:r>
    </w:p>
    <w:p>
      <w:pPr>
        <w:spacing w:after="0" w:line="13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or our subsidiaries are parties to various legal proceedings, arbitrations and/or regulatory proceedings incidental to our businesses. For each of these matters, we evaluate the merits of the case, our exposure to the matter, possible legal or settlement strategies, the likelihood of an unfavorable outcome and the availability of insurance coverage. If we determine that an unfavorable outcome of a particular matter is probable and can be estimated, we accrue the contingent obligation, as well as any expected insurance recoverable amounts related to the contingency. As new information becomes available, our estimates may change. The impact of these changes may have a significant effect on our results of operations in a single period.</w:t>
      </w:r>
    </w:p>
    <w:p>
      <w:pPr>
        <w:spacing w:after="0" w:line="1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As of December 31, 2024 and 2023, accruals of approximately $281 million and $285 million, respectively, were reflected on our consolidated balance sheets related to contingent obligations that met both the probable and reasonably estimable criteria. In addition, we may recognize additional contingent losses in the future related to (i) contingent matters for which a loss is currently considered reasonably possible but not probable and/or (ii) losses in excess of amounts that have already been accrued for such contingent matters. In some of these cases, we are not able to estimate possible losses or a range of possible losses in excess of amounts accrued. For such matters where additional contingent losses can be reasonably estimated, the range of additional losses is estimated to be up to approximately $75 million.</w:t>
      </w:r>
    </w:p>
    <w:p>
      <w:pPr>
        <w:spacing w:after="0" w:line="133"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outcome of these matters cannot be predicted with certainty and there can be no assurance that the outcome of a particular matter will not result in the payment of amounts that have not been accrued for the matter. Furthermore, we may revise accrual amounts or our estimates of reasonably possible losses prior to resolution of a particular contingency based on changes in facts and circumstances or changes in the expected outcome.</w:t>
      </w:r>
    </w:p>
    <w:p>
      <w:pPr>
        <w:spacing w:after="0" w:line="12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following sections include descriptions of certain matters that could impact the Partnership’s financial position, results of operations and/or cash flows in future periods. The following sections also include updates to certain matters that have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previously been disclosed, even if those matters are not anticipated to have a potentially significant impact on future periods. In addition to the matters disclosed in the following sections, the Partnership is also involved in multiple other matters that could impact future periods, including other lawsuits and arbitration related to the Partnership’s commercial agreements. With respect to such matters, contingencies that met both the probable and reasonably estimable criteria have been included in the accruals disclosed above, and the range of additional losses disclosed above also reflects any relevant amounts for such matters.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Dakota Access Pipeline</w:t>
      </w:r>
    </w:p>
    <w:p>
      <w:pPr>
        <w:spacing w:after="0" w:line="175"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7"/>
          <w:szCs w:val="17"/>
          <w:color w:val="auto"/>
        </w:rPr>
        <w:t>On July 27, 2016, the Standing Rock Sioux Tribe (“SRST”) filed a lawsuit in the United States District Court for the District of Columbia (“District Court”) challenging permits issued by the United States Army Corps of Engineers (“USACE”) that allowed Dakota Access to cross the Missouri River at Lake Oahe in North Dakota. The case was subsequently amended to challenge an easement issued by the USACE that allowed the pipeline to cross land owned by the USACE adjacent to the Missouri River. Dakota Access and the Cheyenne River Sioux Tribe (“CRST”) intervened. Separate lawsuits filed by the Oglala Sioux Tribe (“OST”) and the Yankton Sioux Tribe (“YST”) were consolidated with this action and several individual tribal members intervened (collectively, with SRST and CRST, the “Tribes”). On March 25, 2020, the District Court remanded the case back to the USACE for preparation of an Environment Impact Statement (“EIS”). On July 6, 2020, the District Court vacated the easement and ordered the Dakota Access Pipeline to be shut down and emptied of oil by August 5, 2020. Dakota Access and the USACE appealed to the Court of Appeals which granted an administrative stay of the District Court’s July 6 order and ordered further briefing on whether to fully stay the July 6 order. On August 5, 2020, the Court of Appeals (1) granted a stay of the portion of the District Court order that required Dakota Access to shut the pipeline down and empty it of oil,</w:t>
      </w:r>
    </w:p>
    <w:p>
      <w:pPr>
        <w:spacing w:after="0" w:line="4" w:lineRule="exact"/>
        <w:rPr>
          <w:sz w:val="20"/>
          <w:szCs w:val="20"/>
          <w:color w:val="auto"/>
        </w:rPr>
      </w:pPr>
    </w:p>
    <w:p>
      <w:pPr>
        <w:jc w:val="both"/>
        <w:ind w:left="340" w:hanging="8"/>
        <w:spacing w:after="0" w:line="253" w:lineRule="auto"/>
        <w:tabs>
          <w:tab w:leader="none" w:pos="6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denied a motion to stay the March 25 order pending a decision on the merits by the Court of Appeals as to whether the USACE would be required to prepare an EIS and (3) denied a motion to stay the District Court’s order to vacate the easement during this appeal process. The August 5 order also states that the Court of Appeals expected the USACE to clarify its position with respect to whether USACE intended to allow the continued operation of the pipeline notwithstanding the vacatur of the easement and that the District Court may consider additional relief, if necessary.</w:t>
      </w:r>
    </w:p>
    <w:p>
      <w:pPr>
        <w:spacing w:after="0" w:line="13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August 10, 2020, the District Court ordered the USACE to submit a status report by August 31, 2020, clarifying its position with regard to its decision-making process with respect to the continued operation of the pipeline. On August 31, 2020, the USACE submitted a status report that indicated that it considered the presence of the pipeline at the Lake Oahe crossing without an easement to constitute an encroachment on federal land, and that it was still considering whether to exercise its enforcement discretion regarding this encroachment. The Tribes subsequently filed a motion seeking an injunction to stop the operation of the pipeline and both USACE and Dakota Access filed briefs in opposition of the motion for injunction. The motion for injunction was fully briefed as of January 8, 2021.</w:t>
      </w:r>
    </w:p>
    <w:p>
      <w:pPr>
        <w:spacing w:after="0" w:line="133"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January 26, 2021, the Court of Appeals affirmed the District Court’s March 25, 2020 order requiring an EIS and its July 6, 2020 order vacating the easement. In this same January 26 order, the Court of Appeals also overturned the District Court’s July 6, 2020 order that the pipeline shut down and be emptied of oil. Dakota Access filed for rehearing en banc on April 12, 2021, which the Court of Appeals denied. On September 20, 2021, Dakota Access filed a petition with the U.S. Supreme Court to hear the case. Oppositions were filed by the Solicitor General (December 17, 2021) and the Tribes (December 16, 2021). Dakota Access filed their reply on January 4, 2022. On February 22, 2022, the U.S. Supreme Court declined to hear the case.</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District Court scheduled a status conference for February 10, 2021 to discuss the effects of the Court of Appeals’ January 26, 2021 order on the pending motion for injunctive relief, as well as USACE’s expectations as to how it will proceed regarding its enforcement discretion regarding the easement. On May 3, 2021, USACE advised the District Court that it had not changed its position with respect to its opposition to the Tribes’ motion for injunction. On May 21, 2021, the District Court denied the plaintiffs’ request for an injunction. On June 22, 2021, the District Court terminated the consolidated lawsuits and dismissed all remaining outstanding counts without prejudice.</w:t>
      </w:r>
    </w:p>
    <w:p>
      <w:pPr>
        <w:spacing w:after="0" w:line="1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September 8, 2023, the USACE published the Draft EIS. Comments on the Draft EIS were due on December 13, 2023. The USACE anticipates that a Final EIS will be issued in December 2025 and a Record of Decision will be issued in early 2026. The pipeline continues to operate pending completion of the EIS. Energy Transfer cannot determine when or how future lawsuits will be resolved or the impact they may have on the Bakken Pipeline; however, Energy Transfer expects that after the law and complete record are fully considered, any such proceeding will be resolved in a manner that will allow the pipeline to continue to operate.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addition, lawsuits and/or regulatory proceedings or actions of this or a similar nature could result in interruptions to construction or operations of current or future projects, delays in completing those projects and/or increased project costs, all of which could have an adverse effect on our business and results of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Standing Rock Sioux Tribe in Federal Court in District of Columbia</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Dakota Access is the subject of litigation in the U.S. District Court for the District of Columbia. The Standing Rock Sioux Tribe (“SRST”) sued the USACE arguing that the USACE’s alleged failure to stop Dakota Access from operating violates numerous laws, including the Mineral Leasing Act, the Government Acquisition and Streamlining Act, NEPA, the Clean Water Act, the National Historic Preservation Act, the Administrative Procedure Act as well as the 1868 Fort Laramie Treaty. The SRST requests a permanent injunction or writ of mandamus that would compel the USACE to shut Dakota Access down pending the completion of the USACE’s Environmental Impact Statement (“EIS”) and decision on whether to grant Dakota Access an easement under the Mineral Leasing Act.</w:t>
      </w:r>
    </w:p>
    <w:p>
      <w:pPr>
        <w:spacing w:after="0" w:line="133"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On October 15, 2024, the SRST filed the above referenced complaint. A summons to the USACE was issued on October 17, 2024. Dakota Access, the state of North Dakota and numerous other states have intervened in the lawsuit in support of the USACE. Dakota Access intends to vigorously defend against these new claims.</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January 17, 2025, the USACE, Dakota Access and state intervenors (including North Dakota and thirteen other states) each filed a motion to dismiss all of the claims in the new SRST litigation. Also, on January 17, 2025, the SRST filed a motion for partial summary judgment on certain of their claims. Briefing on the motions to dismiss and the motion for partial summary judgment is ongoing.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Louisiana Dispute with New Generation Gas Gathering LLC</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August 31, 2023, Energy Transfer and ETC Texas Pipeline, LTD amended the next day to be ETC Texas Pipeline, Ltd, Gulf Run Transmission, LLC, Enable Midstream Partners, LP and ETC Tiger Pipeline, LLC (collectively “Energy Transfer”), filed a petition for declaratory judgment against New Generation Gas Gathering LLC (“NG3”) in the 42nd Judicial District Court of DeSoto Parish, Louisiana. In relation to seven specific servitudes in DeSoto Parish, Louisiana underlying Energy Transfer natural gas pipelines, Energy Transfer requested declarations from the Court that, pursuant to Louisiana Civil Code Article 720, NG3 must obtain Energy Transfer’s permission to install NG3’s proposed pipelines across the Energy Transfer servitudes so that Energy Transfer may determine if NG3’s proposed installation of its proposed pipelines would interfere with Energy Transfer’s use of its existing servitudes.</w:t>
      </w:r>
    </w:p>
    <w:p>
      <w:pPr>
        <w:spacing w:after="0" w:line="13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November 13, 2023, NG3 filed its answer and reconventional demand (a Louisiana term for counterclaim) asserting six claims against the entities asserting the claim, as well as against Energy Transfer. In Count I, NG3 seeks declaratory judgment that Energy Transfer lacks the right to object to its proposed crossings of Energy Transfer’s natural gas pipelines that adversely affect Energy Transfer. In Counts II–VI, NG3 asserts five causes of action alleging that Energy Transfer’s objection and lawsuit seeking court determination that it has the right to object to NG3’s request to cross Energy Transfer’s pipelines more than one hundred times constitutes tortious conduct, an abuse of Energy Transfer’s rights, an unfair trade practice, and a violation of Louisiana Monopolies Act sections prohibiting conspiracies, monopolies and attempted monopolies.</w:t>
      </w:r>
    </w:p>
    <w:p>
      <w:pPr>
        <w:spacing w:after="0" w:line="13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December 7, 2023, the trial court set the deadline for Energy Transfer to respond to NG3’s reconventional demand as February 9, 2024, set a hearing on any exceptions for March 25, 2024, and set a trial date for September 9, 2024. The parties have begun written discovery.</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February 7, 2024, the Attorney General for the State of Louisiana, Public Protection Division (the “AG”) gave notice of a complaint filed by NG3. NG3 asserts that Energy Transfer violated Louisiana Revised Statutes 51:1401, et seq., the Unfair Trade Practices and Consumer Protection Law. The AG has not investigated this matter and it makes no determination as to the merits of matter.</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March 25, 2024, the trial court denied Energy Transfer’s motion to strike NG3’s Counts II-VI, Energy Transfer’s exceptions, and NG3’s exceptions. Energy Transfer filed an appeal of the trial court’s orders denying its exceptions and motion to strike. The appeal was heard on an expedited basis and denied.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4, 2024, a Joint Motion to Dismiss with Prejudice was filed ending the litigation.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Williams Antitrust Litigation</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June 28, 2024, Louisiana Energy Gateway LLC, The Williams Companies, Inc., and Williams Fields Services Group, LLC (“Williams”) filed a Petition for Damages against Energy Transfer and Gulf Run Transmission, LLC (“Gulf Run”) 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42nd Judicial District Court, Parish of DeSoto, State of Louisiana, alleging that Energy Transfer and/or Gulf Run have monopolized, conspired to monopolize, and/or attempted to monopolize the relevant product and geographic market for the movement of natural gas from the Haynesville Shale in northwestern Louisiana south to natural gas facilities in the Louisiana Gulf Coast (the “Relevant Market”), engaged in acquisitions that have directly enabled and incentivized to substantially lessen competition, and engaged in unfair methods of competition and unfair trade practices.</w:t>
      </w:r>
    </w:p>
    <w:p>
      <w:pPr>
        <w:spacing w:after="0" w:line="12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September 16, 2024, Energy Transfer and Gulf Run removed the case to the U.S. District Court for the Western District of Louisiana. On October 4, 2024, Williams filed a Motion to Remand, seeking to remand the case back to the 42nd Judicial District Court. On October 21, 2024, Energy Transfer and Gulf Run filed a consent to remand based on a subsequent change in circumstances. After the case was remanded, on November 18, 2024, Energy Transfer and Gulf Run filed a Peremptory Exception of No Cause, asserting that Williams failed to state a cause of action. The Peremptory Exception was set for hearing on February 10, 2025 and denied.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Mont Belvieu Incident</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June 26, 2016, a hydrocarbon storage well located on another operator’s facility adjacent to Lone Star NGL Mont Belvieu LP’s (“Lone Star,” now known as Energy Transfer Mont Belvieu NGLs LP) facilities in Mont Belvieu, Texas experienced an over-pressurization resulting in a subsurface release. The subsurface release caused a fire at Lone Star’s South Terminal and damage to Lone Star’s storage well operations at its South and North Terminals. Normal operations resumed at the facilities in the fall of 2016, with the exception of one of Lone Star’s storage wells at the North Terminal that has not been returned to service. Lone Star has obtained payment for most of the losses it has submitted to the adjacent operator. Lone Star continues to quantify and seek reimbursement for outstanding losses.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MTBE Litigation</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ETC Sunoco and Energy Transfer R&amp;M (collectively, “Sunoco Defendants”)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12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2024, Sunoco Defendants are defendants in two cases: one case initiated by the State of Maryland and one by the Commonwealth of Pennsylvania. The actions brought also named as defendants ETO, ETP Holdco and Sunoco Partners Marketing &amp; Terminals L.P., now known as Energy Transfer Marketing &amp; Terminals L.P. ETP Holdco and Energy Transfer Marketing &amp; Terminals L.P. are wholly owned subsidiaries of Energy Transfer.</w:t>
      </w:r>
    </w:p>
    <w:p>
      <w:pPr>
        <w:spacing w:after="0" w:line="12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Rover - State of Ohio</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November 3, 2017, the State of Ohio and the Ohio Environmental Protection Agency (“Ohio EPA”) filed suit against Rover and other defendants (collectively, the “Defendants”) seeking to recover approximately $2.6 million in civil penalties allegedly owed and certain injunctive relief related to permit compliance. The Defendants filed several motions to dismiss, which were granted on all counts. The Ohio EPA appealed, and on December 9, 2019, the Fifth District Court of Appeals entered a unanimous judgment affirming the trial court. The Ohio EPA sought review from the Ohio Supreme Court. On April 22, 2020, the Ohio Supreme Court granted the review. On March 17, 2022, the Ohio Supreme Court reversed in part and remanded to the Ohio trial court. The Ohio Supreme Court agreed with Rover that the State of Ohio had waived its rights under Section 401 of the Clean Water Act but remanded to the trial court to determine whether any of the allegations fell outside the scope of the waiver.</w:t>
      </w:r>
    </w:p>
    <w:p>
      <w:pPr>
        <w:spacing w:after="0" w:line="13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remand, the Ohio EPA voluntarily dismissed four of the other five defendants and dismissed one of its counts against Rover. In its Fourth Amended Complaint, the Ohio EPA removed all paragraphs that alleged violations by the four dismissed defendants, including those where the dismissed defendants were alleged to have acted jointly with Rover or others. At a June 2, 2022, status conference, the trial judge set a schedule for Rover and the other remaining defendant to file motions to dismiss the Fourth Amended Complaint. On August 1, 2022, Rover and the other remaining defendant each filed their respective motions. Briefing on those motions was completed on November 4, 2022. By order issued on October 20, 2023, the trial judge dismissed the Ohio EPA’s Fourth Amended Complaint.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November 17, 2023, the State of Ohio appealed the trial judge’s decision to Ohio’s Fifth District Court of Appeals. The State filed its initial brief on January 8, 2024. Energy Transfer and Rover filed a responsive brief on February 20, 2024. The State filed a reply brief on February 26, 2024. Oral argument on the appeal was held on August 27, 2024. On October 1, 2024, Ohio’s Fifth District Court of Appeals affirmed the trial judge’s decision. The State of Ohio sought permission to appeal this decision from the Ohio State Supreme Court. Energy Transfer and Rover have opposed such permission. On January 28, 2025, the Ohio State Supreme Court declined to hear the State’s appeal. The State of Ohio could seek reconsideration of this Order with the Ohio Supreme Court or attempt to seek review from the U.S. Supreme Court. Energy Transfer and Rover intend to vigorously defend this claim.</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Unitholder Litigation Regarding Pipeline Construction</w:t>
      </w:r>
    </w:p>
    <w:p>
      <w:pPr>
        <w:spacing w:after="0" w:line="175"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Various purported unitholders of Energy Transfer have filed derivative actions against various past and current officers and members of Energy Transfer’s Board of Directors, LE GP, LLC, and Energy Transfer, as a nominal defendant that assert claims for breach of fiduciary duties, unjust enrichment, waste of corporate assets, breach of Energy Transfer’s Partnership Agreement, tortious interference, abuse of control and gross mismanagement related primarily to matters involving the construction of pipelines in Pennsylvania and Ohio. They also seek damages and changes to Energy Transfer’s corporate governance structure. See Bettiol v. LE GP, Case No. 3:19-cv-02890-X (N.D. Tex.); Davidson v. Kelcy L. Warren, Cause No. DC-20-02322 (44th Judicial District of Dallas County, Texas); Harris v. Kelcy L. Warren, Case No. 2:20-cv-00364-GAM (E.D. Pa.); Barry King v. LE GP, Case No. 3:20-cv-00719-X (N.D. Tex.); Inter-Marketing Group USA, Inc. v. LE GP, et al., Case No. 2022-0139-SG (Del. Ch.); Elliot v. LE GP LLC, Case No. 3:22-cv-01527-B (N.D. Tex.); Chapa v. Kelcy L. Warren, et al., Index No. 611307/2022 (N.Y. Sup. Ct.); Elliott v. LE GP et al, Cause No. DC-22-14194 (Dallas County, Tex.); and Charles King v. LE GP, LLC et al, Cause No. DC-22-14159 (Dallas County, Texas). The Barry King action that was filed in the United States District Court for the Northern District of Texas (Case No. 3:20-cv-00719-X) has been consolidated with the Bettiol action. On August 9, 2022, the Elliot action that was filed in the United States District Court for the Northern District of Texas (Case No. 3:22-cv-01527-B) was voluntarily dismissed.</w:t>
      </w:r>
    </w:p>
    <w:p>
      <w:pPr>
        <w:spacing w:after="0" w:line="136"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Another purported unitholder of Energy Transfer, Allegheny County Employees’ Retirement System (“ACERS”), individually and on behalf of all others similarly situated, filed a suit under the federal securities laws purportedly on behalf of a class, against Energy Transfer and three of Energy Transfer’s directors: Kelcy L. Warren, John W. McReynolds and Thomas E. Long. See Allegheny County Emps.’ Ret. Sys. v. Energy Transfer LP, Case No. 2:20-00200-GAM (E.D. Pa.). On June 15, 2020, ACERS filed an amended complaint and added as additional defendants Energy Transfer directors Marshall S. McCrea and Matthew S. Ramsey, as well as Michael J. Hennigan and Joseph McGinn. The amended complaint asserts claims for violations of Sections 10(b) and 20(a) of the Exchange Act and Rule 10b-5 promulgated thereunder related primarily to matters involving the construction of pipelines in Pennsylvania. On August 14, 2020, the defendants filed a motion to dismiss ACERS’ amended complaint. On April 6, 2021, the court granted in part and denied in part the defendants’ motion to dismiss. The court held that ACERS could proceed with its claims regarding certain statements put at issue by the amended complaint while also dismissing claims based on other statements. The court also dismissed without prejudice the claims against defendants McReynolds, McGinn and Hennigan. On August 23, 2022, the court granted in part and denied in part ACERS’ motion for class certification. The court certified a class consisting of those who purchased or otherwise acquired common units of Energy Transfer between February 25, 2017 and November 11, 2019. On January 19, 2024, the defendants filed a motion for summary judgment on all of the claims asserted in ACERS’ amended complaint, and ACERS filed a motion for partial summary judgment. The Court heard oral argument on the parties’ motions for summary judgment on July 15, 2024. On August 8, 2024, the Court ruled on the parties’ cross motions for summary judgment. The Court granted defendants’ motion in part, entering judgment for defendants on loss causation for two categories of challenged statements, thereby significantly reducing the class period and potential damages. The Court also granted plaintiffs’ motion for partial summary judgment in part, entering judgment for plaintiffs on the elements of falsity and the scienter of certain individuals as to four of the challenged statements.</w:t>
      </w:r>
    </w:p>
    <w:p>
      <w:pPr>
        <w:spacing w:after="0" w:line="13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June 3, 2022, another purported unitholder of Energy Transfer, Mike Vega, filed suit, purportedly on behalf of a class, against Energy Transfer and Messrs. Warren, Long, McCrea and Whitehurst. See Vega v. Energy Transfer LP et al., Case No. 1:22-cv-4614 (S.D.N.Y.). The action asserts claims for violations of Sections 10(b) and 20(a) of the Securities Exchange Act of 1934 and Rule 10b-5 promulgated thereunder related primarily to statements made in connection with the construction of Rover. On August 10, 2022, the court appointed the New Mexico State Investment Council and Public Employees Retirement Association of New Mexico (the “New Mexico Funds”) as lead plaintiffs. New Mexico Funds filed an amended complaint on September 30, 2022 and added as additional defendants Energy Transfer directors John W. McReynolds and Matthew S. Ramsey. On November 7, 2022, the court granted the defendants’ motion to transfer and transferred this action to the United States District Court for the Northern District of Texas. On January 27, 2023, the defendants filed their motion to dismiss the New Mexico Funds’ amended complaint.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defendants cannot predict the outcome of these lawsuits or any lawsuits that might be filed subsequent to the date of this filing, nor can the defendants predict the amount of time and expense that will be required to resolve these lawsuits. However, the defendants believe that the claims are without merit and intend to vigorously contest them.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Cline Class Action</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July 7, 2017, Perry Cline filed a class action complaint in the Eastern District of Oklahoma against Sunoco, Inc. (R&amp;M), LLC (now known as Energy Transfer R&amp;M) and Energy Transfer Marketing &amp; Terminals L.P. (collectively, “ETMT”) that alleged ETMT failed to make timely payments of oil and gas proceeds from Oklahoma wells and to pay statutory interest for those untimely payments. On October 3, 2019, the District Court certified a class to include all persons who received untimely payments from Oklahoma wells on or after July 7, 2012, and who have not already been paid statutory interest on the untimely payments (the “Class”). Excluded from the Class are those entitled to payments of proceeds that qualify as “minimum pay,” prior period adjustments and pass through payments, as well as governmental agencies and publicly traded oil and gas companies.</w:t>
      </w:r>
    </w:p>
    <w:p>
      <w:pPr>
        <w:spacing w:after="0" w:line="13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After a bench trial, on August 17, 2020, Judge John Gibney (sitting from the Eastern District of Virginia) issued an opinion that awarded the Class actual damages of $74.8 million for late payment interest for identified and unidentified royalty owners and interest-on-interest. This amount was later amended to $80.7 million to account for interest accrued from trial (the “Order”). Judge Gibney also awarded punitive damages in the amount of $75 million. The Class is also seeking attorneys’ fees.</w:t>
      </w:r>
    </w:p>
    <w:p>
      <w:pPr>
        <w:spacing w:after="0" w:line="126"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On August 27, 2020, ETMT filed its Notice of Appeal with the 10th Circuit Court of Appeals (“10th Circuit”) and appealed the entirety of the Order. The matter was fully briefed, and oral argument was set for November 15, 2021. However, on November 1, 2021, the 10th Circuit dismissed the appeal due to jurisdictional concerns with finality of the Order. En banc rehearing of this decision was denied on November 29, 2021. On December 1, 2021, ETMT filed a Petition for Writ of Mandamus to the 10th Circuit to correct the jurisdictional problems and secure final judgment. On February 2, 2022, the 10th Circuit denied the Petition for Writ of Mandamus, citing that there are other avenues for ETMT to obtain adequate relief. On February 10, 2022, ETMT filed a Motion to Modify the Plan of Allocation Order and Issue a Rule 58 Judgment with the trial court, requesting the District Court to enter a final judgment in compliance with the Rules. ETMT also filed an injunction with the trial court to enjoin all efforts by plaintiffs to execute on any non-final judgment. On March 31, 2022, Judge Gibney denied the Motion to Modify the Plan of Allocation, reiterating his thoughts that the order constitutes a final judgment. Judge Gibney granted the injunction in part (placing a hold on enforcement efforts for 60 days) and denied the injunction in part. The injunction has since been lifted.</w:t>
      </w:r>
    </w:p>
    <w:p>
      <w:pPr>
        <w:spacing w:after="0" w:line="14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Despite the fact that ETMT has taken the position that the judgment is not final and not subject to execution, the Class engaged in asset discovery and actively tried to collect on the judgment through garnishment proceedings from ETMT’s customers. ETMT unsuccessfully tried to deposit the funds into the District Court’s Registry. Accordingly, to stop the garnishment proceedings, on December 2, 2022, ETMT wired approximately $161 million to the Plaintiff’s approved Plan Administrator, which represented at the time the full amount of the judgment with attorney’s fees and post-judgment interest. ETMT did so without waiving its ability to pursue its pending appeal or its right to appeal the merits of the judgment. Plaintiff has since dismissed the garnishment actions.</w:t>
      </w:r>
    </w:p>
    <w:p>
      <w:pPr>
        <w:spacing w:after="0" w:line="133"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ETMT cannot predict the outcome of the case, nor can ETMT predict the amount of time and expense that will be required to resolve the appeal. ETMT has been vigorous and diligent in its appeals relating to the finality issues underlying the Order and appealed the denial of the Motion to Modify to the 10th Circuit in an attempt to get a decision on finality. The appeal was fully briefed, and oral argument was held on March 21, 2023. On August 3, 2023, the 10th Circuit ruled in favor of ETMT and found that the district court’s plan of allocation (which was part of the final judgment) did not satisfy all finality requirements. The Court held that the district court abused its discretion in denying ETMT’s Rule 60(b)(6) Motion to Modify and reversed and remanded for further proceedings. The case was sent back to the trial court so that the district court could fix the finality requirements with the judgment. Further, ETMT sought and recovered a return of funds deposited with the Plan Administrator; Class Counsel did not oppose this motion.</w:t>
      </w:r>
    </w:p>
    <w:p>
      <w:pPr>
        <w:spacing w:after="0" w:line="138"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At a status hearing on September 28, 2023, Class Counsel indicated that it would seek additional interest up until the date that the final judgment is entered. The District Court asked for briefing on the issue of additional interest and held a hearing on October 17, 2023 to address this issue further and enter a ruling as to whether additional interest should be added to the judgment total. During the hearing, the District Court ruled that additional interest should be awarded at the 12% statutory rate from the date of the prior improper judgment up until October 17, 2023. However, the Judge tolled the running of interest for the time period during which the Plan Administrator was in possession of ETMT’s funds (between November 2, 2022 and October 10, 2023). Based on this ruling, the Class calculated that approximately $23 million in additional interest should be added to the final judgment. On October 19, 2023, the District Court entered the new final judgment with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 corrected Plan of Allocation. Both parties agree that this newly entered judgment fixes the finality concerns and will allow an appeal to the 10th Circuit on the merits. With the inclusion of additional interest, the total amount awarded to the Plaintiffs is approximately $104 million in actual damages and $75 million in punitive damages. ETMT has appealed the entirety of the judgment to the Tenth Circuit. Oral argument took place on November 20, 2024 and the parties are awaiting a decision.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12121"/>
        </w:rPr>
        <w:t>Energy Transfer LP and ETC Texas Pipeline, Ltd. v. Culberson Midstream LLC, et al.</w:t>
      </w:r>
    </w:p>
    <w:p>
      <w:pPr>
        <w:spacing w:after="0" w:line="175"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On April 8, 2022, Energy Transfer and ETC Texas Pipeline, Ltd. (“ETC,” and together with Energy Transfer, “Plaintiffs”) filed suit against Culberson Midstream LLC (“Culberson”), Culberson Midstream Equity, LLC (“Culberson Equity”), and Moontower Resources Gathering, LLC (“Moontower”). On October 1, 2018, ETC and Culberson entered into a Gas Gathering and Processing Agreement (the “Bypass GGPA”) under which Culberson was to gather gas from its dedicated acreage and deliver all committed gas exclusively to ETC. In connection with the Bypass GGPA, on October 18, 2018, Energy Transfer and Culberson Equity also entered into an Option Agreement. Under the Option Agreement, Culberson Equity and Moontower had the right (but not the obligation) to require Energy Transfer to purchase their respective interests in Culberson by way of a put option. Notably, the Option Agreement is only enforceable so long as the parties comply with the Bypass GGPA. In late March 2022, Culberson Equity and Moontower submitted a put notice to Energy Transfer seeking to require Energy Transfer to purchase their respective interests in Culberson for approximately $93 million. On April 8, 2022, Plaintiffs filed suit against Culberson, Culberson Equity and Moontower asserting claims for declaratory judgment and breach of contract, contending that they materially breached the Bypass GGPA by sending some committed gas to third parties and also by failing to send any gas to Plaintiffs since March 2020, and thus that Culberson Equity’s and Moontower’s put notice is void. Culberson, Culberson Equity, and Moontower have answered the lawsuit. Additionally, Culberson filed a counterclaim against ETC for breach of the Bypass GGPA, seeking the recovery of damages and attorneys’ fees. Culberson Equity and Moontower also filed a counterclaim against Energy Transfer for (1) breach of the Option Agreement, and (2) a declaratory judgment concerning Energy Transfer’s alleged obligation to purchase the Culberson interests. The lawsuit is pending in the 193rd Judicial District Court (“the Court”) in Dallas County, Texas. On April 27, 2022, Culberson filed an application for a temporary restraining order, temporary injunction, and permanent injunction, and Culberson Equity and Moontower joined in that request. The Court held a hearing on the application on April 28 and denied the injunction. In early May, Culberson filed a motion to enforce the appraisal process and confirm the validity of their put price calculation, to which Plaintiffs objected. On July 11, 2022, the Court held a hearing on the motion, and on July 19, 2022, the Court ordered the parties to engage in an appraisal process regarding the put price. An independent appraiser was appointed and issued his decision on October 15, 2022, concluding that the put price totals $93 million. Plaintiffs have consistently reiterated their objection to the appraisal process and conclusion.</w:t>
      </w:r>
    </w:p>
    <w:p>
      <w:pPr>
        <w:spacing w:after="0" w:line="13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October 6, 2022, Culberson, Culberson Equity and Moontower filed a motion for summary judgment, but the Court postponed considering it until after further document discovery and depositions. On December 7, 2022, Plaintiffs amended their petition to add Moontower Resources Operating, LLC and Moontower Resources WI, LLC as Defendants, and to assert a claim against all Defendants for fraudulent inducement.</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Defendants refiled updated motions for summary judgment on May 5, 2023, seeking summary judgment on: (1) Plaintiffs’ breach of contract and declaratory judgment claims on a no-evidence basis; (2) Plaintiffs’ fraud and alter ego claims on a no-evidence basis; and (3) Plaintiffs’ fraud claim on a traditional basis. Plaintiffs responded on June 6, 2023. Defendants submitted their replies in support of summary judgment on June 12, 2023.</w:t>
      </w:r>
    </w:p>
    <w:p>
      <w:pPr>
        <w:spacing w:after="0" w:line="12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June 5, 2023, counsel for Defendants informed the Court via a letter that Defendants were continuing the submission date of the no-evidence motion regarding Plaintiffs’ breach of contract and declaratory judgment claims, noting that such submission would be rescheduled along with a traditional summary judgment motion regarding the same subject matter. To that end, on July 17, 2023, Defendant Culberson Midstream, LLC filed a Traditional Motion for Summary Judgment on Plaintiffs’ Breach of Contract and Declaratory Judgment Claims, while Defendants Culberson Midstream Equity, LLC and Moontower Resources Gathering filed a Motion for Partial Summary Judgment Regarding the Breach of the Option Agreement. Further, on July 25, 2023, Defendants filed a Traditional and No-Evidence Motion for Summary Judgment Regarding Damages and Recission. On July 28, 2023, in turn, Plaintiff ETC Texas Pipeline, Ltd. filed a Traditional Motion for Partial Summary Judgment on Breach of Contract and Declaratory Judgment.</w:t>
      </w:r>
    </w:p>
    <w:p>
      <w:pPr>
        <w:spacing w:after="0" w:line="13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September 20, 2023, the Court held oral argument on the various Motions for Summary Judgment. Following oral argument, on September 26, 2023, the Court ruled on each of the Motions. The Court denied Defendants’ Traditional Motion for Partial Summary Judgment Regarding Fraud, Defendants’ No Evidence Motion for Summary Judgment Regarding Plaintiffs’ Fraud and Alter Ego Claims, Defendants’ Traditional and No Evidence Motion for Partial Summary Judgment Regarding Damages and Rescission, and Plaintiff ETC Texas Pipeline, Ltd.’s Traditional Motion for Partial Summary Judgment on Breach of Contract and Declaratory Judgment. The Court granted Culberson Midstream, LLC’s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Traditional Motion for Partial Summary Judgment Seeking Dismissal of Plaintiffs’ Breach of Contract and Declaratory Judgment Claims and Culberson Midstream Equity, LLC and Moontower Resources Gathering, LLC’s Motion for Partial Summary Judgment Regarding Breach of the Option Agreement. On June 26, 2024, the Fifth Court of Appeals (Dallas) denied Defendants’ motion seeking permission to allow an interlocutory appeal of the order denying their Traditional Motion for Partial Summary Judgment Regarding Fraud. Subsequently, Culberson Midstream Equity, LLC and Moontower Resources Gathering, LLC moved for reconsideration of their Motion for Summary Judgment on Fraud in the trial court, and a hearing on that motion was held on July 25, 2024, which was subsequently denied. Culberson Midstream Equity, LLC and Moontower Resources Gathering, LLC additionally appealed the Court of Appeals’ denial of their permissive interlocutory appeal to the Texas Supreme Court. At the Texas Supreme Court’s request, Energy Transfer filed briefing on this matter on October 14, 2024.</w:t>
      </w:r>
    </w:p>
    <w:p>
      <w:pPr>
        <w:spacing w:after="0" w:line="13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October 1, 2024, Plaintiff Energy Transfer filed a notice of removal of the lawsuit to the Dallas division of the Texas Business Court. After briefing from both parties regarding the propriety of such removal, the Business Court remanded the case to the 193rd District Court in Dallas County on October 10, 2024. Energy Transfer appealed the remand order to the Fifteenth Court of Appeals.</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Effective January 15, 2025, the parties resolved the pending disputes between them. On January 25, 2025, the parties filed a motion for the entry of an Agreed Order of Dismissal dismissing Energy Transfer’s pending claims with prejudice and vacating the Court’s November 7, 2023, Judgment. This matter is now concluded.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Massachusetts Attorney General v. New England Gas Company</w:t>
      </w:r>
    </w:p>
    <w:p>
      <w:pPr>
        <w:spacing w:after="0" w:line="175"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8"/>
          <w:szCs w:val="18"/>
          <w:color w:val="auto"/>
        </w:rPr>
        <w:t>On July 7, 2011, the Massachusetts Attorney General (the “MA AG”) filed a regulatory complaint with the Massachusetts Department of Public Utilities (“DPU”) against New England Gas Company (“NEG”) with respect to certain environmental cost recoveries. NEG was an operating division of Southern Union Company (“SUG”), and the NEG assets were acquired in connection with the merger transaction with Energy Transfer in March 2012. Subsequent to the merger, in 2013, SUG sold the NEG assets to Liberty Utilities (“Liberty,” and together with NEG and SUG, “Respondents”) and retained certain potential liabilities, including the environmental cost recoveries with respect to the pending complaint before the DPU. Specifically, the MA AG seeks a refund to NEG’s ratepayers for approximately $18 million in legal fees associated with SUG environmental response activities. The MA AG requests that the DPU initiate an investigation into NEG’s collection and reconciliation of recoverable environmental costs, namely: (1) the legal fees charged by the Kasowitz, Benson, Torres &amp; Friedman firm and passed through the recovery mechanism since 2005; (2) the legal fees charged by the Bishop, London &amp; Dodds firm and passed through the recovery mechanisms since 2005; and (3) the legal fees passed through the recovery mechanism that the MA AG contends only qualify for a lesser (i.e., 50%) level of recovery. Respondents maintain that, by tariff, these costs are recoverable through rates charged to NEG customers pursuant to the environmental remediation adjustment clause program. After the Respondents answered the complaint and filed a motion to dismiss in 2011, the Hearing Officer deferred decision on the motion to dismiss and issued a stay of discovery pending resolution of a discovery dispute, which it later lifted on June 24, 2013, permitting the case to resume. However, the MA AG failed to take any further steps to prosecute its claims for nearly seven years. The case remained largely dormant until February 2022, when the Hearing Officer denied the motion to dismiss. After receiving input from the parties, the Hearing Officer entered a procedural schedule on March 16, 2022 (which was amended slightly on August 22, 2022). The parties engaged in discovery and the preparation of pre-filed testimony. Respondents submitted their pre-filed testimony on July 11, 2022. The MA AG served three sets of discovery requests on Respondents on September 9, September 12, and September 20, respectively, to which Respondents timely responded. On October 5, 2022, the MA AG requested that the DPU issue a ruling on whether the information that Respondents redacted in their attorneys’ fees invoices is protected by the attorney-client privilege. On the same day, the MA AG also filed a Motion to Stay the Procedural Schedule pending a ruling on the privilege issue. On October 6, 2022, without even affording Respondents the opportunity to respond, the DPU granted the MA AG’s request to stay the procedural schedule. Accordingly, all previous deadlines (including the MA AG’s October 7, 2022, deadline to submit direct pre-filed testimony) are presently stayed. On October 18, 2023, the DPU issued an Order on Attorney General’s Motion to Compel, ruling on issues originally raised in a motion to compel that the MA AG filed in 2013. The October 18, 2023 Order directed NEG to review its redactions again and, to the extent any invoices are completely redacted or heavily redacted, to provide more lightly redacted versions within 30 days. The October 18, 2023 Order also stated that the DPU will set a new procedural schedule in this matter sometime after NEG complies with the directives in the order, which the Partnership has completed as of January 17, 2024. The matter remains stayed until the DPU sets a new procedural schedule.</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Crestwood Midstream Partners, LP – Linde Litigation</w:t>
      </w:r>
    </w:p>
    <w:p>
      <w:pPr>
        <w:spacing w:after="0" w:line="17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On December 23, 2019, Linde Engineering North America Inc. (“Linde”) filed a lawsuit in the District Court of Harris County, Texas alleging that Arrow Field Services, LLC, our consolidated subsidiary, and Crestwood Midstream Partners,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LP (collectively, “Crestwood”) breached a contract entered into in March 2018 under which Linde was to provide engineering, procurement and construction services to Crestwood related to the completion of the construction of the Bear Den II cryogenic processing plant.</w:t>
      </w:r>
    </w:p>
    <w:p>
      <w:pPr>
        <w:spacing w:after="0" w:line="10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Trial was held in June 2022, and a final judgment was entered on October 24, 2022. The final judgment includes an award of damages of approximately $20.7 million, a pre-judgment interest award of approximately $17.7 million and attorney fees and other costs of approximately $4.7 million. Crestwood has insurance coverage related to certain pre-judgment interest awards but has not recorded a receivable related to any potential insurance recovery on June 30, 2023. On January 9, 2023, Crestwood paid approximately $21.2 million to the Court Registry under protest to mitigate the impact of post-judgment interest. Crestwood filed a Notice of Appeal on January 13, 2023, and filed its Appellate Brief on September 29, 2023. Linde’s response was filed on February 8, 2024. Oral argument was held on September 26, 2024.</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December 17, 2024, the First Court of Appeals in Houston issued its opinion, in which it reversed the trial court judgment in part and affirmed it in part. The appellate court reversed the awards to Linde of $17.7 million in interest and $4.7 million for fees and other costs. This reversal reduces the judgment amount by approximately $22.4 million. The appellate court affirmed the damages award to Linde of $20.7 million. The appellate court remanded the case to the trial court to recompute the prejudgment interest award. Linde can seek further review of this decision by filing a petition for review in the Texas Supreme Court.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State of Oklahoma Attorney General – Winter Storm Uri</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 xml:space="preserve">On April 10, 2024, the State of Oklahoma, through Attorney General Gentner Drummond, filed a petition on behalf of Grand River Dam Authority against Defendants ET Gathering &amp; Processing, LLC, successor by merger to Enable Midstream Partners, LP, Enable Oklahoma Intrastate Transmission, LLC, Enable Gas Transmission, LLC and Enable Energy Resources, LLC arising out of Winter Storm Uri in February 2021. Specifically, plaintiff alleges that defendants violated the Oklahoma Antitrust Reform Act (79 O.S. §201,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by acting individually and in concert with each other to unreasonably restrain trade in the natural gas market in Oklahoma during the storm. Plaintiff also alleges causes of action for breach of contract, unjust enrichment, fraud, bad faith, conspiracy and negligence. Plaintiff’s petition seeks actual damages, punitive damages, treble damages and attorney’s fees and costs. However, the actual amount sought was not specified.</w:t>
      </w:r>
    </w:p>
    <w:p>
      <w:pPr>
        <w:spacing w:after="0" w:line="13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June 3, 2024, defendants filed a Motion to Dismiss and, alternatively, a Motion to Transfer Venue, along with a Brief in Support. In its Motion to Dismiss, defendants argued that plaintiff’s petition fails to state a claim upon which relief can be granted and also that such claims should be dismissed because collateral estoppel bars plaintiff from bringing allegations inconsistent with earlier agency and judicial findings that the extreme cold weather —not defendants’ conduct—caused the natural gas shortage and resulting high prices during Winter Storm Uri. Defendants also argued that plaintiff’s suit should be dismissed for filing suit in the wrong forum or, alternatively, should be transferred to the correct county of venue (Oklahoma County). Plaintiff filed its response brief on July 12, 2024. A hearing on both motions was held on October 15, 2024. On January 16, 2025, the Judge denied all motions, noting (1) that venue is proper in Osage County; (2) collateral estoppel does not bar recovery; (3) the Plaintiffs can plead inconsistent theories of recovery; and (4) the recovery is public in nature and not foreclosed by statute of limitations</w:t>
      </w:r>
    </w:p>
    <w:p>
      <w:pPr>
        <w:spacing w:after="0" w:line="13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In a separate matter filed on January 9, 2025, the State of Oklahoma ex rel. Gentner Drummond, Attorney General of Oklahoma (“Plaintiff”) filed a Petition against ETC Marketing Ltd. ETC Marketing Inc. (“ETCM”) and other natural gas marketers in Case No. CJ-25-06 in the District Court of Osage County, Oklahoma, arising out of Winter Storm Uri in February 2021. The Oklahoma Attorney General brought this action on behalf of its state agencies, political subdivisions and the people of the State of Oklahoma. Specifically, Plaintiff alleges that the defendants violated the Oklahoma Antitrust Reform Act (79 O.S. §201, et. seq.) by acting individually and in concert with each other to unreasonably restrain trade in the natural gas market in Oklahoma during the storm. Plaintiff also alleges causes of action for unjust enrichment and violation of the Consumer Protection Act. Plaintiff’s Petition seeks damages in excess of $75,000, including actual damages, punitive damages, treble damages, and attorney’s fees and costs. However, the actual amount sought was not specified.</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Defendants cannot predict the ultimate outcome of this litigation but will vigorously defend against these claims.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Tax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York Motor Fuel Excise Tax Audits</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ETMT, Sunoco LLC and Sunoco Retail LLC are currently under motor fuel excise tax audits in the state of New York for the periods of March 2017 through May 2020. These audits are currently ongoing and no assessments have been made. We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cannot predict the outcome of these audits; however, to the extent material assessments may be issued, we would expect to use all appropriate administrative and legal measures to defend our positions.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USAC – Oklahoma Tax Commission</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USAC is currently protesting certain assessments made by the Oklahoma Tax Commission (“OTC”). In August 2024, the administrative law judge (“ALJ”) assigned by the OTC accepted our position that the transactions are not taxable. The OTC subsequently requested a motion for reconsideration, which was denied by the ALJ. The OTC then requested an “en banc” hearing from the OTC Commissioners, which the OTC Commissioners denied and adopted the conclusions of the ALJ, thereby effectively closing the matter.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Our operations are subject to extensive federal, tribal, state and local environmental and safety laws and regulations that require expenditures to ensure compliance, including related to air emissions and wastewater discharges, at operating facilities and for remediation at current and former facilities as well as waste disposal sites. Historically, our environmental compliance costs have not had a material adverse effect on our results of operations but there can be no assurance that such costs will not be material in the future or that such future compliance with existing, amended or new legal requirements will not have a material adverse effect on our business and operating results. Costs of planning, designing, constructing and operating pipelines, plants and other facilities must incorporate compliance with environmental laws and regulations and safety standards. Failure to comply with these laws and regulations may result in the assessment of administrative, civil and criminal penalties, the imposition of investigatory, remedial and corrective action obligations, natural resource damages, the issuance of injunctions in affected areas and the filing of federally authorized citizen suits. Contingent losses related to all significant known environmental matters have been accrued and/or separately disclosed. However, we may revise accrual amounts prior to resolution of a particular contingency based on changes in facts and circumstances or changes in the expected outcome.</w:t>
      </w:r>
    </w:p>
    <w:p>
      <w:pPr>
        <w:spacing w:after="0" w:line="14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Environmental exposures and liabilities are difficult to assess and estimate due to unknown factors such as the magnitude of possible contamination, the timing and extent of remediation, the determination of our liability in proportion to other parties, improvements in cleanup technologies and the extent to which environmental laws and regulations may change in the future. Although environmental costs may have a significant impact on our results of operations for any single period, we believe that such costs will not have a material adverse effect on our financial position.</w:t>
      </w:r>
    </w:p>
    <w:p>
      <w:pPr>
        <w:spacing w:after="0" w:line="12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Based on information available at this time and reviews undertaken to identify potential exposure, we believe the amount reserved for environmental matters is adequate to cover the potential exposure for cleanup costs.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subsidiaries are responsible for environmental remediation at certain sites, including the following:</w:t>
      </w:r>
    </w:p>
    <w:p>
      <w:pPr>
        <w:spacing w:after="0" w:line="117" w:lineRule="exact"/>
        <w:rPr>
          <w:sz w:val="20"/>
          <w:szCs w:val="20"/>
          <w:color w:val="auto"/>
        </w:rPr>
      </w:pPr>
    </w:p>
    <w:p>
      <w:pPr>
        <w:ind w:left="660" w:hanging="328"/>
        <w:spacing w:after="0" w:line="282"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interstate pipelines conduct soil and groundwater remediation related to contamination from past uses of PCBs. PCB assessments are ongoing and, in some cases, our subsidiaries could be contractually responsible for contamination caused by other parties.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gathering and processing systems are responsible for soil and groundwater remediation related to releases of hydrocarbons.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sites related to Sunoco, Inc. that are subject to environmental assessments, including formerly owned terminals and other logistics assets, retail sites that the Partnership no longer operates, closed and/or sold refineries and other formerly owned sites.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potentially subject to joint and several liability for the costs of remediation at sites at which it has been identified as a potentially responsible party (“PRP”). As of December 31, 2024, the Partnership had been named as a PRP at approximately 31 identified or potentially identifiable “Superfund” sites under federal and/or comparable state law. The Partnership is usually one of a number of companies identified as a PRP at a site. The Partnership has reviewed the nature and extent of its involvement at each site and other relevant circumstances and, based upon the Partnership’s purported nexus to the sites, believes that its potential liability associated with such sites will not be significant.</w:t>
      </w:r>
    </w:p>
    <w:p>
      <w:pPr>
        <w:spacing w:after="0" w:line="1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To the extent estimable, expected remediation costs are included in the amounts recorded for environmental matters in our consolidated balance sheets. In some circumstances, future costs cannot be reasonably estimated because remediation activities are undertaken as claims are made by customers and former customers. To the extent that an environmental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remediation obligation is recorded by a subsidiary that applies regulatory accounting policies, amounts that are expected to be recoverable through tariffs or rates are recorded as regulatory assets on our consolidated balance sheets.</w:t>
      </w:r>
    </w:p>
    <w:p>
      <w:pPr>
        <w:spacing w:after="0" w:line="10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amounts of accrued liabilities recorded in our consolidated balance sheets related to environmental matters that are considered to be probable and reasonably estimable. Currently, we are not able to estimate possible losses or a range of possible losses in excess of amounts accrued. Except for matters discussed above, we do not have any material environmental matters assessed as reasonably possible that would require disclosure in our consolidated financial statements.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have established a wholly 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w:t>
      </w:r>
    </w:p>
    <w:p>
      <w:pPr>
        <w:spacing w:after="0" w:line="12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Partnership recorded $11 million and $29 million, respectively, of expenditures related to environmental cleanup programs.</w:t>
      </w:r>
    </w:p>
    <w:p>
      <w:pPr>
        <w:spacing w:after="0" w:line="10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Our pipeline operations are subject to regulation by the DOT under PHMSA, pursuant to which PHMSA has established requirements relating to the design, installation, testing, construction, operation, replacement and management of pipeline facilities. Moreover, PHMSA, through the Office of Pipeline Safety, has promulgated a rule requiring pipeline operators to develop integrity management programs to comprehensively evaluate their pipelines, and take measures to protect pipeline segments located in what the rule refers to as “high consequence areas.” Activities under these integrity management programs involve the performance of internal pipeline inspections, pressure testing or other effective means to assess the integrity of these regulated pipeline segments, and the regulations require prompt action to address integrity issues raised by the assessment and analysis. Integrity testing and assessment of all of these assets will continue, and the results of such testing and assessment could cause us to incur future capital and operating expenditures for repairs or upgrades deemed necessary to ensure the continued safe and reliable operation of our pipelines; however, no estimate can be made at this time of the likely range of such expenditures.</w:t>
      </w:r>
    </w:p>
    <w:p>
      <w:pPr>
        <w:spacing w:after="0" w:line="13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Our operations are also subject to the requirements of OSHA, and comparable state laws that regulate the protection of the health and safety of employees. In addition, the Occupational Safety and Health Administration’s hazardous communication standard requires that information be maintained about hazardous materials used or produced in our operations and that this information be provided to employees, state and local government authorities and citizens. We believe that our past costs for OSHA required activities, including general industry standards, record keeping requirements and monitoring of occupational exposure to regulated substances have not had a material adverse effect on our results of operations; however, there is no assurance that such costs will not be material in the future.</w:t>
      </w:r>
    </w:p>
    <w:p>
      <w:pPr>
        <w:spacing w:after="0" w:line="129" w:lineRule="exact"/>
        <w:rPr>
          <w:sz w:val="20"/>
          <w:szCs w:val="20"/>
          <w:color w:val="auto"/>
        </w:rPr>
      </w:pPr>
    </w:p>
    <w:p>
      <w:pPr>
        <w:ind w:left="340" w:right="8900" w:hanging="332"/>
        <w:spacing w:after="0" w:line="466" w:lineRule="auto"/>
        <w:tabs>
          <w:tab w:leader="none" w:pos="335" w:val="left"/>
        </w:tabs>
        <w:numPr>
          <w:ilvl w:val="0"/>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REVENUE</w:t>
      </w:r>
      <w:r>
        <w:rPr>
          <w:rFonts w:ascii="Times New Roman" w:cs="Times New Roman" w:eastAsia="Times New Roman" w:hAnsi="Times New Roman"/>
          <w:sz w:val="17"/>
          <w:szCs w:val="17"/>
          <w:b w:val="1"/>
          <w:bCs w:val="1"/>
          <w:color w:val="auto"/>
        </w:rPr>
        <w:t>: Disaggregation of revenue</w:t>
      </w: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major types of revenue within our reportable segments are as follows:</w:t>
      </w:r>
    </w:p>
    <w:p>
      <w:pPr>
        <w:spacing w:after="0" w:line="117" w:lineRule="exact"/>
        <w:rPr>
          <w:rFonts w:ascii="Times New Roman" w:cs="Times New Roman" w:eastAsia="Times New Roman" w:hAnsi="Times New Roman"/>
          <w:sz w:val="17"/>
          <w:szCs w:val="17"/>
          <w:b w:val="1"/>
          <w:bCs w:val="1"/>
          <w:color w:val="auto"/>
        </w:rPr>
      </w:pPr>
    </w:p>
    <w:p>
      <w:pPr>
        <w:ind w:left="660" w:hanging="328"/>
        <w:spacing w:after="0"/>
        <w:tabs>
          <w:tab w:leader="none" w:pos="6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midstream;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refined products transportation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transportation and services;</w:t>
      </w:r>
    </w:p>
    <w:p>
      <w:pPr>
        <w:spacing w:after="0" w:line="117" w:lineRule="exact"/>
        <w:rPr>
          <w:rFonts w:ascii="Times New Roman" w:cs="Times New Roman" w:eastAsia="Times New Roman" w:hAnsi="Times New Roman"/>
          <w:sz w:val="18"/>
          <w:szCs w:val="18"/>
          <w:color w:val="auto"/>
        </w:rPr>
      </w:pPr>
    </w:p>
    <w:p>
      <w:pPr>
        <w:ind w:left="660" w:right="8720" w:hanging="328"/>
        <w:spacing w:after="0" w:line="407" w:lineRule="auto"/>
        <w:tabs>
          <w:tab w:leader="none" w:pos="65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Sunoco LP; ◦ fuel distribution;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33" w:lineRule="exact"/>
        <w:rPr>
          <w:sz w:val="20"/>
          <w:szCs w:val="20"/>
          <w:color w:val="auto"/>
        </w:rPr>
      </w:pPr>
    </w:p>
    <w:p>
      <w:pPr>
        <w:ind w:left="980" w:hanging="324"/>
        <w:spacing w:after="0"/>
        <w:tabs>
          <w:tab w:leader="none" w:pos="9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systems;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USAC;</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operations;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parts and services;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w:t>
      </w:r>
    </w:p>
    <w:p>
      <w:pPr>
        <w:spacing w:after="0" w:line="171" w:lineRule="exact"/>
        <w:rPr>
          <w:sz w:val="20"/>
          <w:szCs w:val="20"/>
          <w:color w:val="auto"/>
        </w:rPr>
      </w:pPr>
    </w:p>
    <w:p>
      <w:pPr>
        <w:ind w:left="340" w:right="1760"/>
        <w:spacing w:after="0" w:line="438" w:lineRule="auto"/>
        <w:rPr>
          <w:sz w:val="20"/>
          <w:szCs w:val="20"/>
          <w:color w:val="auto"/>
        </w:rPr>
      </w:pPr>
      <w:r>
        <w:rPr>
          <w:rFonts w:ascii="Times New Roman" w:cs="Times New Roman" w:eastAsia="Times New Roman" w:hAnsi="Times New Roman"/>
          <w:sz w:val="18"/>
          <w:szCs w:val="18"/>
          <w:color w:val="auto"/>
        </w:rPr>
        <w:t xml:space="preserve">Note 16 depicts the disaggregation of revenue by segment, with revenue amounts reflected in accordance with ASC Topic 606. </w:t>
      </w:r>
      <w:r>
        <w:rPr>
          <w:rFonts w:ascii="Times New Roman" w:cs="Times New Roman" w:eastAsia="Times New Roman" w:hAnsi="Times New Roman"/>
          <w:sz w:val="18"/>
          <w:szCs w:val="18"/>
          <w:b w:val="1"/>
          <w:bCs w:val="1"/>
          <w:i w:val="1"/>
          <w:iCs w:val="1"/>
          <w:color w:val="auto"/>
        </w:rPr>
        <w:t>Intrastate transportation and storage revenue</w:t>
      </w:r>
    </w:p>
    <w:p>
      <w:pPr>
        <w:spacing w:after="0" w:line="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Our intrastate transportation and storage segment’s revenues are determined primarily by the volume of capacity our customers reserve as well as the actual volume of natural gas that flows through the transportation pipelines or that is injected or withdrawn into or out of our storage facilities. Firm transportation and storage contracts require customers to pay certain minimum fixed fees regardless of the volume of commodity they transport or store. These contracts typically include a variable incremental charge based on the actual volume of transportation commodity throughput or stored commodity injected/withdrawn. Under interruptible transportation and storage contracts, customers are not required to pay any fixed minimum amounts, but are instead billed based on actual volume of commodity they transport across our pipelines or inject/withdraw into or out of our storage facilities. Payment for services under these contracts are typically due the month after the services have been performed.</w:t>
      </w:r>
    </w:p>
    <w:p>
      <w:pPr>
        <w:spacing w:after="0" w:line="13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performance obligation with respect to firm contracts is a promise to provide a single type of service (transportation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3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performance obligation with respect to interruptible contracts is also a promise to provide a single type of service, but such promise is made on a case-by-case basis at the time the customer requests the service and we accept the customer’s request. Revenue is recognized for interruptible contracts at the time the services are performed.</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intrastate transportation and storage segment also generates revenues and margin from the sale of natural gas to electric utilities, independent power plants, local distribution companies, industrial end-users and other marketing companies on the HPL System. Generally, we purchase natural gas from the market, including purchases from our marketing operations, and from producers at the wellhead.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Interstate transportation and storage revenue</w:t>
      </w:r>
    </w:p>
    <w:p>
      <w:pPr>
        <w:spacing w:after="0" w:line="175"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Our interstate transportation and storage segment’s revenues are determined primarily by the amount of capacity our customers reserve as well as the actual volume of natural gas that flows through the transportation pipelines or that is injected into or withdrawn out of our storage facilities. Our interstate transportation and storage segment’s contracts can be firm or interruptible. Firm transportation and storage contracts require customers to pay certain minimum fixed fees regardless of the volume of commodity transported or stored. In exchange for such fees, we must stand ready to perform a contractually agreed-upon minimum volume of services whenever the customer requests such services. These contracts typically include a variable incremental charge based on the actual volume of transportation commodity throughput or stored commodity injected or withdrawn. Under interruptible transportation and storage contracts, customers are not required to pay any fixed minimum amounts, but are instead billed based on actual volume of commodity they transport across our pipelines or inject into or withdraw out of our storage facilities. Consequently, we are not required to stand ready to provide any contractually agreed-upon volume of service, but instead provides the services based on existing capacity at the time the customer requests the services. Payment for services under these contracts are typically due the month after the services have been performed.</w:t>
      </w:r>
    </w:p>
    <w:p>
      <w:pPr>
        <w:spacing w:after="0" w:line="140"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performance obligation with respect to firm contracts is a promise to provide a single type of service (transportation or storage) daily over the life of the contract, which is fundamentally a “stand-ready” service. While there can be multiple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performance obligation with respect to interruptible contracts is also a promise to provide a single type of services, but such promise is made on a case-by-case basis at the time the customer requests the service and we accept the customer’s request. Revenue is recognized for interruptible contracts at the time the services are performed.</w:t>
      </w:r>
    </w:p>
    <w:p>
      <w:pPr>
        <w:spacing w:after="0" w:line="12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Lake Charles LNG’s revenues are primarily derived from terminalling services for shippers by receiving LNG at the facility for storage and delivering such LNG to shippers, either in liquid state or gaseous state after regasification. Lake Charles LNG derives all of its revenue from a series of long-term contracts with a wholly owned subsidiary of Royal Dutch Shell plc (“Shell”). Terminalling revenue is generated from fees paid by Shell for storage and other associated services at the terminal. Payment for services under these contracts are typically due the month after the services have been performed.</w:t>
      </w:r>
    </w:p>
    <w:p>
      <w:pPr>
        <w:spacing w:after="0" w:line="1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terminalling agreements are considered to be firm agreements, because they include fixed fee components that are charged regardless of the volumes transported by Shell or services provided at the terminal.</w:t>
      </w:r>
    </w:p>
    <w:p>
      <w:pPr>
        <w:spacing w:after="0" w:line="10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performance obligation with respect to firm contracts is a promise to provide a single type of service (terminalling)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Midstream revenue</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Our midstream segment’s revenues are derived primarily from margins we earn for natural gas volumes that are gathered, processed and/or transported. The various types of revenue contracts our midstream segment enters into include:</w:t>
      </w:r>
    </w:p>
    <w:p>
      <w:pPr>
        <w:spacing w:after="0" w:line="106"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Fixed fee gathering and processing: </w:t>
      </w:r>
      <w:r>
        <w:rPr>
          <w:rFonts w:ascii="Times New Roman" w:cs="Times New Roman" w:eastAsia="Times New Roman" w:hAnsi="Times New Roman"/>
          <w:sz w:val="18"/>
          <w:szCs w:val="18"/>
          <w:color w:val="auto"/>
        </w:rPr>
        <w:t>Contracts under which we provide gathering and processing services in exchange for a fixed cash fee per unit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Revenue for cash fees is recognized when the service is performed.</w:t>
      </w:r>
    </w:p>
    <w:p>
      <w:pPr>
        <w:spacing w:after="0" w:line="10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Keepwhole: </w:t>
      </w:r>
      <w:r>
        <w:rPr>
          <w:rFonts w:ascii="Times New Roman" w:cs="Times New Roman" w:eastAsia="Times New Roman" w:hAnsi="Times New Roman"/>
          <w:sz w:val="18"/>
          <w:szCs w:val="18"/>
          <w:color w:val="auto"/>
        </w:rPr>
        <w:t>Contracts under which we gather raw natural gas from a third-party producer, process the gas to convert it to pipeline quality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redeliver to the producer a thermal-equivalent volume of pipeline quality natural gas. In exchange for these services, we retain the NGLs extracted from the raw natural gas received from the producer as well as cash fees paid by the producer. The value of NGLs retained as well as cash fees is recognized as revenue when the services are performed.</w:t>
      </w:r>
    </w:p>
    <w:p>
      <w:pPr>
        <w:spacing w:after="0" w:line="126"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Percent of Proceeds (“POP”): </w:t>
      </w:r>
      <w:r>
        <w:rPr>
          <w:rFonts w:ascii="Times New Roman" w:cs="Times New Roman" w:eastAsia="Times New Roman" w:hAnsi="Times New Roman"/>
          <w:sz w:val="18"/>
          <w:szCs w:val="18"/>
          <w:color w:val="auto"/>
        </w:rPr>
        <w:t>Contracts under which we provide gathering and processing services in exchange for a specified percentage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producer’s commodity (“POP percentage”) and also in some cases additional cash fees. The two types of POP revenue contracts are described below:</w:t>
      </w:r>
    </w:p>
    <w:p>
      <w:pPr>
        <w:spacing w:after="0" w:line="50" w:lineRule="exact"/>
        <w:rPr>
          <w:sz w:val="20"/>
          <w:szCs w:val="20"/>
          <w:color w:val="auto"/>
        </w:rPr>
      </w:pPr>
    </w:p>
    <w:p>
      <w:pPr>
        <w:ind w:left="660" w:hanging="328"/>
        <w:spacing w:after="0" w:line="284"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In-Kind POP: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retain our POP percentage (non-cash consideration) and also any additional cash fees in exchange for providing the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recognize revenue for the non-cash consideration and cash fees at the time the services are performed.</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Mixed POP: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purchase NGLs from the producer and retain a portion of the residue gas as non-cash consideration for services provided.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also receive cash fees for such services. Under Topic 606, these agreements were determined to be hybrid agreements which were partially supply agreements (for the NGLs we purchased) and customer agreements (for the services provided related to the product that was returned to the customer). Given that these are hybrid agreements, we split the cash and non-cash consideration between revenue and a reduction of costs based on the value of the service provided vs. the value of the supply received.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Payment for services under these contracts are typically due the month after the services have been performed.</w:t>
      </w:r>
    </w:p>
    <w:p>
      <w:pPr>
        <w:spacing w:after="0" w:line="171"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performance obligations with respect to our midstream segment’s contracts are to provide gathering, transportation and processing services, each of which would be completed on or about the same time, and each of which would be recognized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the same line item on the income statement, therefore identification of separate performance obligations would not impact the timing or geography of revenue recognition.</w:t>
      </w:r>
    </w:p>
    <w:p>
      <w:pPr>
        <w:spacing w:after="0" w:line="10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Certain contracts of our midstream segment include throughput commitments under which customers commit to purchasing a certain minimum volume of service over a specified time period. If such volume of service is not purchased by the customer, deficiency fees are billed to the customer. In some cases, the customer is allowed to apply any deficiency fees paid to future purchases of services. In such cases, we defer revenue recognition until the customer uses the deficiency fees for services provided or becomes unable to use the fees as payment for future services due to expiration of the contractual period the fees can be applied or physical inability of the customer to utilize the fees due to capacity constraints.</w:t>
      </w:r>
    </w:p>
    <w:p>
      <w:pPr>
        <w:spacing w:after="0" w:line="1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Our midstream segment also generates revenues from the sale of residue gas and NGLs at the tailgate of our processing facilities primarily to affiliates and some third-party customers.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NGL and refined products transportation and services revenue</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Our NGL and refined products transportation and services segment’s revenues are primarily derived from transportation, fractionation, blending and storage of NGL and refined products as well as acquisition and marketing activities. Revenues are generated utilizing a complementary network of pipelines, storage and blending facilities, and strategic offtake locations that provide access to multiple NGL markets. Transportation, fractionation and storage revenue is generated from fees charged to customers under a combination of firm and interruptible contracts. Firm contracts are in the form of take-or-pay arrangements where certain fees will be charged to customers regardless of the volume of service they request for any given period. Under interruptible contracts, customers are not required to pay any fixed minimum amounts, but are instead billed based on actual volume of service provided for any given period. Payment for services under these contracts are typically due the month after the services have been performed.</w:t>
      </w:r>
    </w:p>
    <w:p>
      <w:pPr>
        <w:spacing w:after="0" w:line="13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performance obligation with respect to firm contracts is a promise to provide a single type of service (transportation, fractionation, blending,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3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performance obligation with respect to interruptible contracts is also a promise to provide a single type of services, but such promise is made on a case-by-case basis at the time the customer requests the service and we accept the customer’s request. Revenue is recognized for interruptible contracts at the time the services are performed.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Crude oil transportation and services revenue</w:t>
      </w:r>
    </w:p>
    <w:p>
      <w:pPr>
        <w:spacing w:after="0" w:line="1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Our crude oil transportation and services segment’s revenues are primarily derived from providing transportation, terminalling and acquisition and marketing services to crude oil markets throughout the Southwest, Midwest and Northeast United States. Crude oil transportation revenue is generated from tariffs paid by shippers utilizing our transportation services and is generally recognized as the related transportation services are provided. Crude oil terminalling revenue is generated from fees paid by customers for storage and other associated services at the terminal. Crude oil acquisition and marketing revenue is generated from sale of crude oil acquired from a variety of suppliers to third parties. Payment for services under these contracts are typically due the month after the services have been performed.</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Certain transportation and terminalling agreements are considered to be firm agreements, because they include fixed fee components that are charged regardless of the volume of crude oil transported by the customer or services provided at the terminal. For these agreements, any fixed fees billed in excess of services provided are not recognized as revenue until the earlier of (i) the time at which the customer applies the fees against cost of service provided in a later period, or (ii) the customer becomes unable to apply the fees against cost of future service due to capacity constraints or contractual terms.</w:t>
      </w:r>
    </w:p>
    <w:p>
      <w:pPr>
        <w:spacing w:after="0" w:line="1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performance obligation with respect to firm contracts is a promise to provide a single type of service (transportation or terminalling)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fees associated with actual volume for each respective period are recognized as revenue in the period the incremental volume of service is performed.</w:t>
      </w:r>
    </w:p>
    <w:p>
      <w:pPr>
        <w:spacing w:after="0" w:line="17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performance obligation with respect to interruptible contracts is also a promise to provide a single type of service, but such promise is made on a case-by-case basis at the time the customer requests the service and/or product and we accept the customer’s request. Revenue is recognized for interruptible contracts at the time the services are performed.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Sunoco LP’s fuel distribution revenue</w:t>
      </w:r>
    </w:p>
    <w:p>
      <w:pPr>
        <w:spacing w:after="0" w:line="175"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Revenues from Sunoco LP’s fuel distribution segment are derived from the sale of fuel, non-fuel and lease income. Fuel sales consist primarily of the sale of motor fuel under supply agreements with third-party customers and affiliates. Fuel supply contracts with Sunoco LP’s customers generally provide that it distributes motor fuel at a price based on a formula which includes published rates, volume-based profit margin and other terms specific to the agreement. The customer is invoiced the agreed-upon price with most payment terms ranging less than 30 days. If the consideration promised in a contract includes a variable amount, Sunoco LP estimates the variable consideration amount and factors in such estimate to determine the transaction price under the expected value method. Revenue is recognized under the motor fuel contracts at the point in time the customer takes control of the fuel. At the time control is transferred to the customer the sale is considered final, because the agreements do not grant customers the right to return motor fuel. To determine when control transfers to the customer, the shipping terms of the contract are assessed as a primary indicator of the transfer of control. For free on board ("FOB") shipping point terms, revenue is recognized at the time of shipment. The performance obligation with respect to the sale of goods is satisfied at the time of shipment since the customer gains control at this time under the terms. Shipping and/or handling costs that occur before the customer obtains control of the goods are deemed to be fulfillment activities and are accounted for as fulfillment costs. Once the goods are shipped, Sunoco LP is precluded from redirecting the shipment to another customer and revenue is recognized. Non-fuel revenue includes merchandise revenue that comprises the in-store merchandise and food service sales at company-operated retail stores and other revenue such as credit card processing, car washes, lottery and other services. Lease revenue is derived from the leasing or subleasing of real estate used in the retail distribution of motor fuels.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Sunoco LP’s pipeline systems revenue</w:t>
      </w:r>
    </w:p>
    <w:p>
      <w:pPr>
        <w:spacing w:after="0" w:line="17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Revenues from Sunoco LP’s pipeline systems segment are derived from interstate and intrastate pipeline transportation of refined products, crude oil and anhydrous ammonia and the applicable pipeline tariff on a per barrel basis for crude oil or refined products and on a per ton basis for ammonia.</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Sunoco LP’s terminals revenue</w:t>
      </w:r>
    </w:p>
    <w:p>
      <w:pPr>
        <w:spacing w:after="0" w:line="1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Revenues from Sunoco LP’s terminals segment include fees for tank storage agreements, under which a customer agrees to pay for a certain amount of storage in a tank over a period of time (storage terminal revenues) and throughput agreements, under which a customer pays a fee per barrel for volumes moving through Sunoco LP’s terminals (throughput terminal revenues). Sunoco LP’s terminals also provide blending, additive injections, handling and filtering services for which Sunoco LP charges additional fees. Additionally, Sunoco LP leases certain of its storage tanks in exchange for a fixed fee, subject to an annual consumer price index adjustment.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USAC’s contract operations revenue</w:t>
      </w:r>
    </w:p>
    <w:p>
      <w:pPr>
        <w:spacing w:after="0" w:line="1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USAC’s revenue from contracted compression, natural gas treating and maintenance services is recognized ratably under its fixed-fee contracts over the term of the contract as services are provided to its customers. Initial contract terms typically range from six months to five years; however, USAC usually continues to provide compression services at a specific location beyond the initial contract term, either through contract renewal or on a month-to-month or longer basis. USAC primarily enters into fixed-fee contracts whereby its customers are required to pay the monthly fee even during periods of limited or disrupted throughput. Services are generally billed monthly, one month in advance of the commencement of the service month, except for certain customers who are billed at the beginning of the service month, and payment is generally due 30 days after receipt of the invoice. Amounts invoiced in advance are recorded as deferred revenue until earned, at which time they are recognized as revenue. The amount of consideration USAC receives and revenue it recognizes is based upon the fixed fee rate stated in each service contract.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Variable consideration exists in select contracts when billing rates vary based on actual equipment availability or volume of total installed horsepower.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USAC’s contracts with customers may include multiple performance obligations. For such arrangements, USAC allocates revenues to each performance obligation based on its relative standalone service fee. USAC generally determines standalone service fees based on the service fees charged to customers or using expected cost plus margin.</w:t>
      </w:r>
    </w:p>
    <w:p>
      <w:pPr>
        <w:spacing w:after="0" w:line="12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majority of USAC’s service performance obligations are satisfied over time as services are rendered at selected customer locations on a monthly basis and based upon specific performance criteria identified in the applicable contract. The monthly service for each location is substantially the same service month to month and is promised consecutively over the service contract term. USAC measures progress and performance of the service consistently using a straight-line, time-based method as each month passes, because its performance obligations are satisfied evenly over the contract term as the customer simultaneously receives and consumes the benefits provided by its service. If variable consideration exists, it is allocated to the distinct monthly service within the series to which such variable consideration relates. USAC has elected to apply the invoicing practical expedient to recognize revenue for such variable consideration, as the invoice corresponds directly to the value transferred to the customer based on its performance completed to date.</w:t>
      </w:r>
    </w:p>
    <w:p>
      <w:pPr>
        <w:spacing w:after="0" w:line="138" w:lineRule="exact"/>
        <w:rPr>
          <w:sz w:val="20"/>
          <w:szCs w:val="20"/>
          <w:color w:val="auto"/>
        </w:rPr>
      </w:pPr>
    </w:p>
    <w:p>
      <w:pPr>
        <w:ind w:left="340" w:right="200"/>
        <w:spacing w:after="0" w:line="438" w:lineRule="auto"/>
        <w:rPr>
          <w:sz w:val="20"/>
          <w:szCs w:val="20"/>
          <w:color w:val="auto"/>
        </w:rPr>
      </w:pPr>
      <w:r>
        <w:rPr>
          <w:rFonts w:ascii="Times New Roman" w:cs="Times New Roman" w:eastAsia="Times New Roman" w:hAnsi="Times New Roman"/>
          <w:sz w:val="18"/>
          <w:szCs w:val="18"/>
          <w:color w:val="auto"/>
        </w:rPr>
        <w:t xml:space="preserve">There are typically no material obligations for returns or refunds. USAC’s standard contracts do not usually include material non-cash consideration. </w:t>
      </w:r>
      <w:r>
        <w:rPr>
          <w:rFonts w:ascii="Times New Roman" w:cs="Times New Roman" w:eastAsia="Times New Roman" w:hAnsi="Times New Roman"/>
          <w:sz w:val="18"/>
          <w:szCs w:val="18"/>
          <w:b w:val="1"/>
          <w:bCs w:val="1"/>
          <w:i w:val="1"/>
          <w:iCs w:val="1"/>
          <w:color w:val="auto"/>
        </w:rPr>
        <w:t>USAC’s retail parts and services revenue</w:t>
      </w:r>
    </w:p>
    <w:p>
      <w:pPr>
        <w:spacing w:after="0" w:line="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USAC’s retail parts and services revenue is primarily earned on directly reimbursable freight and crane charges that are the financial responsibility of USAC’s customers and maintenance work on units at its customers’ locations that are outside the scope of its core maintenance activities. Revenue from retail parts and services is recognized at the point in time the part is transferred or service is provided and control is transferred to the customer. At such time, the customer has the ability to direct the use of the benefits of such part or service after USAC has performed its services. USAC bills upon completion of the service or transfer of the parts, and payment is generally due 30 days after receipt of the invoice. The amount of consideration USAC receives and revenue it recognizes is based on the invoice amount. There are typically no material obligations for returns, refunds, or warranties. USAC’s standard contracts do not usually include material variable or non-cash consideration.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 other revenue</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Our all other segment primarily includes our compression equipment business which provides full-service compression design and manufacturing services for the oil and gas industry. It also includes the management of coal and natural resources properties and the related collection of royalties. We also earn revenues from other land management activities, such as selling standing timber, leasing coal-related infrastructure facilities and collecting oil and gas royalties. These operations also include end-user coal handling facilities.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 Balances with Customers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Partnership satisfies its obligations by transferring goods or services in exchange for consideration from customers. The timing of performance may differ from the timing the associated consideration is paid to or received from the customer, thus resulting in the recognition of a contract asset or a contract liability.</w:t>
      </w:r>
    </w:p>
    <w:p>
      <w:pPr>
        <w:spacing w:after="0" w:line="12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Partnership recognizes a contract asset when making upfront consideration payments to certain customers or when providing services to customers prior to the time at which the Partnership is contractually allowed to bill for such services.</w:t>
      </w:r>
    </w:p>
    <w:p>
      <w:pPr>
        <w:spacing w:after="0" w:line="108"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Partnership recognizes a contract liability if the customer’s payment of consideration precedes the Partnership’s fulfillment of the performance obligations. Certain contracts contain provisions requiring customers to pay a fixed minimum fee, but allows customers to apply such fees against services to be provided at a future point in time. These amounts are reflected as deferred revenue until the customer applies the deficiency fees to services provided or becomes unable to use the fees as payment for future services due to expiration of the contractual period the fees can be applied or physical inability of the customer to utilize the fees due to capacity constraints. Additionally, Sunoco LP maintains some franchise agreements requiring dealers to make one-time upfront payments for long-term license agreements. Sunoco LP recognizes a contract liability when the upfront payment is received and recognizes revenue over the term of the license.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consolidated activity of our contract liabilities: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76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Contract Liabilities</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29"/>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9"/>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30"/>
        </w:trPr>
        <w:tc>
          <w:tcPr>
            <w:tcW w:w="7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0"/>
        </w:trPr>
        <w:tc>
          <w:tcPr>
            <w:tcW w:w="872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9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balances of Sunoco LP’s contract assets and contract liabilities as of December 31, 2024 and 2023 were as follows: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76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4"/>
                <w:szCs w:val="24"/>
                <w:color w:val="auto"/>
              </w:rPr>
            </w:pPr>
          </w:p>
        </w:tc>
      </w:tr>
      <w:tr>
        <w:trPr>
          <w:trHeight w:val="223"/>
        </w:trPr>
        <w:tc>
          <w:tcPr>
            <w:tcW w:w="76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from contracts with customers</w:t>
            </w:r>
          </w:p>
        </w:tc>
        <w:tc>
          <w:tcPr>
            <w:tcW w:w="9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9"/>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or Fulfill a Contract</w:t>
      </w:r>
    </w:p>
    <w:p>
      <w:pPr>
        <w:spacing w:after="0" w:line="17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Sunoco LP recognizes an asset from the costs incurred to obtain a contract (e.g. sales commissions) only if it expects to recover those costs. On the other hand, the costs to fulfill a contract are capitalized if the costs are specifically identifiable to a contract, would result in enhancing resources that will be used in satisfying performance obligations in the future and are expected to be recovered. These capitalized costs are recorded as a part of other current assets and other non-current assets and are amortized on a systematic basis consistent with the pattern of transfer of the goods or services to which such costs relate. The amount of amortization expense that Sunoco LP recognized for the years ended December 31, 2024, 2023 and 2022 was $35 million, $29 million and $22 million, respectively. Sunoco LP has also made a policy election of expensing the costs to obtain a contract, as and when they are incurred, in cases where the expected amortization period is one year or less.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At contract inception, the Partnership assesses the goods and services promised in its contracts with customers and identifies a performance obligation for each promise to transfer a good or service (or bundle of goods or services) that is distinct. To identify the performance obligations, the Partnership considers all the goods or services promised in the contract, whether explicitly stated or implied based on customary business practices. For a contract that has more than one performance obligation, the Partnership allocates the total contract consideration it expects to be entitled to, to each distinct performance obligation based on a standalone-selling price basis. Revenue is recognized when (or as) the performance obligations are satisfied, that is, when the customer obtains control of the good or service. Certain of our contracts contain variable components, which, when combined with the fixed component are considered a single performance obligation. For these types of contracts, only the fixed component of the contracts are included in the following table.</w:t>
      </w:r>
    </w:p>
    <w:p>
      <w:pPr>
        <w:spacing w:after="0" w:line="13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Sunoco LP distributes fuel under long-term contracts to branded distributors, branded and unbranded third-party dealers, and branded and unbranded retail fuel outlets. Sunoco LP branded supply contracts with distributors generally have both time and volume commitments that establish contract duration. These contracts have an initial term of approximately ten years, with an estimated volume-weighted term remaining of approximately five years.</w:t>
      </w:r>
    </w:p>
    <w:p>
      <w:pPr>
        <w:spacing w:after="0" w:line="12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Sunoco LP is party to a 15-year take-or-pay fuel supply agreement in which the distributor is required to purchase a volume of fuel that provides Sunoco LP a minimum amount of gross profit annually. Sunoco LP expects to recognize this revenue in accordance with the contract as Sunoco LP transfers control of the product to the customer. However, in case of annual shortfall, Sunoco LP will recognize the amount payable by the distributor at the sooner of the time at which the distributor makes up the shortfall or becomes contractually or operationally unable to do so. The transaction price of the contract is variable in nature, fluctuating based on market conditions. The Partnership has elected to take the practical expedient not to estimate the amount of variable consideration allocated to wholly unsatisfied performance obligations.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some contractual arrangements, Sunoco LP grants dealers a franchise license to operate Sunoco LP’s retail stores over the life of a franchise agreement. In return for the grant of the retail store license, the dealer makes a one-time nonrefundable franchise fee payment to Sunoco LP plus sales based royalties payable to Sunoco LP at a contractual rate during the period of the franchise agreement. Under the requirements of ASC Topic 606, the franchise license is deemed to be a symbolic license for which recognition of revenue over time is the most appropriate measure of progress toward complete satisfaction of the performance obligation. Revenue from this symbolic license is recognized evenly over the life of the franchise agreement.</w:t>
      </w:r>
    </w:p>
    <w:p>
      <w:pPr>
        <w:spacing w:after="0" w:line="1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aggregate amount of transaction price allocated to unsatisfied (or partially satisfied) performance obligations was $37.70 billion, and the Partnership expects to recognize this amount as revenue within the time bands illustrated below:</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Years Ending 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156"/>
        </w:trPr>
        <w:tc>
          <w:tcPr>
            <w:tcW w:w="35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Revenue expected to be recognized on</w:t>
            </w:r>
          </w:p>
        </w:tc>
        <w:tc>
          <w:tcPr>
            <w:tcW w:w="8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184"/>
        </w:trPr>
        <w:tc>
          <w:tcPr>
            <w:tcW w:w="35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contracts with customers existing as of</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4"/>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7,808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37,703</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Practical Expedients Utilized by the Partnership</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elected the following practical expedients in accordance with Topic 606:</w:t>
      </w:r>
    </w:p>
    <w:p>
      <w:pPr>
        <w:spacing w:after="0" w:line="115" w:lineRule="exact"/>
        <w:rPr>
          <w:sz w:val="20"/>
          <w:szCs w:val="20"/>
          <w:color w:val="auto"/>
        </w:rPr>
      </w:pPr>
    </w:p>
    <w:p>
      <w:pPr>
        <w:jc w:val="both"/>
        <w:ind w:left="660" w:hanging="328"/>
        <w:spacing w:after="0" w:line="261" w:lineRule="auto"/>
        <w:tabs>
          <w:tab w:leader="none" w:pos="655" w:val="left"/>
        </w:tabs>
        <w:numPr>
          <w:ilvl w:val="1"/>
          <w:numId w:val="1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Right to invoice: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elected to utilize an output method to recognize revenue that is based on the amount to which the Partnership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right to invoice a customer for services performed to date, if that amount corresponds directly with the value provided to the customer for the related performance or its obligation completed to date. As such, the Partnership recognized revenue in the amount to which it had the right to invoice customers.</w:t>
      </w:r>
    </w:p>
    <w:p>
      <w:pPr>
        <w:spacing w:after="0" w:line="71"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Significant financing component: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elected not to adjust the promised amount of consideration for the effects of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component if the Partnership expects, at contract inception, that the period between the transfer of a promised good or service to a customer and when the customer pays for that good or service will be one year or less.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Unearned variable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elected to only disclose the unearned fixed consideration associated with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related to our various customer contracts which contain both fixed and variable components.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Incremental costs of obtaining a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generally expenses sales commissions when incurred because the amortization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have been less than one year. We record these costs within general and administrative expenses. The Partnership elected to expense the incremental costs of obtaining a contract when the amortization period for such contracts would have been one year or less.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Shipping and handling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elected to account for shipping and handling activities that occur after the customer has obtained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a good as fulfillment activities (i.e., an expense) rather than as a promised service.</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Measurement of transaction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has elected to exclude from the measurement of transaction price all taxes assessed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authority that are both imposed on and concurrent with a specific revenue-producing transaction and collected by the Partnership from a customer (i.e., sales tax, value added tax, etc.).</w:t>
      </w:r>
    </w:p>
    <w:p>
      <w:pPr>
        <w:spacing w:after="0" w:line="6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Variable consideration of wholly unsatisfied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has elected to exclude the estimate of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to the allocation of wholly unsatisfied performance obligations.</w:t>
      </w:r>
    </w:p>
    <w:p>
      <w:pPr>
        <w:spacing w:after="0" w:line="102" w:lineRule="exact"/>
        <w:rPr>
          <w:rFonts w:ascii="Times New Roman" w:cs="Times New Roman" w:eastAsia="Times New Roman" w:hAnsi="Times New Roman"/>
          <w:sz w:val="18"/>
          <w:szCs w:val="18"/>
          <w:color w:val="auto"/>
        </w:rPr>
      </w:pPr>
    </w:p>
    <w:p>
      <w:pPr>
        <w:ind w:left="340" w:right="8960" w:hanging="332"/>
        <w:spacing w:after="0" w:line="466" w:lineRule="auto"/>
        <w:tabs>
          <w:tab w:leader="none" w:pos="335"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LEASE ACCOUNTING</w:t>
      </w:r>
      <w:r>
        <w:rPr>
          <w:rFonts w:ascii="Times New Roman" w:cs="Times New Roman" w:eastAsia="Times New Roman" w:hAnsi="Times New Roman"/>
          <w:sz w:val="17"/>
          <w:szCs w:val="17"/>
          <w:b w:val="1"/>
          <w:bCs w:val="1"/>
          <w:color w:val="auto"/>
        </w:rPr>
        <w:t>: Lessee Accounting</w:t>
      </w: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Partnership leases terminal facilities, tank cars, office space, land and equipment under non-cancelable operating leases whose initial terms are typically five to 15 years, with some real estate leases having terms of 40 years or more, along with options that permit renewals for additional periods. At the inception of each, we determine if the arrangement is a lease or contains an embedded lease and review the facts and circumstances of the arrangement to classify lease assets as operating or finance leases under Topic 842. The Partnership has elected not to record any leases with terms of 12 months or less on our consolidated balance sheets.</w:t>
      </w:r>
    </w:p>
    <w:p>
      <w:pPr>
        <w:spacing w:after="0" w:line="129"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At present, the majority of the Partnership’s active leases are classified as operating in accordance with Topic 842. Balances related to operating leases are included in operating lease ROU assets, accrued and other current liabilities,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operating lease current liabilities and non-current operating lease liabilities in our consolidated balance sheets. Finance leases represent a small portion of the active lease agreements and are included in finance lease ROU assets, current maturities of long-term debt and long-term debt, less current maturities in our consolidated balance sheets. The ROU assets represent the Partnership’s right to use an underlying asset for the lease term and lease liabilities represent the obligation of the Partnership to make minimum lease payments arising from the lease for the duration of the lease term.</w:t>
      </w:r>
    </w:p>
    <w:p>
      <w:pPr>
        <w:spacing w:after="0" w:line="12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Most leases include one or more options to renew, with renewal terms that can extend the lease term from one to 20 years or greater. The exercise of lease renewal options is typically at the sole discretion of the Partnership and lease extensions are evaluated on a lease-by-lease basis. Leases containing early termination clauses typically require the agreement of both parties to the lease. At the inception of a lease, all renewal options reasonably certain to be exercised are considered when determining the lease term. Presently, the Partnership does not have leases that include options to purchase or automatic transfer of ownership of the leased property to the Partnership. The depreciable life of lease assets and leasehold improvements are limited by the expected lease term.</w:t>
      </w:r>
    </w:p>
    <w:p>
      <w:pPr>
        <w:spacing w:after="0" w:line="13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To determine the present value of future minimum lease payments, we use the implicit rate when readily determinable. Presently, because many of our leases do not provide an implicit rate, the Partnership applies its incremental borrowing rate based on the information available at the lease commencement date to determine the present value of minimum lease payments. The operating and finance lease ROU assets include any lease payments made and exclude lease incentives.</w:t>
      </w:r>
    </w:p>
    <w:p>
      <w:pPr>
        <w:spacing w:after="0" w:line="12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Minimum rent payments are expensed on a straight-line basis over the term of the lease. In addition, some leases require additional contingent or variable lease payments, which are based on the factors specific to the individual agreement. Variable lease payments the Partnership is typically responsible for include payment of real estate taxes, maintenance expenses and insurance.</w:t>
      </w:r>
    </w:p>
    <w:p>
      <w:pPr>
        <w:spacing w:after="0" w:line="12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short-term leases (leases that have term of twelve months or less upon commencement), lease payments are recognized on a straight-line basis and no ROU assets are recorded.</w:t>
      </w:r>
    </w:p>
    <w:p>
      <w:pPr>
        <w:spacing w:after="0" w:line="10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components of operating and finance lease amounts recognized in the accompanying consolidated balance sheets as of December 31, 2024 and 2023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5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45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3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5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3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500" w:type="dxa"/>
            <w:vAlign w:val="bottom"/>
            <w:gridSpan w:val="2"/>
          </w:tcPr>
          <w:p>
            <w:pPr>
              <w:jc w:val="right"/>
              <w:ind w:right="2930"/>
              <w:spacing w:after="0"/>
              <w:rPr>
                <w:sz w:val="20"/>
                <w:szCs w:val="20"/>
                <w:color w:val="auto"/>
              </w:rPr>
            </w:pPr>
            <w:r>
              <w:rPr>
                <w:rFonts w:ascii="Times New Roman" w:cs="Times New Roman" w:eastAsia="Times New Roman" w:hAnsi="Times New Roman"/>
                <w:sz w:val="18"/>
                <w:szCs w:val="18"/>
                <w:color w:val="auto"/>
              </w:rPr>
              <w:t>F - 70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2024 and 2023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2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40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Income Statement Location</w:t>
            </w: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3600" w:type="dxa"/>
            <w:vAlign w:val="bottom"/>
            <w:vMerge w:val="continue"/>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3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3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costs, gross</w:t>
            </w:r>
          </w:p>
        </w:tc>
        <w:tc>
          <w:tcPr>
            <w:tcW w:w="3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Less: Sublease income</w:t>
            </w:r>
          </w:p>
        </w:tc>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Lease costs, net</w:t>
            </w:r>
          </w:p>
        </w:tc>
        <w:tc>
          <w:tcPr>
            <w:tcW w:w="3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as of December 31, 2024 and 2023 were as follows:</w:t>
      </w:r>
    </w:p>
    <w:p>
      <w:pPr>
        <w:spacing w:after="0" w:line="21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spacing w:after="0"/>
              <w:rPr>
                <w:sz w:val="19"/>
                <w:szCs w:val="19"/>
                <w:color w:val="auto"/>
              </w:rPr>
            </w:pPr>
          </w:p>
        </w:tc>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38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top w:val="single" w:sz="8" w:color="auto"/>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w:t>
            </w:r>
          </w:p>
        </w:tc>
        <w:tc>
          <w:tcPr>
            <w:tcW w:w="2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flows and non-cash activity related to leases for the years ended December 31, 2024 and 2023 were as follows: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color w:val="auto"/>
              </w:rPr>
              <w:t>Year Ended December 31,</w:t>
            </w:r>
          </w:p>
        </w:tc>
        <w:tc>
          <w:tcPr>
            <w:tcW w:w="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600" w:type="dxa"/>
            <w:vAlign w:val="bottom"/>
            <w:gridSpan w:val="2"/>
          </w:tcPr>
          <w:p>
            <w:pPr>
              <w:spacing w:after="0"/>
              <w:rPr>
                <w:sz w:val="19"/>
                <w:szCs w:val="19"/>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0" w:type="dxa"/>
            <w:vAlign w:val="bottom"/>
            <w:tcBorders>
              <w:top w:val="single" w:sz="8" w:color="CCEEFF"/>
            </w:tcBorders>
            <w:gridSpan w:val="2"/>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finance lease liabilities</w:t>
            </w:r>
          </w:p>
        </w:tc>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2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3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520" w:type="dxa"/>
            <w:vAlign w:val="bottom"/>
            <w:gridSpan w:val="3"/>
          </w:tcPr>
          <w:p>
            <w:pPr>
              <w:jc w:val="right"/>
              <w:ind w:right="2930"/>
              <w:spacing w:after="0"/>
              <w:rPr>
                <w:sz w:val="20"/>
                <w:szCs w:val="20"/>
                <w:color w:val="auto"/>
              </w:rPr>
            </w:pPr>
            <w:r>
              <w:rPr>
                <w:rFonts w:ascii="Times New Roman" w:cs="Times New Roman" w:eastAsia="Times New Roman" w:hAnsi="Times New Roman"/>
                <w:sz w:val="18"/>
                <w:szCs w:val="18"/>
                <w:color w:val="auto"/>
              </w:rPr>
              <w:t>F - 71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2024 are as follows:</w:t>
            </w: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8"/>
        </w:trPr>
        <w:tc>
          <w:tcPr>
            <w:tcW w:w="6080" w:type="dxa"/>
            <w:vAlign w:val="bottom"/>
          </w:tcPr>
          <w:p>
            <w:pPr>
              <w:spacing w:after="0"/>
              <w:rPr>
                <w:sz w:val="24"/>
                <w:szCs w:val="24"/>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6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23"/>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payments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29"/>
        </w:trPr>
        <w:tc>
          <w:tcPr>
            <w:tcW w:w="60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48"/>
        </w:trPr>
        <w:tc>
          <w:tcPr>
            <w:tcW w:w="6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Lessor Accounting</w:t>
      </w:r>
    </w:p>
    <w:p>
      <w:pPr>
        <w:spacing w:after="0" w:line="1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Sunoco LP leases or subleases a portion of its real estate portfolio to third-party companies as a stable source of long-term revenue. Sunoco LP’s lessor and sublease portfolio consists mainly of operating leases with convenience store operators. At this time, most lessor agreements contain five-year terms with renewal options to extend and early termination options based on established terms specific to the individual agreement. Additionally, Sunoco LP leases certain of its storage tanks in exchange for a fixed fee, subject to an annual consumer price index adjustment.</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Sunoco LP’s future minimum operating lease payments receivable as of December 31, 2024 are as follows: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8"/>
        </w:trPr>
        <w:tc>
          <w:tcPr>
            <w:tcW w:w="9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Lease Payments</w:t>
            </w:r>
          </w:p>
        </w:tc>
      </w:tr>
      <w:tr>
        <w:trPr>
          <w:trHeight w:val="223"/>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9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48"/>
        </w:trPr>
        <w:tc>
          <w:tcPr>
            <w:tcW w:w="9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7440" w:hanging="332"/>
        <w:spacing w:after="0" w:line="440" w:lineRule="auto"/>
        <w:tabs>
          <w:tab w:leader="none" w:pos="335"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ASSETS AND LIABILITIES</w:t>
      </w:r>
      <w:r>
        <w:rPr>
          <w:rFonts w:ascii="Times New Roman" w:cs="Times New Roman" w:eastAsia="Times New Roman" w:hAnsi="Times New Roman"/>
          <w:sz w:val="18"/>
          <w:szCs w:val="18"/>
          <w:b w:val="1"/>
          <w:bCs w:val="1"/>
          <w:color w:val="auto"/>
        </w:rPr>
        <w:t>: Commodity Price Risk</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2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use futures and basis swaps, designated as fair value hedges, to hedge our natural gas inventory stored in our Bammel storage facility. At hedge inception, we lock in a margin by purchasing gas in the spot market or off-peak season and 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1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use futures, swaps and options to hedge the sales price of natural gas we retain for fees in our intrastate transportation and storage segment and operational gas sales on our interstate transportation and storage segment. These contracts are not designated as hedges for accounting purposes.</w:t>
      </w:r>
    </w:p>
    <w:p>
      <w:pPr>
        <w:spacing w:after="0" w:line="107"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utilize swaps, futures and other derivative instruments to mitigate the risk associated with market movements in the price of natural gas, refined products and NGLs to manage our storage facilities and the purchase and sale of purity NGL. These contracts are not designated as hedges for accounting purposes.</w:t>
      </w:r>
    </w:p>
    <w:p>
      <w:pPr>
        <w:spacing w:after="0" w:line="12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2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We use financial commodity derivatives to take advantage of market opportunities in our trading activities which complement our intrastate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intrastate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details our outstanding commodity-related derivatives: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98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December 31, 2024</w:t>
            </w:r>
          </w:p>
        </w:tc>
        <w:tc>
          <w:tcPr>
            <w:tcW w:w="28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1500" w:type="dxa"/>
            <w:vAlign w:val="bottom"/>
            <w:tcBorders>
              <w:top w:val="single" w:sz="8" w:color="auto"/>
            </w:tcBorders>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Notional</w:t>
            </w: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top w:val="single" w:sz="8" w:color="auto"/>
            </w:tcBorders>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Notional</w:t>
            </w: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Mark-to-Market Derivatives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Volume</w:t>
            </w: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Maturity</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Volume</w:t>
            </w:r>
          </w:p>
        </w:tc>
        <w:tc>
          <w:tcPr>
            <w:tcW w:w="1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Maturity</w:t>
            </w:r>
          </w:p>
        </w:tc>
        <w:tc>
          <w:tcPr>
            <w:tcW w:w="0" w:type="dxa"/>
            <w:vAlign w:val="bottom"/>
          </w:tcPr>
          <w:p>
            <w:pPr>
              <w:spacing w:after="0"/>
              <w:rPr>
                <w:sz w:val="1"/>
                <w:szCs w:val="1"/>
                <w:color w:val="auto"/>
              </w:rPr>
            </w:pPr>
          </w:p>
        </w:tc>
      </w:tr>
      <w:tr>
        <w:trPr>
          <w:trHeight w:val="205"/>
        </w:trPr>
        <w:tc>
          <w:tcPr>
            <w:tcW w:w="4640" w:type="dxa"/>
            <w:vAlign w:val="bottom"/>
            <w:vMerge w:val="continue"/>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(BBtu):</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Swaps/Futures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2025-2026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2024-2026</w:t>
            </w: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Basis Swaps IFERC/NYMEX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2025-2027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(46,975)</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2024-2025</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Swing Swaps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2025-2027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2024-2025</w:t>
            </w: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 Puts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 Calls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Forward Physical Contracts</w:t>
            </w:r>
            <w:r>
              <w:rPr>
                <w:rFonts w:ascii="Times New Roman" w:cs="Times New Roman" w:eastAsia="Times New Roman" w:hAnsi="Times New Roman"/>
                <w:sz w:val="23"/>
                <w:szCs w:val="23"/>
                <w:color w:val="auto"/>
                <w:vertAlign w:val="superscript"/>
              </w:rPr>
              <w:t>(1)</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2024-2026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Power (Megawatt):</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Forwards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2025-2029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2024-2029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Futures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2025-2026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(464,897)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 Puts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(MBbls):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Forwards/Swaps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2025-2026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2024-2025</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 - Puts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 - Calls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NGL/Refined Products (MBbls):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Forwards/Swaps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2025-2027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2024-2027</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 - Puts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2025-2026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2024-2026</w:t>
            </w: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 - Calls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2025-2026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2024-2026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Futures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2025-2026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2024-2025</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Hedging Derivatives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(BBtu):</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Basis Swaps IFERC/NYMEX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Swaps/Futures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4"/>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Hedged Item – Inventory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44,170</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400" w:right="3280" w:hanging="5068"/>
        <w:spacing w:after="0" w:line="857" w:lineRule="auto"/>
        <w:tabs>
          <w:tab w:leader="none" w:pos="664" w:val="left"/>
        </w:tabs>
        <w:numPr>
          <w:ilvl w:val="0"/>
          <w:numId w:val="1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Natural gas forward physical contracts are no longer reflected as mark-to-market derivatives in 2024. F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To maintain a cost effective capital structure, we borrow funds using a mix of fixed rate debt and variable rate debt. We also manage our interest rate exposure by utilizing interest rate swaps to achieve a desired mix of fixed and variable rate debt. We also utilize forward starting interest rate swaps to lock in the rate on a portion of our anticipated debt issuances.</w:t>
      </w:r>
    </w:p>
    <w:p>
      <w:pPr>
        <w:spacing w:after="0" w:line="12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USAC’s interest rate swap which is no longer outstanding as of December 31, 2024, and which was not designated as a hedge for accounting purposes.</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Notional Amount Outstanding</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Type</w:t>
            </w:r>
          </w:p>
        </w:tc>
        <w:tc>
          <w:tcPr>
            <w:tcW w:w="140" w:type="dxa"/>
            <w:vAlign w:val="bottom"/>
          </w:tcPr>
          <w:p>
            <w:pPr>
              <w:spacing w:after="0"/>
              <w:rPr>
                <w:sz w:val="14"/>
                <w:szCs w:val="14"/>
                <w:color w:val="auto"/>
              </w:rPr>
            </w:pPr>
          </w:p>
        </w:tc>
        <w:tc>
          <w:tcPr>
            <w:tcW w:w="1520" w:type="dxa"/>
            <w:vAlign w:val="bottom"/>
            <w:gridSpan w:val="3"/>
          </w:tcPr>
          <w:p>
            <w:pPr>
              <w:jc w:val="center"/>
              <w:ind w:right="310"/>
              <w:spacing w:after="0" w:line="169" w:lineRule="exact"/>
              <w:rPr>
                <w:sz w:val="20"/>
                <w:szCs w:val="20"/>
                <w:color w:val="auto"/>
              </w:rPr>
            </w:pPr>
            <w:r>
              <w:rPr>
                <w:rFonts w:ascii="Times New Roman" w:cs="Times New Roman" w:eastAsia="Times New Roman" w:hAnsi="Times New Roman"/>
                <w:sz w:val="18"/>
                <w:szCs w:val="18"/>
                <w:color w:val="auto"/>
                <w:w w:val="98"/>
              </w:rPr>
              <w:t>December 31,</w:t>
            </w:r>
          </w:p>
        </w:tc>
        <w:tc>
          <w:tcPr>
            <w:tcW w:w="12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57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17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December 2025</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 a fixed rate of 3.9725% and receive a floating rate based on SOFR</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1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August 2024, USAC elected to terminate the outstanding interest rate swap.</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Risk and Customers</w:t>
      </w:r>
    </w:p>
    <w:p>
      <w:pPr>
        <w:spacing w:after="0" w:line="1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3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Our natural gas transportation and midstream revenues are derived significantly from companies that engage in exploration and production activities. In addition to oil and gas producers, the Partnership’s counterparties consist of a diverse portfolio of customers across the energy industry, including petrochemical companies, commercial and industrial end-users,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Partnership has maintenance margin deposits with certain counterparties in the OTC market, primarily with independent system operators and with clearing brokers. Payments on margin deposits are required when the value of a derivative exceeds our pre-established credit limit with the counterparty. Margin deposits are returned to us on or about the settlement date for non-exchange traded derivatives, and we exchange margin calls on a daily basis for exchange traded transactions. Since the margin calls are made daily with the exchange brokers, the fair value of the financial derivative instruments are deemed current and netted in deposits paid to vendors within other current assets in the consolidated balance sheets.</w:t>
      </w:r>
    </w:p>
    <w:p>
      <w:pPr>
        <w:spacing w:after="0" w:line="1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Derivative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our derivative assets and liabilities: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Asset Derivatives</w:t>
            </w:r>
          </w:p>
        </w:tc>
        <w:tc>
          <w:tcPr>
            <w:tcW w:w="140" w:type="dxa"/>
            <w:vAlign w:val="bottom"/>
          </w:tcPr>
          <w:p>
            <w:pPr>
              <w:spacing w:after="0"/>
              <w:rPr>
                <w:sz w:val="19"/>
                <w:szCs w:val="19"/>
                <w:color w:val="auto"/>
              </w:rPr>
            </w:pPr>
          </w:p>
        </w:tc>
        <w:tc>
          <w:tcPr>
            <w:tcW w:w="27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Liability Derivatives</w:t>
            </w:r>
          </w:p>
        </w:tc>
      </w:tr>
      <w:tr>
        <w:trPr>
          <w:trHeight w:val="169"/>
        </w:trPr>
        <w:tc>
          <w:tcPr>
            <w:tcW w:w="46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derivatives (margin deposits)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derivatives (margin deposits)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6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derivatives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our recognized derivative assets and liabilities on a gross basis and amounts offset on the consolidated balance sheets that are subject to enforceable master netting arrangements or similar arrangements: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Derivatives without offsetting</w:t>
            </w:r>
          </w:p>
        </w:tc>
        <w:tc>
          <w:tcPr>
            <w:tcW w:w="2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155"/>
        </w:trPr>
        <w:tc>
          <w:tcPr>
            <w:tcW w:w="2400" w:type="dxa"/>
            <w:vAlign w:val="bottom"/>
            <w:vMerge w:val="continue"/>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agreements</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(liabilities)</w:t>
            </w: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in offsetting agreements:</w:t>
            </w:r>
          </w:p>
        </w:tc>
        <w:tc>
          <w:tcPr>
            <w:tcW w:w="0" w:type="dxa"/>
            <w:vAlign w:val="bottom"/>
          </w:tcPr>
          <w:p>
            <w:pPr>
              <w:spacing w:after="0"/>
              <w:rPr>
                <w:sz w:val="1"/>
                <w:szCs w:val="1"/>
                <w:color w:val="auto"/>
              </w:rPr>
            </w:pPr>
          </w:p>
        </w:tc>
      </w:tr>
      <w:tr>
        <w:trPr>
          <w:trHeight w:val="229"/>
        </w:trPr>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OTC contracts</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(liabilities)</w:t>
            </w:r>
          </w:p>
        </w:tc>
        <w:tc>
          <w:tcPr>
            <w:tcW w:w="0" w:type="dxa"/>
            <w:vAlign w:val="bottom"/>
          </w:tcPr>
          <w:p>
            <w:pPr>
              <w:spacing w:after="0"/>
              <w:rPr>
                <w:sz w:val="1"/>
                <w:szCs w:val="1"/>
                <w:color w:val="auto"/>
              </w:rPr>
            </w:pPr>
          </w:p>
        </w:tc>
      </w:tr>
      <w:tr>
        <w:trPr>
          <w:trHeight w:val="180"/>
        </w:trPr>
        <w:tc>
          <w:tcPr>
            <w:tcW w:w="240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Broker cleared derivative</w:t>
            </w:r>
          </w:p>
        </w:tc>
        <w:tc>
          <w:tcPr>
            <w:tcW w:w="2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Other current assets</w:t>
            </w:r>
          </w:p>
        </w:tc>
        <w:tc>
          <w:tcPr>
            <w:tcW w:w="0" w:type="dxa"/>
            <w:vAlign w:val="bottom"/>
          </w:tcPr>
          <w:p>
            <w:pPr>
              <w:spacing w:after="0"/>
              <w:rPr>
                <w:sz w:val="1"/>
                <w:szCs w:val="1"/>
                <w:color w:val="auto"/>
              </w:rPr>
            </w:pPr>
          </w:p>
        </w:tc>
      </w:tr>
      <w:tr>
        <w:trPr>
          <w:trHeight w:val="234"/>
        </w:trPr>
        <w:tc>
          <w:tcPr>
            <w:tcW w:w="2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contracts</w:t>
            </w:r>
          </w:p>
        </w:tc>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47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Offsetting agreements: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Counterparty netting</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(liabilities)</w:t>
            </w:r>
          </w:p>
        </w:tc>
        <w:tc>
          <w:tcPr>
            <w:tcW w:w="0" w:type="dxa"/>
            <w:vAlign w:val="bottom"/>
          </w:tcPr>
          <w:p>
            <w:pPr>
              <w:spacing w:after="0"/>
              <w:rPr>
                <w:sz w:val="1"/>
                <w:szCs w:val="1"/>
                <w:color w:val="auto"/>
              </w:rPr>
            </w:pPr>
          </w:p>
        </w:tc>
      </w:tr>
      <w:tr>
        <w:trPr>
          <w:trHeight w:val="180"/>
        </w:trPr>
        <w:tc>
          <w:tcPr>
            <w:tcW w:w="240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Counterparty netting</w:t>
            </w:r>
          </w:p>
        </w:tc>
        <w:tc>
          <w:tcPr>
            <w:tcW w:w="2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Other current assets</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net derivatives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Asset Derivatives</w:t>
            </w:r>
          </w:p>
        </w:tc>
        <w:tc>
          <w:tcPr>
            <w:tcW w:w="140" w:type="dxa"/>
            <w:vAlign w:val="bottom"/>
          </w:tcPr>
          <w:p>
            <w:pPr>
              <w:spacing w:after="0"/>
              <w:rPr>
                <w:sz w:val="20"/>
                <w:szCs w:val="20"/>
                <w:color w:val="auto"/>
              </w:rPr>
            </w:pPr>
          </w:p>
        </w:tc>
        <w:tc>
          <w:tcPr>
            <w:tcW w:w="27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Liability Derivatives</w:t>
            </w:r>
          </w:p>
        </w:tc>
      </w:tr>
      <w:tr>
        <w:trPr>
          <w:trHeight w:val="169"/>
        </w:trPr>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r>
      <w:tr>
        <w:trPr>
          <w:trHeight w:val="403"/>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59"/>
        </w:trPr>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18"/>
        </w:trPr>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8"/>
        </w:trPr>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454"/>
        </w:trPr>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18"/>
        </w:trPr>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-1722120</wp:posOffset>
            </wp:positionV>
            <wp:extent cx="6677660" cy="2654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5">
                      <a:extLst>
                        <a:ext uri="{28A0092B-C50C-407E-A947-70E740481C1C}"/>
                      </a:extLst>
                    </a:blip>
                    <a:srcRect/>
                    <a:stretch>
                      <a:fillRect/>
                    </a:stretch>
                  </pic:blipFill>
                  <pic:spPr bwMode="auto">
                    <a:xfrm>
                      <a:off x="0" y="0"/>
                      <a:ext cx="6677660" cy="26543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-1310640</wp:posOffset>
            </wp:positionV>
            <wp:extent cx="6677660" cy="146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6">
                      <a:extLst>
                        <a:ext uri="{28A0092B-C50C-407E-A947-70E740481C1C}"/>
                      </a:extLst>
                    </a:blip>
                    <a:srcRect/>
                    <a:stretch>
                      <a:fillRect/>
                    </a:stretch>
                  </pic:blipFill>
                  <pic:spPr bwMode="auto">
                    <a:xfrm>
                      <a:off x="0" y="0"/>
                      <a:ext cx="6677660" cy="1460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-899795</wp:posOffset>
            </wp:positionV>
            <wp:extent cx="667766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7">
                      <a:extLst>
                        <a:ext uri="{28A0092B-C50C-407E-A947-70E740481C1C}"/>
                      </a:extLst>
                    </a:blip>
                    <a:srcRect/>
                    <a:stretch>
                      <a:fillRect/>
                    </a:stretch>
                  </pic:blipFill>
                  <pic:spPr bwMode="auto">
                    <a:xfrm>
                      <a:off x="0" y="0"/>
                      <a:ext cx="6677660" cy="15430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-599440</wp:posOffset>
            </wp:positionV>
            <wp:extent cx="6677660" cy="146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8">
                      <a:extLst>
                        <a:ext uri="{28A0092B-C50C-407E-A947-70E740481C1C}"/>
                      </a:extLst>
                    </a:blip>
                    <a:srcRect/>
                    <a:stretch>
                      <a:fillRect/>
                    </a:stretch>
                  </pic:blipFill>
                  <pic:spPr bwMode="auto">
                    <a:xfrm>
                      <a:off x="0" y="0"/>
                      <a:ext cx="6677660" cy="1460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-187960</wp:posOffset>
            </wp:positionV>
            <wp:extent cx="667766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9">
                      <a:extLst>
                        <a:ext uri="{28A0092B-C50C-407E-A947-70E740481C1C}"/>
                      </a:extLst>
                    </a:blip>
                    <a:srcRect/>
                    <a:stretch>
                      <a:fillRect/>
                    </a:stretch>
                  </pic:blipFill>
                  <pic:spPr bwMode="auto">
                    <a:xfrm>
                      <a:off x="0" y="0"/>
                      <a:ext cx="667766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100"/>
            <w:col w:w="6240"/>
          </w:cols>
          <w:pgMar w:left="320" w:top="114" w:right="339" w:bottom="1440" w:gutter="0" w:footer="0" w:header="0"/>
          <w:type w:val="continuous"/>
        </w:sectPr>
      </w:pPr>
    </w:p>
    <w:p>
      <w:pPr>
        <w:spacing w:after="0" w:line="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We disclose the non-exchange traded financial derivative instruments as derivative assets and liabilities on our consolidated balance sheets at fair value with amounts classified as either current or long-term depending on the anticipated settlement.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amounts recognized with respect to our derivative financial instruments: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Location of Gain (Loss)</w:t>
            </w:r>
          </w:p>
        </w:tc>
        <w:tc>
          <w:tcPr>
            <w:tcW w:w="240" w:type="dxa"/>
            <w:vAlign w:val="bottom"/>
          </w:tcPr>
          <w:p>
            <w:pPr>
              <w:spacing w:after="0"/>
              <w:rPr>
                <w:sz w:val="17"/>
                <w:szCs w:val="17"/>
                <w:color w:val="auto"/>
              </w:rPr>
            </w:pPr>
          </w:p>
        </w:tc>
        <w:tc>
          <w:tcPr>
            <w:tcW w:w="4120" w:type="dxa"/>
            <w:vAlign w:val="bottom"/>
            <w:gridSpan w:val="7"/>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Amount of Gain (Loss) Recognized in Income on</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27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Recognized in Income on</w:t>
            </w:r>
          </w:p>
        </w:tc>
        <w:tc>
          <w:tcPr>
            <w:tcW w:w="240" w:type="dxa"/>
            <w:vAlign w:val="bottom"/>
          </w:tcPr>
          <w:p>
            <w:pPr>
              <w:spacing w:after="0"/>
              <w:rPr>
                <w:sz w:val="15"/>
                <w:szCs w:val="15"/>
                <w:color w:val="auto"/>
              </w:rPr>
            </w:pPr>
          </w:p>
        </w:tc>
        <w:tc>
          <w:tcPr>
            <w:tcW w:w="412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Derivatives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Derivatives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2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w:t>
            </w: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55"/>
        </w:trPr>
        <w:tc>
          <w:tcPr>
            <w:tcW w:w="3400" w:type="dxa"/>
            <w:vAlign w:val="bottom"/>
            <w:vMerge w:val="continue"/>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derivatives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Gains on interest rate derivatives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right="8380" w:hanging="332"/>
        <w:spacing w:after="0" w:line="466" w:lineRule="auto"/>
        <w:tabs>
          <w:tab w:leader="none" w:pos="335"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RETIREMENT BENEFITS</w:t>
      </w:r>
      <w:r>
        <w:rPr>
          <w:rFonts w:ascii="Times New Roman" w:cs="Times New Roman" w:eastAsia="Times New Roman" w:hAnsi="Times New Roman"/>
          <w:sz w:val="17"/>
          <w:szCs w:val="17"/>
          <w:b w:val="1"/>
          <w:bCs w:val="1"/>
          <w:color w:val="auto"/>
        </w:rPr>
        <w:t>: Savings and Profit Sharing Plans</w:t>
      </w: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and our subsidiaries sponsor defined contribution savings and profit sharing plans, which collectively cover virtually all eligible employees, including those of Sunoco LP and USAC. Employer matching contributions are calculated using a formula based on employee contributions. We and our subsidiaries made matching contributions of $103 million, $86 million and $79 million to these 401(k) savings plans for the years ended December 31, 2024, 2023 and 2022,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Pension and Other Postretirement Benefit Plans</w:t>
      </w:r>
    </w:p>
    <w:p>
      <w:pPr>
        <w:spacing w:after="0" w:line="17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Certain of the Partnership’s subsidiaries sponsor pension and/or other postretirement benefit plans that provide benefits to a defined group of retirees. The following table contains information at the dates indicated about the obligations and funded status of pension and other postretirement plans on a combined basis: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December 31, 2024</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December 31, 2023</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Pension Benefits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Pension Benefits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116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Funded Plans</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ind w:right="79"/>
              <w:spacing w:after="0" w:line="161" w:lineRule="exact"/>
              <w:rPr>
                <w:sz w:val="20"/>
                <w:szCs w:val="20"/>
                <w:color w:val="auto"/>
              </w:rPr>
            </w:pPr>
            <w:r>
              <w:rPr>
                <w:rFonts w:ascii="Times New Roman" w:cs="Times New Roman" w:eastAsia="Times New Roman" w:hAnsi="Times New Roman"/>
                <w:sz w:val="16"/>
                <w:szCs w:val="16"/>
                <w:color w:val="auto"/>
                <w:w w:val="99"/>
              </w:rPr>
              <w:t>Unfunded</w:t>
            </w:r>
          </w:p>
        </w:tc>
        <w:tc>
          <w:tcPr>
            <w:tcW w:w="100" w:type="dxa"/>
            <w:vAlign w:val="bottom"/>
          </w:tcPr>
          <w:p>
            <w:pPr>
              <w:spacing w:after="0"/>
              <w:rPr>
                <w:sz w:val="14"/>
                <w:szCs w:val="14"/>
                <w:color w:val="auto"/>
              </w:rPr>
            </w:pPr>
          </w:p>
        </w:tc>
        <w:tc>
          <w:tcPr>
            <w:tcW w:w="150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6"/>
                <w:szCs w:val="16"/>
                <w:color w:val="auto"/>
              </w:rPr>
              <w:t>Other Postretirement</w:t>
            </w:r>
          </w:p>
        </w:tc>
        <w:tc>
          <w:tcPr>
            <w:tcW w:w="116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Funded Plans</w:t>
            </w: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59"/>
              <w:spacing w:after="0" w:line="161" w:lineRule="exact"/>
              <w:rPr>
                <w:sz w:val="20"/>
                <w:szCs w:val="20"/>
                <w:color w:val="auto"/>
              </w:rPr>
            </w:pPr>
            <w:r>
              <w:rPr>
                <w:rFonts w:ascii="Times New Roman" w:cs="Times New Roman" w:eastAsia="Times New Roman" w:hAnsi="Times New Roman"/>
                <w:sz w:val="16"/>
                <w:szCs w:val="16"/>
                <w:color w:val="auto"/>
                <w:w w:val="99"/>
              </w:rPr>
              <w:t>Unfunded</w:t>
            </w:r>
          </w:p>
        </w:tc>
        <w:tc>
          <w:tcPr>
            <w:tcW w:w="120" w:type="dxa"/>
            <w:vAlign w:val="bottom"/>
          </w:tcPr>
          <w:p>
            <w:pPr>
              <w:spacing w:after="0"/>
              <w:rPr>
                <w:sz w:val="14"/>
                <w:szCs w:val="14"/>
                <w:color w:val="auto"/>
              </w:rPr>
            </w:pPr>
          </w:p>
        </w:tc>
        <w:tc>
          <w:tcPr>
            <w:tcW w:w="13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Other Postretirement</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Plans</w:t>
            </w:r>
          </w:p>
        </w:tc>
        <w:tc>
          <w:tcPr>
            <w:tcW w:w="30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Benefits</w:t>
            </w:r>
          </w:p>
        </w:tc>
        <w:tc>
          <w:tcPr>
            <w:tcW w:w="11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Plans</w:t>
            </w:r>
          </w:p>
        </w:tc>
        <w:tc>
          <w:tcPr>
            <w:tcW w:w="30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Benefits</w:t>
            </w:r>
          </w:p>
        </w:tc>
        <w:tc>
          <w:tcPr>
            <w:tcW w:w="0" w:type="dxa"/>
            <w:vAlign w:val="bottom"/>
          </w:tcPr>
          <w:p>
            <w:pPr>
              <w:spacing w:after="0"/>
              <w:rPr>
                <w:sz w:val="1"/>
                <w:szCs w:val="1"/>
                <w:color w:val="auto"/>
              </w:rPr>
            </w:pPr>
          </w:p>
        </w:tc>
      </w:tr>
      <w:tr>
        <w:trPr>
          <w:trHeight w:val="199"/>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benefit obligation:</w:t>
            </w: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beginning of period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cost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cost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Amendments</w:t>
            </w: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Benefits paid, net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Actuarial gain and other</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NuStar acquisition</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Benefit obligation at end of period</w:t>
            </w: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59"/>
        </w:trPr>
        <w:tc>
          <w:tcPr>
            <w:tcW w:w="2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plan assets: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Fair value of plan assets at beginning of</w:t>
            </w: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Return on plan assets and other</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Employer contributions</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Benefits paid, net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NuStar acquisition</w:t>
            </w: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2940" w:type="dxa"/>
            <w:vAlign w:val="bottom"/>
          </w:tcPr>
          <w:p>
            <w:pPr>
              <w:ind w:left="340"/>
              <w:spacing w:after="0" w:line="142" w:lineRule="exact"/>
              <w:rPr>
                <w:sz w:val="20"/>
                <w:szCs w:val="20"/>
                <w:color w:val="auto"/>
              </w:rPr>
            </w:pPr>
            <w:r>
              <w:rPr>
                <w:rFonts w:ascii="Times New Roman" w:cs="Times New Roman" w:eastAsia="Times New Roman" w:hAnsi="Times New Roman"/>
                <w:sz w:val="16"/>
                <w:szCs w:val="16"/>
                <w:color w:val="auto"/>
              </w:rPr>
              <w:t>Fair value of plan assets at end of</w:t>
            </w: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13"/>
        </w:trPr>
        <w:tc>
          <w:tcPr>
            <w:tcW w:w="29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period</w:t>
            </w: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9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9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Amount underfunded (overfunded) at end of</w:t>
            </w: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2"/>
                <w:szCs w:val="12"/>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194"/>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3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Amounts recognized in the consolidated</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balance sheets consist of: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Non-current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Non-current liabilities</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Amounts recognized in accumulated other</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comprehensive income (pre-tax basis)</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consist of: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actuarial gain (loss)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Prior service credit</w:t>
            </w: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5"/>
        </w:trPr>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information at the dates indicated for plans with an accumulated benefit obligation in excess of plan assets:</w:t>
      </w:r>
    </w:p>
    <w:p>
      <w:pPr>
        <w:sectPr>
          <w:pgSz w:w="11900" w:h="16838" w:orient="portrait"/>
          <w:cols w:equalWidth="0" w:num="1">
            <w:col w:w="11240"/>
          </w:cols>
          <w:pgMar w:left="320" w:top="114" w:right="339" w:bottom="1440" w:gutter="0" w:footer="0" w:header="0"/>
        </w:sectPr>
      </w:pPr>
    </w:p>
    <w:p>
      <w:pPr>
        <w:spacing w:after="0" w:line="2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26917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Pension Benefits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24765</wp:posOffset>
            </wp:positionV>
            <wp:extent cx="27000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Benefits</w:t>
      </w:r>
    </w:p>
    <w:p>
      <w:pPr>
        <w:spacing w:after="0" w:line="27" w:lineRule="exact"/>
        <w:rPr>
          <w:sz w:val="20"/>
          <w:szCs w:val="20"/>
          <w:color w:val="auto"/>
        </w:rPr>
      </w:pPr>
    </w:p>
    <w:p>
      <w:pPr>
        <w:sectPr>
          <w:pgSz w:w="11900" w:h="16838" w:orient="portrait"/>
          <w:cols w:equalWidth="0" w:num="2">
            <w:col w:w="6660" w:space="720"/>
            <w:col w:w="3860"/>
          </w:cols>
          <w:pgMar w:left="320" w:top="114" w:right="339" w:bottom="1440" w:gutter="0" w:footer="0" w:header="0"/>
          <w:type w:val="continuous"/>
        </w:sectPr>
      </w:pPr>
    </w:p>
    <w:tbl>
      <w:tblPr>
        <w:tblLayout w:type="fixed"/>
        <w:tblInd w:w="340" w:type="dxa"/>
        <w:tblCellMar>
          <w:top w:w="0" w:type="dxa"/>
          <w:left w:w="0" w:type="dxa"/>
          <w:bottom w:w="0" w:type="dxa"/>
          <w:right w:w="0" w:type="dxa"/>
        </w:tblCellMar>
      </w:tblPr>
      <w:tr>
        <w:trPr>
          <w:trHeight w:val="169"/>
        </w:trPr>
        <w:tc>
          <w:tcPr>
            <w:tcW w:w="19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10"/>
              <w:spacing w:after="0" w:line="169"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Postretirement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rPr>
              <w:t>Postretirement</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Funded Plans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Unfunded Plans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Benefits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Funded Plans</w:t>
            </w:r>
          </w:p>
        </w:tc>
        <w:tc>
          <w:tcPr>
            <w:tcW w:w="10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Unfunded Plans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Benefits</w:t>
            </w:r>
          </w:p>
        </w:tc>
        <w:tc>
          <w:tcPr>
            <w:tcW w:w="0" w:type="dxa"/>
            <w:vAlign w:val="bottom"/>
          </w:tcPr>
          <w:p>
            <w:pPr>
              <w:spacing w:after="0"/>
              <w:rPr>
                <w:sz w:val="1"/>
                <w:szCs w:val="1"/>
                <w:color w:val="auto"/>
              </w:rPr>
            </w:pPr>
          </w:p>
        </w:tc>
      </w:tr>
      <w:tr>
        <w:trPr>
          <w:trHeight w:val="155"/>
        </w:trPr>
        <w:tc>
          <w:tcPr>
            <w:tcW w:w="19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Projected benefit</w:t>
            </w:r>
          </w:p>
        </w:tc>
        <w:tc>
          <w:tcPr>
            <w:tcW w:w="7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benefit</w:t>
            </w: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w:t>
            </w: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473"/>
        </w:trPr>
        <w:tc>
          <w:tcPr>
            <w:tcW w:w="3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Net Periodic Benefit Cost</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gridSpan w:val="6"/>
          </w:tcPr>
          <w:p>
            <w:pPr>
              <w:jc w:val="right"/>
              <w:ind w:right="65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210"/>
              <w:spacing w:after="0" w:line="169" w:lineRule="exact"/>
              <w:rPr>
                <w:sz w:val="20"/>
                <w:szCs w:val="20"/>
                <w:color w:val="auto"/>
              </w:rPr>
            </w:pPr>
            <w:r>
              <w:rPr>
                <w:rFonts w:ascii="Times New Roman" w:cs="Times New Roman" w:eastAsia="Times New Roman" w:hAnsi="Times New Roman"/>
                <w:sz w:val="18"/>
                <w:szCs w:val="18"/>
                <w:color w:val="auto"/>
                <w:w w:val="97"/>
              </w:rPr>
              <w:t>Other</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Postretirement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Postretirement</w:t>
            </w:r>
          </w:p>
        </w:tc>
        <w:tc>
          <w:tcPr>
            <w:tcW w:w="0" w:type="dxa"/>
            <w:vAlign w:val="bottom"/>
          </w:tcPr>
          <w:p>
            <w:pPr>
              <w:spacing w:after="0"/>
              <w:rPr>
                <w:sz w:val="1"/>
                <w:szCs w:val="1"/>
                <w:color w:val="auto"/>
              </w:rPr>
            </w:pPr>
          </w:p>
        </w:tc>
      </w:tr>
      <w:tr>
        <w:trPr>
          <w:trHeight w:val="243"/>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Pension Benefits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Benefits</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Pension Benefits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Benefits</w:t>
            </w:r>
          </w:p>
        </w:tc>
        <w:tc>
          <w:tcPr>
            <w:tcW w:w="0" w:type="dxa"/>
            <w:vAlign w:val="bottom"/>
          </w:tcPr>
          <w:p>
            <w:pPr>
              <w:spacing w:after="0"/>
              <w:rPr>
                <w:sz w:val="1"/>
                <w:szCs w:val="1"/>
                <w:color w:val="auto"/>
              </w:rPr>
            </w:pPr>
          </w:p>
        </w:tc>
      </w:tr>
      <w:tr>
        <w:trPr>
          <w:trHeight w:val="210"/>
        </w:trPr>
        <w:tc>
          <w:tcPr>
            <w:tcW w:w="190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service cost amortization</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gain amortization</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assumptions used in determining benefit obligations at the dates indicated are shown in the following table:</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18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December 31, 2024</w:t>
            </w:r>
          </w:p>
        </w:tc>
        <w:tc>
          <w:tcPr>
            <w:tcW w:w="30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Pension Benefits</w:t>
            </w:r>
          </w:p>
        </w:tc>
        <w:tc>
          <w:tcPr>
            <w:tcW w:w="16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rPr>
              <w:t>Postretirement</w:t>
            </w:r>
          </w:p>
        </w:tc>
        <w:tc>
          <w:tcPr>
            <w:tcW w:w="1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Pension Benefits</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Postretirement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Benefits</w:t>
            </w:r>
          </w:p>
        </w:tc>
        <w:tc>
          <w:tcPr>
            <w:tcW w:w="1580" w:type="dxa"/>
            <w:vAlign w:val="bottom"/>
            <w:gridSpan w:val="2"/>
            <w:vMerge w:val="continue"/>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Benefits</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assumptions used in determining net periodic benefit cost for the periods presented are shown in the following table:</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20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December 31, 2024</w:t>
            </w:r>
          </w:p>
        </w:tc>
        <w:tc>
          <w:tcPr>
            <w:tcW w:w="30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69"/>
        </w:trPr>
        <w:tc>
          <w:tcPr>
            <w:tcW w:w="424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Other</w:t>
            </w:r>
          </w:p>
        </w:tc>
      </w:tr>
      <w:tr>
        <w:trPr>
          <w:trHeight w:val="184"/>
        </w:trPr>
        <w:tc>
          <w:tcPr>
            <w:tcW w:w="4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rPr>
              <w:t>Postretirement</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Postretirement</w:t>
            </w:r>
          </w:p>
        </w:tc>
      </w:tr>
      <w:tr>
        <w:trPr>
          <w:trHeight w:val="234"/>
        </w:trPr>
        <w:tc>
          <w:tcPr>
            <w:tcW w:w="4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Pension Benefits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Benefits</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Pension Benefits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Benefits</w:t>
            </w: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exempt accounts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34"/>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Taxable accounts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2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r>
    </w:tbl>
    <w:p>
      <w:pPr>
        <w:spacing w:after="0" w:line="23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long-term expected rate of return on plan assets was estimated based on a variety of factors including the historical investment return achieved over a long-term period, the targeted allocation of plan assets and expectations concerning future returns in the marketplace for both equity and fixed income securities. Current market factors such as inflation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interest rates are evaluated before long-term market assumptions are determined. Peer data and historical returns are reviewed to ensure reasonableness and appropriateness.</w:t>
      </w:r>
    </w:p>
    <w:p>
      <w:pPr>
        <w:spacing w:after="0" w:line="10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assumed health care cost trend weighted-average rates used to measure the expected cost of benefits covered by the plans are shown in the following table:</w:t>
      </w:r>
    </w:p>
    <w:p>
      <w:pPr>
        <w:spacing w:after="0" w:line="14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73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cost trend rate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r>
      <w:tr>
        <w:trPr>
          <w:trHeight w:val="23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to which the cost trend is assumed to decline (the ultimate trend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5.17 %</w:t>
            </w:r>
          </w:p>
        </w:tc>
      </w:tr>
      <w:tr>
        <w:trPr>
          <w:trHeight w:val="22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health care cost trend rate assumptions are not expected to have a significant impact on postretirement benefits.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pension plan assets by asset category at the dates indicated is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color w:val="auto"/>
              </w:rPr>
              <w:t>Fair Value Measurements at December 31, 2024</w:t>
            </w:r>
          </w:p>
        </w:tc>
      </w:tr>
      <w:tr>
        <w:trPr>
          <w:trHeight w:val="223"/>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 Value Total</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19"/>
                <w:szCs w:val="19"/>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640" w:hanging="308"/>
        <w:spacing w:after="0"/>
        <w:tabs>
          <w:tab w:leader="none" w:pos="640" w:val="left"/>
        </w:tabs>
        <w:numPr>
          <w:ilvl w:val="0"/>
          <w:numId w:val="1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Comprised of approximately 100% equities as of December 31, 2024.</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color w:val="auto"/>
              </w:rPr>
              <w:t>Fair Value Measurements at December 31, 2023</w:t>
            </w:r>
          </w:p>
        </w:tc>
        <w:tc>
          <w:tcPr>
            <w:tcW w:w="32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Fair Value Total</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19"/>
                <w:szCs w:val="19"/>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3"/>
                <w:szCs w:val="23"/>
                <w:color w:val="auto"/>
                <w:vertAlign w:val="superscript"/>
              </w:rPr>
              <w:t>(1)</w:t>
            </w:r>
          </w:p>
        </w:tc>
        <w:tc>
          <w:tcPr>
            <w:tcW w:w="15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1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Comprised of approximately 100% equities as of December 31, 2023.</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other postretirement plan assets by asset category at the dates indicated is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color w:val="auto"/>
              </w:rPr>
              <w:t>Fair Value Measurements at December 31, 2024</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Fair Value Total</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19"/>
                <w:szCs w:val="19"/>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1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1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1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composed of market index funds as of December 31, 2024.</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color w:val="auto"/>
              </w:rPr>
              <w:t>Fair Value Measurements at December 31, 2023</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Fair Value Total</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19"/>
                <w:szCs w:val="19"/>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1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1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1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composed of market index funds as of December 31, 2023.</w:t>
      </w:r>
    </w:p>
    <w:p>
      <w:pPr>
        <w:spacing w:after="0" w:line="14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Level 1 plan assets are valued based on active market quotes. The Level 2 plan assets are valued based on the net asset value per share (or its equivalent) of the investments, which was not determinable through publicly published sources but was calculated consistent with authoritative accounting guidelines.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7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We expect to contribute $3 million to pension plans and $1 million to other postretirement plans in 2025. The cost of the plans are funded in accordance with federal regulations, not to exceed the amounts deductible for income tax purposes.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17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Partnership’s estimate of expected benefit payments, which reflect expected future service, as appropriate, in each of the next five years and in the aggregate for the five years thereafter are shown in the following table:</w:t>
      </w:r>
    </w:p>
    <w:p>
      <w:pPr>
        <w:spacing w:after="0" w:line="12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 Postretirement Benefits (Gross,</w:t>
            </w:r>
          </w:p>
        </w:tc>
      </w:tr>
      <w:tr>
        <w:trPr>
          <w:trHeight w:val="243"/>
        </w:trPr>
        <w:tc>
          <w:tcPr>
            <w:tcW w:w="1620" w:type="dxa"/>
            <w:vAlign w:val="bottom"/>
            <w:tcBorders>
              <w:bottom w:val="single" w:sz="8" w:color="CCEEFF"/>
            </w:tcBorders>
          </w:tcPr>
          <w:p>
            <w:pPr>
              <w:spacing w:after="0"/>
              <w:rPr>
                <w:sz w:val="21"/>
                <w:szCs w:val="21"/>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Pension Benefits - Funded Plans</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Pension Benefits - Unfunded Plans</w:t>
            </w: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Before Medicare Part D)</w:t>
            </w:r>
          </w:p>
        </w:tc>
      </w:tr>
      <w:tr>
        <w:trPr>
          <w:trHeight w:val="223"/>
        </w:trPr>
        <w:tc>
          <w:tcPr>
            <w:tcW w:w="16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2025</w:t>
            </w:r>
          </w:p>
        </w:tc>
        <w:tc>
          <w:tcPr>
            <w:tcW w:w="262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72</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25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1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2026</w:t>
            </w:r>
          </w:p>
        </w:tc>
        <w:tc>
          <w:tcPr>
            <w:tcW w:w="26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16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2027</w:t>
            </w:r>
          </w:p>
        </w:tc>
        <w:tc>
          <w:tcPr>
            <w:tcW w:w="26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1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2028</w:t>
            </w:r>
          </w:p>
        </w:tc>
        <w:tc>
          <w:tcPr>
            <w:tcW w:w="26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16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2029</w:t>
            </w:r>
          </w:p>
        </w:tc>
        <w:tc>
          <w:tcPr>
            <w:tcW w:w="26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2030 – 2034</w:t>
            </w:r>
          </w:p>
        </w:tc>
        <w:tc>
          <w:tcPr>
            <w:tcW w:w="26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26</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20"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Medicare Prescription Drug Act provides for a prescription drug benefit under Medicare (“Medicare Part D”) as well as a federal subsidy to sponsors of retiree health care benefit plans that provide a prescription drug benefit that is at least actuarially equivalent to Medicare Part 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does not expect to receive any Medicare Part D subsidies in any future periods.</w:t>
      </w:r>
    </w:p>
    <w:p>
      <w:pPr>
        <w:spacing w:after="0" w:line="167" w:lineRule="exact"/>
        <w:rPr>
          <w:sz w:val="20"/>
          <w:szCs w:val="20"/>
          <w:color w:val="auto"/>
        </w:rPr>
      </w:pPr>
    </w:p>
    <w:p>
      <w:pPr>
        <w:ind w:left="320" w:hanging="312"/>
        <w:spacing w:after="0"/>
        <w:tabs>
          <w:tab w:leader="none" w:pos="32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REPORTABLE SEGMENTS</w:t>
      </w:r>
      <w:r>
        <w:rPr>
          <w:rFonts w:ascii="Times New Roman" w:cs="Times New Roman" w:eastAsia="Times New Roman" w:hAnsi="Times New Roman"/>
          <w:sz w:val="18"/>
          <w:szCs w:val="18"/>
          <w:b w:val="1"/>
          <w:bCs w:val="1"/>
          <w:color w:val="auto"/>
        </w:rPr>
        <w:t>:</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reportable segments currently reflect the following segments, which conduct their business primarily in the United States: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interstate transportation and storage;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midstream;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refined products transportation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transportation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Sunoco LP;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USAC;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revenues and expenses reflect the elimination of all material intercompany transactions.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Revenues from our intrastate transportation and storage segment are primarily reflected in natural gas sales and gathering, transportation and other fees. Revenues from our interstate transportation and storage segment are primarily reflected in gathering, transportation and other fees. Revenues from our midstream segment are primarily reflected in natural gas sales, NGL sales and gathering, transportation and other fees. Revenues from our NGL and refined products transportation and services segment are primarily reflected in NGL sales and gathering, transportation and other fees. Revenues from our crude oil transportation and services segment are reflected in crude sales and gathering, transportation and other fees. Revenues from our investment in Sunoco LP segment are primarily reflected in refined product sales. Revenues from our investment in USAC segment are primarily reflected in gathering, transportation and other fees. Revenues from our all other segment are primarily reflected in natural gas sales.</w:t>
      </w:r>
    </w:p>
    <w:p>
      <w:pPr>
        <w:spacing w:after="0" w:line="13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report Segment Adjusted EBITDA (defined below) as the measure of segment performance reviewed by our chief operating decision maker (“CODM”). The role of the CODM is held by the Partnership’s co-chief executive officers (“co-CEOs”). Both of the co-CEOs fulfill specific functions that impact the allocation of resources and assessment of performance among our reportable segments, including the approval of budgets and the evaluation of growth projects and acquisitions. The Partnership’s co-CEOs receive and review the same information with respect to the Partnership’s segment operating results.</w:t>
      </w:r>
    </w:p>
    <w:p>
      <w:pPr>
        <w:spacing w:after="0" w:line="1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co-CEOs use Segment Adjusted EBITDA to allocate resources (including employees, property, and financial or capital resources) for each segment predominantly in the annual budget and forecasting process. The co-CEOs also use Segment Adjusted EBITDA to assess the performance for each segment by comparing the results and return on assets of each segment with one another and in the compensation of certain employees. The co-CEOs consider forecast-to-actual variances on a monthly basis when making decisions about allocating capital and personnel to the segments.</w:t>
      </w:r>
    </w:p>
    <w:p>
      <w:pPr>
        <w:spacing w:after="0" w:line="126"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We define Segment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as well as certain non-recurring gains and losses. Inventory adjustments that are excluded from the calculation of Adjusted EBITDA represent only the changes in lower of cost or market reserves on inventory that is carried at LIFO. These amounts are unrealized valuation adjustments applied to Sunoco LP’s fuel volumes remaining in inventory at the end of the period. 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present financial information by segment:</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1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F - 82</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8"/>
          </w:tcPr>
          <w:p>
            <w:pPr>
              <w:jc w:val="center"/>
              <w:ind w:left="63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3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center"/>
              <w:ind w:left="63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amortization, accretion and</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1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non-cash expenses: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10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Total operating expenses, excluding non-cash compensation, amortization,</w:t>
            </w:r>
          </w:p>
        </w:tc>
        <w:tc>
          <w:tcPr>
            <w:tcW w:w="20" w:type="dxa"/>
            <w:vAlign w:val="bottom"/>
            <w:vMerge w:val="restart"/>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accretion and other non-cash expenses</w:t>
            </w:r>
          </w:p>
        </w:tc>
        <w:tc>
          <w:tcPr>
            <w:tcW w:w="20" w:type="dxa"/>
            <w:vAlign w:val="bottom"/>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3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center"/>
              <w:ind w:left="63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depreciation, depletion and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ind w:left="5060"/>
              <w:spacing w:after="0"/>
              <w:rPr>
                <w:sz w:val="20"/>
                <w:szCs w:val="20"/>
                <w:color w:val="auto"/>
              </w:rPr>
            </w:pPr>
            <w:r>
              <w:rPr>
                <w:rFonts w:ascii="Times New Roman" w:cs="Times New Roman" w:eastAsia="Times New Roman" w:hAnsi="Times New Roman"/>
                <w:sz w:val="18"/>
                <w:szCs w:val="18"/>
                <w:color w:val="auto"/>
              </w:rPr>
              <w:t>F - 83</w:t>
            </w: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center"/>
              <w:ind w:left="3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and</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expenses:</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92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55"/>
        </w:trPr>
        <w:tc>
          <w:tcPr>
            <w:tcW w:w="6100" w:type="dxa"/>
            <w:vAlign w:val="bottom"/>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Total selling, general and administrative expenses, excluding non-cash</w:t>
            </w:r>
          </w:p>
        </w:tc>
        <w:tc>
          <w:tcPr>
            <w:tcW w:w="920" w:type="dxa"/>
            <w:vAlign w:val="bottom"/>
            <w:gridSpan w:val="2"/>
            <w:vMerge w:val="restart"/>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1,069</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6"/>
        </w:trPr>
        <w:tc>
          <w:tcPr>
            <w:tcW w:w="61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compensation and accretion expenses</w:t>
            </w:r>
          </w:p>
        </w:tc>
        <w:tc>
          <w:tcPr>
            <w:tcW w:w="920" w:type="dxa"/>
            <w:vAlign w:val="bottom"/>
            <w:tcBorders>
              <w:bottom w:val="single" w:sz="8" w:color="auto"/>
            </w:tcBorders>
            <w:gridSpan w:val="2"/>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left="7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Equity in earnings (losses) of unconsolidated affiliates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92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 in earnings of unconsolidated affiliates</w:t>
            </w: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right="20" w:hanging="328"/>
        <w:spacing w:after="0" w:line="229" w:lineRule="auto"/>
        <w:tabs>
          <w:tab w:leader="none" w:pos="648" w:val="left"/>
        </w:tabs>
        <w:numPr>
          <w:ilvl w:val="0"/>
          <w:numId w:val="1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reflected above exclude Sunoco LP’s earnings from the ET-S Permian and J.C. Nolan joint ventures, which are eliminated in consolidation.</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Other income (expense)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hanging="328"/>
        <w:spacing w:after="0" w:line="235" w:lineRule="auto"/>
        <w:tabs>
          <w:tab w:leader="none" w:pos="648" w:val="left"/>
        </w:tabs>
        <w:numPr>
          <w:ilvl w:val="0"/>
          <w:numId w:val="1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income and expense include, if applicable to a segment, Adjusted EBITDA related to unconsolidated affiliates, unrealized gains and losses on commodity risk management activities and other items. For the investment in Sunoco LP segment, this also includes inventory valuation adjustments.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21,851</w:t>
            </w:r>
          </w:p>
        </w:tc>
        <w:tc>
          <w:tcPr>
            <w:tcW w:w="0" w:type="dxa"/>
            <w:vAlign w:val="bottom"/>
          </w:tcPr>
          <w:p>
            <w:pPr>
              <w:spacing w:after="0"/>
              <w:rPr>
                <w:sz w:val="1"/>
                <w:szCs w:val="1"/>
                <w:color w:val="auto"/>
              </w:rPr>
            </w:pP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27,903</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0" w:type="dxa"/>
            <w:vAlign w:val="bottom"/>
          </w:tcPr>
          <w:p>
            <w:pPr>
              <w:spacing w:after="0"/>
              <w:rPr>
                <w:sz w:val="1"/>
                <w:szCs w:val="1"/>
                <w:color w:val="auto"/>
              </w:rPr>
            </w:pP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 and eliminations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segment assets</w:t>
            </w: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left="65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Additions to property, plant and equipment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additions to property, plant and equipment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hanging="328"/>
        <w:spacing w:after="0" w:line="229" w:lineRule="auto"/>
        <w:tabs>
          <w:tab w:leader="none" w:pos="648" w:val="left"/>
        </w:tabs>
        <w:numPr>
          <w:ilvl w:val="0"/>
          <w:numId w:val="1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presented on the accrual basis, net of contributions in aid of constructions costs. Amounts exclude acquisitions and include only the Partnership’s proportionate share of capital expenditures related to joint ventures.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in unconsolidated affiliates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 in unconsolidated affiliates</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right="20" w:hanging="328"/>
        <w:spacing w:after="0" w:line="229" w:lineRule="auto"/>
        <w:tabs>
          <w:tab w:leader="none" w:pos="648" w:val="left"/>
        </w:tabs>
        <w:numPr>
          <w:ilvl w:val="0"/>
          <w:numId w:val="1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reflected above exclude Sunoco LP’s investments in the ET-S Permian and J.C. Nolan joint ventures, which are eliminated in consolidation.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3051F2"/>
        </w:rPr>
        <w:t>Table of Contents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3051F2"/>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1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1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EBITDA (consolidated)</w:t>
            </w: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Adjusted EBITDA:</w:t>
            </w:r>
          </w:p>
        </w:tc>
        <w:tc>
          <w:tcPr>
            <w:tcW w:w="1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50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interest capitalized</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losses and other</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on interest rate derivatives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Unrealized (gains) losses on commodity risk management activities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valuation adjustments (Sunoco LP)</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losses on extinguishments of debt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Non-operating litigation-related loss</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West Texas assets (Sunoco LP)</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EBITDA (consolidated)</w:t>
            </w:r>
          </w:p>
        </w:tc>
        <w:tc>
          <w:tcPr>
            <w:tcW w:w="10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060" w:type="dxa"/>
            <w:vAlign w:val="bottom"/>
          </w:tcPr>
          <w:p>
            <w:pPr>
              <w:spacing w:after="0"/>
              <w:rPr>
                <w:sz w:val="24"/>
                <w:szCs w:val="24"/>
                <w:color w:val="auto"/>
              </w:rPr>
            </w:pPr>
          </w:p>
        </w:tc>
        <w:tc>
          <w:tcPr>
            <w:tcW w:w="13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97"/>
              </w:rPr>
              <w:t>F - 86</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114" w:right="7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Long-Term Incentive Plan</w:t>
      </w:r>
    </w:p>
    <w:p>
      <w:pPr>
        <w:jc w:val="center"/>
        <w:spacing w:after="0"/>
        <w:rPr>
          <w:sz w:val="20"/>
          <w:szCs w:val="20"/>
          <w:color w:val="auto"/>
        </w:rPr>
      </w:pPr>
      <w:r>
        <w:rPr>
          <w:rFonts w:ascii="Times New Roman" w:cs="Times New Roman" w:eastAsia="Times New Roman" w:hAnsi="Times New Roman"/>
          <w:sz w:val="25"/>
          <w:szCs w:val="25"/>
          <w:b w:val="1"/>
          <w:bCs w:val="1"/>
          <w:color w:val="auto"/>
        </w:rPr>
        <w:t>Unit Award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#ParticipantName#:</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We are extremely pleased to inform you that the Compensation Committee of the Board of Directors of LE GP, LLC has granted you an award of restricted units (the </w:t>
      </w:r>
      <w:r>
        <w:rPr>
          <w:rFonts w:ascii="Times New Roman" w:cs="Times New Roman" w:eastAsia="Times New Roman" w:hAnsi="Times New Roman"/>
          <w:sz w:val="22"/>
          <w:szCs w:val="22"/>
          <w:i w:val="1"/>
          <w:iCs w:val="1"/>
          <w:color w:val="auto"/>
        </w:rPr>
        <w:t>“Award”</w:t>
      </w:r>
      <w:r>
        <w:rPr>
          <w:rFonts w:ascii="Times New Roman" w:cs="Times New Roman" w:eastAsia="Times New Roman" w:hAnsi="Times New Roman"/>
          <w:sz w:val="22"/>
          <w:szCs w:val="22"/>
          <w:color w:val="auto"/>
        </w:rPr>
        <w:t xml:space="preserve">) of Energy Transfer, LP (the </w:t>
      </w:r>
      <w:r>
        <w:rPr>
          <w:rFonts w:ascii="Times New Roman" w:cs="Times New Roman" w:eastAsia="Times New Roman" w:hAnsi="Times New Roman"/>
          <w:sz w:val="22"/>
          <w:szCs w:val="22"/>
          <w:i w:val="1"/>
          <w:iCs w:val="1"/>
          <w:color w:val="auto"/>
        </w:rPr>
        <w:t>“Partnership”</w:t>
      </w:r>
      <w:r>
        <w:rPr>
          <w:rFonts w:ascii="Times New Roman" w:cs="Times New Roman" w:eastAsia="Times New Roman" w:hAnsi="Times New Roman"/>
          <w:sz w:val="22"/>
          <w:szCs w:val="22"/>
          <w:color w:val="auto"/>
        </w:rPr>
        <w:t>) under the Amended and Restated Energy Transfer LP Long-Term Incentive Plan (the “Plan”). Vesting of the restricted units is subject to (i) your continued service with the Partnership or one of its affiliates on the vesting dates; and (ii) the terms and conditions set forth in the Plan and the attached Time-Vested Restricted Unit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Award is subject to vesting as follows: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60% on the third December 5</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following the date of the Award</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40% on the fifth December 5</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following the date of the Award</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Upon vesting, you will be entitled to receive, with respect to each vested restricted unit, one vested common unit representing a limited partner interest in the Partnership.</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this Award entitles you to receive, with respect to each restricted unit that has not either vested or been forfeited, cash payments equal to distributions per common unit made by the Partnership on its outstanding common units, in each case promptly following each such distribution made by the Partnership to its unitholders.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Please note that like any compensation arrangement, an Award under the Plan is to be kept confidential unless required to be disclosed by SEC disclosure regulations.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Thanks for your continuing contribution to our efforts. It is a pleasure for us to be associated with you in building an even greater Partnership</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960" w:type="dxa"/>
            <w:vAlign w:val="bottom"/>
          </w:tcPr>
          <w:p>
            <w:pPr>
              <w:spacing w:after="0"/>
              <w:rPr>
                <w:sz w:val="20"/>
                <w:szCs w:val="20"/>
                <w:color w:val="auto"/>
              </w:rPr>
            </w:pPr>
            <w:r>
              <w:rPr>
                <w:rFonts w:ascii="Times New Roman" w:cs="Times New Roman" w:eastAsia="Times New Roman" w:hAnsi="Times New Roman"/>
                <w:sz w:val="21"/>
                <w:szCs w:val="21"/>
                <w:color w:val="auto"/>
              </w:rPr>
              <w:t>Thomas E. Long</w:t>
            </w:r>
          </w:p>
        </w:tc>
        <w:tc>
          <w:tcPr>
            <w:tcW w:w="406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Marshall S. McCrea, III</w:t>
            </w:r>
          </w:p>
        </w:tc>
      </w:tr>
      <w:tr>
        <w:trPr>
          <w:trHeight w:val="305"/>
        </w:trPr>
        <w:tc>
          <w:tcPr>
            <w:tcW w:w="3960" w:type="dxa"/>
            <w:vAlign w:val="bottom"/>
          </w:tcPr>
          <w:p>
            <w:pPr>
              <w:spacing w:after="0"/>
              <w:rPr>
                <w:sz w:val="20"/>
                <w:szCs w:val="20"/>
                <w:color w:val="auto"/>
              </w:rPr>
            </w:pPr>
            <w:r>
              <w:rPr>
                <w:rFonts w:ascii="Times New Roman" w:cs="Times New Roman" w:eastAsia="Times New Roman" w:hAnsi="Times New Roman"/>
                <w:sz w:val="21"/>
                <w:szCs w:val="21"/>
                <w:color w:val="auto"/>
              </w:rPr>
              <w:t>Co-Chief Executive Officer</w:t>
            </w:r>
          </w:p>
        </w:tc>
        <w:tc>
          <w:tcPr>
            <w:tcW w:w="4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Co-Chief Executive Officer</w:t>
            </w:r>
          </w:p>
        </w:tc>
      </w:tr>
    </w:tbl>
    <w:p>
      <w:pPr>
        <w:sectPr>
          <w:pgSz w:w="11900" w:h="16838" w:orient="portrait"/>
          <w:cols w:equalWidth="0" w:num="1">
            <w:col w:w="11240"/>
          </w:cols>
          <w:pgMar w:left="320" w:top="1413" w:right="33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22"/>
          <w:szCs w:val="22"/>
          <w:b w:val="1"/>
          <w:bCs w:val="1"/>
          <w:color w:val="auto"/>
        </w:rPr>
        <w:t>ENERGY TRANSFER LP</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Time-Vested Restricted Unit Agreement</w:t>
      </w: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Restricted Unit Agreement (the “Agreement”) is entered into on the date of acceptance by the participant (the “Participant”) (as defined below) and is made by and between Energy Transfer LP (the “Partnership”) and the Participant. The Partnership, the Company and its and their subsidiaries may collectively be referred to as the “</w:t>
      </w:r>
      <w:r>
        <w:rPr>
          <w:rFonts w:ascii="Times New Roman" w:cs="Times New Roman" w:eastAsia="Times New Roman" w:hAnsi="Times New Roman"/>
          <w:sz w:val="22"/>
          <w:szCs w:val="22"/>
          <w:b w:val="1"/>
          <w:bCs w:val="1"/>
          <w:color w:val="auto"/>
        </w:rPr>
        <w:t>ET Entities</w:t>
      </w:r>
      <w:r>
        <w:rPr>
          <w:rFonts w:ascii="Times New Roman" w:cs="Times New Roman" w:eastAsia="Times New Roman" w:hAnsi="Times New Roman"/>
          <w:sz w:val="22"/>
          <w:szCs w:val="22"/>
          <w:color w:val="auto"/>
        </w:rPr>
        <w:t>” and each an “</w:t>
      </w:r>
      <w:r>
        <w:rPr>
          <w:rFonts w:ascii="Times New Roman" w:cs="Times New Roman" w:eastAsia="Times New Roman" w:hAnsi="Times New Roman"/>
          <w:sz w:val="22"/>
          <w:szCs w:val="22"/>
          <w:b w:val="1"/>
          <w:bCs w:val="1"/>
          <w:color w:val="auto"/>
        </w:rPr>
        <w:t>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Entity</w:t>
      </w:r>
      <w:r>
        <w:rPr>
          <w:rFonts w:ascii="Times New Roman" w:cs="Times New Roman" w:eastAsia="Times New Roman" w:hAnsi="Times New Roman"/>
          <w:sz w:val="22"/>
          <w:szCs w:val="22"/>
          <w:color w:val="auto"/>
        </w:rPr>
        <w:t>.” Except as otherwise expressly provided herein, all capitalized terms used in this Agreement, but not defined,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meanings provided in the Plan.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LE GP, LLC (the “Company”), the general partner of the Partnership, maintains the Amended and Restated Energy Transfer LP Long-Term Incentive Plan, (the “Plan”), which Plan is administered by the Compensation Committee (the “Committee”) of the Board of Directors of the Company; and</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the Committee has determined to make an award (the “Award”) to the Participant of restricted units (the “Restricted Units”) representing the right to receive, following vesting of and upon settlement of the Restricted Units, common units representing limited partnership interests in the Partnership subject to a risk of forfeiture pursuant to the terms and conditions of this Agreement and the Plan; and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Participant has determined to accept such Award;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Partnership and the Participant, each intending to be legally bound hereby, agree as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of Restricted Units</w:t>
      </w:r>
    </w:p>
    <w:p>
      <w:pPr>
        <w:spacing w:after="0" w:line="2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and conditions of the Plan and this Agreement, the Partnership hereby grants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an Award of Restricted Units as specified within the Participant’s RSU account within Fidelity Stock Plan Services, LLC (the Company’s online equity award tracking system at the time of the Award). The details of the Award are as follows:</w:t>
      </w:r>
    </w:p>
    <w:p>
      <w:pPr>
        <w:spacing w:after="0" w:line="198"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#ParticipantName#</w:t>
      </w:r>
    </w:p>
    <w:p>
      <w:pPr>
        <w:spacing w:after="0" w:line="14"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of Grant: #GrantDate#</w:t>
      </w:r>
    </w:p>
    <w:p>
      <w:pPr>
        <w:ind w:left="660" w:hanging="328"/>
        <w:spacing w:after="0" w:line="230" w:lineRule="auto"/>
        <w:tabs>
          <w:tab w:leader="none" w:pos="6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Number of Restricted Units: #QuantityGranted#</w:t>
      </w:r>
    </w:p>
    <w:p>
      <w:pPr>
        <w:ind w:left="660" w:hanging="328"/>
        <w:spacing w:after="0"/>
        <w:tabs>
          <w:tab w:leader="none" w:pos="6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Schedule:</w:t>
      </w:r>
    </w:p>
    <w:p>
      <w:pPr>
        <w:spacing w:after="0" w:line="203" w:lineRule="exact"/>
        <w:rPr>
          <w:rFonts w:ascii="Times New Roman" w:cs="Times New Roman" w:eastAsia="Times New Roman" w:hAnsi="Times New Roman"/>
          <w:sz w:val="22"/>
          <w:szCs w:val="22"/>
          <w:color w:val="auto"/>
        </w:rPr>
      </w:pPr>
    </w:p>
    <w:p>
      <w:pPr>
        <w:ind w:left="1480" w:hanging="176"/>
        <w:spacing w:after="0"/>
        <w:tabs>
          <w:tab w:leader="none" w:pos="148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60% on the third December 5</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xml:space="preserve"> following the date of the Award</w:t>
      </w:r>
    </w:p>
    <w:p>
      <w:pPr>
        <w:spacing w:after="0" w:line="25" w:lineRule="exact"/>
        <w:rPr>
          <w:rFonts w:ascii="Times New Roman" w:cs="Times New Roman" w:eastAsia="Times New Roman" w:hAnsi="Times New Roman"/>
          <w:sz w:val="21"/>
          <w:szCs w:val="21"/>
          <w:color w:val="auto"/>
        </w:rPr>
      </w:pPr>
    </w:p>
    <w:p>
      <w:pPr>
        <w:ind w:left="1480" w:hanging="176"/>
        <w:spacing w:after="0"/>
        <w:tabs>
          <w:tab w:leader="none" w:pos="148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 on the fifth December 5</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xml:space="preserve"> following the date of the Award</w:t>
      </w:r>
    </w:p>
    <w:p>
      <w:pPr>
        <w:spacing w:after="0" w:line="21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This Award includes tandem Distribution Equivalent Rights (“DERs”), which entitle the Participant to receive, with respect to each Restricted Unit, so long as the underlying Restricted</w:t>
      </w:r>
    </w:p>
    <w:p>
      <w:pPr>
        <w:sectPr>
          <w:pgSz w:w="11900" w:h="16838" w:orient="portrait"/>
          <w:cols w:equalWidth="0" w:num="1">
            <w:col w:w="11240"/>
          </w:cols>
          <w:pgMar w:left="320" w:top="1404" w:right="339" w:bottom="1440" w:gutter="0" w:footer="0" w:header="0"/>
        </w:sectPr>
      </w:pPr>
    </w:p>
    <w:bookmarkStart w:id="257" w:name="page258"/>
    <w:bookmarkEnd w:id="257"/>
    <w:p>
      <w:pPr>
        <w:jc w:val="both"/>
        <w:spacing w:after="0" w:line="244" w:lineRule="auto"/>
        <w:rPr>
          <w:sz w:val="20"/>
          <w:szCs w:val="20"/>
          <w:color w:val="auto"/>
        </w:rPr>
      </w:pPr>
      <w:r>
        <w:rPr>
          <w:rFonts w:ascii="Times New Roman" w:cs="Times New Roman" w:eastAsia="Times New Roman" w:hAnsi="Times New Roman"/>
          <w:sz w:val="22"/>
          <w:szCs w:val="22"/>
          <w:color w:val="auto"/>
        </w:rPr>
        <w:t>Unit has not either vested or been forfeited, an amount in cash equal to the distributions per common unit made by the Partnership on its outstanding common units with such payment being made promptly following each such distribution made by the Partnership.</w:t>
      </w:r>
    </w:p>
    <w:p>
      <w:pPr>
        <w:spacing w:after="0" w:line="19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Effect of Plan; Construction.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entire text of the Plan is expressly incorporated herein by this reference and 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forms a part of this Agreement. In the event of any inconsistency or discrepancy between the provisions of this Agreement and the Plan, the provisions in the Plan shall govern and prevail. This Agreement is subject in all respects to the terms and conditions of the Plan, as the Plan may have been amended from time to time in accordance with its terms;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 such amendment shall deprive the Participant, without such Participant’s consent, of any rights earned or otherwise due to Participant hereunder. Capitalized terms and phrases used in this Agreement but not otherwise defined herein, shall have the respective meanings ascribed to them in the Plan.</w:t>
      </w:r>
    </w:p>
    <w:p>
      <w:pPr>
        <w:spacing w:after="0" w:line="2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Vesting/Payments.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herein, this Award is subject to vesting over a five (5) year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60% of this Award to vest on the third December 5th following the date of the Award, and the remaining 40% to vest on the fifth December 5th following the date of the Award, subject to the Participant’s continued employment with the Partnership or one of its affiliates on the applicable vesting date.</w:t>
      </w:r>
    </w:p>
    <w:p>
      <w:pPr>
        <w:spacing w:after="0" w:line="203" w:lineRule="exact"/>
        <w:rPr>
          <w:sz w:val="20"/>
          <w:szCs w:val="20"/>
          <w:color w:val="auto"/>
        </w:rPr>
      </w:pPr>
    </w:p>
    <w:p>
      <w:pPr>
        <w:jc w:val="both"/>
        <w:ind w:firstLine="656"/>
        <w:spacing w:after="0" w:line="244" w:lineRule="auto"/>
        <w:tabs>
          <w:tab w:leader="none" w:pos="96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Vested Restricted Units</w:t>
      </w:r>
      <w:r>
        <w:rPr>
          <w:rFonts w:ascii="Times New Roman" w:cs="Times New Roman" w:eastAsia="Times New Roman" w:hAnsi="Times New Roman"/>
          <w:sz w:val="22"/>
          <w:szCs w:val="22"/>
          <w:color w:val="auto"/>
        </w:rPr>
        <w:t>. Upon the vesting of a Restricted Unit, as soon as practicable thereafter, the Company or the Partnership shall deliver or cause to be delivered to the Participant one common unit of the Partnership for each vested Restricted Unit, subject to applicable governmental tax withholdings described in 1.3(c).</w:t>
      </w:r>
    </w:p>
    <w:p>
      <w:pPr>
        <w:spacing w:after="0" w:line="186" w:lineRule="exact"/>
        <w:rPr>
          <w:rFonts w:ascii="Times New Roman" w:cs="Times New Roman" w:eastAsia="Times New Roman" w:hAnsi="Times New Roman"/>
          <w:sz w:val="22"/>
          <w:szCs w:val="22"/>
          <w:color w:val="auto"/>
        </w:rPr>
      </w:pPr>
    </w:p>
    <w:p>
      <w:pPr>
        <w:jc w:val="both"/>
        <w:ind w:firstLine="656"/>
        <w:spacing w:after="0" w:line="238" w:lineRule="auto"/>
        <w:tabs>
          <w:tab w:leader="none" w:pos="967"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DERs.</w:t>
      </w:r>
      <w:r>
        <w:rPr>
          <w:rFonts w:ascii="Times New Roman" w:cs="Times New Roman" w:eastAsia="Times New Roman" w:hAnsi="Times New Roman"/>
          <w:sz w:val="22"/>
          <w:szCs w:val="22"/>
          <w:color w:val="auto"/>
        </w:rPr>
        <w:t xml:space="preserve"> As noted above, the Participant is entitled to receive from the Partnership, with respect to each Restricted Unit that has not either vested or been forfeited, DERs. Upon the forfeiture or vesting of the underlying Restricted Unit, the associated DER will automatically expire and no further payments shall be made with respect to such DER, except with respect to amounts not yet paid with respect to distributions on Restricted Units made prior to the date of such forfeiture or vesting.</w:t>
      </w:r>
    </w:p>
    <w:p>
      <w:pPr>
        <w:spacing w:after="0" w:line="203" w:lineRule="exact"/>
        <w:rPr>
          <w:rFonts w:ascii="Times New Roman" w:cs="Times New Roman" w:eastAsia="Times New Roman" w:hAnsi="Times New Roman"/>
          <w:sz w:val="22"/>
          <w:szCs w:val="22"/>
          <w:color w:val="auto"/>
        </w:rPr>
      </w:pPr>
    </w:p>
    <w:p>
      <w:pPr>
        <w:jc w:val="both"/>
        <w:ind w:firstLine="656"/>
        <w:spacing w:after="0" w:line="239" w:lineRule="auto"/>
        <w:tabs>
          <w:tab w:leader="none" w:pos="975" w:val="left"/>
        </w:tabs>
        <w:numPr>
          <w:ilvl w:val="0"/>
          <w:numId w:val="16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xml:space="preserve"> All vestings of Restricted Units and payments with respect to DERs under this Agreement are subject to applicable governmental tax withholdings as determined by the Partnership. Prior to vesting of Restricted Units or payment with respect to DERs, the Participant must satisfy applicable governmental tax withholding due with respect to such vesting or payment.</w:t>
      </w:r>
    </w:p>
    <w:p>
      <w:pPr>
        <w:spacing w:after="0" w:line="203" w:lineRule="exact"/>
        <w:rPr>
          <w:rFonts w:ascii="Times New Roman" w:cs="Times New Roman" w:eastAsia="Times New Roman" w:hAnsi="Times New Roman"/>
          <w:sz w:val="22"/>
          <w:szCs w:val="22"/>
          <w:u w:val="single" w:color="auto"/>
          <w:color w:val="auto"/>
        </w:rPr>
      </w:pPr>
    </w:p>
    <w:p>
      <w:pPr>
        <w:jc w:val="both"/>
        <w:ind w:left="1300" w:hanging="320"/>
        <w:spacing w:after="0" w:line="257" w:lineRule="auto"/>
        <w:tabs>
          <w:tab w:leader="none" w:pos="1234"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Payment in Units. </w:t>
      </w:r>
      <w:r>
        <w:rPr>
          <w:rFonts w:ascii="Times New Roman" w:cs="Times New Roman" w:eastAsia="Times New Roman" w:hAnsi="Times New Roman"/>
          <w:sz w:val="21"/>
          <w:szCs w:val="21"/>
          <w:color w:val="auto"/>
        </w:rPr>
        <w:t>Participant may elect to satisfy withholding obligations associated with the vesting of Restricted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Units in cash or by surrendering a number of Restricted Units sufficient to satisfy such withholding obligations. The fair market value of each vesting Restricted Unit shall be determined in accordance with the Plan.</w:t>
      </w:r>
    </w:p>
    <w:p>
      <w:pPr>
        <w:spacing w:after="0" w:line="182"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in Cash</w:t>
      </w:r>
      <w:r>
        <w:rPr>
          <w:rFonts w:ascii="Times New Roman" w:cs="Times New Roman" w:eastAsia="Times New Roman" w:hAnsi="Times New Roman"/>
          <w:sz w:val="22"/>
          <w:szCs w:val="22"/>
          <w:color w:val="auto"/>
        </w:rPr>
        <w:t>. Cash payments of DERs, shall be made net of any applicable governmental withholding.</w:t>
      </w:r>
    </w:p>
    <w:p>
      <w:pPr>
        <w:sectPr>
          <w:pgSz w:w="11900" w:h="16838" w:orient="portrait"/>
          <w:cols w:equalWidth="0" w:num="1">
            <w:col w:w="11240"/>
          </w:cols>
          <w:pgMar w:left="320" w:top="1408" w:right="339" w:bottom="1440" w:gutter="0" w:footer="0" w:header="0"/>
        </w:sectPr>
      </w:pPr>
    </w:p>
    <w:bookmarkStart w:id="258" w:name="page259"/>
    <w:bookmarkEnd w:id="258"/>
    <w:p>
      <w:pPr>
        <w:jc w:val="both"/>
        <w:ind w:firstLine="648"/>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1.4 </w:t>
      </w:r>
      <w:r>
        <w:rPr>
          <w:rFonts w:ascii="Times New Roman" w:cs="Times New Roman" w:eastAsia="Times New Roman" w:hAnsi="Times New Roman"/>
          <w:sz w:val="21"/>
          <w:szCs w:val="21"/>
          <w:b w:val="1"/>
          <w:bCs w:val="1"/>
          <w:u w:val="single" w:color="auto"/>
          <w:color w:val="auto"/>
        </w:rPr>
        <w:t>Change of Control.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Section 1.3 of this Agreement, in the event of a Change of Control, as that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defined in the Plan, occurring prior to the date all outstanding Restricted Units granted hereunder have vested in accordance with Section 1.3 above, all then-outstanding unvested Restricted Units granted pursuant to this Agreement shall become immediately vested and nonforfeitable and the Company or the Partnership shall deliver the Units (or the amount of cash equal to the Fair Market Value of such common units as of the date of such event) to the Participant as soon as practicable thereafter, but in no event later than March 15 of the calendar year following the calendar year in which the Change of Control occurs.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Termination of Employment.</w:t>
      </w:r>
    </w:p>
    <w:p>
      <w:pPr>
        <w:spacing w:after="0" w:line="237" w:lineRule="exact"/>
        <w:rPr>
          <w:sz w:val="20"/>
          <w:szCs w:val="20"/>
          <w:color w:val="auto"/>
        </w:rPr>
      </w:pPr>
    </w:p>
    <w:p>
      <w:pPr>
        <w:jc w:val="both"/>
        <w:ind w:firstLine="656"/>
        <w:spacing w:after="0" w:line="239" w:lineRule="auto"/>
        <w:tabs>
          <w:tab w:leader="none" w:pos="95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Permanent Disability.</w:t>
      </w:r>
      <w:r>
        <w:rPr>
          <w:rFonts w:ascii="Times New Roman" w:cs="Times New Roman" w:eastAsia="Times New Roman" w:hAnsi="Times New Roman"/>
          <w:sz w:val="22"/>
          <w:szCs w:val="22"/>
          <w:color w:val="auto"/>
        </w:rPr>
        <w:t xml:space="preserve"> No portion of this Award shall be forfeited as a result of the occurrence, prior to the end of the Restricted Period, of the Participant’s death or Disability (as defined in the Plan). Instead, in the event of the Participant’s death or Disability, this Award shall become immediately vested and nonforfeitable and the Company or the Partnership shall deliver the Units to the Participant or the Participant’s estate, as soon as practicable thereafter.</w:t>
      </w:r>
    </w:p>
    <w:p>
      <w:pPr>
        <w:spacing w:after="0" w:line="207" w:lineRule="exact"/>
        <w:rPr>
          <w:rFonts w:ascii="Times New Roman" w:cs="Times New Roman" w:eastAsia="Times New Roman" w:hAnsi="Times New Roman"/>
          <w:sz w:val="22"/>
          <w:szCs w:val="22"/>
          <w:color w:val="auto"/>
        </w:rPr>
      </w:pPr>
    </w:p>
    <w:p>
      <w:pPr>
        <w:jc w:val="both"/>
        <w:ind w:firstLine="656"/>
        <w:spacing w:after="0" w:line="250" w:lineRule="auto"/>
        <w:tabs>
          <w:tab w:leader="none" w:pos="967"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Qualified Retirement.</w:t>
      </w:r>
      <w:r>
        <w:rPr>
          <w:rFonts w:ascii="Times New Roman" w:cs="Times New Roman" w:eastAsia="Times New Roman" w:hAnsi="Times New Roman"/>
          <w:sz w:val="22"/>
          <w:szCs w:val="22"/>
          <w:color w:val="auto"/>
        </w:rPr>
        <w:t xml:space="preserve"> Participant who have at least five (5) years of service and leaves the Partnership, </w:t>
      </w:r>
      <w:r>
        <w:rPr>
          <w:rFonts w:ascii="Times New Roman" w:cs="Times New Roman" w:eastAsia="Times New Roman" w:hAnsi="Times New Roman"/>
          <w:sz w:val="20"/>
          <w:szCs w:val="20"/>
          <w:color w:val="auto"/>
        </w:rPr>
        <w:t>or one of 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 xml:space="preserve">affiliates or subsidiaries, </w:t>
      </w:r>
      <w:r>
        <w:rPr>
          <w:rFonts w:ascii="Times New Roman" w:cs="Times New Roman" w:eastAsia="Times New Roman" w:hAnsi="Times New Roman"/>
          <w:sz w:val="21"/>
          <w:szCs w:val="21"/>
          <w:color w:val="auto"/>
        </w:rPr>
        <w:t>voluntarily due to retirement, the Award will be eligible for the accelerated vesting per the following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schedule:</w:t>
      </w:r>
    </w:p>
    <w:p>
      <w:pPr>
        <w:spacing w:after="0" w:line="193" w:lineRule="exact"/>
        <w:rPr>
          <w:rFonts w:ascii="Times New Roman" w:cs="Times New Roman" w:eastAsia="Times New Roman" w:hAnsi="Times New Roman"/>
          <w:sz w:val="22"/>
          <w:szCs w:val="22"/>
          <w:color w:val="auto"/>
        </w:rPr>
      </w:pPr>
    </w:p>
    <w:p>
      <w:pPr>
        <w:ind w:left="1300" w:hanging="320"/>
        <w:spacing w:after="0" w:line="257" w:lineRule="auto"/>
        <w:tabs>
          <w:tab w:leader="none" w:pos="1295" w:val="left"/>
        </w:tabs>
        <w:numPr>
          <w:ilvl w:val="1"/>
          <w:numId w:val="167"/>
        </w:numPr>
        <w:rPr>
          <w:rFonts w:ascii="Arial" w:cs="Arial" w:eastAsia="Arial" w:hAnsi="Arial"/>
          <w:sz w:val="22"/>
          <w:szCs w:val="22"/>
          <w:color w:val="auto"/>
        </w:rPr>
      </w:pPr>
      <w:r>
        <w:rPr>
          <w:rFonts w:ascii="Times New Roman" w:cs="Times New Roman" w:eastAsia="Times New Roman" w:hAnsi="Times New Roman"/>
          <w:sz w:val="22"/>
          <w:szCs w:val="22"/>
          <w:color w:val="auto"/>
        </w:rPr>
        <w:t>Participants ages 65-68 are eligible for the accelerated vesting of 40% of the remaining unvested Restricted Units under the Award at the time of the Participant’s retirement.</w:t>
      </w:r>
    </w:p>
    <w:p>
      <w:pPr>
        <w:spacing w:after="0" w:line="186" w:lineRule="exact"/>
        <w:rPr>
          <w:rFonts w:ascii="Arial" w:cs="Arial" w:eastAsia="Arial" w:hAnsi="Arial"/>
          <w:sz w:val="22"/>
          <w:szCs w:val="22"/>
          <w:color w:val="auto"/>
        </w:rPr>
      </w:pPr>
    </w:p>
    <w:p>
      <w:pPr>
        <w:ind w:left="1300" w:hanging="320"/>
        <w:spacing w:after="0" w:line="245" w:lineRule="auto"/>
        <w:tabs>
          <w:tab w:leader="none" w:pos="1295"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over the age of 68 are eligible for the accelerated vesting of 50% of the remaining unvested Restricted Units under the Award at the time of the Participant’s retirement.</w:t>
      </w:r>
    </w:p>
    <w:p>
      <w:pPr>
        <w:spacing w:after="0" w:line="19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Notwithstanding the foregoing, in order for this Award to be accelerated under the qualified retirement provision hereof, it must be outstanding for at least one year from the date of grant, referenced in section 1.1(b) above.</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Any qualified retirement occurring prior to the one-year anniversary of the date of grant will result in the Award hereunder being forfeited with no acceleration.</w:t>
      </w:r>
    </w:p>
    <w:p>
      <w:pPr>
        <w:spacing w:after="0" w:line="185" w:lineRule="exact"/>
        <w:rPr>
          <w:sz w:val="20"/>
          <w:szCs w:val="20"/>
          <w:color w:val="auto"/>
        </w:rPr>
      </w:pPr>
    </w:p>
    <w:p>
      <w:pPr>
        <w:jc w:val="both"/>
        <w:ind w:firstLine="656"/>
        <w:spacing w:after="0" w:line="234" w:lineRule="auto"/>
        <w:tabs>
          <w:tab w:leader="none" w:pos="96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other than to Death, Disability or Qualified Retirement.</w:t>
      </w:r>
      <w:r>
        <w:rPr>
          <w:rFonts w:ascii="Times New Roman" w:cs="Times New Roman" w:eastAsia="Times New Roman" w:hAnsi="Times New Roman"/>
          <w:sz w:val="22"/>
          <w:szCs w:val="22"/>
          <w:color w:val="auto"/>
        </w:rPr>
        <w:t xml:space="preserve"> The Award granted hereunder is for the express purpose of retaining the services and engagement of the Participant for the full time of the Restricted Period. Except as otherwise provided in the Plan or in Section 1.5(a) and (b) of this Agreement, the unvested portion of this Award shall be automatically forfeited for no consideration as a result of the termination of the Participant’s employment with the Partnership or one of its affiliates for any reason, including by reason of retirement prior to the end of the Restricted Period, and Participant shall not have any further rights with respect to any such forfeited Restricted Units.</w:t>
      </w:r>
    </w:p>
    <w:p>
      <w:pPr>
        <w:sectPr>
          <w:pgSz w:w="11900" w:h="16838" w:orient="portrait"/>
          <w:cols w:equalWidth="0" w:num="1">
            <w:col w:w="11240"/>
          </w:cols>
          <w:pgMar w:left="320" w:top="1404" w:right="339" w:bottom="1440" w:gutter="0" w:footer="0" w:header="0"/>
        </w:sectPr>
      </w:pPr>
    </w:p>
    <w:bookmarkStart w:id="259" w:name="page260"/>
    <w:bookmarkEnd w:id="259"/>
    <w:p>
      <w:pPr>
        <w:jc w:val="both"/>
        <w:ind w:firstLine="656"/>
        <w:spacing w:after="0" w:line="244" w:lineRule="auto"/>
        <w:tabs>
          <w:tab w:leader="none" w:pos="994"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Leaves of Absence.</w:t>
      </w:r>
      <w:r>
        <w:rPr>
          <w:rFonts w:ascii="Times New Roman" w:cs="Times New Roman" w:eastAsia="Times New Roman" w:hAnsi="Times New Roman"/>
          <w:sz w:val="22"/>
          <w:szCs w:val="22"/>
          <w:color w:val="auto"/>
        </w:rPr>
        <w:t xml:space="preserve"> The Committee shall determine whether any leave of absence constitutes a termination of employment within the meaning of the Plan and the impact of such leave of absence on awards made to Participant under the Plan.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b w:val="1"/>
          <w:bCs w:val="1"/>
          <w:u w:val="single" w:color="auto"/>
          <w:color w:val="auto"/>
        </w:rPr>
        <w:t>Confidentiality and Access to Confidential Information</w:t>
      </w:r>
    </w:p>
    <w:p>
      <w:pPr>
        <w:spacing w:after="0" w:line="22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Participant’s Receipt of and Access to Confidential Information and Protected Relationships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connection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Service to the ET Entities, the Partnership and/or its affiliates have provided and will continue to provide Participant access to, and/or allow Participant the opportunity to develop, confidential information of the ET Entities, including certain information pertaining to the ET Entities’ past, current, and future: business plans, corporate opportunities, operations, acquisition, merger or sale strategies; production, product development, product names and marks; marketing, costs, pricing, financial performance, business plans, and strategic plans; financial statements and all information relating to financial activities, assets, and liabilities; operation or production procedures or results; trade secrets; partners, partnership or other business arrangements or agreements with third parties; customers including their identities, contact persons, sales volumes, preferences, requirements, history, and contracts; and technical information, including equipment, drawings, blueprints, services and processes, along with any other information relating to the ET Entities’ business that is treated by the Partnership as confidential (all of the foregoing collectively,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The ET Entities will also provide Participant access to, and the opportunity to develop, business relationships with the ET Entities’ customers, clients, and partners with whom the ET Entities have developed goodwill and to which Participant would not otherwise have access (collectively, “</w:t>
      </w:r>
      <w:r>
        <w:rPr>
          <w:rFonts w:ascii="Times New Roman" w:cs="Times New Roman" w:eastAsia="Times New Roman" w:hAnsi="Times New Roman"/>
          <w:sz w:val="22"/>
          <w:szCs w:val="22"/>
          <w:b w:val="1"/>
          <w:bCs w:val="1"/>
          <w:color w:val="auto"/>
        </w:rPr>
        <w:t>Protected Relationships</w:t>
      </w:r>
      <w:r>
        <w:rPr>
          <w:rFonts w:ascii="Times New Roman" w:cs="Times New Roman" w:eastAsia="Times New Roman" w:hAnsi="Times New Roman"/>
          <w:sz w:val="22"/>
          <w:szCs w:val="22"/>
          <w:color w:val="auto"/>
        </w:rPr>
        <w:t>”). Participant acknowledges and agrees that even if Participant creates or adds to any Confidential Information or Protected Relationships, Participant is being compensated to do so under Participant’s Service with the ET Entities and any such information is and will remain the property of the Partnership.</w:t>
      </w:r>
    </w:p>
    <w:p>
      <w:pPr>
        <w:spacing w:after="0" w:line="205" w:lineRule="exact"/>
        <w:rPr>
          <w:sz w:val="20"/>
          <w:szCs w:val="20"/>
          <w:color w:val="auto"/>
        </w:rPr>
      </w:pPr>
    </w:p>
    <w:p>
      <w:pPr>
        <w:jc w:val="both"/>
        <w:ind w:firstLine="656"/>
        <w:spacing w:after="0" w:line="233" w:lineRule="auto"/>
        <w:tabs>
          <w:tab w:leader="none" w:pos="102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Obligations of Non-Use and Non-Disclosure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Participant acknowledges that the business of the Partnership and its affiliates is highly competitive and that the Confidential Information and opportunity to develop Protected Relationships are valuable, special, and unique assets of the Partnership and its affiliates which they use in their business to obtain a competitive advantage over their competitors which do not know or use this information. Participant further acknowledges that protection of the Confidential Information and Protected Relationships against unauthorized disclosure and use is of critical importance to the Partnership and its affiliates in maintaining their competitive position. Accordingly, Participant hereby agrees that Participant will not, at any time during or after Participant’s Service to any of the ET Entities, make any unauthorized disclosure of any Confidential Information or make any use thereof or of the Protected Relationships, except for the benefit of, and on behalf of, the ET Entities.</w:t>
      </w:r>
    </w:p>
    <w:p>
      <w:pPr>
        <w:spacing w:after="0" w:line="210" w:lineRule="exact"/>
        <w:rPr>
          <w:rFonts w:ascii="Times New Roman" w:cs="Times New Roman" w:eastAsia="Times New Roman" w:hAnsi="Times New Roman"/>
          <w:sz w:val="22"/>
          <w:szCs w:val="22"/>
          <w:color w:val="auto"/>
        </w:rPr>
      </w:pPr>
    </w:p>
    <w:p>
      <w:pPr>
        <w:ind w:right="20" w:firstLine="656"/>
        <w:spacing w:after="0" w:line="258" w:lineRule="auto"/>
        <w:tabs>
          <w:tab w:leader="none" w:pos="982"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Information</w:t>
      </w:r>
      <w:r>
        <w:rPr>
          <w:rFonts w:ascii="Times New Roman" w:cs="Times New Roman" w:eastAsia="Times New Roman" w:hAnsi="Times New Roman"/>
          <w:sz w:val="22"/>
          <w:szCs w:val="22"/>
          <w:color w:val="auto"/>
        </w:rPr>
        <w:t>. Participant acknowledges that, as a result of Participant’s service with the Partnership, Participant has had and will continue to have access to, or</w:t>
      </w:r>
    </w:p>
    <w:p>
      <w:pPr>
        <w:sectPr>
          <w:pgSz w:w="11900" w:h="16838" w:orient="portrait"/>
          <w:cols w:equalWidth="0" w:num="1">
            <w:col w:w="11240"/>
          </w:cols>
          <w:pgMar w:left="320" w:top="1408" w:right="339" w:bottom="1440" w:gutter="0" w:footer="0" w:header="0"/>
        </w:sectPr>
      </w:pPr>
    </w:p>
    <w:bookmarkStart w:id="260" w:name="page261"/>
    <w:bookmarkEnd w:id="260"/>
    <w:p>
      <w:pPr>
        <w:jc w:val="both"/>
        <w:spacing w:after="0" w:line="261" w:lineRule="auto"/>
        <w:rPr>
          <w:sz w:val="20"/>
          <w:szCs w:val="20"/>
          <w:color w:val="auto"/>
        </w:rPr>
      </w:pPr>
      <w:r>
        <w:rPr>
          <w:rFonts w:ascii="Times New Roman" w:cs="Times New Roman" w:eastAsia="Times New Roman" w:hAnsi="Times New Roman"/>
          <w:sz w:val="21"/>
          <w:szCs w:val="21"/>
          <w:color w:val="auto"/>
        </w:rPr>
        <w:t>knowledge of, confidential business information or trade secrets of third parties, such as customers, clients, vendors, suppliers, partners, joint venturers, and the like, of the ET Entities. Participant agrees to preserve and protect the confidentiality of such third-party confidential information and trade secrets to the same extent, and on the same basis, as the Confidential Information.</w:t>
      </w:r>
    </w:p>
    <w:p>
      <w:pPr>
        <w:spacing w:after="0" w:line="180" w:lineRule="exact"/>
        <w:rPr>
          <w:sz w:val="20"/>
          <w:szCs w:val="20"/>
          <w:color w:val="auto"/>
        </w:rPr>
      </w:pPr>
    </w:p>
    <w:p>
      <w:pPr>
        <w:jc w:val="both"/>
        <w:ind w:firstLine="656"/>
        <w:spacing w:after="0" w:line="236" w:lineRule="auto"/>
        <w:tabs>
          <w:tab w:leader="none" w:pos="98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Documents and Electronic Data</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All written or electronic or other data or materials, records and other documents made by, or coming into the possession of, Participant during the period of Participant’s Service which contain or disclose the Confidential Information and/or Protected Relationships shall be and remain the property of the ET Entities. Upon request, and in any event without request upon termination of Participant’s service for any reason, Participant shall promptly shall deliver the same, and all copies, derivatives and extracts thereof, to the ET Entities.</w:t>
      </w:r>
    </w:p>
    <w:p>
      <w:pPr>
        <w:spacing w:after="0" w:line="200" w:lineRule="exact"/>
        <w:rPr>
          <w:rFonts w:ascii="Times New Roman" w:cs="Times New Roman" w:eastAsia="Times New Roman" w:hAnsi="Times New Roman"/>
          <w:sz w:val="22"/>
          <w:szCs w:val="22"/>
          <w:color w:val="auto"/>
        </w:rPr>
      </w:pPr>
    </w:p>
    <w:p>
      <w:pPr>
        <w:jc w:val="both"/>
        <w:ind w:firstLine="656"/>
        <w:spacing w:after="0" w:line="232" w:lineRule="auto"/>
        <w:tabs>
          <w:tab w:leader="none" w:pos="95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 Limitations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Notwithstanding the foregoing or anything herein to the contrary, Participant acknowledges and agrees that (i) nothing contained in this Agreement will prohibit Participant from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(ii) nothing in this Agreement is intended to or will prevent Participant from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Participant’s attorney or in a sealed complaint or other document filed in a lawsuit or other governmental proceeding; and (iii) pursuant to 18 USC Section 1833(b), Participant will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b w:val="1"/>
          <w:bCs w:val="1"/>
          <w:u w:val="single" w:color="auto"/>
          <w:color w:val="auto"/>
        </w:rPr>
        <w:t>Non-Solicit/Non-Hire</w:t>
      </w:r>
    </w:p>
    <w:p>
      <w:pPr>
        <w:spacing w:after="0" w:line="233" w:lineRule="exact"/>
        <w:rPr>
          <w:sz w:val="20"/>
          <w:szCs w:val="20"/>
          <w:color w:val="auto"/>
        </w:rPr>
      </w:pPr>
    </w:p>
    <w:p>
      <w:pPr>
        <w:jc w:val="both"/>
        <w:ind w:firstLine="656"/>
        <w:spacing w:after="0" w:line="235" w:lineRule="auto"/>
        <w:tabs>
          <w:tab w:leader="none" w:pos="96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 for Restrictive Covenants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restrictive covenants contained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are supported by consideration to Participant from the Partnership as specified in this Agreement, including, but not limited to, the consideration provided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Participant agrees that the restrictive covenants contained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are in exchange for the consideration specified herein, as a material incentive for the Partnership to enter into this Agreement, to help enforce Participant’s agreement not to use or disclose Confidential Information and Protected Relationships as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and to protect the ET Entities’ goodwill which Participant will help develop during Participant’s period of service.</w:t>
      </w:r>
    </w:p>
    <w:p>
      <w:pPr>
        <w:spacing w:after="0" w:line="201" w:lineRule="exact"/>
        <w:rPr>
          <w:rFonts w:ascii="Times New Roman" w:cs="Times New Roman" w:eastAsia="Times New Roman" w:hAnsi="Times New Roman"/>
          <w:sz w:val="22"/>
          <w:szCs w:val="22"/>
          <w:color w:val="auto"/>
        </w:rPr>
      </w:pPr>
    </w:p>
    <w:p>
      <w:pPr>
        <w:jc w:val="both"/>
        <w:ind w:firstLine="656"/>
        <w:spacing w:after="0" w:line="263" w:lineRule="auto"/>
        <w:tabs>
          <w:tab w:leader="none" w:pos="954"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Non-Solicitation/Non-Hire of Employees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During the Restrictive Covenant Period (as defined below), Participant shall not, without the written consent of the ET Entities, on Participant’s own behalf or on behalf of any other person, partnership, entity, association, or corporation, hire, retain or seek to hire or retain any employee of the ET Entities or in any other</w:t>
      </w:r>
    </w:p>
    <w:p>
      <w:pPr>
        <w:sectPr>
          <w:pgSz w:w="11900" w:h="16838" w:orient="portrait"/>
          <w:cols w:equalWidth="0" w:num="1">
            <w:col w:w="11240"/>
          </w:cols>
          <w:pgMar w:left="320" w:top="1408" w:right="339" w:bottom="1440" w:gutter="0" w:footer="0" w:header="0"/>
        </w:sectPr>
      </w:pPr>
    </w:p>
    <w:bookmarkStart w:id="261" w:name="page262"/>
    <w:bookmarkEnd w:id="261"/>
    <w:p>
      <w:pPr>
        <w:jc w:val="both"/>
        <w:spacing w:after="0" w:line="238" w:lineRule="auto"/>
        <w:rPr>
          <w:sz w:val="20"/>
          <w:szCs w:val="20"/>
          <w:color w:val="auto"/>
        </w:rPr>
      </w:pPr>
      <w:r>
        <w:rPr>
          <w:rFonts w:ascii="Times New Roman" w:cs="Times New Roman" w:eastAsia="Times New Roman" w:hAnsi="Times New Roman"/>
          <w:sz w:val="22"/>
          <w:szCs w:val="22"/>
          <w:color w:val="auto"/>
        </w:rPr>
        <w:t>manner attempt directly or indirectly to solicit, influence, induce, or encourage any employee of the ET Entities to leave the employment of the ET Entities, nor shall Participant use or disclose to any person, partnership, entity, association, or corporation any information concerning the names, addresses, or personal telephone numbers of any employees of the ET Entities for the purpose of soliciting or hiring such employee for potential employment or services on behalf of any person or entity other than the ET Entities.</w:t>
      </w:r>
    </w:p>
    <w:p>
      <w:pPr>
        <w:spacing w:after="0" w:line="200" w:lineRule="exact"/>
        <w:rPr>
          <w:sz w:val="20"/>
          <w:szCs w:val="20"/>
          <w:color w:val="auto"/>
        </w:rPr>
      </w:pPr>
    </w:p>
    <w:p>
      <w:pPr>
        <w:ind w:firstLine="656"/>
        <w:spacing w:after="0" w:line="272" w:lineRule="auto"/>
        <w:tabs>
          <w:tab w:leader="none" w:pos="942"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Customers and Business Partners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During the Restrictive Covenant Period, Participant shall not, on Participant’s own behalf or on behalf of any other person, partnership, entity, association, or corporation, directly or indirectly:</w:t>
      </w:r>
    </w:p>
    <w:p>
      <w:pPr>
        <w:spacing w:after="0" w:line="172" w:lineRule="exact"/>
        <w:rPr>
          <w:rFonts w:ascii="Times New Roman" w:cs="Times New Roman" w:eastAsia="Times New Roman" w:hAnsi="Times New Roman"/>
          <w:sz w:val="21"/>
          <w:szCs w:val="21"/>
          <w:color w:val="auto"/>
        </w:rPr>
      </w:pPr>
    </w:p>
    <w:p>
      <w:pPr>
        <w:ind w:left="1300" w:hanging="320"/>
        <w:spacing w:after="0" w:line="258" w:lineRule="auto"/>
        <w:tabs>
          <w:tab w:leader="none" w:pos="1288"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influence, induce, solicit or encourage any customer or business partner of the ET Entities to abandon, reduce, or materially change its business relationship with the ET Entities, or</w:t>
      </w:r>
    </w:p>
    <w:p>
      <w:pPr>
        <w:spacing w:after="0" w:line="185" w:lineRule="exact"/>
        <w:rPr>
          <w:rFonts w:ascii="Times New Roman" w:cs="Times New Roman" w:eastAsia="Times New Roman" w:hAnsi="Times New Roman"/>
          <w:sz w:val="22"/>
          <w:szCs w:val="22"/>
          <w:color w:val="auto"/>
        </w:rPr>
      </w:pPr>
    </w:p>
    <w:p>
      <w:pPr>
        <w:ind w:left="1300" w:hanging="320"/>
        <w:spacing w:after="0" w:line="258" w:lineRule="auto"/>
        <w:tabs>
          <w:tab w:leader="none" w:pos="1294"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products or services related to the Restricted Business (as defined below) to any customer or business partner of the ET Entities.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During the post-employment period of the Restrictive Covenant Period, this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shall only restrict Participant’s activities with respect to (i) customers and business partners of the ET Entities with whom Participant had direct contact or business dealings or indirect contact or business dealings (through the supervision of other employees) in the twenty-four (24) months preceding the termination of Participant’s employment for any reason, or (ii) customers and business partners of the ET Entities about whom Participant learned Confidential Information in the twenty-four (24) months preceding the termination of Participant’s Service for any reason.</w:t>
      </w:r>
    </w:p>
    <w:p>
      <w:pPr>
        <w:spacing w:after="0" w:line="191" w:lineRule="exact"/>
        <w:rPr>
          <w:sz w:val="20"/>
          <w:szCs w:val="20"/>
          <w:color w:val="auto"/>
        </w:rPr>
      </w:pPr>
    </w:p>
    <w:p>
      <w:pPr>
        <w:ind w:left="960" w:hanging="304"/>
        <w:spacing w:after="0"/>
        <w:tabs>
          <w:tab w:leader="none" w:pos="96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i w:val="1"/>
          <w:iCs w:val="1"/>
          <w:color w:val="auto"/>
        </w:rPr>
        <w:t>.</w:t>
      </w:r>
    </w:p>
    <w:p>
      <w:pPr>
        <w:spacing w:after="0" w:line="237"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252"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Business. The Restricted Business is defined as the products and services provided or proposed to be provided by the ET Entities during Participant’s employment and which Participant (i) was directly involved or indirectly involved through the supervision of other employees; or (ii) about which Participant received Confidential Information.</w:t>
      </w:r>
    </w:p>
    <w:p>
      <w:pPr>
        <w:spacing w:after="0" w:line="207" w:lineRule="exact"/>
        <w:rPr>
          <w:rFonts w:ascii="Times New Roman" w:cs="Times New Roman" w:eastAsia="Times New Roman" w:hAnsi="Times New Roman"/>
          <w:sz w:val="22"/>
          <w:szCs w:val="22"/>
          <w:color w:val="auto"/>
        </w:rPr>
      </w:pPr>
    </w:p>
    <w:p>
      <w:pPr>
        <w:jc w:val="both"/>
        <w:ind w:left="1300" w:right="20" w:hanging="320"/>
        <w:spacing w:after="0" w:line="255" w:lineRule="auto"/>
        <w:tabs>
          <w:tab w:leader="none" w:pos="1297"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Restrictive Covenant Period. The Restrictive Covenant Period is defined as the period of time during Participant’s employment with any ET Entity and continuing for one (1) year after the date Participant is no longer employed by any of the ET Entities, regardless of the reason for the termination of Participant’s employment and regardless of whether Participant’s employment was terminated by Participant or the ET Entities.</w:t>
      </w:r>
    </w:p>
    <w:p>
      <w:pPr>
        <w:spacing w:after="0" w:line="184" w:lineRule="exact"/>
        <w:rPr>
          <w:rFonts w:ascii="Times New Roman" w:cs="Times New Roman" w:eastAsia="Times New Roman" w:hAnsi="Times New Roman"/>
          <w:sz w:val="21"/>
          <w:szCs w:val="21"/>
          <w:color w:val="auto"/>
        </w:rPr>
      </w:pPr>
    </w:p>
    <w:p>
      <w:pPr>
        <w:jc w:val="both"/>
        <w:ind w:firstLine="656"/>
        <w:spacing w:after="0" w:line="235" w:lineRule="auto"/>
        <w:tabs>
          <w:tab w:leader="none" w:pos="95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Reasonableness of Restrictions; Breach and Reformation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Participant understands and agrees that the restrictions and obligations upon Participant contained in this Agreement are material to the ET Entities and that this Agreement would not be entered into without these promises from Participant. Participant acknowledges that these restrictions and obligations do not terminate when Participant’s employment terminates. Participant understands that the restrictions in </w:t>
      </w:r>
      <w:r>
        <w:rPr>
          <w:rFonts w:ascii="Times New Roman" w:cs="Times New Roman" w:eastAsia="Times New Roman" w:hAnsi="Times New Roman"/>
          <w:sz w:val="22"/>
          <w:szCs w:val="22"/>
          <w:u w:val="single" w:color="auto"/>
          <w:color w:val="auto"/>
        </w:rPr>
        <w:t>Sections 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2.2</w:t>
      </w:r>
      <w:r>
        <w:rPr>
          <w:rFonts w:ascii="Times New Roman" w:cs="Times New Roman" w:eastAsia="Times New Roman" w:hAnsi="Times New Roman"/>
          <w:sz w:val="22"/>
          <w:szCs w:val="22"/>
          <w:color w:val="auto"/>
        </w:rPr>
        <w:t xml:space="preserve"> of this Agreement may limit Participant’s ability to engage in a business similar to or competitive with the ET Entities, but acknowledges that Participant will</w:t>
      </w:r>
    </w:p>
    <w:p>
      <w:pPr>
        <w:sectPr>
          <w:pgSz w:w="11900" w:h="16838" w:orient="portrait"/>
          <w:cols w:equalWidth="0" w:num="1">
            <w:col w:w="11240"/>
          </w:cols>
          <w:pgMar w:left="320" w:top="1408" w:right="339" w:bottom="1440" w:gutter="0" w:footer="0" w:header="0"/>
        </w:sectPr>
      </w:pPr>
    </w:p>
    <w:bookmarkStart w:id="262" w:name="page263"/>
    <w:bookmarkEnd w:id="262"/>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receive sufficient consideration from the ET Entities under this Agreement to justify such restrictions. Participant further acknowledges that the foregoing restrictions and obligations do not prevent Participant from earning a living with the skills and experience Participant currently possesses. Participant acknowledges that money damages would not be a sufficient remedy for any breach of this Agreement by Participant, and, as such, the ET Entities shall be entitled to enforce their rights under this Agreement by injunctive relief in addition to all remedies available at law or in equity. Participant agrees that in the event of a breach, or a threatened breach, by Participant of any of the provisions of </w:t>
      </w:r>
      <w:r>
        <w:rPr>
          <w:rFonts w:ascii="Times New Roman" w:cs="Times New Roman" w:eastAsia="Times New Roman" w:hAnsi="Times New Roman"/>
          <w:sz w:val="22"/>
          <w:szCs w:val="22"/>
          <w:u w:val="single" w:color="auto"/>
          <w:color w:val="auto"/>
        </w:rPr>
        <w:t>Sections 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2.2</w:t>
      </w:r>
      <w:r>
        <w:rPr>
          <w:rFonts w:ascii="Times New Roman" w:cs="Times New Roman" w:eastAsia="Times New Roman" w:hAnsi="Times New Roman"/>
          <w:sz w:val="22"/>
          <w:szCs w:val="22"/>
          <w:color w:val="auto"/>
        </w:rPr>
        <w:t xml:space="preserve"> of this Agreement the ET Entities shall be entitled to seek, in addition to any and all other rights, remedies or damages (including the right to receive any and all common units of the Partnership delivered hereunder or the market value of the common units delivered hereunder) available to the ET Entities at law or in equity, a temporary and permanent injunction, without having to prove damages, in order to prevent or restrain any such breach, or threatened breach, by Participant, or by any or all of Participant’s partners, employers, employees, servants, agents, representatives and any other persons directly or indirectly acting for, or on behalf of, or in concert with, Participant, and that the ET Parties shall be entitled to seek all of its costs and expenses incurred in obtaining such relief including reasonable attorneys’ and client legal costs and disbursements.</w:t>
      </w:r>
    </w:p>
    <w:p>
      <w:pPr>
        <w:spacing w:after="0" w:line="20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It is expressly understood and agreed that Partnership and Participant consider the restrictions and obligations upon Participant contained in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to constitute reasonable restraints as to time, geography, and activities involved, and to be necessary for the purposes of preserving and protecting the goodwill, Confidential Information, Protected Relationships, and other legitimate business interests of the ET Entities. Nevertheless, if any covenant contained in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is found by a court of competent jurisdiction to contain limitations as to time, geographic area, or scope of activity that are not reasonable and impose a greater restraint than is necessary to protect the legitimate business interests of the ET Entities, then the court shall reform the covenant to the extent necessary to cause the limitations contained in the covenant as to time, geographic area, and scope of activity to be restrained to be reasonable and to impose a restraint that is not greater than necessary to protect the legitimate business interests of the ET Entities. Participant hereby expressly waives, and agrees not to assert, any challenge to any restrictive covenant in this Agreement premised upon insufficiency of consideration, over breadth or unreasonableness, or that any provisions of this Agreement are otherwise void, voidable, or unenforceable or should be voided or held unenforceable.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20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u w:val="single" w:color="auto"/>
          <w:color w:val="auto"/>
        </w:rPr>
        <w:t>Successors and Assignability.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binding upon, and inure to the benefit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Partnership and their respective successors and assigns, and upon any person acquiring, whether by merger, consolidation, purchase of assets or otherwise, all or substantially all of the Partnership’s assets and business. Unless otherwise provided by the Committee: (a) no part of this Award shall be assignable or transferable by the Participant, except by will or the laws of descent and distribution; and (b) during the Participant’s life, this Award shall be payable only to Participant, or Participant’s guardian or legal representative. In the event of the Participant’s death, payment, to the extent permitted by this Agreement and the Plan, shall be made to the Participant’s estate.</w:t>
      </w:r>
    </w:p>
    <w:p>
      <w:pPr>
        <w:sectPr>
          <w:pgSz w:w="11900" w:h="16838" w:orient="portrait"/>
          <w:cols w:equalWidth="0" w:num="1">
            <w:col w:w="11240"/>
          </w:cols>
          <w:pgMar w:left="320" w:top="1408" w:right="339" w:bottom="1440" w:gutter="0" w:footer="0" w:header="0"/>
        </w:sectPr>
      </w:pPr>
    </w:p>
    <w:bookmarkStart w:id="263" w:name="page264"/>
    <w:bookmarkEnd w:id="263"/>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Rights as a Limited Partner.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Until Units have been validly issued (as fully paid common units representing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partnership interests in the Partnership) in settlement of vested Restricted Units to the Participant or any other person, neither Participant nor such other person shall be entitled to any privileges of common unit ownership, (including, without limitation, any voting rights or any right to distributions paid with respect to the common units underlying the Restricted Units), or otherwise have any rights as a limited partner, by reason of the Award.</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b w:val="1"/>
          <w:bCs w:val="1"/>
          <w:u w:val="single" w:color="auto"/>
          <w:color w:val="auto"/>
        </w:rPr>
        <w:t>No Right to Continued Employment</w:t>
      </w:r>
      <w:r>
        <w:rPr>
          <w:rFonts w:ascii="Times New Roman" w:cs="Times New Roman" w:eastAsia="Times New Roman" w:hAnsi="Times New Roman"/>
          <w:sz w:val="22"/>
          <w:szCs w:val="22"/>
          <w:color w:val="auto"/>
        </w:rPr>
        <w:t>. Nothing in this Agreement or in the Plan shall be construed as giving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the right to be retained in the employ or service of the Partnership or any Affiliate thereof or establish standards regarding the termination from employment of the Participant. Furthermore, the Company, Partnership or any of its and their affiliates may at any time dismiss the Participant from employment or consulting free from any liability or any claim under the Plan or this Agreement, unless otherwise expressly provided in the Plan, this Agreement or any other written agreement between the Participant and the Company or an Affiliate thereof.</w:t>
      </w:r>
    </w:p>
    <w:p>
      <w:pPr>
        <w:spacing w:after="0" w:line="20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not be amended or modified except by an instrument in writing executed by both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b w:val="1"/>
          <w:bCs w:val="1"/>
          <w:u w:val="single" w:color="auto"/>
          <w:color w:val="auto"/>
        </w:rPr>
        <w:t>Captions.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captions at the beginning of each of the numbered Sections and Articles herein are for reference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only and will have no legal force or effect. Such captions will not be considered a part of this Agreement for purposes of interpreting, construing or applying this Agreement and will not define, limit, extend, explain or describe the scope or extent of this Agreement or any of its terms and conditions.</w:t>
      </w:r>
    </w:p>
    <w:p>
      <w:pPr>
        <w:spacing w:after="0" w:line="18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3.6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VALIDITY, CONSTRUCTION, INTERPRETATION AND EFFECT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 SHALL BE GOVERNED EXCLUSIVELY BY, AND DETERMINED IN ACCORDANCE WITH, THE LAW OF THE STATE OF DELAWARE (WITHOUT GIVING EFFECT TO THE CONFLICTS OF LAW PRINCIPLES THEREOF), EXCEPT TO THE EXTENT PRE-EMPTED BY FEDERAL LAW, WHICH SHALL GOVERN.</w:t>
      </w:r>
    </w:p>
    <w:p>
      <w:pPr>
        <w:spacing w:after="0" w:line="19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3.7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Communications shall be addressed and directed to the parties, as follows, or to such other address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recipient for a party as may be hereafter notified by such party hereunder:</w:t>
      </w:r>
    </w:p>
    <w:p>
      <w:pPr>
        <w:spacing w:after="0" w:line="181" w:lineRule="exact"/>
        <w:rPr>
          <w:sz w:val="20"/>
          <w:szCs w:val="20"/>
          <w:color w:val="auto"/>
        </w:rPr>
      </w:pPr>
    </w:p>
    <w:p>
      <w:pPr>
        <w:ind w:left="660" w:right="6760" w:hanging="4"/>
        <w:spacing w:after="0" w:line="238" w:lineRule="auto"/>
        <w:tabs>
          <w:tab w:leader="none" w:pos="95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if to the Partnership</w:t>
      </w:r>
      <w:r>
        <w:rPr>
          <w:rFonts w:ascii="Times New Roman" w:cs="Times New Roman" w:eastAsia="Times New Roman" w:hAnsi="Times New Roman"/>
          <w:sz w:val="22"/>
          <w:szCs w:val="22"/>
          <w:color w:val="auto"/>
        </w:rPr>
        <w:t>: Energy Transfer LP 8111 Westchester Drive, Suite 600 Dallas, Texas 75225</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Chief Human Resources Officer</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Notices to the Partnership shall be deemed to have been duly given or made upon actual receipt by the Partnership.</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if to the Participant:</w:t>
      </w:r>
      <w:r>
        <w:rPr>
          <w:rFonts w:ascii="Times New Roman" w:cs="Times New Roman" w:eastAsia="Times New Roman" w:hAnsi="Times New Roman"/>
          <w:sz w:val="22"/>
          <w:szCs w:val="22"/>
          <w:color w:val="auto"/>
        </w:rPr>
        <w:t xml:space="preserve"> to the address for Participant as it appears on the Partnership’s records.</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2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3.8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hereof is found by a court of competent jurisdiction to be prohibited or unenforceable,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as to such jurisdiction, be ineffective only to the extent of such prohibition or unenforceability, and such prohibition or unenforceability shall not invalidate the balance of such provision to the extent it is not prohibited or unenforceable, nor invalidate the other provisions hereof.</w:t>
      </w:r>
    </w:p>
    <w:p>
      <w:pPr>
        <w:spacing w:after="0" w:line="19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3.9 </w:t>
      </w:r>
      <w:r>
        <w:rPr>
          <w:rFonts w:ascii="Times New Roman" w:cs="Times New Roman" w:eastAsia="Times New Roman" w:hAnsi="Times New Roman"/>
          <w:sz w:val="22"/>
          <w:szCs w:val="22"/>
          <w:b w:val="1"/>
          <w:bCs w:val="1"/>
          <w:u w:val="single" w:color="auto"/>
          <w:color w:val="auto"/>
        </w:rPr>
        <w:t>Amendments, Suspension and Termination</w:t>
      </w:r>
      <w:r>
        <w:rPr>
          <w:rFonts w:ascii="Times New Roman" w:cs="Times New Roman" w:eastAsia="Times New Roman" w:hAnsi="Times New Roman"/>
          <w:sz w:val="22"/>
          <w:szCs w:val="22"/>
          <w:color w:val="auto"/>
        </w:rPr>
        <w:t>. Solely to the extent permitted by the Plan, this Agreement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wholly or partially amended or otherwise modified, suspended or terminated at any time or from time to time by the Committee. Except as provided in the preceding sentence, this Agreement cannot be modified, altered or amended, except by an agreement, in writing, signed by both the Partnership and the Participant.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3.10 </w:t>
      </w:r>
      <w:r>
        <w:rPr>
          <w:rFonts w:ascii="Times New Roman" w:cs="Times New Roman" w:eastAsia="Times New Roman" w:hAnsi="Times New Roman"/>
          <w:sz w:val="22"/>
          <w:szCs w:val="22"/>
          <w:b w:val="1"/>
          <w:bCs w:val="1"/>
          <w:u w:val="single" w:color="auto"/>
          <w:color w:val="auto"/>
        </w:rPr>
        <w:t>Code Section 409A</w:t>
      </w:r>
    </w:p>
    <w:p>
      <w:pPr>
        <w:spacing w:after="0" w:line="233" w:lineRule="exact"/>
        <w:rPr>
          <w:sz w:val="20"/>
          <w:szCs w:val="20"/>
          <w:color w:val="auto"/>
        </w:rPr>
      </w:pPr>
    </w:p>
    <w:p>
      <w:pPr>
        <w:jc w:val="both"/>
        <w:ind w:right="20" w:firstLine="656"/>
        <w:spacing w:after="0" w:line="241" w:lineRule="auto"/>
        <w:tabs>
          <w:tab w:leader="none" w:pos="95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This Agreement is intended to comply with the provisions of Section 409A of the Internal Code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409A</w:t>
      </w:r>
      <w:r>
        <w:rPr>
          <w:rFonts w:ascii="Times New Roman" w:cs="Times New Roman" w:eastAsia="Times New Roman" w:hAnsi="Times New Roman"/>
          <w:sz w:val="22"/>
          <w:szCs w:val="22"/>
          <w:color w:val="auto"/>
        </w:rPr>
        <w:t>”), as amended and this Agreement and the Plan shall, to the extent practicable, be construed in accordance therewith.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defined in this Agreement and the Plan shall have the meanings given such terms under Section 409A if and to the extent required to comply with Section 409A.</w:t>
      </w:r>
    </w:p>
    <w:p>
      <w:pPr>
        <w:spacing w:after="0" w:line="202" w:lineRule="exact"/>
        <w:rPr>
          <w:rFonts w:ascii="Times New Roman" w:cs="Times New Roman" w:eastAsia="Times New Roman" w:hAnsi="Times New Roman"/>
          <w:sz w:val="22"/>
          <w:szCs w:val="22"/>
          <w:color w:val="auto"/>
        </w:rPr>
      </w:pPr>
    </w:p>
    <w:p>
      <w:pPr>
        <w:jc w:val="both"/>
        <w:ind w:firstLine="656"/>
        <w:spacing w:after="0" w:line="243" w:lineRule="auto"/>
        <w:tabs>
          <w:tab w:leader="none" w:pos="994"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Delayed Payment Rule</w:t>
      </w:r>
      <w:r>
        <w:rPr>
          <w:rFonts w:ascii="Times New Roman" w:cs="Times New Roman" w:eastAsia="Times New Roman" w:hAnsi="Times New Roman"/>
          <w:sz w:val="21"/>
          <w:szCs w:val="21"/>
          <w:color w:val="auto"/>
        </w:rPr>
        <w:t>. If and to the extent any portion of any payment provided to the Participant under this Agreement in connection with the Participant’s “separation from service” (as defined in Section 409A) is determined to constitute “nonqualified deferred compensation” within the meaning of Section 409A and the Participant is a “specified employee” (as defined in Section 409A(a)(2)(B)(i)), as determined by the Company and the Partnership in accordance with the procedures separately adopted by the Company and the Partnership for this purpose, by which determination the Participant, as a condition to accepting benefits under this Agreement and the Plan, agrees to be bound, such portion of the RestrictedUnits and, if applicable DERs, to be delivered on a vesting date shall not be delivered before the earlier of (i) the day that is six months plus one day after the date of separation from service (as determined under Section 409A) or (ii) the tenth (10th) day after the date of the Participant’s death (as applicable, the “</w:t>
      </w:r>
      <w:r>
        <w:rPr>
          <w:rFonts w:ascii="Times New Roman" w:cs="Times New Roman" w:eastAsia="Times New Roman" w:hAnsi="Times New Roman"/>
          <w:sz w:val="21"/>
          <w:szCs w:val="21"/>
          <w:b w:val="1"/>
          <w:bCs w:val="1"/>
          <w:color w:val="auto"/>
        </w:rPr>
        <w:t>New Payment Date</w:t>
      </w:r>
      <w:r>
        <w:rPr>
          <w:rFonts w:ascii="Times New Roman" w:cs="Times New Roman" w:eastAsia="Times New Roman" w:hAnsi="Times New Roman"/>
          <w:sz w:val="21"/>
          <w:szCs w:val="21"/>
          <w:color w:val="auto"/>
        </w:rPr>
        <w:t xml:space="preserve">”). Any amount that is otherwise payable within the six (6) month period described in the preceding sentence, will be aggregated and paid in a lump sum without interest. In addition, if a distribution is paid by the Partnership with respect to its common units during the six month period between the Participant’s separation from service and the New Payment Date, the Partnership shall calculate the DERs that the Participant would have received with respect to each Restricted Unit that is not settled through delivery of a common unit pursuant to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during the six (6) month delay period and shall pay such amount, without interest, to the Participant on the New Payment Date.</w:t>
      </w:r>
    </w:p>
    <w:p>
      <w:pPr>
        <w:spacing w:after="0" w:line="194" w:lineRule="exact"/>
        <w:rPr>
          <w:rFonts w:ascii="Times New Roman" w:cs="Times New Roman" w:eastAsia="Times New Roman" w:hAnsi="Times New Roman"/>
          <w:sz w:val="21"/>
          <w:szCs w:val="21"/>
          <w:color w:val="auto"/>
        </w:rPr>
      </w:pPr>
    </w:p>
    <w:p>
      <w:pPr>
        <w:jc w:val="both"/>
        <w:ind w:firstLine="656"/>
        <w:spacing w:after="0" w:line="239" w:lineRule="auto"/>
        <w:tabs>
          <w:tab w:leader="none" w:pos="94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Payments, No Acceleration</w:t>
      </w:r>
      <w:r>
        <w:rPr>
          <w:rFonts w:ascii="Times New Roman" w:cs="Times New Roman" w:eastAsia="Times New Roman" w:hAnsi="Times New Roman"/>
          <w:sz w:val="22"/>
          <w:szCs w:val="22"/>
          <w:color w:val="auto"/>
        </w:rPr>
        <w:t>. For purposes of Section 409A, each payment or settlement of any portion of the Restricted Units under this Agreement shall be treated as a separate payment of compensation. None of the Company, the Partnership nor the Participant shall have the right to accelerate or defer the delivery of any such Restricted Units except to the extent specifically permitted or required by Section 409A.</w:t>
      </w:r>
    </w:p>
    <w:p>
      <w:pPr>
        <w:sectPr>
          <w:pgSz w:w="11900" w:h="16838" w:orient="portrait"/>
          <w:cols w:equalWidth="0" w:num="1">
            <w:col w:w="11240"/>
          </w:cols>
          <w:pgMar w:left="320" w:top="1440" w:right="339" w:bottom="1440" w:gutter="0" w:footer="0" w:header="0"/>
        </w:sectPr>
      </w:pPr>
    </w:p>
    <w:bookmarkStart w:id="265" w:name="page266"/>
    <w:bookmarkEnd w:id="265"/>
    <w:p>
      <w:pPr>
        <w:jc w:val="both"/>
        <w:ind w:firstLine="656"/>
        <w:spacing w:after="0" w:line="244" w:lineRule="auto"/>
        <w:tabs>
          <w:tab w:leader="none" w:pos="95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Representation</w:t>
      </w:r>
      <w:r>
        <w:rPr>
          <w:rFonts w:ascii="Times New Roman" w:cs="Times New Roman" w:eastAsia="Times New Roman" w:hAnsi="Times New Roman"/>
          <w:sz w:val="22"/>
          <w:szCs w:val="22"/>
          <w:color w:val="auto"/>
        </w:rPr>
        <w:t>. The Company and the Partnership make no representations or warranty and shall have no liability to the Participant or any other person if any provisions of or payments under this Agreement are determined to constitute deferred compensation subject to Section 409A but not to satisfy the conditions of that section.</w:t>
      </w:r>
    </w:p>
    <w:p>
      <w:pPr>
        <w:spacing w:after="0" w:line="19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3.11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the terms of the Plan constitute the entire understanding and supersedes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all other agreements, oral or written, between the parties hereto, in respect of the subject matter of this Agreement and embodies the entire understanding of the parties with respect to the subject matter hereof.</w:t>
      </w:r>
    </w:p>
    <w:p>
      <w:pPr>
        <w:spacing w:after="0" w:line="181" w:lineRule="exact"/>
        <w:rPr>
          <w:sz w:val="20"/>
          <w:szCs w:val="20"/>
          <w:color w:val="auto"/>
        </w:rPr>
      </w:pPr>
    </w:p>
    <w:p>
      <w:pPr>
        <w:ind w:left="4400" w:right="60" w:hanging="3683"/>
        <w:spacing w:after="0" w:line="262" w:lineRule="auto"/>
        <w:rPr>
          <w:sz w:val="20"/>
          <w:szCs w:val="20"/>
          <w:color w:val="auto"/>
        </w:rPr>
      </w:pPr>
      <w:r>
        <w:rPr>
          <w:rFonts w:ascii="Times New Roman" w:cs="Times New Roman" w:eastAsia="Times New Roman" w:hAnsi="Times New Roman"/>
          <w:sz w:val="22"/>
          <w:szCs w:val="22"/>
          <w:b w:val="1"/>
          <w:bCs w:val="1"/>
          <w:color w:val="auto"/>
        </w:rPr>
        <w:t>BY ACCEPTING THIS AGREEMENT ONLINE PARTICIPANT AGREES TO THE TERMS OF THE AWARD AS SPECIFIED HEREIN.</w:t>
      </w:r>
    </w:p>
    <w:p>
      <w:pPr>
        <w:sectPr>
          <w:pgSz w:w="11900" w:h="16838" w:orient="portrait"/>
          <w:cols w:equalWidth="0" w:num="1">
            <w:col w:w="11240"/>
          </w:cols>
          <w:pgMar w:left="320" w:top="1408"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ENERGY TRANSFER LP</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INSIDER TRADING POLICY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Introduction</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the securities laws, “Insiders” are prohibited from purchasing or selling preferred or common units representing limited partner interests in Energy Transfer LP (the “</w:t>
      </w:r>
      <w:r>
        <w:rPr>
          <w:rFonts w:ascii="Times New Roman" w:cs="Times New Roman" w:eastAsia="Times New Roman" w:hAnsi="Times New Roman"/>
          <w:sz w:val="22"/>
          <w:szCs w:val="22"/>
          <w:i w:val="1"/>
          <w:iCs w:val="1"/>
          <w:color w:val="auto"/>
        </w:rPr>
        <w:t>Partnership</w:t>
      </w:r>
      <w:r>
        <w:rPr>
          <w:rFonts w:ascii="Times New Roman" w:cs="Times New Roman" w:eastAsia="Times New Roman" w:hAnsi="Times New Roman"/>
          <w:sz w:val="22"/>
          <w:szCs w:val="22"/>
          <w:color w:val="auto"/>
        </w:rPr>
        <w:t>”) and debt securities issued by the Partnership (the “</w:t>
      </w:r>
      <w:r>
        <w:rPr>
          <w:rFonts w:ascii="Times New Roman" w:cs="Times New Roman" w:eastAsia="Times New Roman" w:hAnsi="Times New Roman"/>
          <w:sz w:val="22"/>
          <w:szCs w:val="22"/>
          <w:i w:val="1"/>
          <w:iCs w:val="1"/>
          <w:color w:val="auto"/>
        </w:rPr>
        <w:t>Securities</w:t>
      </w:r>
      <w:r>
        <w:rPr>
          <w:rFonts w:ascii="Times New Roman" w:cs="Times New Roman" w:eastAsia="Times New Roman" w:hAnsi="Times New Roman"/>
          <w:sz w:val="22"/>
          <w:szCs w:val="22"/>
          <w:color w:val="auto"/>
        </w:rPr>
        <w:t>”) while in the possession of material nonpublic or “Insider” information. Insiders are also prohibited from discussing any such information with persons not authorized to receive it. These Rules Apply to Everyone – You Are Not Protected from Liability Because You Are Not a Member of Management. Any Employee, Officer or Director Will be considered to Be an “Insider” under the securities laws for as Long as he or She has knowledge of material Nonpublic Information.</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“Material” information includes any information that would influence a reasonable investor to buy, sell or hold the Partnership’s Securities. Although what is “material” will depend on the facts of each event, common examples of information frequently regarded as material are: quarterly and annual earnings or losses; volumes; proposed acquisitions, mergers or divestitures; the execution or loss of contracts with customers or suppliers that could be considered to be significant to the Partnership’s operations; news of major new products or services; information about a major joint venture, acquisition or business opportunity; and news of significant changes in management. Both positive and adverse information can be material. The broadest interpretation should be given to what is “material.” Hindsight makes a relatively insignificant happening appear significant if it becomes the first step toward a substantial financial event. It is also very difficult for an officer, director or other manager to prove that he or she did not know about a development known to other officers or directors or to subordinates.</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Insider Trading and Securities Fraud Enforcement Act of 1988 contains strict civil and criminal penalties for violating the insider trading rules. Among other things, civil penalties assessed against the Partnership could include the payment of a fine equal to the </w:t>
      </w:r>
      <w:r>
        <w:rPr>
          <w:rFonts w:ascii="Times New Roman" w:cs="Times New Roman" w:eastAsia="Times New Roman" w:hAnsi="Times New Roman"/>
          <w:sz w:val="22"/>
          <w:szCs w:val="22"/>
          <w:i w:val="1"/>
          <w:iCs w:val="1"/>
          <w:color w:val="auto"/>
        </w:rPr>
        <w:t>greater of $1 million</w:t>
      </w:r>
      <w:r>
        <w:rPr>
          <w:rFonts w:ascii="Times New Roman" w:cs="Times New Roman" w:eastAsia="Times New Roman" w:hAnsi="Times New Roman"/>
          <w:sz w:val="22"/>
          <w:szCs w:val="22"/>
          <w:color w:val="auto"/>
        </w:rPr>
        <w:t xml:space="preserve"> or three times any profit earned or loss avoided. In addition, civil penalties of up to three times the profit gained or loss avoided can be assessed against the person who committed the violation. Criminal penalties can include both higher fines and even imprisonment. Penalties can be applied to persons who have traded on material nonpublic information, persons who have shared such information with others, the recipients of such information, and the Partnership.</w:t>
      </w:r>
    </w:p>
    <w:p>
      <w:pPr>
        <w:spacing w:after="0" w:line="20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“Nonpublic” material information is material information that has not received adequate public disclosure. Adequate public disclosure requires that the information must be widely disclosed or widely available to nearly anyone, such as distribution to the wire services, through a press release, or available on the Partnership’s website, and that a sufficient period of time have elapsed from the time of such disclosure for the information to be effectively disseminated to the public or to the Partnership’s unitholders. Again, there are no firm rules regarding what is adequate public disclosure, and it will be dependent upon the facts of the event.</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Until material information has been publicly disseminated, any employee with knowledge of it must stay out of the markets for Securities and for the securities of any other company for</w:t>
      </w:r>
    </w:p>
    <w:p>
      <w:pPr>
        <w:sectPr>
          <w:pgSz w:w="11900" w:h="16838" w:orient="portrait"/>
          <w:cols w:equalWidth="0" w:num="1">
            <w:col w:w="11240"/>
          </w:cols>
          <w:pgMar w:left="320" w:top="1404"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22"/>
          <w:szCs w:val="22"/>
          <w:color w:val="auto"/>
        </w:rPr>
        <w:t>which the information may be material. Examples include co-venturers, subcontractors, suppliers and customers.</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Equally important to the restrictions on employees, officers and directors, is that the restrictions also apply to persons who may have a relationship with the employee, officer or director. An employee, officer or director who has insider information must not permit any member of his or her immediate family, anyone acting on their behalf, or anyone to whom such insider has disclosed the information, to take any action in the market for securities that may be affected by the information. This restriction from acting on such information is equally applicable to purchases and to sales.</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It is also vital that employees, officers and directors not pass insider information on to others. The Partnership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the employee, officer or director could be subject to serious civil and criminal penalties when information is leaked out to a few investors who act upon it before the news has been publicly disseminated.</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In summary, the rules against “insider trading” are applicable to all employees, officers and directors of the Partnership who receive or possess material nonpublic information. </w:t>
      </w:r>
      <w:r>
        <w:rPr>
          <w:rFonts w:ascii="Times New Roman" w:cs="Times New Roman" w:eastAsia="Times New Roman" w:hAnsi="Times New Roman"/>
          <w:sz w:val="22"/>
          <w:szCs w:val="22"/>
          <w:i w:val="1"/>
          <w:iCs w:val="1"/>
          <w:color w:val="auto"/>
        </w:rPr>
        <w:t>Legal constraints and the Partnership’s policy require that employees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disclose, to any outside source, any confidential information they may receive in the course of their duties. Moreover, such individuals are expressly prohibited from taking advantage of such information, either directly or indirectly. </w:t>
      </w:r>
      <w:r>
        <w:rPr>
          <w:rFonts w:ascii="Times New Roman" w:cs="Times New Roman" w:eastAsia="Times New Roman" w:hAnsi="Times New Roman"/>
          <w:sz w:val="22"/>
          <w:szCs w:val="22"/>
          <w:color w:val="auto"/>
        </w:rPr>
        <w:t>Officers, directors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other supervisory personnel should take steps to limit the disclosure of confidential and material information to only those employees with a “need to know,” and when disclosure is necessary, all recipients should be counseled to comply with the laws and the Partnership’s policies described in this statement. </w:t>
      </w:r>
      <w:r>
        <w:rPr>
          <w:rFonts w:ascii="Times New Roman" w:cs="Times New Roman" w:eastAsia="Times New Roman" w:hAnsi="Times New Roman"/>
          <w:sz w:val="22"/>
          <w:szCs w:val="22"/>
          <w:i w:val="1"/>
          <w:iCs w:val="1"/>
          <w:color w:val="auto"/>
        </w:rPr>
        <w:t>In all cases, the responsibility for determining whether an individual 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 possession of material nonpublic information rests with the individual and any action by any employee or officer of the Partnership pursuant to this policy does not in any way constitute legal advice or insulate you from liability under applicable securities laws.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you have any questions regarding either the law or any of the following rules, please contact the Partnership’s General Counsel.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Rules</w:t>
      </w:r>
    </w:p>
    <w:p>
      <w:pPr>
        <w:spacing w:after="0" w:line="235" w:lineRule="exact"/>
        <w:rPr>
          <w:sz w:val="20"/>
          <w:szCs w:val="20"/>
          <w:color w:val="auto"/>
        </w:rPr>
      </w:pPr>
    </w:p>
    <w:p>
      <w:pPr>
        <w:ind w:left="660" w:hanging="328"/>
        <w:spacing w:after="0" w:line="262" w:lineRule="auto"/>
        <w:tabs>
          <w:tab w:leader="none" w:pos="65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nonpublic information concerning Energy Transfer LP and its affiliated companies (collectively, the “</w:t>
      </w:r>
      <w:r>
        <w:rPr>
          <w:rFonts w:ascii="Times New Roman" w:cs="Times New Roman" w:eastAsia="Times New Roman" w:hAnsi="Times New Roman"/>
          <w:sz w:val="22"/>
          <w:szCs w:val="22"/>
          <w:i w:val="1"/>
          <w:iCs w:val="1"/>
          <w:color w:val="auto"/>
        </w:rPr>
        <w:t>Partnership</w:t>
      </w:r>
      <w:r>
        <w:rPr>
          <w:rFonts w:ascii="Times New Roman" w:cs="Times New Roman" w:eastAsia="Times New Roman" w:hAnsi="Times New Roman"/>
          <w:sz w:val="22"/>
          <w:szCs w:val="22"/>
          <w:color w:val="auto"/>
        </w:rPr>
        <w:t>”) and its affairs, is and remains the property of the Partnership.</w:t>
      </w:r>
    </w:p>
    <w:p>
      <w:pPr>
        <w:spacing w:after="0" w:line="99" w:lineRule="exact"/>
        <w:rPr>
          <w:rFonts w:ascii="Times New Roman" w:cs="Times New Roman" w:eastAsia="Times New Roman" w:hAnsi="Times New Roman"/>
          <w:sz w:val="22"/>
          <w:szCs w:val="22"/>
          <w:color w:val="auto"/>
        </w:rPr>
      </w:pPr>
    </w:p>
    <w:p>
      <w:pPr>
        <w:ind w:left="660" w:right="20" w:hanging="328"/>
        <w:spacing w:after="0" w:line="258" w:lineRule="auto"/>
        <w:tabs>
          <w:tab w:leader="none" w:pos="65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coming into possession of such information acquires no interest or rights in the information, and merely holds it as an incident to his or her employment.</w:t>
      </w:r>
    </w:p>
    <w:p>
      <w:pPr>
        <w:spacing w:after="0" w:line="104" w:lineRule="exact"/>
        <w:rPr>
          <w:rFonts w:ascii="Times New Roman" w:cs="Times New Roman" w:eastAsia="Times New Roman" w:hAnsi="Times New Roman"/>
          <w:sz w:val="22"/>
          <w:szCs w:val="22"/>
          <w:color w:val="auto"/>
        </w:rPr>
      </w:pPr>
    </w:p>
    <w:p>
      <w:pPr>
        <w:ind w:left="660" w:right="20" w:hanging="328"/>
        <w:spacing w:after="0" w:line="258" w:lineRule="auto"/>
        <w:tabs>
          <w:tab w:leader="none" w:pos="65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Officers and employees in possession of material nonpublic information hold the information as trustees for the benefit of the Partnership and its unitholders and are under fiduciary responsibilities to the Partnership and its unitholders.</w:t>
      </w:r>
    </w:p>
    <w:p>
      <w:pPr>
        <w:spacing w:after="0" w:line="90"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5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unlawful, both civilly and criminally, and against Partnership policy, for any officer or employee to buy or sell the Partnership’s Securities, or options, puts and calls and any other security that relates to, or derives its value by reference to, the Partnership’s</w:t>
      </w:r>
    </w:p>
    <w:p>
      <w:pPr>
        <w:sectPr>
          <w:pgSz w:w="11900" w:h="16838" w:orient="portrait"/>
          <w:cols w:equalWidth="0" w:num="1">
            <w:col w:w="11240"/>
          </w:cols>
          <w:pgMar w:left="320" w:top="1408" w:right="339" w:bottom="1440" w:gutter="0" w:footer="0" w:header="0"/>
        </w:sectPr>
      </w:pPr>
    </w:p>
    <w:bookmarkStart w:id="268" w:name="page269"/>
    <w:bookmarkEnd w:id="268"/>
    <w:p>
      <w:pPr>
        <w:ind w:left="328"/>
        <w:spacing w:after="0" w:line="262" w:lineRule="auto"/>
        <w:rPr>
          <w:sz w:val="20"/>
          <w:szCs w:val="20"/>
          <w:color w:val="auto"/>
        </w:rPr>
      </w:pPr>
      <w:r>
        <w:rPr>
          <w:rFonts w:ascii="Times New Roman" w:cs="Times New Roman" w:eastAsia="Times New Roman" w:hAnsi="Times New Roman"/>
          <w:sz w:val="22"/>
          <w:szCs w:val="22"/>
          <w:color w:val="auto"/>
        </w:rPr>
        <w:t xml:space="preserve">Securities, while in the possession of material nonpublic information;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purchases and sales pursuant to any approved Rule 10b5-1 Plan may be permissible (see below).</w:t>
      </w:r>
    </w:p>
    <w:p>
      <w:pPr>
        <w:spacing w:after="0" w:line="100" w:lineRule="exact"/>
        <w:rPr>
          <w:sz w:val="20"/>
          <w:szCs w:val="20"/>
          <w:color w:val="auto"/>
        </w:rPr>
      </w:pPr>
    </w:p>
    <w:p>
      <w:pPr>
        <w:jc w:val="both"/>
        <w:ind w:left="328" w:hanging="328"/>
        <w:spacing w:after="0" w:line="244" w:lineRule="auto"/>
        <w:tabs>
          <w:tab w:leader="none" w:pos="32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officer or employee in possession of material nonpublic information thus must refrain absolutely from any trading in the Partnership’s Securities, until such time as the information has been publicly disseminated and the public has had sufficient time to absorb such information (typically two (2) business days).</w:t>
      </w:r>
    </w:p>
    <w:p>
      <w:pPr>
        <w:spacing w:after="0" w:line="119" w:lineRule="exact"/>
        <w:rPr>
          <w:rFonts w:ascii="Times New Roman" w:cs="Times New Roman" w:eastAsia="Times New Roman" w:hAnsi="Times New Roman"/>
          <w:sz w:val="22"/>
          <w:szCs w:val="22"/>
          <w:color w:val="auto"/>
        </w:rPr>
      </w:pPr>
    </w:p>
    <w:p>
      <w:pPr>
        <w:jc w:val="both"/>
        <w:ind w:left="328" w:hanging="328"/>
        <w:spacing w:after="0" w:line="231" w:lineRule="auto"/>
        <w:tabs>
          <w:tab w:leader="none" w:pos="32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who are designated as “Insiders” are subject to the additional restriction that they may only trade in the Partnership’s Securities (i) during specified “trading windows” as described below or (ii) as otherwise approved by the Partnership’s General Counsel. The Partnership’s General Counsel or Associate General Counsel will advise “Insiders” via email notification of the opening and closing of quarterly trading windows when trading in the Partnership’s Securities is permitted (assuming that the party wishing to trade Securities does not possess material nonpublic information). These windows of trading opportunity will typically begin, or “open”, on the third (3</w:t>
      </w:r>
      <w:r>
        <w:rPr>
          <w:rFonts w:ascii="Times New Roman" w:cs="Times New Roman" w:eastAsia="Times New Roman" w:hAnsi="Times New Roman"/>
          <w:sz w:val="11"/>
          <w:szCs w:val="11"/>
          <w:color w:val="auto"/>
        </w:rPr>
        <w:t>rd</w:t>
      </w:r>
      <w:r>
        <w:rPr>
          <w:rFonts w:ascii="Times New Roman" w:cs="Times New Roman" w:eastAsia="Times New Roman" w:hAnsi="Times New Roman"/>
          <w:sz w:val="22"/>
          <w:szCs w:val="22"/>
          <w:color w:val="auto"/>
        </w:rPr>
        <w:t>) business day after the release to the public of the Partnership’s quarterly earnings data, and close fourteen (14) calendar days prior to the end of the next fiscal quarter. By way of example, if the Partnership releases earnings for the second quarter of a fiscal year on August 11</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the ensuing trading window for Insiders will open on August 14</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(or the next business day thereafter if August 14</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falls on a weekend or bank holiday) and close again on September 17</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Utilization of the trading window will not exempt any Insider from liability for misuse of material inside information or the disgorgement of any profits in violation of Section 16 of the Securities and Exchange Act of 1934, as amended (the “</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xml:space="preserve">”) (matching of purchases and sales within six (6) months of each other). </w:t>
      </w:r>
      <w:r>
        <w:rPr>
          <w:rFonts w:ascii="Times New Roman" w:cs="Times New Roman" w:eastAsia="Times New Roman" w:hAnsi="Times New Roman"/>
          <w:sz w:val="22"/>
          <w:szCs w:val="22"/>
          <w:i w:val="1"/>
          <w:iCs w:val="1"/>
          <w:color w:val="auto"/>
        </w:rPr>
        <w:t>For purposes of this paragraph 6 only, the term “Insider” means the officers and directors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 the Partnership who are required to make filings under Section 16 of the Exchange Act, and other employees who may be designated by the Partnership’s Legal Department or Board of Directors from time to time and who are notified in writing of such designation. </w:t>
      </w:r>
      <w:r>
        <w:rPr>
          <w:rFonts w:ascii="Times New Roman" w:cs="Times New Roman" w:eastAsia="Times New Roman" w:hAnsi="Times New Roman"/>
          <w:sz w:val="22"/>
          <w:szCs w:val="22"/>
          <w:color w:val="auto"/>
        </w:rPr>
        <w:t>Section 16 officers and directors should promptly report any such trade to the Partnership’s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16 filing coordinator.</w:t>
      </w:r>
    </w:p>
    <w:p>
      <w:pPr>
        <w:spacing w:after="0" w:line="126" w:lineRule="exact"/>
        <w:rPr>
          <w:rFonts w:ascii="Times New Roman" w:cs="Times New Roman" w:eastAsia="Times New Roman" w:hAnsi="Times New Roman"/>
          <w:sz w:val="22"/>
          <w:szCs w:val="22"/>
          <w:color w:val="auto"/>
        </w:rPr>
      </w:pPr>
    </w:p>
    <w:p>
      <w:pPr>
        <w:jc w:val="both"/>
        <w:ind w:left="328" w:hanging="328"/>
        <w:spacing w:after="0" w:line="238" w:lineRule="auto"/>
        <w:tabs>
          <w:tab w:leader="none" w:pos="32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Designated “Insiders” may come in contact with material nonpublic information on a continuing and frequent basis and, as such, all purchases and sales of Partnership Securities by “Insiders” – even if the proposed transaction is within an “open” trading window as described above – must be pre-cleared by the Partnership’s General Counsel or his designee, prior to executing the proposed transaction, except for purchases and sales pursuant to any approved Rule 10b5-1 Plan (see below).</w:t>
      </w:r>
    </w:p>
    <w:p>
      <w:pPr>
        <w:spacing w:after="0" w:line="109" w:lineRule="exact"/>
        <w:rPr>
          <w:rFonts w:ascii="Times New Roman" w:cs="Times New Roman" w:eastAsia="Times New Roman" w:hAnsi="Times New Roman"/>
          <w:sz w:val="22"/>
          <w:szCs w:val="22"/>
          <w:color w:val="auto"/>
        </w:rPr>
      </w:pPr>
    </w:p>
    <w:p>
      <w:pPr>
        <w:jc w:val="both"/>
        <w:ind w:left="328" w:hanging="328"/>
        <w:spacing w:after="0" w:line="244" w:lineRule="auto"/>
        <w:tabs>
          <w:tab w:leader="none" w:pos="32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 violation of Partnership policy, and potentially civilly or criminally unlawful, for an employee, officer or director to disclose, even inadvertently, to persons outside of the Partnership any material nonpublic information, other than in the course of the performance of their duties.</w:t>
      </w:r>
    </w:p>
    <w:p>
      <w:pPr>
        <w:spacing w:after="0" w:line="119" w:lineRule="exact"/>
        <w:rPr>
          <w:rFonts w:ascii="Times New Roman" w:cs="Times New Roman" w:eastAsia="Times New Roman" w:hAnsi="Times New Roman"/>
          <w:sz w:val="22"/>
          <w:szCs w:val="22"/>
          <w:color w:val="auto"/>
        </w:rPr>
      </w:pPr>
    </w:p>
    <w:p>
      <w:pPr>
        <w:jc w:val="both"/>
        <w:ind w:left="328" w:hanging="328"/>
        <w:spacing w:after="0" w:line="244" w:lineRule="auto"/>
        <w:tabs>
          <w:tab w:leader="none" w:pos="32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nonpublic information is defined as any information concerning the Partnership, not yet public knowledge, but which, if publicly known, could reasonably be expected to affect the price of the Partnership’s Securities, or is likely to be considered important by a reasonable investor.</w:t>
      </w:r>
    </w:p>
    <w:p>
      <w:pPr>
        <w:sectPr>
          <w:pgSz w:w="11900" w:h="16838" w:orient="portrait"/>
          <w:cols w:equalWidth="0" w:num="1">
            <w:col w:w="10908"/>
          </w:cols>
          <w:pgMar w:left="652" w:top="1404" w:right="339" w:bottom="1440" w:gutter="0" w:footer="0" w:header="0"/>
        </w:sectPr>
      </w:pPr>
    </w:p>
    <w:bookmarkStart w:id="269" w:name="page270"/>
    <w:bookmarkEnd w:id="269"/>
    <w:p>
      <w:pPr>
        <w:ind w:left="660" w:hanging="328"/>
        <w:spacing w:after="0" w:line="258" w:lineRule="auto"/>
        <w:tabs>
          <w:tab w:leader="none" w:pos="130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Anyone who violates this policy, by either trading on insider information or passing on such information to others, will be subject to disciplinary action, up to and including immediate discharge.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Rule 10b5-1 Plans</w:t>
      </w:r>
    </w:p>
    <w:p>
      <w:pPr>
        <w:spacing w:after="0" w:line="2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Rule 10b5-1 under the Exchange Act provides a defense from insider trading liability under Rule 10b-5. In order to be eligible to rely on this defense, a person subject to this policy must enter into a rule 10b5-1 plan for transactions in the Partnership’s Securities that meets certain conditions specified in the rule (“</w:t>
      </w:r>
      <w:r>
        <w:rPr>
          <w:rFonts w:ascii="Times New Roman" w:cs="Times New Roman" w:eastAsia="Times New Roman" w:hAnsi="Times New Roman"/>
          <w:sz w:val="22"/>
          <w:szCs w:val="22"/>
          <w:i w:val="1"/>
          <w:iCs w:val="1"/>
          <w:color w:val="auto"/>
        </w:rPr>
        <w:t>Rule 10b5-1 Plan</w:t>
      </w:r>
      <w:r>
        <w:rPr>
          <w:rFonts w:ascii="Times New Roman" w:cs="Times New Roman" w:eastAsia="Times New Roman" w:hAnsi="Times New Roman"/>
          <w:sz w:val="22"/>
          <w:szCs w:val="22"/>
          <w:color w:val="auto"/>
        </w:rPr>
        <w:t>”). If the plan meets the requirements of Rule 10b5-1, Partnership Securities may be purchased or sold without regard to the insider trading restrictions contained in this policy. To comply with the policy, a Rule 10b5-1 Plan must be approved by Partnership’s General Counsel and meet the requirements of Rule 10b5-1. In general, the rule provides that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the transactions in advance or delegate discretion on these matters to an independent third party.</w:t>
      </w:r>
    </w:p>
    <w:p>
      <w:pPr>
        <w:spacing w:after="0" w:line="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1"/>
          <w:szCs w:val="21"/>
          <w:color w:val="auto"/>
        </w:rPr>
        <w:t>Any Rule 10b5-1 Plan must be submitted for approval five (5) days prior to the entry into the Rule 10b5-1 Plan. No further pre-approval of transactions conducted pursuant to the Rule 10b5-1 Plan will be required. Transactions pursuant to Rule 10b5-1 Plans are reportable transactions for persons designated as Section 16 officers and directors. Rule 10b5-1 Plans require a cooling off period for directors and officers and will not become effective until the later of (i) 90 days after the adoption or modification of the trading plan or (ii) two business days following the filing of the Form 10-Q or Form 10-K for the fiscal quarter in which the plan was adopted or modified. In any event, the required cooling-off period is not to exceed 120 days following the adoption or modification of the plan. With respect to persons other than issuers, directors or officers, the applicable cooling-off period is 30 days after the adoption or modification of the trading plan. Persons entering into a plan will generally be prohibited from having more than one Rule 10b5-1 Plan for open market purchases or sales of the Partnership’s securities.</w:t>
      </w:r>
    </w:p>
    <w:p>
      <w:pPr>
        <w:sectPr>
          <w:pgSz w:w="11900" w:h="16838" w:orient="portrait"/>
          <w:cols w:equalWidth="0" w:num="1">
            <w:col w:w="11240"/>
          </w:cols>
          <w:pgMar w:left="320" w:top="1408"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ENERGY TRANSFER LP, a Delaware limited partnership:</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Arguelles Pipeline, S. De R.L. De C.V., a Mexico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Arrow Field Services,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Arrow Midstream Holdings,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Arrow Pipeline,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Arrow Water Services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Arrow Water,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Atoka Midstream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Bakken Holdings Company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Bakken Pipeline Investments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Bayou Bridge Pipeline,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Bayview Refining Company,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Beartooth DevCo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Bighorn DevCo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Blue Marlin Offshore Port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Bobcat DevCo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Buckeye Products Pipe Line, L.P.,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Buffalo Gulf Coast Terminals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Buffalo Parent Gulf Coast Terminals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Centurion Energy Transportation,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Centurion Permian Logistics,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Centurion Pipeline Company,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Centurion Pipeline GP,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Centurion Pipeline Holdco,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Centurion Pipeline L.P., a Texas limited partnership</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Centurion Pipeline LP I,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Centurion SENM Holdings GP,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Centurion SENM Holdings LP,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Chalkley Gathering Company,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Chemical Manufacturing Operations – a series of Evergreen Resources Group, LLC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Citrus ETP Finance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Citrus,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Clean Air Action Corporation,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CMLP Tres Manager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CMLP Tres Operator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Comanche Trail Pipeline,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CPB Member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CPB Operator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CPB Subsidiary Holdings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CPB Transportation &amp; Marketing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Crestwood Appalachia Pipeline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Crestwood Canada Company, Nova Scotia unlimited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Crestwood Corporation,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Crestwood Crude Logistics LLC, a Delaware limited liability company</w:t>
      </w:r>
    </w:p>
    <w:p>
      <w:pPr>
        <w:sectPr>
          <w:pgSz w:w="11900" w:h="16838" w:orient="portrait"/>
          <w:cols w:equalWidth="0" w:num="1">
            <w:col w:w="11240"/>
          </w:cols>
          <w:pgMar w:left="320" w:top="887"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22"/>
          <w:szCs w:val="22"/>
          <w:color w:val="auto"/>
        </w:rPr>
        <w:t>Crestwood Crude Services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Crude Terminals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Crude Transportation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Dakota Pipelines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Delaware Basin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Equity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Gas Services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Gas Services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Holdings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Infrastructure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Marcellus Midstream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Marcellus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Midstream Finance Corp.,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Midstream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Midstream Operations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Midstream Partners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New Mexico Pipeline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Niobrara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Operations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Panhandle Pipeline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Permian Basin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Permian Basin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Pipeline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Sales &amp; Service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Sendero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Services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Crestwood Transportation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CrossCountry Citrus,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Crosspoint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Dakota Access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Dakota Access Truck Terminals,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Dakota Access,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DAL-TEX Consulting,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DAPL-ETCO Construction Management, LLC, a Delaware limited liability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DAPL-ETCO Operations Management,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Dual Drive Technologies, Ltd., a Texas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 Marcellus Asset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Edwards Lime Gathering,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ELG Oil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ELG Utility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Enable Atoka, LLC, an Oklahoma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Enable Bakken Crude Services,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Enable Energy Resources, LLC, an Oklahoma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Enable Gas Transmission,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Enable Mississippi River Transmission,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Enable Natural State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Enable Oklahoma Crude Services, LLC, an Oklahoma limited liability company</w:t>
      </w:r>
    </w:p>
    <w:p>
      <w:pPr>
        <w:sectPr>
          <w:pgSz w:w="11900" w:h="16838" w:orient="portrait"/>
          <w:cols w:equalWidth="0" w:num="1">
            <w:col w:w="10119"/>
          </w:cols>
          <w:pgMar w:left="340" w:top="936" w:right="1440" w:bottom="1440" w:gutter="0" w:footer="0" w:header="0"/>
        </w:sectPr>
      </w:pPr>
    </w:p>
    <w:bookmarkStart w:id="272" w:name="page273"/>
    <w:bookmarkEnd w:id="272"/>
    <w:p>
      <w:pPr>
        <w:ind w:right="2659"/>
        <w:spacing w:after="0" w:line="281" w:lineRule="auto"/>
        <w:rPr>
          <w:sz w:val="20"/>
          <w:szCs w:val="20"/>
          <w:color w:val="auto"/>
        </w:rPr>
      </w:pPr>
      <w:r>
        <w:rPr>
          <w:rFonts w:ascii="Times New Roman" w:cs="Times New Roman" w:eastAsia="Times New Roman" w:hAnsi="Times New Roman"/>
          <w:sz w:val="22"/>
          <w:szCs w:val="22"/>
          <w:color w:val="auto"/>
        </w:rPr>
        <w:t>Enable Oklahoma Intrastate Transmission, LLC, a Delaware limited liability company Enable Pine Holdings, LLC, a Delaware limited liability company</w:t>
      </w:r>
    </w:p>
    <w:p>
      <w:pPr>
        <w:spacing w:after="0" w:line="2" w:lineRule="exact"/>
        <w:rPr>
          <w:sz w:val="20"/>
          <w:szCs w:val="20"/>
          <w:color w:val="auto"/>
        </w:rPr>
      </w:pPr>
    </w:p>
    <w:p>
      <w:pPr>
        <w:ind w:right="3659"/>
        <w:spacing w:after="0" w:line="295" w:lineRule="auto"/>
        <w:rPr>
          <w:sz w:val="20"/>
          <w:szCs w:val="20"/>
          <w:color w:val="auto"/>
        </w:rPr>
      </w:pPr>
      <w:r>
        <w:rPr>
          <w:rFonts w:ascii="Times New Roman" w:cs="Times New Roman" w:eastAsia="Times New Roman" w:hAnsi="Times New Roman"/>
          <w:sz w:val="21"/>
          <w:szCs w:val="21"/>
          <w:color w:val="auto"/>
        </w:rPr>
        <w:t>Enable South Central Pipeline, LLC, a Delaware limited liability company Enable Waskom Holdings, LLC, a Delaware limited liability company</w:t>
      </w:r>
    </w:p>
    <w:p>
      <w:pPr>
        <w:spacing w:after="0"/>
        <w:rPr>
          <w:sz w:val="20"/>
          <w:szCs w:val="20"/>
          <w:color w:val="auto"/>
        </w:rPr>
      </w:pPr>
      <w:r>
        <w:rPr>
          <w:rFonts w:ascii="Times New Roman" w:cs="Times New Roman" w:eastAsia="Times New Roman" w:hAnsi="Times New Roman"/>
          <w:sz w:val="21"/>
          <w:szCs w:val="21"/>
          <w:color w:val="auto"/>
        </w:rPr>
        <w:t>Energy Transfer (Beijing) Energy Technology Co., Ltd., a Chinese limited liability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(R&amp;M), LLC, a Pennsylvania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Aviation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Crude Marketing LLC,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Crude Oil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Crude Trucking LLC,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Data Center,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Employee Management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Fuel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Fuel,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GC NGL Assets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GC NGL Fractionators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GC NGL Marine Facilities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GC NGL Marketing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GC NGL Pipelines LP, a Delaware limited partnership</w:t>
      </w:r>
    </w:p>
    <w:p>
      <w:pPr>
        <w:spacing w:after="0" w:line="44" w:lineRule="exact"/>
        <w:rPr>
          <w:sz w:val="20"/>
          <w:szCs w:val="20"/>
          <w:color w:val="auto"/>
        </w:rPr>
      </w:pPr>
    </w:p>
    <w:p>
      <w:pPr>
        <w:ind w:right="2559"/>
        <w:spacing w:after="0" w:line="281" w:lineRule="auto"/>
        <w:rPr>
          <w:sz w:val="20"/>
          <w:szCs w:val="20"/>
          <w:color w:val="auto"/>
        </w:rPr>
      </w:pPr>
      <w:r>
        <w:rPr>
          <w:rFonts w:ascii="Times New Roman" w:cs="Times New Roman" w:eastAsia="Times New Roman" w:hAnsi="Times New Roman"/>
          <w:sz w:val="22"/>
          <w:szCs w:val="22"/>
          <w:color w:val="auto"/>
        </w:rPr>
        <w:t>Energy Transfer GC NGL Product Services LLC, a Delaware limited liability company Energy Transfer GC NGLs LLC, a Delaware limited liability company</w:t>
      </w:r>
    </w:p>
    <w:p>
      <w:pPr>
        <w:spacing w:after="0" w:line="2" w:lineRule="exact"/>
        <w:rPr>
          <w:sz w:val="20"/>
          <w:szCs w:val="20"/>
          <w:color w:val="auto"/>
        </w:rPr>
      </w:pPr>
    </w:p>
    <w:p>
      <w:pPr>
        <w:ind w:right="3459"/>
        <w:spacing w:after="0" w:line="295" w:lineRule="auto"/>
        <w:rPr>
          <w:sz w:val="20"/>
          <w:szCs w:val="20"/>
          <w:color w:val="auto"/>
        </w:rPr>
      </w:pPr>
      <w:r>
        <w:rPr>
          <w:rFonts w:ascii="Times New Roman" w:cs="Times New Roman" w:eastAsia="Times New Roman" w:hAnsi="Times New Roman"/>
          <w:sz w:val="21"/>
          <w:szCs w:val="21"/>
          <w:color w:val="auto"/>
        </w:rPr>
        <w:t>Energy Transfer Geismar Olefins LLC, a Delaware limited liability company Energy Transfer Group, L.L.C., a Texas limited liability company</w:t>
      </w:r>
    </w:p>
    <w:p>
      <w:pPr>
        <w:spacing w:after="0"/>
        <w:rPr>
          <w:sz w:val="20"/>
          <w:szCs w:val="20"/>
          <w:color w:val="auto"/>
        </w:rPr>
      </w:pPr>
      <w:r>
        <w:rPr>
          <w:rFonts w:ascii="Times New Roman" w:cs="Times New Roman" w:eastAsia="Times New Roman" w:hAnsi="Times New Roman"/>
          <w:sz w:val="22"/>
          <w:szCs w:val="22"/>
          <w:color w:val="auto"/>
        </w:rPr>
        <w:t>Energy Transfer Hattiesburg NGLs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International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Interstate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Latin America, S. de R.L., a Panama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LNG Export,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Low-Carbon Development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Marketing &amp; Terminals L.P., a Texas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Mexicana,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Mont Belvieu NGL Pipelines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Mont Belvieu NGLs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Mont Belvieu NGLs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Nederland Terminal LLC,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Operations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Panama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Partners,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Peru 2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Petrochemical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Retail Power,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Sea Robin Processing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Singapore Private Limited, a Singapore private limited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Spindletop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Energy Transfer Transport, LLC, a Pennsylvania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C&amp;D Holdco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CC Holdings LLC, a Delaware limited liability company</w:t>
      </w:r>
    </w:p>
    <w:p>
      <w:pPr>
        <w:sectPr>
          <w:pgSz w:w="11900" w:h="16838" w:orient="portrait"/>
          <w:cols w:equalWidth="0" w:num="1">
            <w:col w:w="10119"/>
          </w:cols>
          <w:pgMar w:left="340" w:top="936"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22"/>
          <w:szCs w:val="22"/>
          <w:color w:val="auto"/>
        </w:rPr>
        <w:t>ET COAM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CPL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Crude Oil Terminals,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Crude Operating,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Finance LLC, a Delaware limited liability company</w:t>
      </w:r>
    </w:p>
    <w:p>
      <w:pPr>
        <w:spacing w:after="0" w:line="44" w:lineRule="exact"/>
        <w:rPr>
          <w:sz w:val="20"/>
          <w:szCs w:val="20"/>
          <w:color w:val="auto"/>
        </w:rPr>
      </w:pPr>
    </w:p>
    <w:p>
      <w:pPr>
        <w:ind w:right="3939"/>
        <w:spacing w:after="0" w:line="281" w:lineRule="auto"/>
        <w:rPr>
          <w:sz w:val="20"/>
          <w:szCs w:val="20"/>
          <w:color w:val="auto"/>
        </w:rPr>
      </w:pPr>
      <w:r>
        <w:rPr>
          <w:rFonts w:ascii="Times New Roman" w:cs="Times New Roman" w:eastAsia="Times New Roman" w:hAnsi="Times New Roman"/>
          <w:sz w:val="22"/>
          <w:szCs w:val="22"/>
          <w:color w:val="auto"/>
        </w:rPr>
        <w:t>ET Gathering &amp; Processing LLC, a Delaware limited liability company ET Genco LLC, A Texas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Insurance Canada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Intrastate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Midstream Holdings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ET Panama Construction Company, S. de R.L., a Panama limited liability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Panama Operating Company, S. de R.L., a Panama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Procurement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Rover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Sabina Pipeline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SCOOP Express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TexLa Oasis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 Water Services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Champ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China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Compression,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Endure Energy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Fayetteville Express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ETC Fayetteville Operating Company, LLC, a Delaware limited liability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Gas Gathering Company,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Gas Processing,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Haynesville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Hydrocarbons,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Jameson Gas Plant,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Jameson,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Katy Pipeline, LLC, a Texas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LEDCO Gas Gathering,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LEDCO,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Marketing, Ltd., a Texas limited partnership</w:t>
      </w:r>
    </w:p>
    <w:p>
      <w:pPr>
        <w:spacing w:after="0" w:line="44" w:lineRule="exact"/>
        <w:rPr>
          <w:sz w:val="20"/>
          <w:szCs w:val="20"/>
          <w:color w:val="auto"/>
        </w:rPr>
      </w:pPr>
    </w:p>
    <w:p>
      <w:pPr>
        <w:ind w:right="2979"/>
        <w:spacing w:after="0" w:line="281" w:lineRule="auto"/>
        <w:rPr>
          <w:sz w:val="20"/>
          <w:szCs w:val="20"/>
          <w:color w:val="auto"/>
        </w:rPr>
      </w:pPr>
      <w:r>
        <w:rPr>
          <w:rFonts w:ascii="Times New Roman" w:cs="Times New Roman" w:eastAsia="Times New Roman" w:hAnsi="Times New Roman"/>
          <w:sz w:val="22"/>
          <w:szCs w:val="22"/>
          <w:color w:val="auto"/>
        </w:rPr>
        <w:t>ETC Midcontinent Express Pipeline, L.L.C., a Delaware limited liability company ETC Midland Gas Gathering LLC, a Texas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ETC Midland Gas Gathering Holdings LLC, a Delaware limited liability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Midstream Vehicles,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NGL Transport,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North Permian Midstream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Northeast Field Services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Northeast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PennTex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Production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South Permian Midstream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Sunoco Holdings LLC, a Pennsylvania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ETC Texas Pipeline, Ltd., a Texas limited partnership</w:t>
      </w:r>
    </w:p>
    <w:p>
      <w:pPr>
        <w:sectPr>
          <w:pgSz w:w="11900" w:h="16838" w:orient="portrait"/>
          <w:cols w:equalWidth="0" w:num="1">
            <w:col w:w="10119"/>
          </w:cols>
          <w:pgMar w:left="340" w:top="936" w:right="1440" w:bottom="1440" w:gutter="0" w:footer="0" w:header="0"/>
        </w:sectPr>
      </w:pPr>
    </w:p>
    <w:bookmarkStart w:id="274" w:name="page275"/>
    <w:bookmarkEnd w:id="274"/>
    <w:p>
      <w:pPr>
        <w:ind w:right="4599"/>
        <w:spacing w:after="0" w:line="295" w:lineRule="auto"/>
        <w:rPr>
          <w:sz w:val="20"/>
          <w:szCs w:val="20"/>
          <w:color w:val="auto"/>
        </w:rPr>
      </w:pPr>
      <w:r>
        <w:rPr>
          <w:rFonts w:ascii="Times New Roman" w:cs="Times New Roman" w:eastAsia="Times New Roman" w:hAnsi="Times New Roman"/>
          <w:sz w:val="21"/>
          <w:szCs w:val="21"/>
          <w:color w:val="auto"/>
        </w:rPr>
        <w:t>ETC Tiger Pipeline, LLC, a Delaware limited liability company ETCO Holdings LLC, a Delaware limited liability company</w:t>
      </w:r>
    </w:p>
    <w:p>
      <w:pPr>
        <w:spacing w:after="0"/>
        <w:rPr>
          <w:sz w:val="20"/>
          <w:szCs w:val="20"/>
          <w:color w:val="auto"/>
        </w:rPr>
      </w:pPr>
      <w:r>
        <w:rPr>
          <w:rFonts w:ascii="Times New Roman" w:cs="Times New Roman" w:eastAsia="Times New Roman" w:hAnsi="Times New Roman"/>
          <w:sz w:val="22"/>
          <w:szCs w:val="22"/>
          <w:color w:val="auto"/>
        </w:rPr>
        <w:t>ETE Services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ETMT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ETP Crude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ETP Holdco Corporation, a Delaware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ET-S Permian Holdings Company LP, a Texas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ET-S Permian Holdings GP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ET-S Permian Marketing Company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ET-S Permian Operating Company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ET-S Permian Pipeline Company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ET-S Permian Terminals Company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Everen Limited, a Bermuda limited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Everen Specialty Ltd., a Bermuda limited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Evergreen Assurance,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Evergreen Capital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Evergreen Remediation Services,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Evergreen Resources Group, LLC, a Delaware limited liability company</w:t>
      </w:r>
    </w:p>
    <w:p>
      <w:pPr>
        <w:spacing w:after="0" w:line="44" w:lineRule="exact"/>
        <w:rPr>
          <w:sz w:val="20"/>
          <w:szCs w:val="20"/>
          <w:color w:val="auto"/>
        </w:rPr>
      </w:pPr>
    </w:p>
    <w:p>
      <w:pPr>
        <w:ind w:right="2019"/>
        <w:spacing w:after="0" w:line="281" w:lineRule="auto"/>
        <w:rPr>
          <w:sz w:val="20"/>
          <w:szCs w:val="20"/>
          <w:color w:val="auto"/>
        </w:rPr>
      </w:pPr>
      <w:r>
        <w:rPr>
          <w:rFonts w:ascii="Times New Roman" w:cs="Times New Roman" w:eastAsia="Times New Roman" w:hAnsi="Times New Roman"/>
          <w:sz w:val="22"/>
          <w:szCs w:val="22"/>
          <w:color w:val="auto"/>
        </w:rPr>
        <w:t>Evergreen Resources Management Operations – a series of Evergreen Resources Group, LLC Exploration &amp; Production Operations – a series of Evergreen Resources Group, LLC Explorer Pipeline Company, a Delaware corporation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Fayetteville Express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Finger Lakes LPG Storage,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 Gas Transmission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Gradyco Real Estate LLC, an Oklahoma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Gulf Coast Pipe Line, L.P., a Delaware limited partnership</w:t>
      </w:r>
    </w:p>
    <w:p>
      <w:pPr>
        <w:spacing w:after="0" w:line="44" w:lineRule="exact"/>
        <w:rPr>
          <w:sz w:val="20"/>
          <w:szCs w:val="20"/>
          <w:color w:val="auto"/>
        </w:rPr>
      </w:pPr>
    </w:p>
    <w:p>
      <w:pPr>
        <w:ind w:right="3399"/>
        <w:spacing w:after="0" w:line="295" w:lineRule="auto"/>
        <w:rPr>
          <w:sz w:val="20"/>
          <w:szCs w:val="20"/>
          <w:color w:val="auto"/>
        </w:rPr>
      </w:pPr>
      <w:r>
        <w:rPr>
          <w:rFonts w:ascii="Times New Roman" w:cs="Times New Roman" w:eastAsia="Times New Roman" w:hAnsi="Times New Roman"/>
          <w:sz w:val="21"/>
          <w:szCs w:val="21"/>
          <w:color w:val="auto"/>
        </w:rPr>
        <w:t>Gulf Coast/Products GP Holdings LLC, a Delaware limited liability company Gulf Run Transmission, LLC, a Delaware limited liability company</w:t>
      </w:r>
    </w:p>
    <w:p>
      <w:pPr>
        <w:ind w:right="4679"/>
        <w:spacing w:after="0" w:line="281" w:lineRule="auto"/>
        <w:rPr>
          <w:sz w:val="20"/>
          <w:szCs w:val="20"/>
          <w:color w:val="auto"/>
        </w:rPr>
      </w:pPr>
      <w:r>
        <w:rPr>
          <w:rFonts w:ascii="Times New Roman" w:cs="Times New Roman" w:eastAsia="Times New Roman" w:hAnsi="Times New Roman"/>
          <w:sz w:val="22"/>
          <w:szCs w:val="22"/>
          <w:color w:val="auto"/>
        </w:rPr>
        <w:t>Helios Assurance Company Limited, a Limited Bermuda other HFOTCO LLC, a Texas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Pipe Line Company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HPL Asset Holdings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HPL GP,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HPL Leaseco LP, a Delaware limited partnership</w:t>
      </w:r>
    </w:p>
    <w:p>
      <w:pPr>
        <w:spacing w:after="0" w:line="44" w:lineRule="exact"/>
        <w:rPr>
          <w:sz w:val="20"/>
          <w:szCs w:val="20"/>
          <w:color w:val="auto"/>
        </w:rPr>
      </w:pPr>
    </w:p>
    <w:p>
      <w:pPr>
        <w:ind w:right="4079"/>
        <w:spacing w:after="0" w:line="295" w:lineRule="auto"/>
        <w:rPr>
          <w:sz w:val="20"/>
          <w:szCs w:val="20"/>
          <w:color w:val="auto"/>
        </w:rPr>
      </w:pPr>
      <w:r>
        <w:rPr>
          <w:rFonts w:ascii="Times New Roman" w:cs="Times New Roman" w:eastAsia="Times New Roman" w:hAnsi="Times New Roman"/>
          <w:sz w:val="21"/>
          <w:szCs w:val="21"/>
          <w:color w:val="auto"/>
        </w:rPr>
        <w:t>HPL Resources Company LLC, a Delaware limited liability company HPL Storage GP LLC, a Delaware limited liability company</w:t>
      </w:r>
    </w:p>
    <w:p>
      <w:pPr>
        <w:ind w:right="4619"/>
        <w:spacing w:after="0" w:line="281" w:lineRule="auto"/>
        <w:rPr>
          <w:sz w:val="20"/>
          <w:szCs w:val="20"/>
          <w:color w:val="auto"/>
        </w:rPr>
      </w:pPr>
      <w:r>
        <w:rPr>
          <w:rFonts w:ascii="Times New Roman" w:cs="Times New Roman" w:eastAsia="Times New Roman" w:hAnsi="Times New Roman"/>
          <w:sz w:val="22"/>
          <w:szCs w:val="22"/>
          <w:color w:val="auto"/>
        </w:rPr>
        <w:t>Hugh Brinson Pipeline, LLC, a Texas limited liability company Inland Corporation, an Ohio corporation</w:t>
      </w:r>
    </w:p>
    <w:p>
      <w:pPr>
        <w:spacing w:after="0" w:line="2" w:lineRule="exact"/>
        <w:rPr>
          <w:sz w:val="20"/>
          <w:szCs w:val="20"/>
          <w:color w:val="auto"/>
        </w:rPr>
      </w:pPr>
    </w:p>
    <w:p>
      <w:pPr>
        <w:ind w:right="4159"/>
        <w:spacing w:after="0" w:line="295" w:lineRule="auto"/>
        <w:rPr>
          <w:sz w:val="20"/>
          <w:szCs w:val="20"/>
          <w:color w:val="auto"/>
        </w:rPr>
      </w:pPr>
      <w:r>
        <w:rPr>
          <w:rFonts w:ascii="Times New Roman" w:cs="Times New Roman" w:eastAsia="Times New Roman" w:hAnsi="Times New Roman"/>
          <w:sz w:val="21"/>
          <w:szCs w:val="21"/>
          <w:color w:val="auto"/>
        </w:rPr>
        <w:t>J.C. Nolan Pipeline Co., LLC, a Delaware limited liability company J.C. Nolan Terminal Co., LLC, a Delaware limited liability company</w:t>
      </w:r>
    </w:p>
    <w:p>
      <w:pPr>
        <w:spacing w:after="0"/>
        <w:rPr>
          <w:sz w:val="20"/>
          <w:szCs w:val="20"/>
          <w:color w:val="auto"/>
        </w:rPr>
      </w:pPr>
      <w:r>
        <w:rPr>
          <w:rFonts w:ascii="Times New Roman" w:cs="Times New Roman" w:eastAsia="Times New Roman" w:hAnsi="Times New Roman"/>
          <w:sz w:val="22"/>
          <w:szCs w:val="22"/>
          <w:color w:val="auto"/>
        </w:rPr>
        <w:t>Jackalope Gas Gathering Services, L.L.C. , an Oklahoma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Japan Sun Oil Company, Ltd., a Japan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Kanawha Rail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 GP,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 Grange Acquisition, L.P., a Texas limited partnership</w:t>
      </w:r>
    </w:p>
    <w:p>
      <w:pPr>
        <w:spacing w:after="0" w:line="44" w:lineRule="exact"/>
        <w:rPr>
          <w:sz w:val="20"/>
          <w:szCs w:val="20"/>
          <w:color w:val="auto"/>
        </w:rPr>
      </w:pPr>
    </w:p>
    <w:p>
      <w:pPr>
        <w:ind w:right="3899"/>
        <w:spacing w:after="0" w:line="335" w:lineRule="auto"/>
        <w:rPr>
          <w:sz w:val="20"/>
          <w:szCs w:val="20"/>
          <w:color w:val="auto"/>
        </w:rPr>
      </w:pPr>
      <w:r>
        <w:rPr>
          <w:rFonts w:ascii="Times New Roman" w:cs="Times New Roman" w:eastAsia="Times New Roman" w:hAnsi="Times New Roman"/>
          <w:sz w:val="21"/>
          <w:szCs w:val="21"/>
          <w:color w:val="auto"/>
        </w:rPr>
        <w:t>Lake Charles Exports, LLC, a Delaware limited liability company Lake Charles LNG Company, LLC, Delaware limited liability company</w:t>
      </w:r>
    </w:p>
    <w:p>
      <w:pPr>
        <w:sectPr>
          <w:pgSz w:w="11900" w:h="16838" w:orient="portrait"/>
          <w:cols w:equalWidth="0" w:num="1">
            <w:col w:w="10119"/>
          </w:cols>
          <w:pgMar w:left="340" w:top="936" w:right="1440" w:bottom="1440" w:gutter="0" w:footer="0" w:header="0"/>
        </w:sectPr>
      </w:pPr>
    </w:p>
    <w:bookmarkStart w:id="275" w:name="page276"/>
    <w:bookmarkEnd w:id="275"/>
    <w:p>
      <w:pPr>
        <w:ind w:right="3099"/>
        <w:spacing w:after="0" w:line="281" w:lineRule="auto"/>
        <w:rPr>
          <w:sz w:val="20"/>
          <w:szCs w:val="20"/>
          <w:color w:val="auto"/>
        </w:rPr>
      </w:pPr>
      <w:r>
        <w:rPr>
          <w:rFonts w:ascii="Times New Roman" w:cs="Times New Roman" w:eastAsia="Times New Roman" w:hAnsi="Times New Roman"/>
          <w:sz w:val="22"/>
          <w:szCs w:val="22"/>
          <w:color w:val="auto"/>
        </w:rPr>
        <w:t>Lake Charles LNG Export Company, LLC, a Delaware limited liability company Lee 8 Storage Partnership, a Delaware limited partnership</w:t>
      </w:r>
    </w:p>
    <w:p>
      <w:pPr>
        <w:spacing w:after="0" w:line="2" w:lineRule="exact"/>
        <w:rPr>
          <w:sz w:val="20"/>
          <w:szCs w:val="20"/>
          <w:color w:val="auto"/>
        </w:rPr>
      </w:pPr>
    </w:p>
    <w:p>
      <w:pPr>
        <w:ind w:right="3579"/>
        <w:spacing w:after="0" w:line="281" w:lineRule="auto"/>
        <w:rPr>
          <w:sz w:val="20"/>
          <w:szCs w:val="20"/>
          <w:color w:val="auto"/>
        </w:rPr>
      </w:pPr>
      <w:r>
        <w:rPr>
          <w:rFonts w:ascii="Times New Roman" w:cs="Times New Roman" w:eastAsia="Times New Roman" w:hAnsi="Times New Roman"/>
          <w:sz w:val="22"/>
          <w:szCs w:val="22"/>
          <w:color w:val="auto"/>
        </w:rPr>
        <w:t>Legacy Refining Operations – a series of Evergreen Resources Group, LLC LG PL, LLC, a Texas limited liability company LGM, LLC, a Texas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Liberty Pipeline Group,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Libre Insurance Company, Ltd., a Bermuda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LJL, LLC, a West Virginia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Loadout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Lobo Pipeline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Lotus Midstream Operations,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Louisiana State Gas,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Low Country Power LLC, a Texas limited liability company</w:t>
      </w:r>
    </w:p>
    <w:p>
      <w:pPr>
        <w:spacing w:after="0" w:line="44" w:lineRule="exact"/>
        <w:rPr>
          <w:sz w:val="20"/>
          <w:szCs w:val="20"/>
          <w:color w:val="auto"/>
        </w:rPr>
      </w:pPr>
    </w:p>
    <w:p>
      <w:pPr>
        <w:ind w:right="3019"/>
        <w:spacing w:after="0" w:line="281" w:lineRule="auto"/>
        <w:rPr>
          <w:sz w:val="20"/>
          <w:szCs w:val="20"/>
          <w:color w:val="auto"/>
        </w:rPr>
      </w:pPr>
      <w:r>
        <w:rPr>
          <w:rFonts w:ascii="Times New Roman" w:cs="Times New Roman" w:eastAsia="Times New Roman" w:hAnsi="Times New Roman"/>
          <w:sz w:val="22"/>
          <w:szCs w:val="22"/>
          <w:color w:val="auto"/>
        </w:rPr>
        <w:t>Marcus Hook Refinery Operations – a series of Evergreen Resources Group, LLC Materials Handling Solutions LLC, a Delaware limited liability company Maurepas Holding, LLC, an Oklahoma limited liability company</w:t>
      </w:r>
    </w:p>
    <w:p>
      <w:pPr>
        <w:spacing w:after="0" w:line="2" w:lineRule="exact"/>
        <w:rPr>
          <w:sz w:val="20"/>
          <w:szCs w:val="20"/>
          <w:color w:val="auto"/>
        </w:rPr>
      </w:pPr>
    </w:p>
    <w:p>
      <w:pPr>
        <w:ind w:right="4659"/>
        <w:spacing w:after="0" w:line="295" w:lineRule="auto"/>
        <w:rPr>
          <w:sz w:val="20"/>
          <w:szCs w:val="20"/>
          <w:color w:val="auto"/>
        </w:rPr>
      </w:pPr>
      <w:r>
        <w:rPr>
          <w:rFonts w:ascii="Times New Roman" w:cs="Times New Roman" w:eastAsia="Times New Roman" w:hAnsi="Times New Roman"/>
          <w:sz w:val="21"/>
          <w:szCs w:val="21"/>
          <w:color w:val="auto"/>
        </w:rPr>
        <w:t>Maurepas Pipeline, LLC, a Delaware limited liability company Mi Vida JV LLC, a Delaware limited liability company</w:t>
      </w:r>
    </w:p>
    <w:p>
      <w:pPr>
        <w:ind w:right="3039"/>
        <w:spacing w:after="0" w:line="281" w:lineRule="auto"/>
        <w:rPr>
          <w:sz w:val="20"/>
          <w:szCs w:val="20"/>
          <w:color w:val="auto"/>
        </w:rPr>
      </w:pPr>
      <w:r>
        <w:rPr>
          <w:rFonts w:ascii="Times New Roman" w:cs="Times New Roman" w:eastAsia="Times New Roman" w:hAnsi="Times New Roman"/>
          <w:sz w:val="22"/>
          <w:szCs w:val="22"/>
          <w:color w:val="auto"/>
        </w:rPr>
        <w:t>Mid Valley Pipeline Company LLC, an Ohio limited liability company Midcontinent Express Pipeline LLC, a Delaware limited liability company Midwest Connector Capital Company LLC, a Delaware limited liability company Mining Operations – a series of Evergreen Resources Group, LLC Oasis Pipeline, LP, a Texas limited partnership</w:t>
      </w:r>
    </w:p>
    <w:p>
      <w:pPr>
        <w:spacing w:after="0" w:line="4" w:lineRule="exact"/>
        <w:rPr>
          <w:sz w:val="20"/>
          <w:szCs w:val="20"/>
          <w:color w:val="auto"/>
        </w:rPr>
      </w:pPr>
    </w:p>
    <w:p>
      <w:pPr>
        <w:ind w:right="4679"/>
        <w:spacing w:after="0" w:line="295" w:lineRule="auto"/>
        <w:rPr>
          <w:sz w:val="20"/>
          <w:szCs w:val="20"/>
          <w:color w:val="auto"/>
        </w:rPr>
      </w:pPr>
      <w:r>
        <w:rPr>
          <w:rFonts w:ascii="Times New Roman" w:cs="Times New Roman" w:eastAsia="Times New Roman" w:hAnsi="Times New Roman"/>
          <w:sz w:val="21"/>
          <w:szCs w:val="21"/>
          <w:color w:val="auto"/>
        </w:rPr>
        <w:t>Ohio River System LLC, a Delaware limited liability company Old Ocean Pipeline, LLC, a Texas limited liability company</w:t>
      </w:r>
    </w:p>
    <w:p>
      <w:pPr>
        <w:ind w:right="3599"/>
        <w:spacing w:after="0" w:line="281" w:lineRule="auto"/>
        <w:rPr>
          <w:sz w:val="20"/>
          <w:szCs w:val="20"/>
          <w:color w:val="auto"/>
        </w:rPr>
      </w:pPr>
      <w:r>
        <w:rPr>
          <w:rFonts w:ascii="Times New Roman" w:cs="Times New Roman" w:eastAsia="Times New Roman" w:hAnsi="Times New Roman"/>
          <w:sz w:val="22"/>
          <w:szCs w:val="22"/>
          <w:color w:val="auto"/>
        </w:rPr>
        <w:t>Orbit Gulf Coast NGL Exports, LLC, a Delaware limited liability company Pan Gas Storage LLC, a Delaware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Panhandle Eastern Pipe Line Company,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Panhandle Storage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Pelico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 Virginia Operating Co.,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PEPL Real Estate,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Permian Express Partners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Permian Express Partners Operating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PG Energy LLC, a Pennsylvania limited liability company</w:t>
      </w:r>
    </w:p>
    <w:p>
      <w:pPr>
        <w:spacing w:after="0" w:line="44" w:lineRule="exact"/>
        <w:rPr>
          <w:sz w:val="20"/>
          <w:szCs w:val="20"/>
          <w:color w:val="auto"/>
        </w:rPr>
      </w:pPr>
    </w:p>
    <w:p>
      <w:pPr>
        <w:jc w:val="both"/>
        <w:ind w:right="3119"/>
        <w:spacing w:after="0" w:line="281" w:lineRule="auto"/>
        <w:rPr>
          <w:sz w:val="20"/>
          <w:szCs w:val="20"/>
          <w:color w:val="auto"/>
        </w:rPr>
      </w:pPr>
      <w:r>
        <w:rPr>
          <w:rFonts w:ascii="Times New Roman" w:cs="Times New Roman" w:eastAsia="Times New Roman" w:hAnsi="Times New Roman"/>
          <w:sz w:val="22"/>
          <w:szCs w:val="22"/>
          <w:color w:val="auto"/>
        </w:rPr>
        <w:t>Philadelphia Refinery Operations – a series of Evergreen Resources Group, LLC Pine Pipeline Acquisition Company, LLC, a Delaware limited liability company Pipe Sky, LLC, a Delaware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Pipeline Operations – a series of Evergreen Resources Group,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Powder River Basin Industrial Complex,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PRB HoldCo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 River Terminal, LLC, a Texas limited liability company</w:t>
      </w:r>
    </w:p>
    <w:p>
      <w:pPr>
        <w:spacing w:after="0" w:line="44" w:lineRule="exact"/>
        <w:rPr>
          <w:sz w:val="20"/>
          <w:szCs w:val="20"/>
          <w:color w:val="auto"/>
        </w:rPr>
      </w:pPr>
    </w:p>
    <w:p>
      <w:pPr>
        <w:ind w:right="3899"/>
        <w:spacing w:after="0" w:line="295" w:lineRule="auto"/>
        <w:rPr>
          <w:sz w:val="20"/>
          <w:szCs w:val="20"/>
          <w:color w:val="auto"/>
        </w:rPr>
      </w:pPr>
      <w:r>
        <w:rPr>
          <w:rFonts w:ascii="Times New Roman" w:cs="Times New Roman" w:eastAsia="Times New Roman" w:hAnsi="Times New Roman"/>
          <w:sz w:val="21"/>
          <w:szCs w:val="21"/>
          <w:color w:val="auto"/>
        </w:rPr>
        <w:t>Real Property Operations – a series of Evergreen Resource Group, LLC Red Bluff Express Pipeline, LLC, a Delaware limited liability company</w:t>
      </w:r>
    </w:p>
    <w:p>
      <w:pPr>
        <w:spacing w:after="0"/>
        <w:rPr>
          <w:sz w:val="20"/>
          <w:szCs w:val="20"/>
          <w:color w:val="auto"/>
        </w:rPr>
      </w:pPr>
      <w:r>
        <w:rPr>
          <w:rFonts w:ascii="Times New Roman" w:cs="Times New Roman" w:eastAsia="Times New Roman" w:hAnsi="Times New Roman"/>
          <w:sz w:val="21"/>
          <w:szCs w:val="21"/>
          <w:color w:val="auto"/>
        </w:rPr>
        <w:t>Regency Employees Management Holdings LLC, a Delaware limited liability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Energy Partners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GP LLC, a Delaware limited liability company</w:t>
      </w:r>
    </w:p>
    <w:p>
      <w:pPr>
        <w:sectPr>
          <w:pgSz w:w="11900" w:h="16838" w:orient="portrait"/>
          <w:cols w:equalWidth="0" w:num="1">
            <w:col w:w="10119"/>
          </w:cols>
          <w:pgMar w:left="340" w:top="936"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22"/>
          <w:szCs w:val="22"/>
          <w:color w:val="auto"/>
        </w:rPr>
        <w:t>Regency GP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Regency Intrastate Gas LP, a Delaware limited partnership</w:t>
      </w:r>
    </w:p>
    <w:p>
      <w:pPr>
        <w:spacing w:after="0" w:line="44" w:lineRule="exact"/>
        <w:rPr>
          <w:sz w:val="20"/>
          <w:szCs w:val="20"/>
          <w:color w:val="auto"/>
        </w:rPr>
      </w:pPr>
    </w:p>
    <w:p>
      <w:pPr>
        <w:ind w:right="3119"/>
        <w:spacing w:after="0" w:line="281" w:lineRule="auto"/>
        <w:rPr>
          <w:sz w:val="20"/>
          <w:szCs w:val="20"/>
          <w:color w:val="auto"/>
        </w:rPr>
      </w:pPr>
      <w:r>
        <w:rPr>
          <w:rFonts w:ascii="Times New Roman" w:cs="Times New Roman" w:eastAsia="Times New Roman" w:hAnsi="Times New Roman"/>
          <w:sz w:val="22"/>
          <w:szCs w:val="22"/>
          <w:color w:val="auto"/>
        </w:rPr>
        <w:t>Regency Marcellus Gas Gathering LLC, a Delaware limited liability company Regency Texas Pipeline LLC, a Delaware limited liability company Retail/Service Station Operations – a series of Evergreen Resources Group, LLC RIGS GP LLC, a Delaware limited liability company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Rose Rock Midstream Crude,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Rough Rider Midstream Services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Rough Rider Operating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Rover Pipeline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 Robin Pipeline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Energy Products &amp; Services, L.P., a Texas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General Holdings,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SemEnergy S. de R.L. de C.V., a Mexico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SemGreen,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SemGroup Energy S. de R.L. de C.V., a Mexico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SemGroup Mexico S. de R.L. de C.V., a Mexico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SemGroup Netherlands B.V., a Netherland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SemGroup Netherlands I B.V., a Netherland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SemManagement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SemMaterials, L.P., an Oklahoma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SemMexico, L.L.C., an Oklahoma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SemOperating G.P., L.L.C., an Oklahoma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Sendero Carlsbad Finance,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Sendero Carlsbad Midstream,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Sendero Midstream Holdings,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Sendero Midstream Partners, LP,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SESH Capital,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SESH Sub Inc., a Delaware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Southeast Supply Header,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Southern Union Panhandle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Starfish Pipeline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Stellar Propane Service,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Stingray Pipeline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Sun Pipe Line Company LLC, a Delaware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Sunoco GP LLC, a Delaware limited liability company</w:t>
      </w:r>
    </w:p>
    <w:p>
      <w:pPr>
        <w:spacing w:after="0" w:line="44" w:lineRule="exact"/>
        <w:rPr>
          <w:sz w:val="20"/>
          <w:szCs w:val="20"/>
          <w:color w:val="auto"/>
        </w:rPr>
      </w:pPr>
    </w:p>
    <w:p>
      <w:pPr>
        <w:ind w:right="3739"/>
        <w:spacing w:after="0" w:line="281" w:lineRule="auto"/>
        <w:rPr>
          <w:sz w:val="20"/>
          <w:szCs w:val="20"/>
          <w:color w:val="auto"/>
        </w:rPr>
      </w:pPr>
      <w:r>
        <w:rPr>
          <w:rFonts w:ascii="Times New Roman" w:cs="Times New Roman" w:eastAsia="Times New Roman" w:hAnsi="Times New Roman"/>
          <w:sz w:val="22"/>
          <w:szCs w:val="22"/>
          <w:color w:val="auto"/>
        </w:rPr>
        <w:t>Sunoco Logistics Partners GP LLC, a Delaware limited liability company Sunoco LP, a Delaware limited partnership</w:t>
      </w:r>
    </w:p>
    <w:p>
      <w:pPr>
        <w:spacing w:after="0" w:line="2" w:lineRule="exact"/>
        <w:rPr>
          <w:sz w:val="20"/>
          <w:szCs w:val="20"/>
          <w:color w:val="auto"/>
        </w:rPr>
      </w:pPr>
    </w:p>
    <w:p>
      <w:pPr>
        <w:ind w:right="2659"/>
        <w:spacing w:after="0" w:line="281" w:lineRule="auto"/>
        <w:rPr>
          <w:sz w:val="20"/>
          <w:szCs w:val="20"/>
          <w:color w:val="auto"/>
        </w:rPr>
      </w:pPr>
      <w:r>
        <w:rPr>
          <w:rFonts w:ascii="Times New Roman" w:cs="Times New Roman" w:eastAsia="Times New Roman" w:hAnsi="Times New Roman"/>
          <w:sz w:val="22"/>
          <w:szCs w:val="22"/>
          <w:color w:val="auto"/>
        </w:rPr>
        <w:t>Sunoco Partners Lease Acquisition &amp; Marketing LLC, a Delaware limited partnership Sunoco Pipeline L.P., a Texas limited partnership</w:t>
      </w:r>
    </w:p>
    <w:p>
      <w:pPr>
        <w:spacing w:after="0" w:line="2" w:lineRule="exact"/>
        <w:rPr>
          <w:sz w:val="20"/>
          <w:szCs w:val="20"/>
          <w:color w:val="auto"/>
        </w:rPr>
      </w:pPr>
    </w:p>
    <w:p>
      <w:pPr>
        <w:ind w:right="2939"/>
        <w:spacing w:after="0" w:line="281" w:lineRule="auto"/>
        <w:rPr>
          <w:sz w:val="20"/>
          <w:szCs w:val="20"/>
          <w:color w:val="auto"/>
        </w:rPr>
      </w:pPr>
      <w:r>
        <w:rPr>
          <w:rFonts w:ascii="Times New Roman" w:cs="Times New Roman" w:eastAsia="Times New Roman" w:hAnsi="Times New Roman"/>
          <w:sz w:val="22"/>
          <w:szCs w:val="22"/>
          <w:color w:val="auto"/>
        </w:rPr>
        <w:t>Superfund Management Operations – a series of Evergreen Resources Group, LLC Sweeney Gathering, L.P., a Texas limited liability company</w:t>
      </w:r>
    </w:p>
    <w:p>
      <w:pPr>
        <w:spacing w:after="0" w:line="2" w:lineRule="exact"/>
        <w:rPr>
          <w:sz w:val="20"/>
          <w:szCs w:val="20"/>
          <w:color w:val="auto"/>
        </w:rPr>
      </w:pPr>
    </w:p>
    <w:p>
      <w:pPr>
        <w:ind w:right="4239"/>
        <w:spacing w:after="0" w:line="281" w:lineRule="auto"/>
        <w:rPr>
          <w:sz w:val="20"/>
          <w:szCs w:val="20"/>
          <w:color w:val="auto"/>
        </w:rPr>
      </w:pPr>
      <w:r>
        <w:rPr>
          <w:rFonts w:ascii="Times New Roman" w:cs="Times New Roman" w:eastAsia="Times New Roman" w:hAnsi="Times New Roman"/>
          <w:sz w:val="22"/>
          <w:szCs w:val="22"/>
          <w:color w:val="auto"/>
        </w:rPr>
        <w:t>Terminal Operations – a series of Evergreen Resources Group, LLC TETC, LLC, a Texas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 Energy Transfer Company, Ltd., a Texas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 Energy Transfer Power, LLC, a Texas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Energy Transfer/Sunoco Foundation, a Pennsylvania non-profit</w:t>
      </w:r>
    </w:p>
    <w:p>
      <w:pPr>
        <w:sectPr>
          <w:pgSz w:w="11900" w:h="16838" w:orient="portrait"/>
          <w:cols w:equalWidth="0" w:num="1">
            <w:col w:w="10119"/>
          </w:cols>
          <w:pgMar w:left="340" w:top="936" w:right="1440" w:bottom="1440" w:gutter="0" w:footer="0" w:header="0"/>
        </w:sectPr>
      </w:pPr>
    </w:p>
    <w:bookmarkStart w:id="277" w:name="page278"/>
    <w:bookmarkEnd w:id="277"/>
    <w:p>
      <w:pPr>
        <w:ind w:left="20"/>
        <w:spacing w:after="0"/>
        <w:rPr>
          <w:sz w:val="20"/>
          <w:szCs w:val="20"/>
          <w:color w:val="auto"/>
        </w:rPr>
      </w:pPr>
      <w:r>
        <w:rPr>
          <w:rFonts w:ascii="Times New Roman" w:cs="Times New Roman" w:eastAsia="Times New Roman" w:hAnsi="Times New Roman"/>
          <w:sz w:val="22"/>
          <w:szCs w:val="22"/>
          <w:color w:val="auto"/>
        </w:rPr>
        <w:t>Toney Fork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TPL Management Operations – a series of Evergreen Resources Group, LLC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Trans-Pecos Pipeline,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Transwestern Pipeline Company,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Triton Gathering,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Trunkline Field Services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Trunkline Gas Company,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Trunkline LNG Holdings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USA Compression GP,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USA Compression Management Services, LLC, a Delaware limited liability company</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USA Compression Partners, LP, a Delaware limited partnership</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Waskom Gas Processing Company, a Texas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Waskom Transmission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Wattenberg Holding, LLC, an Oklahoma limited liability company</w:t>
      </w:r>
    </w:p>
    <w:p>
      <w:pPr>
        <w:spacing w:after="0" w:line="44" w:lineRule="exact"/>
        <w:rPr>
          <w:sz w:val="20"/>
          <w:szCs w:val="20"/>
          <w:color w:val="auto"/>
        </w:rPr>
      </w:pPr>
    </w:p>
    <w:p>
      <w:pPr>
        <w:ind w:left="20" w:right="2819"/>
        <w:spacing w:after="0" w:line="281" w:lineRule="auto"/>
        <w:rPr>
          <w:sz w:val="20"/>
          <w:szCs w:val="20"/>
          <w:color w:val="auto"/>
        </w:rPr>
      </w:pPr>
      <w:r>
        <w:rPr>
          <w:rFonts w:ascii="Times New Roman" w:cs="Times New Roman" w:eastAsia="Times New Roman" w:hAnsi="Times New Roman"/>
          <w:sz w:val="22"/>
          <w:szCs w:val="22"/>
          <w:color w:val="auto"/>
        </w:rPr>
        <w:t>West Cameron Dehydration Company, L.L.C., a Delaware limited liability company West Shore Pipe Line Company, a Delaware corporation</w:t>
      </w:r>
    </w:p>
    <w:p>
      <w:pPr>
        <w:spacing w:after="0" w:line="2" w:lineRule="exact"/>
        <w:rPr>
          <w:sz w:val="20"/>
          <w:szCs w:val="20"/>
          <w:color w:val="auto"/>
        </w:rPr>
      </w:pPr>
    </w:p>
    <w:p>
      <w:pPr>
        <w:ind w:left="20" w:right="3119"/>
        <w:spacing w:after="0" w:line="281" w:lineRule="auto"/>
        <w:rPr>
          <w:sz w:val="20"/>
          <w:szCs w:val="20"/>
          <w:color w:val="auto"/>
        </w:rPr>
      </w:pPr>
      <w:r>
        <w:rPr>
          <w:rFonts w:ascii="Times New Roman" w:cs="Times New Roman" w:eastAsia="Times New Roman" w:hAnsi="Times New Roman"/>
          <w:sz w:val="22"/>
          <w:szCs w:val="22"/>
          <w:color w:val="auto"/>
        </w:rPr>
        <w:t>West Texas Gulf Pipe Line Company LLC, a Delaware limited liability company WGP-KHC LLC, a Delaware limited liability company</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White Cliffs Pipeline,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Wink to Webster Pipeline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Wolverine Pipe Line Company,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Yellowstone Pipe Line Company,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SUNOCO LP, a Delaware limited partnership:</w:t>
      </w:r>
    </w:p>
    <w:p>
      <w:pPr>
        <w:spacing w:after="0" w:line="112" w:lineRule="exact"/>
        <w:rPr>
          <w:sz w:val="20"/>
          <w:szCs w:val="20"/>
          <w:color w:val="auto"/>
        </w:rPr>
      </w:pPr>
    </w:p>
    <w:p>
      <w:pPr>
        <w:ind w:left="20" w:right="4859"/>
        <w:spacing w:after="0" w:line="281" w:lineRule="auto"/>
        <w:rPr>
          <w:sz w:val="20"/>
          <w:szCs w:val="20"/>
          <w:color w:val="auto"/>
        </w:rPr>
      </w:pPr>
      <w:r>
        <w:rPr>
          <w:rFonts w:ascii="Times New Roman" w:cs="Times New Roman" w:eastAsia="Times New Roman" w:hAnsi="Times New Roman"/>
          <w:sz w:val="22"/>
          <w:szCs w:val="22"/>
          <w:color w:val="auto"/>
        </w:rPr>
        <w:t>Aloha Petroleum LLC, a Delaware limited liability company Aloha Petroleum, Ltd., a Hawaii Corporation Cal’s Convenience, Inc., a Texas Corporation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Cööperatie NuStar Holdings U.A., a Netherlands co-operative association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Eco-Products Manufacturing of Puerto Rico Inc., a Puerto Rico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ET-S Permian Holdings Company LP, a Texas limited partnership</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ET-S Permian Marketing Company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ET-S Permian Pipeline Company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ET-S Permian Terminals Company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Fathom Global Energy FT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J.C. Nolan Pipeline Co.,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J.C. Nolan Terminal Co.,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LegacyStar Services,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NuStar Energy L.P., a Delaware limited partnership</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NuStar Finance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NuStar GP Holdings,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NuStar GP, Inc.,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NuStar GP, LLC, a Delaware limited liability company</w:t>
      </w:r>
    </w:p>
    <w:p>
      <w:pPr>
        <w:spacing w:after="0" w:line="44" w:lineRule="exact"/>
        <w:rPr>
          <w:sz w:val="20"/>
          <w:szCs w:val="20"/>
          <w:color w:val="auto"/>
        </w:rPr>
      </w:pPr>
    </w:p>
    <w:p>
      <w:pPr>
        <w:ind w:left="20" w:right="3479"/>
        <w:spacing w:after="0" w:line="281" w:lineRule="auto"/>
        <w:rPr>
          <w:sz w:val="20"/>
          <w:szCs w:val="20"/>
          <w:color w:val="auto"/>
        </w:rPr>
      </w:pPr>
      <w:r>
        <w:rPr>
          <w:rFonts w:ascii="Times New Roman" w:cs="Times New Roman" w:eastAsia="Times New Roman" w:hAnsi="Times New Roman"/>
          <w:sz w:val="22"/>
          <w:szCs w:val="22"/>
          <w:color w:val="auto"/>
        </w:rPr>
        <w:t>NuStar Internacional, S. de R.L. de C.V., a Mexico limited liability company NuStar Logistics, L.P., a Delaware limited partnership</w:t>
      </w:r>
    </w:p>
    <w:p>
      <w:pPr>
        <w:spacing w:after="0" w:line="2" w:lineRule="exact"/>
        <w:rPr>
          <w:sz w:val="20"/>
          <w:szCs w:val="20"/>
          <w:color w:val="auto"/>
        </w:rPr>
      </w:pPr>
    </w:p>
    <w:p>
      <w:pPr>
        <w:ind w:left="20" w:right="4019"/>
        <w:spacing w:after="0" w:line="335" w:lineRule="auto"/>
        <w:rPr>
          <w:sz w:val="20"/>
          <w:szCs w:val="20"/>
          <w:color w:val="auto"/>
        </w:rPr>
      </w:pPr>
      <w:r>
        <w:rPr>
          <w:rFonts w:ascii="Times New Roman" w:cs="Times New Roman" w:eastAsia="Times New Roman" w:hAnsi="Times New Roman"/>
          <w:sz w:val="21"/>
          <w:szCs w:val="21"/>
          <w:color w:val="auto"/>
        </w:rPr>
        <w:t>NuStar Permian Holdings, LLC, a Delaware limited liability company NuStar Pipeline Company, LLC, a Delaware limited liability company</w:t>
      </w:r>
    </w:p>
    <w:p>
      <w:pPr>
        <w:sectPr>
          <w:pgSz w:w="11900" w:h="16838" w:orient="portrait"/>
          <w:cols w:equalWidth="0" w:num="1">
            <w:col w:w="10139"/>
          </w:cols>
          <w:pgMar w:left="320" w:top="936" w:right="1440" w:bottom="1440" w:gutter="0" w:footer="0" w:header="0"/>
        </w:sectPr>
      </w:pPr>
    </w:p>
    <w:bookmarkStart w:id="278" w:name="page279"/>
    <w:bookmarkEnd w:id="278"/>
    <w:p>
      <w:pPr>
        <w:ind w:left="20" w:right="3619"/>
        <w:spacing w:after="0" w:line="281" w:lineRule="auto"/>
        <w:rPr>
          <w:sz w:val="20"/>
          <w:szCs w:val="20"/>
          <w:color w:val="auto"/>
        </w:rPr>
      </w:pPr>
      <w:r>
        <w:rPr>
          <w:rFonts w:ascii="Times New Roman" w:cs="Times New Roman" w:eastAsia="Times New Roman" w:hAnsi="Times New Roman"/>
          <w:sz w:val="22"/>
          <w:szCs w:val="22"/>
          <w:color w:val="auto"/>
        </w:rPr>
        <w:t>NuStar Pipeline Operating Partnership L.P., a Delaware limited partnership NuStar Pipeline Partners L.P., a Delaware limited partnership</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NuStar Services Company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NuStar Supply &amp; Trading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NuStar Terminals Operations Partnership L.P., a Delaware limited partnership</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NuStar Terminals Services, Inc.,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Peerless Oil &amp; Chemicals, Inc, a Delaware corporation</w:t>
      </w:r>
    </w:p>
    <w:p>
      <w:pPr>
        <w:spacing w:after="0" w:line="44" w:lineRule="exact"/>
        <w:rPr>
          <w:sz w:val="20"/>
          <w:szCs w:val="20"/>
          <w:color w:val="auto"/>
        </w:rPr>
      </w:pPr>
    </w:p>
    <w:p>
      <w:pPr>
        <w:ind w:left="20" w:right="4179"/>
        <w:spacing w:after="0" w:line="281" w:lineRule="auto"/>
        <w:rPr>
          <w:sz w:val="20"/>
          <w:szCs w:val="20"/>
          <w:color w:val="auto"/>
        </w:rPr>
      </w:pPr>
      <w:r>
        <w:rPr>
          <w:rFonts w:ascii="Times New Roman" w:cs="Times New Roman" w:eastAsia="Times New Roman" w:hAnsi="Times New Roman"/>
          <w:sz w:val="22"/>
          <w:szCs w:val="22"/>
          <w:color w:val="auto"/>
        </w:rPr>
        <w:t>Peerless Oil Company (Puerto Rico), Inc., a Puerto Rico corporation Petro Taino Transport Corp., a Puerto Rico corporation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POC USVI LLC, a US Virgin Islands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Portland Terminals,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Riverwalk Logistics, L.P., a Delaware limited partnership</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Shore Terminals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Star Creek Ranch,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 LP Pipeline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 LP Terminals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 Lubricants and Specialty Products Inc., a Quebec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 Pipeline Holdings LLC, a Texas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Sunmarks,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Amsterdam Terminal B.V., a Netherland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Bantry Bay Terminal Limited, an Ireland limited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European Holdings Limited, an Ireland limited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Finance Corp.,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Global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Ireland Limited, an Ireland limited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Marine Ltd.,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Midstream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Netherlands Amsterdam B.V., a Netherland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Sunoco Netherlands Ireland Holdings B.V., a Netherland limited liability company</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NLR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Overseas, Inc., a Delaware corporation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Refined Products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Retail LLC, a Pennsylvania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Sunoco, LLC, a Delaware limited liability company</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Town &amp; Country Food Stores, Inc., a Texas corporation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SUBSIDIARIES OF USA COMPRESSION PARTNERS, LP, a Delaware limited partnership:</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USA Compression Finance Corp., a Delaware corporation</w:t>
      </w:r>
    </w:p>
    <w:p>
      <w:pPr>
        <w:spacing w:after="0" w:line="44" w:lineRule="exact"/>
        <w:rPr>
          <w:sz w:val="20"/>
          <w:szCs w:val="20"/>
          <w:color w:val="auto"/>
        </w:rPr>
      </w:pPr>
    </w:p>
    <w:p>
      <w:pPr>
        <w:ind w:left="20" w:right="3879"/>
        <w:spacing w:after="0" w:line="309" w:lineRule="auto"/>
        <w:rPr>
          <w:sz w:val="20"/>
          <w:szCs w:val="20"/>
          <w:color w:val="auto"/>
        </w:rPr>
      </w:pPr>
      <w:r>
        <w:rPr>
          <w:rFonts w:ascii="Times New Roman" w:cs="Times New Roman" w:eastAsia="Times New Roman" w:hAnsi="Times New Roman"/>
          <w:sz w:val="22"/>
          <w:szCs w:val="22"/>
          <w:color w:val="auto"/>
        </w:rPr>
        <w:t>USA Compression Partners, LLC, a Delaware limited liability company USAC Leasing, LLC, a Delaware limited liability company</w:t>
      </w:r>
    </w:p>
    <w:p>
      <w:pPr>
        <w:sectPr>
          <w:pgSz w:w="11900" w:h="16838" w:orient="portrait"/>
          <w:cols w:equalWidth="0" w:num="1">
            <w:col w:w="10139"/>
          </w:cols>
          <w:pgMar w:left="320" w:top="936" w:right="1440"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issued our reports dated February 14, 2025, with respect to the consolidated financial statements and internal control over financial reporting included in the Annual Report of Energy Transfer LP on Form 10-K for the year ended December 31, 2024. We consent to the incorporation by reference of said reports in the Registration Statements of Energy Transfer LP on Forms S-3 (File No. 333- 215969, File No. 333-215893, File No. 333-146300, File No. 333-277605, File No. 333-279982 and File No.333-280849), and on Forms S-8 (File No. 333-229456, File No. 333-251923, File No. 333-275904, File No. 333-275327, and File No. 333-261502).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ectPr>
          <w:pgSz w:w="11900" w:h="16838" w:orient="portrait"/>
          <w:cols w:equalWidth="0" w:num="1">
            <w:col w:w="11240"/>
          </w:cols>
          <w:pgMar w:left="320" w:top="887"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Marshall S. McCrea, III, certify that:</w:t>
      </w:r>
    </w:p>
    <w:p>
      <w:pPr>
        <w:spacing w:after="0" w:line="171" w:lineRule="exact"/>
        <w:rPr>
          <w:sz w:val="20"/>
          <w:szCs w:val="20"/>
          <w:color w:val="auto"/>
        </w:rPr>
      </w:pPr>
    </w:p>
    <w:p>
      <w:pPr>
        <w:ind w:left="980" w:hanging="648"/>
        <w:spacing w:after="0"/>
        <w:tabs>
          <w:tab w:leader="none" w:pos="9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Energy Transfer LP;</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20" w:hanging="640"/>
        <w:spacing w:after="0" w:line="282" w:lineRule="auto"/>
        <w:tabs>
          <w:tab w:leader="none" w:pos="16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3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9687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95">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Marshall S. McCrea, III</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Co-Chief Executive Officer</w:t>
      </w:r>
    </w:p>
    <w:p>
      <w:pPr>
        <w:sectPr>
          <w:pgSz w:w="11900" w:h="16838" w:orient="portrait"/>
          <w:cols w:equalWidth="0" w:num="1">
            <w:col w:w="11240"/>
          </w:cols>
          <w:pgMar w:left="320" w:top="887"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Long, certify that:</w:t>
      </w:r>
    </w:p>
    <w:p>
      <w:pPr>
        <w:spacing w:after="0" w:line="171" w:lineRule="exact"/>
        <w:rPr>
          <w:sz w:val="20"/>
          <w:szCs w:val="20"/>
          <w:color w:val="auto"/>
        </w:rPr>
      </w:pPr>
    </w:p>
    <w:p>
      <w:pPr>
        <w:ind w:left="980" w:hanging="648"/>
        <w:spacing w:after="0"/>
        <w:tabs>
          <w:tab w:leader="none" w:pos="9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Energy Transfer LP;</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20" w:hanging="640"/>
        <w:spacing w:after="0" w:line="282" w:lineRule="auto"/>
        <w:tabs>
          <w:tab w:leader="none" w:pos="162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9687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96">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Thomas E. Long</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Co-Chief Executive Officer</w:t>
      </w:r>
    </w:p>
    <w:p>
      <w:pPr>
        <w:sectPr>
          <w:pgSz w:w="11900" w:h="16838" w:orient="portrait"/>
          <w:cols w:equalWidth="0" w:num="1">
            <w:col w:w="11240"/>
          </w:cols>
          <w:pgMar w:left="320" w:top="887"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Dylan A. Bramhall, certify that:</w:t>
      </w:r>
    </w:p>
    <w:p>
      <w:pPr>
        <w:spacing w:after="0" w:line="171" w:lineRule="exact"/>
        <w:rPr>
          <w:sz w:val="20"/>
          <w:szCs w:val="20"/>
          <w:color w:val="auto"/>
        </w:rPr>
      </w:pPr>
    </w:p>
    <w:p>
      <w:pPr>
        <w:ind w:left="980" w:hanging="648"/>
        <w:spacing w:after="0"/>
        <w:tabs>
          <w:tab w:leader="none" w:pos="9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Energy Transfer LP;</w:t>
      </w:r>
    </w:p>
    <w:p>
      <w:pPr>
        <w:spacing w:after="0" w:line="17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20" w:hanging="640"/>
        <w:spacing w:after="0" w:line="282" w:lineRule="auto"/>
        <w:tabs>
          <w:tab w:leader="none" w:pos="16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3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Dylan A. Bramhall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96875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97">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17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Dylan A. Bramhall</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Group Chief Financial Officer</w:t>
      </w:r>
    </w:p>
    <w:p>
      <w:pPr>
        <w:sectPr>
          <w:pgSz w:w="11900" w:h="16838" w:orient="portrait"/>
          <w:cols w:equalWidth="0" w:num="1">
            <w:col w:w="11240"/>
          </w:cols>
          <w:pgMar w:left="320" w:top="887"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Energy Transfer LP (the “Partnership”) on Form 10-K for the year ended December 31, 2024, as filed with the Securities and Exchange Commission on the date hereof (the “Report”), I, Marshall S. McCrea, III, Co-Chief Executive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3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98">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Marshall S. McCrea, III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Energy Transfer LP and furnished to the Securities and Exchange Commission upon request.</w:t>
      </w:r>
    </w:p>
    <w:p>
      <w:pPr>
        <w:sectPr>
          <w:pgSz w:w="11900" w:h="16838" w:orient="portrait"/>
          <w:cols w:equalWidth="0" w:num="1">
            <w:col w:w="11240"/>
          </w:cols>
          <w:pgMar w:left="320" w:top="887"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Energy Transfer LP (the “Partnership”) on Form 10-K for the year ended December 31, 2024, as filed with the Securities and Exchange Commission on the date hereof (the “Report”), I, Thomas E. Long, Co-Chief Executive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wp:posOffset>
            </wp:positionV>
            <wp:extent cx="43033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9">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Thomas E. Long</w:t>
      </w:r>
    </w:p>
    <w:p>
      <w:pPr>
        <w:spacing w:after="0" w:line="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1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Energy Transfer LP and furnished to the Securities and Exchange Commission upon request.</w:t>
      </w:r>
    </w:p>
    <w:p>
      <w:pPr>
        <w:sectPr>
          <w:pgSz w:w="11900" w:h="16838" w:orient="portrait"/>
          <w:cols w:equalWidth="0" w:num="1">
            <w:col w:w="11240"/>
          </w:cols>
          <w:pgMar w:left="320" w:top="1413" w:right="3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Energy Transfer LP (the “Partnership”) on Form 10-K for the year ended December 31, 2024, as filed with the Securities and Exchange Commission on the date hereof (the “Report”), I, Dylan A. Bramhall, Chief Financial Officer, certify, pursuant to 18 U.S.C. Section 1350, as adopted pursuant to Section 906 of the Sarbanes-Oxley Act of 2002, that to the best of my knowledge:</w:t>
      </w:r>
    </w:p>
    <w:p>
      <w:pPr>
        <w:spacing w:after="0" w:line="122" w:lineRule="exact"/>
        <w:rPr>
          <w:sz w:val="20"/>
          <w:szCs w:val="20"/>
          <w:color w:val="auto"/>
        </w:rPr>
      </w:pPr>
    </w:p>
    <w:p>
      <w:pPr>
        <w:ind w:left="640" w:hanging="308"/>
        <w:spacing w:after="0"/>
        <w:tabs>
          <w:tab w:leader="none" w:pos="6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3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Dylan A. Bramhall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0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Dylan A. Bramhall</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Group Chief Financial Officer</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Energy Transfer LP and furnished to the Securities and Exchange Commission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lvl w:ilvl="1">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1)"/>
      <w:numFmt w:val="decimal"/>
      <w:start w:val="1"/>
    </w:lvl>
  </w:abstractNum>
  <w:abstractNum w:abstractNumId="10">
    <w:nsid w:val="6AA78F7F"/>
    <w:multiLevelType w:val="hybridMultilevel"/>
    <w:lvl w:ilvl="0">
      <w:lvlJc w:val="left"/>
      <w:lvlText w:val="•"/>
      <w:numFmt w:val="bullet"/>
      <w:start w:val="1"/>
    </w:lvl>
  </w:abstractNum>
  <w:abstractNum w:abstractNumId="11">
    <w:nsid w:val="7672BD23"/>
    <w:multiLevelType w:val="hybridMultilevel"/>
    <w:lvl w:ilvl="0">
      <w:lvlJc w:val="left"/>
      <w:lvlText w:val="•"/>
      <w:numFmt w:val="bullet"/>
      <w:start w:val="1"/>
    </w:lvl>
  </w:abstractNum>
  <w:abstractNum w:abstractNumId="12">
    <w:nsid w:val="6FC75AF8"/>
    <w:multiLevelType w:val="hybridMultilevel"/>
    <w:lvl w:ilvl="0">
      <w:lvlJc w:val="left"/>
      <w:lvlText w:val="•"/>
      <w:numFmt w:val="bullet"/>
      <w:start w:val="1"/>
    </w:lvl>
  </w:abstractNum>
  <w:abstractNum w:abstractNumId="13">
    <w:nsid w:val="6A5F7029"/>
    <w:multiLevelType w:val="hybridMultilevel"/>
    <w:lvl w:ilvl="0">
      <w:lvlJc w:val="left"/>
      <w:lvlText w:val="•"/>
      <w:numFmt w:val="bullet"/>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
      <w:numFmt w:val="bullet"/>
      <w:start w:val="1"/>
    </w:lvl>
  </w:abstractNum>
  <w:abstractNum w:abstractNumId="20">
    <w:nsid w:val="14FCE74E"/>
    <w:multiLevelType w:val="hybridMultilevel"/>
    <w:lvl w:ilvl="0">
      <w:lvlJc w:val="left"/>
      <w:lvlText w:val="•"/>
      <w:numFmt w:val="bullet"/>
      <w:start w:val="1"/>
    </w:lvl>
  </w:abstractNum>
  <w:abstractNum w:abstractNumId="21">
    <w:nsid w:val="6A3DD3E8"/>
    <w:multiLevelType w:val="hybridMultilevel"/>
    <w:lvl w:ilvl="0">
      <w:lvlJc w:val="left"/>
      <w:lvlText w:val="(%1)"/>
      <w:numFmt w:val="decimal"/>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1)"/>
      <w:numFmt w:val="decimal"/>
      <w:start w:val="1"/>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
      <w:numFmt w:val="bullet"/>
      <w:start w:val="1"/>
    </w:lvl>
    <w:lvl w:ilvl="1">
      <w:lvlJc w:val="left"/>
      <w:lvlText w:val="◦"/>
      <w:numFmt w:val="bullet"/>
      <w:start w:val="1"/>
    </w:lvl>
  </w:abstractNum>
  <w:abstractNum w:abstractNumId="28">
    <w:nsid w:val="59ADEA3D"/>
    <w:multiLevelType w:val="hybridMultilevel"/>
    <w:lvl w:ilvl="0">
      <w:lvlJc w:val="left"/>
      <w:lvlText w:val="•"/>
      <w:numFmt w:val="bullet"/>
      <w:start w:val="1"/>
    </w:lvl>
  </w:abstractNum>
  <w:abstractNum w:abstractNumId="29">
    <w:nsid w:val="288F1A34"/>
    <w:multiLevelType w:val="hybridMultilevel"/>
    <w:lvl w:ilvl="0">
      <w:lvlJc w:val="left"/>
      <w:lvlText w:val="•"/>
      <w:numFmt w:val="bullet"/>
      <w:start w:val="1"/>
    </w:lvl>
  </w:abstractNum>
  <w:abstractNum w:abstractNumId="30">
    <w:nsid w:val="2A155DBC"/>
    <w:multiLevelType w:val="hybridMultilevel"/>
    <w:lvl w:ilvl="0">
      <w:lvlJc w:val="left"/>
      <w:lvlText w:val="•"/>
      <w:numFmt w:val="bullet"/>
      <w:start w:val="1"/>
    </w:lvl>
  </w:abstractNum>
  <w:abstractNum w:abstractNumId="31">
    <w:nsid w:val="1D9F6E5F"/>
    <w:multiLevelType w:val="hybridMultilevel"/>
    <w:lvl w:ilvl="0">
      <w:lvlJc w:val="left"/>
      <w:lvlText w:val="(%1)"/>
      <w:numFmt w:val="decimal"/>
      <w:start w:val="1"/>
    </w:lvl>
  </w:abstractNum>
  <w:abstractNum w:abstractNumId="32">
    <w:nsid w:val="97E1B4E"/>
    <w:multiLevelType w:val="hybridMultilevel"/>
    <w:lvl w:ilvl="0">
      <w:lvlJc w:val="left"/>
      <w:lvlText w:val="•"/>
      <w:numFmt w:val="bullet"/>
      <w:start w:val="1"/>
    </w:lvl>
  </w:abstractNum>
  <w:abstractNum w:abstractNumId="33">
    <w:nsid w:val="51088277"/>
    <w:multiLevelType w:val="hybridMultilevel"/>
    <w:lvl w:ilvl="0">
      <w:lvlJc w:val="left"/>
      <w:lvlText w:val="•"/>
      <w:numFmt w:val="bullet"/>
      <w:start w:val="1"/>
    </w:lvl>
  </w:abstractNum>
  <w:abstractNum w:abstractNumId="34">
    <w:nsid w:val="1CA0C5FA"/>
    <w:multiLevelType w:val="hybridMultilevel"/>
    <w:lvl w:ilvl="0">
      <w:lvlJc w:val="left"/>
      <w:lvlText w:val="•"/>
      <w:numFmt w:val="bullet"/>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
      <w:numFmt w:val="bullet"/>
      <w:start w:val="1"/>
    </w:lvl>
  </w:abstractNum>
  <w:abstractNum w:abstractNumId="37">
    <w:nsid w:val="7C58FD05"/>
    <w:multiLevelType w:val="hybridMultilevel"/>
    <w:lvl w:ilvl="0">
      <w:lvlJc w:val="left"/>
      <w:lvlText w:val="•"/>
      <w:numFmt w:val="bullet"/>
      <w:start w:val="1"/>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
      <w:numFmt w:val="bullet"/>
      <w:start w:val="1"/>
    </w:lvl>
  </w:abstractNum>
  <w:abstractNum w:abstractNumId="41">
    <w:nsid w:val="E7FFA2B"/>
    <w:multiLevelType w:val="hybridMultilevel"/>
    <w:lvl w:ilvl="0">
      <w:lvlJc w:val="left"/>
      <w:lvlText w:val="•"/>
      <w:numFmt w:val="bullet"/>
      <w:start w:val="1"/>
    </w:lvl>
  </w:abstractNum>
  <w:abstractNum w:abstractNumId="42">
    <w:nsid w:val="3C5991AA"/>
    <w:multiLevelType w:val="hybridMultilevel"/>
    <w:lvl w:ilvl="0">
      <w:lvlJc w:val="left"/>
      <w:lvlText w:val="•"/>
      <w:numFmt w:val="bullet"/>
      <w:start w:val="1"/>
    </w:lvl>
  </w:abstractNum>
  <w:abstractNum w:abstractNumId="43">
    <w:nsid w:val="4BD8591A"/>
    <w:multiLevelType w:val="hybridMultilevel"/>
    <w:lvl w:ilvl="0">
      <w:lvlJc w:val="left"/>
      <w:lvlText w:val="•"/>
      <w:numFmt w:val="bullet"/>
      <w:start w:val="1"/>
    </w:lvl>
  </w:abstractNum>
  <w:abstractNum w:abstractNumId="44">
    <w:nsid w:val="78DF6A55"/>
    <w:multiLevelType w:val="hybridMultilevel"/>
    <w:lvl w:ilvl="0">
      <w:lvlJc w:val="left"/>
      <w:lvlText w:val="•"/>
      <w:numFmt w:val="bullet"/>
      <w:start w:val="1"/>
    </w:lvl>
  </w:abstractNum>
  <w:abstractNum w:abstractNumId="45">
    <w:nsid w:val="39B7AAA2"/>
    <w:multiLevelType w:val="hybridMultilevel"/>
    <w:lvl w:ilvl="0">
      <w:lvlJc w:val="left"/>
      <w:lvlText w:val="•"/>
      <w:numFmt w:val="bullet"/>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
      <w:numFmt w:val="bullet"/>
      <w:start w:val="1"/>
    </w:lvl>
  </w:abstractNum>
  <w:abstractNum w:abstractNumId="48">
    <w:nsid w:val="379E21B5"/>
    <w:multiLevelType w:val="hybridMultilevel"/>
    <w:lvl w:ilvl="0">
      <w:lvlJc w:val="left"/>
      <w:lvlText w:val="•"/>
      <w:numFmt w:val="bullet"/>
      <w:start w:val="1"/>
    </w:lvl>
  </w:abstractNum>
  <w:abstractNum w:abstractNumId="49">
    <w:nsid w:val="69E373"/>
    <w:multiLevelType w:val="hybridMultilevel"/>
    <w:lvl w:ilvl="0">
      <w:lvlJc w:val="left"/>
      <w:lvlText w:val="•"/>
      <w:numFmt w:val="bullet"/>
      <w:start w:val="1"/>
    </w:lvl>
  </w:abstractNum>
  <w:abstractNum w:abstractNumId="50">
    <w:nsid w:val="2C27173B"/>
    <w:multiLevelType w:val="hybridMultilevel"/>
    <w:lvl w:ilvl="0">
      <w:lvlJc w:val="left"/>
      <w:lvlText w:val="•"/>
      <w:numFmt w:val="bullet"/>
      <w:start w:val="1"/>
    </w:lvl>
  </w:abstractNum>
  <w:abstractNum w:abstractNumId="51">
    <w:nsid w:val="4C9B0904"/>
    <w:multiLevelType w:val="hybridMultilevel"/>
    <w:lvl w:ilvl="0">
      <w:lvlJc w:val="left"/>
      <w:lvlText w:val="•"/>
      <w:numFmt w:val="bullet"/>
      <w:start w:val="1"/>
    </w:lvl>
  </w:abstractNum>
  <w:abstractNum w:abstractNumId="52">
    <w:nsid w:val="6AA7B75C"/>
    <w:multiLevelType w:val="hybridMultilevel"/>
    <w:lvl w:ilvl="0">
      <w:lvlJc w:val="left"/>
      <w:lvlText w:val="•"/>
      <w:numFmt w:val="bullet"/>
      <w:start w:val="1"/>
    </w:lvl>
  </w:abstractNum>
  <w:abstractNum w:abstractNumId="53">
    <w:nsid w:val="1DF029D3"/>
    <w:multiLevelType w:val="hybridMultilevel"/>
    <w:lvl w:ilvl="0">
      <w:lvlJc w:val="left"/>
      <w:lvlText w:val="•"/>
      <w:numFmt w:val="bullet"/>
      <w:start w:val="1"/>
    </w:lvl>
  </w:abstractNum>
  <w:abstractNum w:abstractNumId="54">
    <w:nsid w:val="5675FF36"/>
    <w:multiLevelType w:val="hybridMultilevel"/>
    <w:lvl w:ilvl="0">
      <w:lvlJc w:val="left"/>
      <w:lvlText w:val="•"/>
      <w:numFmt w:val="bullet"/>
      <w:start w:val="1"/>
    </w:lvl>
  </w:abstractNum>
  <w:abstractNum w:abstractNumId="55">
    <w:nsid w:val="3DD15094"/>
    <w:multiLevelType w:val="hybridMultilevel"/>
    <w:lvl w:ilvl="0">
      <w:lvlJc w:val="left"/>
      <w:lvlText w:val="•"/>
      <w:numFmt w:val="bullet"/>
      <w:start w:val="1"/>
    </w:lvl>
  </w:abstractNum>
  <w:abstractNum w:abstractNumId="56">
    <w:nsid w:val="3DB012B3"/>
    <w:multiLevelType w:val="hybridMultilevel"/>
    <w:lvl w:ilvl="0">
      <w:lvlJc w:val="left"/>
      <w:lvlText w:val="•"/>
      <w:numFmt w:val="bullet"/>
      <w:start w:val="1"/>
    </w:lvl>
  </w:abstractNum>
  <w:abstractNum w:abstractNumId="57">
    <w:nsid w:val="2708C9AF"/>
    <w:multiLevelType w:val="hybridMultilevel"/>
    <w:lvl w:ilvl="0">
      <w:lvlJc w:val="left"/>
      <w:lvlText w:val="•"/>
      <w:numFmt w:val="bullet"/>
      <w:start w:val="1"/>
    </w:lvl>
  </w:abstractNum>
  <w:abstractNum w:abstractNumId="58">
    <w:nsid w:val="5B25ACE2"/>
    <w:multiLevelType w:val="hybridMultilevel"/>
    <w:lvl w:ilvl="0">
      <w:lvlJc w:val="left"/>
      <w:lvlText w:val="•"/>
      <w:numFmt w:val="bullet"/>
      <w:start w:val="1"/>
    </w:lvl>
  </w:abstractNum>
  <w:abstractNum w:abstractNumId="59">
    <w:nsid w:val="175DFCF0"/>
    <w:multiLevelType w:val="hybridMultilevel"/>
    <w:lvl w:ilvl="0">
      <w:lvlJc w:val="left"/>
      <w:lvlText w:val="•"/>
      <w:numFmt w:val="bullet"/>
      <w:start w:val="1"/>
    </w:lvl>
  </w:abstractNum>
  <w:abstractNum w:abstractNumId="60">
    <w:nsid w:val="4F97E3E4"/>
    <w:multiLevelType w:val="hybridMultilevel"/>
    <w:lvl w:ilvl="0">
      <w:lvlJc w:val="left"/>
      <w:lvlText w:val="•"/>
      <w:numFmt w:val="bullet"/>
      <w:start w:val="1"/>
    </w:lvl>
  </w:abstractNum>
  <w:abstractNum w:abstractNumId="61">
    <w:nsid w:val="53B0A9E"/>
    <w:multiLevelType w:val="hybridMultilevel"/>
    <w:lvl w:ilvl="0">
      <w:lvlJc w:val="left"/>
      <w:lvlText w:val="•"/>
      <w:numFmt w:val="bullet"/>
      <w:start w:val="1"/>
    </w:lvl>
  </w:abstractNum>
  <w:abstractNum w:abstractNumId="62">
    <w:nsid w:val="34FD6B4F"/>
    <w:multiLevelType w:val="hybridMultilevel"/>
    <w:lvl w:ilvl="0">
      <w:lvlJc w:val="left"/>
      <w:lvlText w:val="•"/>
      <w:numFmt w:val="bullet"/>
      <w:start w:val="1"/>
    </w:lvl>
  </w:abstractNum>
  <w:abstractNum w:abstractNumId="63">
    <w:nsid w:val="5915FF32"/>
    <w:multiLevelType w:val="hybridMultilevel"/>
    <w:lvl w:ilvl="0">
      <w:lvlJc w:val="left"/>
      <w:lvlText w:val="•"/>
      <w:numFmt w:val="bullet"/>
      <w:start w:val="1"/>
    </w:lvl>
  </w:abstractNum>
  <w:abstractNum w:abstractNumId="64">
    <w:nsid w:val="56438D15"/>
    <w:multiLevelType w:val="hybridMultilevel"/>
    <w:lvl w:ilvl="0">
      <w:lvlJc w:val="left"/>
      <w:lvlText w:val="•"/>
      <w:numFmt w:val="bullet"/>
      <w:start w:val="1"/>
    </w:lvl>
  </w:abstractNum>
  <w:abstractNum w:abstractNumId="65">
    <w:nsid w:val="519E3149"/>
    <w:multiLevelType w:val="hybridMultilevel"/>
    <w:lvl w:ilvl="0">
      <w:lvlJc w:val="left"/>
      <w:lvlText w:val="•"/>
      <w:numFmt w:val="bullet"/>
      <w:start w:val="1"/>
    </w:lvl>
  </w:abstractNum>
  <w:abstractNum w:abstractNumId="66">
    <w:nsid w:val="2C6E4AFD"/>
    <w:multiLevelType w:val="hybridMultilevel"/>
    <w:lvl w:ilvl="0">
      <w:lvlJc w:val="left"/>
      <w:lvlText w:val="•"/>
      <w:numFmt w:val="bullet"/>
      <w:start w:val="1"/>
    </w:lvl>
  </w:abstractNum>
  <w:abstractNum w:abstractNumId="67">
    <w:nsid w:val="17A1B582"/>
    <w:multiLevelType w:val="hybridMultilevel"/>
    <w:lvl w:ilvl="0">
      <w:lvlJc w:val="left"/>
      <w:lvlText w:val="•"/>
      <w:numFmt w:val="bullet"/>
      <w:start w:val="1"/>
    </w:lvl>
  </w:abstractNum>
  <w:abstractNum w:abstractNumId="68">
    <w:nsid w:val="4DF72E4E"/>
    <w:multiLevelType w:val="hybridMultilevel"/>
    <w:lvl w:ilvl="0">
      <w:lvlJc w:val="left"/>
      <w:lvlText w:val="•"/>
      <w:numFmt w:val="bullet"/>
      <w:start w:val="1"/>
    </w:lvl>
  </w:abstractNum>
  <w:abstractNum w:abstractNumId="69">
    <w:nsid w:val="5046B5A9"/>
    <w:multiLevelType w:val="hybridMultilevel"/>
    <w:lvl w:ilvl="0">
      <w:lvlJc w:val="left"/>
      <w:lvlText w:val="•"/>
      <w:numFmt w:val="bullet"/>
      <w:start w:val="1"/>
    </w:lvl>
  </w:abstractNum>
  <w:abstractNum w:abstractNumId="70">
    <w:nsid w:val="5D888A08"/>
    <w:multiLevelType w:val="hybridMultilevel"/>
    <w:lvl w:ilvl="0">
      <w:lvlJc w:val="left"/>
      <w:lvlText w:val="(%1)"/>
      <w:numFmt w:val="decimal"/>
      <w:start w:val="1"/>
    </w:lvl>
  </w:abstractNum>
  <w:abstractNum w:abstractNumId="71">
    <w:nsid w:val="2A082C70"/>
    <w:multiLevelType w:val="hybridMultilevel"/>
    <w:lvl w:ilvl="0">
      <w:lvlJc w:val="left"/>
      <w:lvlText w:val="•"/>
      <w:numFmt w:val="bullet"/>
      <w:start w:val="1"/>
    </w:lvl>
  </w:abstractNum>
  <w:abstractNum w:abstractNumId="72">
    <w:nsid w:val="5EC6AFD4"/>
    <w:multiLevelType w:val="hybridMultilevel"/>
    <w:lvl w:ilvl="0">
      <w:lvlJc w:val="left"/>
      <w:lvlText w:val="•"/>
      <w:numFmt w:val="bullet"/>
      <w:start w:val="1"/>
    </w:lvl>
    <w:lvl w:ilvl="1">
      <w:lvlJc w:val="left"/>
      <w:lvlText w:val="◦"/>
      <w:numFmt w:val="bullet"/>
      <w:start w:val="1"/>
    </w:lvl>
  </w:abstractNum>
  <w:abstractNum w:abstractNumId="73">
    <w:nsid w:val="19E21BB2"/>
    <w:multiLevelType w:val="hybridMultilevel"/>
    <w:lvl w:ilvl="0">
      <w:lvlJc w:val="left"/>
      <w:lvlText w:val="•"/>
      <w:numFmt w:val="bullet"/>
      <w:start w:val="1"/>
    </w:lvl>
  </w:abstractNum>
  <w:abstractNum w:abstractNumId="74">
    <w:nsid w:val="75E0858A"/>
    <w:multiLevelType w:val="hybridMultilevel"/>
    <w:lvl w:ilvl="0">
      <w:lvlJc w:val="left"/>
      <w:lvlText w:val="(%1)"/>
      <w:numFmt w:val="decimal"/>
      <w:start w:val="1"/>
    </w:lvl>
  </w:abstractNum>
  <w:abstractNum w:abstractNumId="75">
    <w:nsid w:val="57A61A29"/>
    <w:multiLevelType w:val="hybridMultilevel"/>
    <w:lvl w:ilvl="0">
      <w:lvlJc w:val="left"/>
      <w:lvlText w:val="•"/>
      <w:numFmt w:val="bullet"/>
      <w:start w:val="1"/>
    </w:lvl>
  </w:abstractNum>
  <w:abstractNum w:abstractNumId="76">
    <w:nsid w:val="5399C654"/>
    <w:multiLevelType w:val="hybridMultilevel"/>
    <w:lvl w:ilvl="0">
      <w:lvlJc w:val="left"/>
      <w:lvlText w:val="•"/>
      <w:numFmt w:val="bullet"/>
      <w:start w:val="1"/>
    </w:lvl>
  </w:abstractNum>
  <w:abstractNum w:abstractNumId="77">
    <w:nsid w:val="20EE1348"/>
    <w:multiLevelType w:val="hybridMultilevel"/>
    <w:lvl w:ilvl="0">
      <w:lvlJc w:val="left"/>
      <w:lvlText w:val="•"/>
      <w:numFmt w:val="bullet"/>
      <w:start w:val="1"/>
    </w:lvl>
  </w:abstractNum>
  <w:abstractNum w:abstractNumId="78">
    <w:nsid w:val="4427069A"/>
    <w:multiLevelType w:val="hybridMultilevel"/>
    <w:lvl w:ilvl="0">
      <w:lvlJc w:val="left"/>
      <w:lvlText w:val="•"/>
      <w:numFmt w:val="bullet"/>
      <w:start w:val="1"/>
    </w:lvl>
  </w:abstractNum>
  <w:abstractNum w:abstractNumId="79">
    <w:nsid w:val="B37E80A"/>
    <w:multiLevelType w:val="hybridMultilevel"/>
    <w:lvl w:ilvl="0">
      <w:lvlJc w:val="left"/>
      <w:lvlText w:val="•"/>
      <w:numFmt w:val="bullet"/>
      <w:start w:val="1"/>
    </w:lvl>
  </w:abstractNum>
  <w:abstractNum w:abstractNumId="80">
    <w:nsid w:val="2157F6BC"/>
    <w:multiLevelType w:val="hybridMultilevel"/>
    <w:lvl w:ilvl="0">
      <w:lvlJc w:val="left"/>
      <w:lvlText w:val="•"/>
      <w:numFmt w:val="bullet"/>
      <w:start w:val="1"/>
    </w:lvl>
  </w:abstractNum>
  <w:abstractNum w:abstractNumId="81">
    <w:nsid w:val="704E1DD5"/>
    <w:multiLevelType w:val="hybridMultilevel"/>
    <w:lvl w:ilvl="0">
      <w:lvlJc w:val="left"/>
      <w:lvlText w:val="•"/>
      <w:numFmt w:val="bullet"/>
      <w:start w:val="1"/>
    </w:lvl>
  </w:abstractNum>
  <w:abstractNum w:abstractNumId="82">
    <w:nsid w:val="57D2F10E"/>
    <w:multiLevelType w:val="hybridMultilevel"/>
    <w:lvl w:ilvl="0">
      <w:lvlJc w:val="left"/>
      <w:lvlText w:val="•"/>
      <w:numFmt w:val="bullet"/>
      <w:start w:val="1"/>
    </w:lvl>
  </w:abstractNum>
  <w:abstractNum w:abstractNumId="83">
    <w:nsid w:val="BFFAE18"/>
    <w:multiLevelType w:val="hybridMultilevel"/>
    <w:lvl w:ilvl="0">
      <w:lvlJc w:val="left"/>
      <w:lvlText w:val="•"/>
      <w:numFmt w:val="bullet"/>
      <w:start w:val="1"/>
    </w:lvl>
  </w:abstractNum>
  <w:abstractNum w:abstractNumId="84">
    <w:nsid w:val="E3E47A8"/>
    <w:multiLevelType w:val="hybridMultilevel"/>
    <w:lvl w:ilvl="0">
      <w:lvlJc w:val="left"/>
      <w:lvlText w:val="•"/>
      <w:numFmt w:val="bullet"/>
      <w:start w:val="1"/>
    </w:lvl>
  </w:abstractNum>
  <w:abstractNum w:abstractNumId="85">
    <w:nsid w:val="2E48F044"/>
    <w:multiLevelType w:val="hybridMultilevel"/>
    <w:lvl w:ilvl="0">
      <w:lvlJc w:val="left"/>
      <w:lvlText w:val="•"/>
      <w:numFmt w:val="bullet"/>
      <w:start w:val="1"/>
    </w:lvl>
  </w:abstractNum>
  <w:abstractNum w:abstractNumId="86">
    <w:nsid w:val="49D0FEAC"/>
    <w:multiLevelType w:val="hybridMultilevel"/>
    <w:lvl w:ilvl="0">
      <w:lvlJc w:val="left"/>
      <w:lvlText w:val="•"/>
      <w:numFmt w:val="bullet"/>
      <w:start w:val="1"/>
    </w:lvl>
  </w:abstractNum>
  <w:abstractNum w:abstractNumId="87">
    <w:nsid w:val="4BEE5A5B"/>
    <w:multiLevelType w:val="hybridMultilevel"/>
    <w:lvl w:ilvl="0">
      <w:lvlJc w:val="left"/>
      <w:lvlText w:val="•"/>
      <w:numFmt w:val="bullet"/>
      <w:start w:val="1"/>
    </w:lvl>
  </w:abstractNum>
  <w:abstractNum w:abstractNumId="88">
    <w:nsid w:val="5551B9F3"/>
    <w:multiLevelType w:val="hybridMultilevel"/>
    <w:lvl w:ilvl="0">
      <w:lvlJc w:val="left"/>
      <w:lvlText w:val="(%1)"/>
      <w:numFmt w:val="decimal"/>
      <w:start w:val="1"/>
    </w:lvl>
  </w:abstractNum>
  <w:abstractNum w:abstractNumId="89">
    <w:nsid w:val="24F6AB8E"/>
    <w:multiLevelType w:val="hybridMultilevel"/>
    <w:lvl w:ilvl="0">
      <w:lvlJc w:val="left"/>
      <w:lvlText w:val="(%1)"/>
      <w:numFmt w:val="decimal"/>
      <w:start w:val="1"/>
    </w:lvl>
  </w:abstractNum>
  <w:abstractNum w:abstractNumId="90">
    <w:nsid w:val="634C574C"/>
    <w:multiLevelType w:val="hybridMultilevel"/>
    <w:lvl w:ilvl="0">
      <w:lvlJc w:val="left"/>
      <w:lvlText w:val="•"/>
      <w:numFmt w:val="bullet"/>
      <w:start w:val="1"/>
    </w:lvl>
  </w:abstractNum>
  <w:abstractNum w:abstractNumId="91">
    <w:nsid w:val="24E99DD7"/>
    <w:multiLevelType w:val="hybridMultilevel"/>
    <w:lvl w:ilvl="0">
      <w:lvlJc w:val="left"/>
      <w:lvlText w:val="•"/>
      <w:numFmt w:val="bullet"/>
      <w:start w:val="1"/>
    </w:lvl>
  </w:abstractNum>
  <w:abstractNum w:abstractNumId="92">
    <w:nsid w:val="2A31B62D"/>
    <w:multiLevelType w:val="hybridMultilevel"/>
    <w:lvl w:ilvl="0">
      <w:lvlJc w:val="left"/>
      <w:lvlText w:val="•"/>
      <w:numFmt w:val="bullet"/>
      <w:start w:val="1"/>
    </w:lvl>
  </w:abstractNum>
  <w:abstractNum w:abstractNumId="93">
    <w:nsid w:val="1849C29B"/>
    <w:multiLevelType w:val="hybridMultilevel"/>
    <w:lvl w:ilvl="0">
      <w:lvlJc w:val="left"/>
      <w:lvlText w:val="(%1)"/>
      <w:numFmt w:val="decimal"/>
      <w:start w:val="1"/>
    </w:lvl>
  </w:abstractNum>
  <w:abstractNum w:abstractNumId="94">
    <w:nsid w:val="7DFF9D09"/>
    <w:multiLevelType w:val="hybridMultilevel"/>
    <w:lvl w:ilvl="0">
      <w:lvlJc w:val="left"/>
      <w:lvlText w:val="•"/>
      <w:numFmt w:val="bullet"/>
      <w:start w:val="1"/>
    </w:lvl>
  </w:abstractNum>
  <w:abstractNum w:abstractNumId="95">
    <w:nsid w:val="754342"/>
    <w:multiLevelType w:val="hybridMultilevel"/>
    <w:lvl w:ilvl="0">
      <w:lvlJc w:val="left"/>
      <w:lvlText w:val="•"/>
      <w:numFmt w:val="bullet"/>
      <w:start w:val="1"/>
    </w:lvl>
  </w:abstractNum>
  <w:abstractNum w:abstractNumId="96">
    <w:nsid w:val="69E7F3E5"/>
    <w:multiLevelType w:val="hybridMultilevel"/>
    <w:lvl w:ilvl="0">
      <w:lvlJc w:val="left"/>
      <w:lvlText w:val="(%1)"/>
      <w:numFmt w:val="decimal"/>
      <w:start w:val="1"/>
    </w:lvl>
  </w:abstractNum>
  <w:abstractNum w:abstractNumId="97">
    <w:nsid w:val="2A6DE806"/>
    <w:multiLevelType w:val="hybridMultilevel"/>
    <w:lvl w:ilvl="0">
      <w:lvlJc w:val="left"/>
      <w:lvlText w:val="(%1)"/>
      <w:numFmt w:val="decimal"/>
      <w:start w:val="1"/>
    </w:lvl>
  </w:abstractNum>
  <w:abstractNum w:abstractNumId="98">
    <w:nsid w:val="1816F8C4"/>
    <w:multiLevelType w:val="hybridMultilevel"/>
    <w:lvl w:ilvl="0">
      <w:lvlJc w:val="left"/>
      <w:lvlText w:val="•"/>
      <w:numFmt w:val="bullet"/>
      <w:start w:val="1"/>
    </w:lvl>
  </w:abstractNum>
  <w:abstractNum w:abstractNumId="99">
    <w:nsid w:val="37DF2233"/>
    <w:multiLevelType w:val="hybridMultilevel"/>
    <w:lvl w:ilvl="0">
      <w:lvlJc w:val="left"/>
      <w:lvlText w:val="•"/>
      <w:numFmt w:val="bullet"/>
      <w:start w:val="1"/>
    </w:lvl>
  </w:abstractNum>
  <w:abstractNum w:abstractNumId="100">
    <w:nsid w:val="7AB49DAF"/>
    <w:multiLevelType w:val="hybridMultilevel"/>
    <w:lvl w:ilvl="0">
      <w:lvlJc w:val="left"/>
      <w:lvlText w:val="•"/>
      <w:numFmt w:val="bullet"/>
      <w:start w:val="1"/>
    </w:lvl>
  </w:abstractNum>
  <w:abstractNum w:abstractNumId="101">
    <w:nsid w:val="759F82CD"/>
    <w:multiLevelType w:val="hybridMultilevel"/>
    <w:lvl w:ilvl="0">
      <w:lvlJc w:val="left"/>
      <w:lvlText w:val="•"/>
      <w:numFmt w:val="bullet"/>
      <w:start w:val="1"/>
    </w:lvl>
  </w:abstractNum>
  <w:abstractNum w:abstractNumId="102">
    <w:nsid w:val="61E74EA3"/>
    <w:multiLevelType w:val="hybridMultilevel"/>
    <w:lvl w:ilvl="0">
      <w:lvlJc w:val="left"/>
      <w:lvlText w:val="•"/>
      <w:numFmt w:val="bullet"/>
      <w:start w:val="1"/>
    </w:lvl>
  </w:abstractNum>
  <w:abstractNum w:abstractNumId="103">
    <w:nsid w:val="597B4D84"/>
    <w:multiLevelType w:val="hybridMultilevel"/>
    <w:lvl w:ilvl="0">
      <w:lvlJc w:val="left"/>
      <w:lvlText w:val="(%1)"/>
      <w:numFmt w:val="decimal"/>
      <w:start w:val="1"/>
    </w:lvl>
    <w:lvl w:ilvl="1">
      <w:lvlJc w:val="left"/>
      <w:lvlText w:val="(%2)"/>
      <w:numFmt w:val="lowerRoman"/>
      <w:start w:val="3"/>
    </w:lvl>
  </w:abstractNum>
  <w:abstractNum w:abstractNumId="104">
    <w:nsid w:val="F819E7F"/>
    <w:multiLevelType w:val="hybridMultilevel"/>
    <w:lvl w:ilvl="0">
      <w:lvlJc w:val="left"/>
      <w:lvlText w:val="(%1)"/>
      <w:numFmt w:val="decimal"/>
      <w:start w:val="1"/>
    </w:lvl>
  </w:abstractNum>
  <w:abstractNum w:abstractNumId="105">
    <w:nsid w:val="57C7D42D"/>
    <w:multiLevelType w:val="hybridMultilevel"/>
    <w:lvl w:ilvl="0">
      <w:lvlJc w:val="left"/>
      <w:lvlText w:val="(%1)"/>
      <w:numFmt w:val="decimal"/>
      <w:start w:val="1"/>
    </w:lvl>
    <w:lvl w:ilvl="1">
      <w:lvlJc w:val="left"/>
      <w:lvlText w:val="•"/>
      <w:numFmt w:val="bullet"/>
      <w:start w:val="1"/>
    </w:lvl>
  </w:abstractNum>
  <w:abstractNum w:abstractNumId="106">
    <w:nsid w:val="312167AD"/>
    <w:multiLevelType w:val="hybridMultilevel"/>
    <w:lvl w:ilvl="0">
      <w:lvlJc w:val="left"/>
      <w:lvlText w:val="(%1)"/>
      <w:numFmt w:val="decimal"/>
      <w:start w:val="2"/>
    </w:lvl>
  </w:abstractNum>
  <w:abstractNum w:abstractNumId="107">
    <w:nsid w:val="631B64D4"/>
    <w:multiLevelType w:val="hybridMultilevel"/>
    <w:lvl w:ilvl="0">
      <w:lvlJc w:val="left"/>
      <w:lvlText w:val="(%1)"/>
      <w:numFmt w:val="decimal"/>
      <w:start w:val="1"/>
    </w:lvl>
  </w:abstractNum>
  <w:abstractNum w:abstractNumId="108">
    <w:nsid w:val="78B5E776"/>
    <w:multiLevelType w:val="hybridMultilevel"/>
    <w:lvl w:ilvl="0">
      <w:lvlJc w:val="left"/>
      <w:lvlText w:val="(%1)"/>
      <w:numFmt w:val="decimal"/>
      <w:start w:val="1"/>
    </w:lvl>
  </w:abstractNum>
  <w:abstractNum w:abstractNumId="109">
    <w:nsid w:val="75486E47"/>
    <w:multiLevelType w:val="hybridMultilevel"/>
    <w:lvl w:ilvl="0">
      <w:lvlJc w:val="left"/>
      <w:lvlText w:val="(%1)"/>
      <w:numFmt w:val="decimal"/>
      <w:start w:val="1"/>
    </w:lvl>
  </w:abstractNum>
  <w:abstractNum w:abstractNumId="110">
    <w:nsid w:val="6E534CDE"/>
    <w:multiLevelType w:val="hybridMultilevel"/>
    <w:lvl w:ilvl="0">
      <w:lvlJc w:val="left"/>
      <w:lvlText w:val="(%1)"/>
      <w:numFmt w:val="decimal"/>
      <w:start w:val="2"/>
    </w:lvl>
  </w:abstractNum>
  <w:abstractNum w:abstractNumId="111">
    <w:nsid w:val="1A0DDE32"/>
    <w:multiLevelType w:val="hybridMultilevel"/>
    <w:lvl w:ilvl="0">
      <w:lvlJc w:val="left"/>
      <w:lvlText w:val="%1."/>
      <w:numFmt w:val="decimal"/>
      <w:start w:val="1"/>
    </w:lvl>
  </w:abstractNum>
  <w:abstractNum w:abstractNumId="112">
    <w:nsid w:val="65968C1C"/>
    <w:multiLevelType w:val="hybridMultilevel"/>
    <w:lvl w:ilvl="0">
      <w:lvlJc w:val="left"/>
      <w:lvlText w:val="(%1)"/>
      <w:numFmt w:val="decimal"/>
      <w:start w:val="1"/>
    </w:lvl>
  </w:abstractNum>
  <w:abstractNum w:abstractNumId="113">
    <w:nsid w:val="46263DEC"/>
    <w:multiLevelType w:val="hybridMultilevel"/>
    <w:lvl w:ilvl="0">
      <w:lvlJc w:val="left"/>
      <w:lvlText w:val="*"/>
      <w:numFmt w:val="bullet"/>
      <w:start w:val="1"/>
    </w:lvl>
  </w:abstractNum>
  <w:abstractNum w:abstractNumId="114">
    <w:nsid w:val="260D8C4A"/>
    <w:multiLevelType w:val="hybridMultilevel"/>
    <w:lvl w:ilvl="0">
      <w:lvlJc w:val="left"/>
      <w:lvlText w:val="(%1)"/>
      <w:numFmt w:val="decimal"/>
      <w:start w:val="1"/>
    </w:lvl>
  </w:abstractNum>
  <w:abstractNum w:abstractNumId="115">
    <w:nsid w:val="73D4D3C4"/>
    <w:multiLevelType w:val="hybridMultilevel"/>
    <w:lvl w:ilvl="0">
      <w:lvlJc w:val="left"/>
      <w:lvlText w:val="(%1)"/>
      <w:numFmt w:val="decimal"/>
      <w:start w:val="5"/>
    </w:lvl>
  </w:abstractNum>
  <w:abstractNum w:abstractNumId="116">
    <w:nsid w:val="746F2E30"/>
    <w:multiLevelType w:val="hybridMultilevel"/>
    <w:lvl w:ilvl="0">
      <w:lvlJc w:val="left"/>
      <w:lvlText w:val="(%1)"/>
      <w:numFmt w:val="decimal"/>
      <w:start w:val="1"/>
    </w:lvl>
  </w:abstractNum>
  <w:abstractNum w:abstractNumId="117">
    <w:nsid w:val="6FDE8AF6"/>
    <w:multiLevelType w:val="hybridMultilevel"/>
    <w:lvl w:ilvl="0">
      <w:lvlJc w:val="left"/>
      <w:lvlText w:val="(%1)"/>
      <w:numFmt w:val="decimal"/>
      <w:start w:val="2"/>
    </w:lvl>
  </w:abstractNum>
  <w:abstractNum w:abstractNumId="118">
    <w:nsid w:val="3FC32E20"/>
    <w:multiLevelType w:val="hybridMultilevel"/>
    <w:lvl w:ilvl="0">
      <w:lvlJc w:val="left"/>
      <w:lvlText w:val="•"/>
      <w:numFmt w:val="bullet"/>
      <w:start w:val="1"/>
    </w:lvl>
  </w:abstractNum>
  <w:abstractNum w:abstractNumId="119">
    <w:nsid w:val="49C0E823"/>
    <w:multiLevelType w:val="hybridMultilevel"/>
    <w:lvl w:ilvl="0">
      <w:lvlJc w:val="left"/>
      <w:lvlText w:val="*"/>
      <w:numFmt w:val="bullet"/>
      <w:start w:val="1"/>
    </w:lvl>
  </w:abstractNum>
  <w:abstractNum w:abstractNumId="120">
    <w:nsid w:val="14D53685"/>
    <w:multiLevelType w:val="hybridMultilevel"/>
    <w:lvl w:ilvl="0">
      <w:lvlJc w:val="left"/>
      <w:lvlText w:val="**"/>
      <w:numFmt w:val="bullet"/>
      <w:start w:val="1"/>
    </w:lvl>
  </w:abstractNum>
  <w:abstractNum w:abstractNumId="121">
    <w:nsid w:val="230F856C"/>
    <w:multiLevelType w:val="hybridMultilevel"/>
    <w:lvl w:ilvl="0">
      <w:lvlJc w:val="left"/>
      <w:lvlText w:val="+"/>
      <w:numFmt w:val="bullet"/>
      <w:start w:val="1"/>
    </w:lvl>
  </w:abstractNum>
  <w:abstractNum w:abstractNumId="122">
    <w:nsid w:val="6EAA85FB"/>
    <w:multiLevelType w:val="hybridMultilevel"/>
    <w:lvl w:ilvl="0">
      <w:lvlJc w:val="left"/>
      <w:lvlText w:val="•"/>
      <w:numFmt w:val="bullet"/>
      <w:start w:val="1"/>
    </w:lvl>
  </w:abstractNum>
  <w:abstractNum w:abstractNumId="123">
    <w:nsid w:val="3F06ECB2"/>
    <w:multiLevelType w:val="hybridMultilevel"/>
    <w:lvl w:ilvl="0">
      <w:lvlJc w:val="left"/>
      <w:lvlText w:val="•"/>
      <w:numFmt w:val="bullet"/>
      <w:start w:val="1"/>
    </w:lvl>
  </w:abstractNum>
  <w:abstractNum w:abstractNumId="124">
    <w:nsid w:val="3B594807"/>
    <w:multiLevelType w:val="hybridMultilevel"/>
    <w:lvl w:ilvl="0">
      <w:lvlJc w:val="left"/>
      <w:lvlText w:val="•"/>
      <w:numFmt w:val="bullet"/>
      <w:start w:val="1"/>
    </w:lvl>
  </w:abstractNum>
  <w:abstractNum w:abstractNumId="125">
    <w:nsid w:val="6CAA2304"/>
    <w:multiLevelType w:val="hybridMultilevel"/>
    <w:lvl w:ilvl="0">
      <w:lvlJc w:val="left"/>
      <w:lvlText w:val="%1."/>
      <w:numFmt w:val="decimal"/>
      <w:start w:val="1"/>
    </w:lvl>
    <w:lvl w:ilvl="1">
      <w:lvlJc w:val="left"/>
      <w:lvlText w:val="•"/>
      <w:numFmt w:val="bullet"/>
      <w:start w:val="1"/>
    </w:lvl>
  </w:abstractNum>
  <w:abstractNum w:abstractNumId="126">
    <w:nsid w:val="3F7C2FF4"/>
    <w:multiLevelType w:val="hybridMultilevel"/>
    <w:lvl w:ilvl="0">
      <w:lvlJc w:val="left"/>
      <w:lvlText w:val="%1."/>
      <w:numFmt w:val="decimal"/>
      <w:start w:val="2"/>
    </w:lvl>
  </w:abstractNum>
  <w:abstractNum w:abstractNumId="127">
    <w:nsid w:val="25413BEC"/>
    <w:multiLevelType w:val="hybridMultilevel"/>
    <w:lvl w:ilvl="0">
      <w:lvlJc w:val="left"/>
      <w:lvlText w:val="(%1)"/>
      <w:numFmt w:val="decimal"/>
      <w:start w:val="1"/>
    </w:lvl>
  </w:abstractNum>
  <w:abstractNum w:abstractNumId="128">
    <w:nsid w:val="17180B0B"/>
    <w:multiLevelType w:val="hybridMultilevel"/>
    <w:lvl w:ilvl="0">
      <w:lvlJc w:val="left"/>
      <w:lvlText w:val="%1."/>
      <w:numFmt w:val="decimal"/>
      <w:start w:val="3"/>
    </w:lvl>
  </w:abstractNum>
  <w:abstractNum w:abstractNumId="129">
    <w:nsid w:val="579328B9"/>
    <w:multiLevelType w:val="hybridMultilevel"/>
    <w:lvl w:ilvl="0">
      <w:lvlJc w:val="left"/>
      <w:lvlText w:val="(%1)"/>
      <w:numFmt w:val="lowerRoman"/>
      <w:start w:val="2"/>
    </w:lvl>
  </w:abstractNum>
  <w:abstractNum w:abstractNumId="130">
    <w:nsid w:val="5D205E20"/>
    <w:multiLevelType w:val="hybridMultilevel"/>
    <w:lvl w:ilvl="0">
      <w:lvlJc w:val="left"/>
      <w:lvlText w:val="(%1)"/>
      <w:numFmt w:val="decimal"/>
      <w:start w:val="1"/>
    </w:lvl>
  </w:abstractNum>
  <w:abstractNum w:abstractNumId="131">
    <w:nsid w:val="11CCA8BA"/>
    <w:multiLevelType w:val="hybridMultilevel"/>
    <w:lvl w:ilvl="0">
      <w:lvlJc w:val="left"/>
      <w:lvlText w:val="%1."/>
      <w:numFmt w:val="decimal"/>
      <w:start w:val="4"/>
    </w:lvl>
  </w:abstractNum>
  <w:abstractNum w:abstractNumId="132">
    <w:nsid w:val="4D32AB86"/>
    <w:multiLevelType w:val="hybridMultilevel"/>
    <w:lvl w:ilvl="0">
      <w:lvlJc w:val="left"/>
      <w:lvlText w:val="%1."/>
      <w:numFmt w:val="decimal"/>
      <w:start w:val="5"/>
    </w:lvl>
  </w:abstractNum>
  <w:abstractNum w:abstractNumId="133">
    <w:nsid w:val="3F07ACC3"/>
    <w:multiLevelType w:val="hybridMultilevel"/>
    <w:lvl w:ilvl="0">
      <w:lvlJc w:val="left"/>
      <w:lvlText w:val="%1."/>
      <w:numFmt w:val="decimal"/>
      <w:start w:val="6"/>
    </w:lvl>
  </w:abstractNum>
  <w:abstractNum w:abstractNumId="134">
    <w:nsid w:val="6B47F63E"/>
    <w:multiLevelType w:val="hybridMultilevel"/>
    <w:lvl w:ilvl="0">
      <w:lvlJc w:val="left"/>
      <w:lvlText w:val="(%1)"/>
      <w:numFmt w:val="decimal"/>
      <w:start w:val="1"/>
    </w:lvl>
  </w:abstractNum>
  <w:abstractNum w:abstractNumId="135">
    <w:nsid w:val="5CB44A05"/>
    <w:multiLevelType w:val="hybridMultilevel"/>
    <w:lvl w:ilvl="0">
      <w:lvlJc w:val="left"/>
      <w:lvlText w:val="•"/>
      <w:numFmt w:val="bullet"/>
      <w:start w:val="1"/>
    </w:lvl>
  </w:abstractNum>
  <w:abstractNum w:abstractNumId="136">
    <w:nsid w:val="16CF80F1"/>
    <w:multiLevelType w:val="hybridMultilevel"/>
    <w:lvl w:ilvl="0">
      <w:lvlJc w:val="left"/>
      <w:lvlText w:val="•"/>
      <w:numFmt w:val="bullet"/>
      <w:start w:val="1"/>
    </w:lvl>
  </w:abstractNum>
  <w:abstractNum w:abstractNumId="137">
    <w:nsid w:val="1C695DEC"/>
    <w:multiLevelType w:val="hybridMultilevel"/>
    <w:lvl w:ilvl="0">
      <w:lvlJc w:val="left"/>
      <w:lvlText w:val="•"/>
      <w:numFmt w:val="bullet"/>
      <w:start w:val="1"/>
    </w:lvl>
  </w:abstractNum>
  <w:abstractNum w:abstractNumId="138">
    <w:nsid w:val="3FCFAED9"/>
    <w:multiLevelType w:val="hybridMultilevel"/>
    <w:lvl w:ilvl="0">
      <w:lvlJc w:val="left"/>
      <w:lvlText w:val="%1."/>
      <w:numFmt w:val="decimal"/>
      <w:start w:val="7"/>
    </w:lvl>
  </w:abstractNum>
  <w:abstractNum w:abstractNumId="139">
    <w:nsid w:val="F856867"/>
    <w:multiLevelType w:val="hybridMultilevel"/>
    <w:lvl w:ilvl="0">
      <w:lvlJc w:val="left"/>
      <w:lvlText w:val="%1."/>
      <w:numFmt w:val="decimal"/>
      <w:start w:val="8"/>
    </w:lvl>
  </w:abstractNum>
  <w:abstractNum w:abstractNumId="140">
    <w:nsid w:val="11B1CC33"/>
    <w:multiLevelType w:val="hybridMultilevel"/>
    <w:lvl w:ilvl="0">
      <w:lvlJc w:val="left"/>
      <w:lvlText w:val="(%1)"/>
      <w:numFmt w:val="decimal"/>
      <w:start w:val="1"/>
    </w:lvl>
  </w:abstractNum>
  <w:abstractNum w:abstractNumId="141">
    <w:nsid w:val="2E22FBB7"/>
    <w:multiLevelType w:val="hybridMultilevel"/>
    <w:lvl w:ilvl="0">
      <w:lvlJc w:val="left"/>
      <w:lvlText w:val="(%1)"/>
      <w:numFmt w:val="decimal"/>
      <w:start w:val="1"/>
    </w:lvl>
  </w:abstractNum>
  <w:abstractNum w:abstractNumId="142">
    <w:nsid w:val="29934699"/>
    <w:multiLevelType w:val="hybridMultilevel"/>
    <w:lvl w:ilvl="0">
      <w:lvlJc w:val="left"/>
      <w:lvlText w:val="%1."/>
      <w:numFmt w:val="decimal"/>
      <w:start w:val="9"/>
    </w:lvl>
  </w:abstractNum>
  <w:abstractNum w:abstractNumId="143">
    <w:nsid w:val="77485850"/>
    <w:multiLevelType w:val="hybridMultilevel"/>
    <w:lvl w:ilvl="0">
      <w:lvlJc w:val="left"/>
      <w:lvlText w:val="%1."/>
      <w:numFmt w:val="decimal"/>
      <w:start w:val="10"/>
    </w:lvl>
  </w:abstractNum>
  <w:abstractNum w:abstractNumId="144">
    <w:nsid w:val="744939A3"/>
    <w:multiLevelType w:val="hybridMultilevel"/>
    <w:lvl w:ilvl="0">
      <w:lvlJc w:val="left"/>
      <w:lvlText w:val="%1."/>
      <w:numFmt w:val="decimal"/>
      <w:start w:val="11"/>
    </w:lvl>
  </w:abstractNum>
  <w:abstractNum w:abstractNumId="145">
    <w:nsid w:val="4FA0D2E3"/>
    <w:multiLevelType w:val="hybridMultilevel"/>
    <w:lvl w:ilvl="0">
      <w:lvlJc w:val="left"/>
      <w:lvlText w:val="(%1)"/>
      <w:numFmt w:val="decimal"/>
      <w:start w:val="2"/>
    </w:lvl>
  </w:abstractNum>
  <w:abstractNum w:abstractNumId="146">
    <w:nsid w:val="6B1D2C14"/>
    <w:multiLevelType w:val="hybridMultilevel"/>
    <w:lvl w:ilvl="0">
      <w:lvlJc w:val="left"/>
      <w:lvlText w:val="•"/>
      <w:numFmt w:val="bullet"/>
      <w:start w:val="1"/>
    </w:lvl>
  </w:abstractNum>
  <w:abstractNum w:abstractNumId="147">
    <w:nsid w:val="68B867D3"/>
    <w:multiLevelType w:val="hybridMultilevel"/>
    <w:lvl w:ilvl="0">
      <w:lvlJc w:val="left"/>
      <w:lvlText w:val="%1."/>
      <w:numFmt w:val="decimal"/>
      <w:start w:val="12"/>
    </w:lvl>
    <w:lvl w:ilvl="1">
      <w:lvlJc w:val="left"/>
      <w:lvlText w:val="•"/>
      <w:numFmt w:val="bullet"/>
      <w:start w:val="1"/>
    </w:lvl>
  </w:abstractNum>
  <w:abstractNum w:abstractNumId="148">
    <w:nsid w:val="3F7F5DD9"/>
    <w:multiLevelType w:val="hybridMultilevel"/>
    <w:lvl w:ilvl="0">
      <w:lvlJc w:val="left"/>
      <w:lvlText w:val="•"/>
      <w:numFmt w:val="bullet"/>
      <w:start w:val="1"/>
    </w:lvl>
    <w:lvl w:ilvl="1">
      <w:lvlJc w:val="left"/>
      <w:lvlText w:val="◦"/>
      <w:numFmt w:val="bullet"/>
      <w:start w:val="1"/>
    </w:lvl>
  </w:abstractNum>
  <w:abstractNum w:abstractNumId="149">
    <w:nsid w:val="2AE05A34"/>
    <w:multiLevelType w:val="hybridMultilevel"/>
    <w:lvl w:ilvl="0">
      <w:lvlJc w:val="left"/>
      <w:lvlText w:val="•"/>
      <w:numFmt w:val="bullet"/>
      <w:start w:val="1"/>
    </w:lvl>
  </w:abstractNum>
  <w:abstractNum w:abstractNumId="150">
    <w:nsid w:val="32794FF7"/>
    <w:multiLevelType w:val="hybridMultilevel"/>
    <w:lvl w:ilvl="0">
      <w:lvlJc w:val="left"/>
      <w:lvlText w:val="%1."/>
      <w:numFmt w:val="decimal"/>
      <w:start w:val="12"/>
    </w:lvl>
    <w:lvl w:ilvl="1">
      <w:lvlJc w:val="left"/>
      <w:lvlText w:val="•"/>
      <w:numFmt w:val="bullet"/>
      <w:start w:val="1"/>
    </w:lvl>
  </w:abstractNum>
  <w:abstractNum w:abstractNumId="151">
    <w:nsid w:val="5454945E"/>
    <w:multiLevelType w:val="hybridMultilevel"/>
    <w:lvl w:ilvl="0">
      <w:lvlJc w:val="left"/>
      <w:lvlText w:val="%1."/>
      <w:numFmt w:val="decimal"/>
      <w:start w:val="14"/>
    </w:lvl>
  </w:abstractNum>
  <w:abstractNum w:abstractNumId="152">
    <w:nsid w:val="4DEFDFA0"/>
    <w:multiLevelType w:val="hybridMultilevel"/>
    <w:lvl w:ilvl="0">
      <w:lvlJc w:val="left"/>
      <w:lvlText w:val="(%1)"/>
      <w:numFmt w:val="decimal"/>
      <w:start w:val="1"/>
    </w:lvl>
  </w:abstractNum>
  <w:abstractNum w:abstractNumId="153">
    <w:nsid w:val="2123D5F2"/>
    <w:multiLevelType w:val="hybridMultilevel"/>
    <w:lvl w:ilvl="0">
      <w:lvlJc w:val="left"/>
      <w:lvlText w:val="(%1)"/>
      <w:numFmt w:val="decimal"/>
      <w:start w:val="1"/>
    </w:lvl>
  </w:abstractNum>
  <w:abstractNum w:abstractNumId="154">
    <w:nsid w:val="135B8110"/>
    <w:multiLevelType w:val="hybridMultilevel"/>
    <w:lvl w:ilvl="0">
      <w:lvlJc w:val="left"/>
      <w:lvlText w:val="%1."/>
      <w:numFmt w:val="decimal"/>
      <w:start w:val="15"/>
    </w:lvl>
  </w:abstractNum>
  <w:abstractNum w:abstractNumId="155">
    <w:nsid w:val="94927A8"/>
    <w:multiLevelType w:val="hybridMultilevel"/>
    <w:lvl w:ilvl="0">
      <w:lvlJc w:val="left"/>
      <w:lvlText w:val="(%1)"/>
      <w:numFmt w:val="decimal"/>
      <w:start w:val="1"/>
    </w:lvl>
  </w:abstractNum>
  <w:abstractNum w:abstractNumId="156">
    <w:nsid w:val="DCDF8F6"/>
    <w:multiLevelType w:val="hybridMultilevel"/>
    <w:lvl w:ilvl="0">
      <w:lvlJc w:val="left"/>
      <w:lvlText w:val="(%1)"/>
      <w:numFmt w:val="decimal"/>
      <w:start w:val="1"/>
    </w:lvl>
  </w:abstractNum>
  <w:abstractNum w:abstractNumId="157">
    <w:nsid w:val="52D7B105"/>
    <w:multiLevelType w:val="hybridMultilevel"/>
    <w:lvl w:ilvl="0">
      <w:lvlJc w:val="left"/>
      <w:lvlText w:val="(%1)"/>
      <w:numFmt w:val="decimal"/>
      <w:start w:val="1"/>
    </w:lvl>
  </w:abstractNum>
  <w:abstractNum w:abstractNumId="158">
    <w:nsid w:val="2E8A6394"/>
    <w:multiLevelType w:val="hybridMultilevel"/>
    <w:lvl w:ilvl="0">
      <w:lvlJc w:val="left"/>
      <w:lvlText w:val="(%1)"/>
      <w:numFmt w:val="decimal"/>
      <w:start w:val="1"/>
    </w:lvl>
  </w:abstractNum>
  <w:abstractNum w:abstractNumId="159">
    <w:nsid w:val="24E60401"/>
    <w:multiLevelType w:val="hybridMultilevel"/>
    <w:lvl w:ilvl="0">
      <w:lvlJc w:val="left"/>
      <w:lvlText w:val="%1."/>
      <w:numFmt w:val="decimal"/>
      <w:start w:val="16"/>
    </w:lvl>
    <w:lvl w:ilvl="1">
      <w:lvlJc w:val="left"/>
      <w:lvlText w:val="•"/>
      <w:numFmt w:val="bullet"/>
      <w:start w:val="1"/>
    </w:lvl>
  </w:abstractNum>
  <w:abstractNum w:abstractNumId="160">
    <w:nsid w:val="2A6AD9BE"/>
    <w:multiLevelType w:val="hybridMultilevel"/>
    <w:lvl w:ilvl="0">
      <w:lvlJc w:val="left"/>
      <w:lvlText w:val="(%1)"/>
      <w:numFmt w:val="decimal"/>
      <w:start w:val="1"/>
    </w:lvl>
  </w:abstractNum>
  <w:abstractNum w:abstractNumId="161">
    <w:nsid w:val="BAAC1B4"/>
    <w:multiLevelType w:val="hybridMultilevel"/>
    <w:lvl w:ilvl="0">
      <w:lvlJc w:val="left"/>
      <w:lvlText w:val="(%1)"/>
      <w:numFmt w:val="decimal"/>
      <w:start w:val="1"/>
    </w:lvl>
  </w:abstractNum>
  <w:abstractNum w:abstractNumId="162">
    <w:nsid w:val="36B2ACBC"/>
    <w:multiLevelType w:val="hybridMultilevel"/>
    <w:lvl w:ilvl="0">
      <w:lvlJc w:val="left"/>
      <w:lvlText w:val="(%1)"/>
      <w:numFmt w:val="decimal"/>
      <w:start w:val="1"/>
    </w:lvl>
  </w:abstractNum>
  <w:abstractNum w:abstractNumId="163">
    <w:nsid w:val="779D8544"/>
    <w:multiLevelType w:val="hybridMultilevel"/>
    <w:lvl w:ilvl="0">
      <w:lvlJc w:val="left"/>
      <w:lvlText w:val="(%1)"/>
      <w:numFmt w:val="decimal"/>
      <w:start w:val="1"/>
    </w:lvl>
  </w:abstractNum>
  <w:abstractNum w:abstractNumId="164">
    <w:nsid w:val="4AB26E78"/>
    <w:multiLevelType w:val="hybridMultilevel"/>
    <w:lvl w:ilvl="0">
      <w:lvlJc w:val="left"/>
      <w:lvlText w:val="(%1)"/>
      <w:numFmt w:val="lowerLetter"/>
      <w:start w:val="1"/>
    </w:lvl>
    <w:lvl w:ilvl="1">
      <w:lvlJc w:val="left"/>
      <w:lvlText w:val="●"/>
      <w:numFmt w:val="bullet"/>
      <w:start w:val="1"/>
    </w:lvl>
  </w:abstractNum>
  <w:abstractNum w:abstractNumId="165">
    <w:nsid w:val="21FAA2FA"/>
    <w:multiLevelType w:val="hybridMultilevel"/>
    <w:lvl w:ilvl="0">
      <w:lvlJc w:val="left"/>
      <w:lvlText w:val="(%1)"/>
      <w:numFmt w:val="lowerLetter"/>
      <w:start w:val="1"/>
    </w:lvl>
    <w:lvl w:ilvl="1">
      <w:lvlJc w:val="left"/>
      <w:lvlText w:val="(%2)"/>
      <w:numFmt w:val="lowerRoman"/>
      <w:start w:val="1"/>
    </w:lvl>
  </w:abstractNum>
  <w:abstractNum w:abstractNumId="166">
    <w:nsid w:val="5451CF49"/>
    <w:multiLevelType w:val="hybridMultilevel"/>
    <w:lvl w:ilvl="0">
      <w:lvlJc w:val="left"/>
      <w:lvlText w:val="(%1)"/>
      <w:numFmt w:val="lowerLetter"/>
      <w:start w:val="1"/>
    </w:lvl>
    <w:lvl w:ilvl="1">
      <w:lvlJc w:val="left"/>
      <w:lvlText w:val="•"/>
      <w:numFmt w:val="bullet"/>
      <w:start w:val="1"/>
    </w:lvl>
  </w:abstractNum>
  <w:abstractNum w:abstractNumId="167">
    <w:nsid w:val="6181EF69"/>
    <w:multiLevelType w:val="hybridMultilevel"/>
    <w:lvl w:ilvl="0">
      <w:lvlJc w:val="left"/>
      <w:lvlText w:val="(%1)"/>
      <w:numFmt w:val="lowerLetter"/>
      <w:start w:val="3"/>
    </w:lvl>
  </w:abstractNum>
  <w:abstractNum w:abstractNumId="168">
    <w:nsid w:val="3E6400E6"/>
    <w:multiLevelType w:val="hybridMultilevel"/>
    <w:lvl w:ilvl="0">
      <w:lvlJc w:val="left"/>
      <w:lvlText w:val="(%1)"/>
      <w:numFmt w:val="lowerLetter"/>
      <w:start w:val="4"/>
    </w:lvl>
  </w:abstractNum>
  <w:abstractNum w:abstractNumId="169">
    <w:nsid w:val="14217E23"/>
    <w:multiLevelType w:val="hybridMultilevel"/>
    <w:lvl w:ilvl="0">
      <w:lvlJc w:val="left"/>
      <w:lvlText w:val="(%1)"/>
      <w:numFmt w:val="lowerLetter"/>
      <w:start w:val="2"/>
    </w:lvl>
  </w:abstractNum>
  <w:abstractNum w:abstractNumId="170">
    <w:nsid w:val="710757D0"/>
    <w:multiLevelType w:val="hybridMultilevel"/>
    <w:lvl w:ilvl="0">
      <w:lvlJc w:val="left"/>
      <w:lvlText w:val="(%1)"/>
      <w:numFmt w:val="lowerLetter"/>
      <w:start w:val="4"/>
    </w:lvl>
  </w:abstractNum>
  <w:abstractNum w:abstractNumId="171">
    <w:nsid w:val="5015CD1A"/>
    <w:multiLevelType w:val="hybridMultilevel"/>
    <w:lvl w:ilvl="0">
      <w:lvlJc w:val="left"/>
      <w:lvlText w:val="(%1)"/>
      <w:numFmt w:val="lowerLetter"/>
      <w:start w:val="1"/>
    </w:lvl>
  </w:abstractNum>
  <w:abstractNum w:abstractNumId="172">
    <w:nsid w:val="424479DA"/>
    <w:multiLevelType w:val="hybridMultilevel"/>
    <w:lvl w:ilvl="0">
      <w:lvlJc w:val="left"/>
      <w:lvlText w:val="(%1)"/>
      <w:numFmt w:val="lowerLetter"/>
      <w:start w:val="3"/>
    </w:lvl>
    <w:lvl w:ilvl="1">
      <w:lvlJc w:val="left"/>
      <w:lvlText w:val="(%2)"/>
      <w:numFmt w:val="lowerRoman"/>
      <w:start w:val="1"/>
    </w:lvl>
  </w:abstractNum>
  <w:abstractNum w:abstractNumId="173">
    <w:nsid w:val="1A9A9E69"/>
    <w:multiLevelType w:val="hybridMultilevel"/>
    <w:lvl w:ilvl="0">
      <w:lvlJc w:val="left"/>
      <w:lvlText w:val="(%1)"/>
      <w:numFmt w:val="lowerLetter"/>
      <w:start w:val="4"/>
    </w:lvl>
    <w:lvl w:ilvl="1">
      <w:lvlJc w:val="left"/>
      <w:lvlText w:val="(%2)"/>
      <w:numFmt w:val="lowerRoman"/>
      <w:start w:val="1"/>
    </w:lvl>
  </w:abstractNum>
  <w:abstractNum w:abstractNumId="174">
    <w:nsid w:val="475E256A"/>
    <w:multiLevelType w:val="hybridMultilevel"/>
    <w:lvl w:ilvl="0">
      <w:lvlJc w:val="left"/>
      <w:lvlText w:val="(%1)"/>
      <w:numFmt w:val="lowerLetter"/>
      <w:start w:val="1"/>
    </w:lvl>
  </w:abstractNum>
  <w:abstractNum w:abstractNumId="175">
    <w:nsid w:val="368DB37E"/>
    <w:multiLevelType w:val="hybridMultilevel"/>
    <w:lvl w:ilvl="0">
      <w:lvlJc w:val="left"/>
      <w:lvlText w:val="(%1)"/>
      <w:numFmt w:val="lowerLetter"/>
      <w:start w:val="1"/>
    </w:lvl>
  </w:abstractNum>
  <w:abstractNum w:abstractNumId="176">
    <w:nsid w:val="6A3B714C"/>
    <w:multiLevelType w:val="hybridMultilevel"/>
    <w:lvl w:ilvl="0">
      <w:lvlJc w:val="left"/>
      <w:lvlText w:val="(%1)"/>
      <w:numFmt w:val="lowerLetter"/>
      <w:start w:val="4"/>
    </w:lvl>
  </w:abstractNum>
  <w:abstractNum w:abstractNumId="177">
    <w:nsid w:val="327B517E"/>
    <w:multiLevelType w:val="hybridMultilevel"/>
    <w:lvl w:ilvl="0">
      <w:lvlJc w:val="left"/>
      <w:lvlText w:val="(%1)"/>
      <w:numFmt w:val="decimal"/>
      <w:start w:val="1"/>
    </w:lvl>
  </w:abstractNum>
  <w:abstractNum w:abstractNumId="178">
    <w:nsid w:val="1F461B51"/>
    <w:multiLevelType w:val="hybridMultilevel"/>
    <w:lvl w:ilvl="0">
      <w:lvlJc w:val="left"/>
      <w:lvlText w:val="(%1)"/>
      <w:numFmt w:val="decimal"/>
      <w:start w:val="5"/>
    </w:lvl>
  </w:abstractNum>
  <w:abstractNum w:abstractNumId="179">
    <w:nsid w:val="29BACF25"/>
    <w:multiLevelType w:val="hybridMultilevel"/>
    <w:lvl w:ilvl="0">
      <w:lvlJc w:val="left"/>
      <w:lvlText w:val="(%1)"/>
      <w:numFmt w:val="decimal"/>
      <w:start w:val="10"/>
    </w:lvl>
  </w:abstractNum>
  <w:abstractNum w:abstractNumId="180">
    <w:nsid w:val="5D5BABB3"/>
    <w:multiLevelType w:val="hybridMultilevel"/>
    <w:lvl w:ilvl="0">
      <w:lvlJc w:val="left"/>
      <w:lvlText w:val="%1."/>
      <w:numFmt w:val="decimal"/>
      <w:start w:val="1"/>
    </w:lvl>
    <w:lvl w:ilvl="1">
      <w:lvlJc w:val="left"/>
      <w:lvlText w:val="%2."/>
      <w:numFmt w:val="lowerLetter"/>
      <w:start w:val="1"/>
    </w:lvl>
  </w:abstractNum>
  <w:abstractNum w:abstractNumId="181">
    <w:nsid w:val="51BF6B48"/>
    <w:multiLevelType w:val="hybridMultilevel"/>
    <w:lvl w:ilvl="0">
      <w:lvlJc w:val="left"/>
      <w:lvlText w:val="%1."/>
      <w:numFmt w:val="decimal"/>
      <w:start w:val="1"/>
    </w:lvl>
    <w:lvl w:ilvl="1">
      <w:lvlJc w:val="left"/>
      <w:lvlText w:val="%2."/>
      <w:numFmt w:val="lowerLetter"/>
      <w:start w:val="1"/>
    </w:lvl>
  </w:abstractNum>
  <w:abstractNum w:abstractNumId="182">
    <w:nsid w:val="7E0F6384"/>
    <w:multiLevelType w:val="hybridMultilevel"/>
    <w:lvl w:ilvl="0">
      <w:lvlJc w:val="left"/>
      <w:lvlText w:val="%1."/>
      <w:numFmt w:val="decimal"/>
      <w:start w:val="1"/>
    </w:lvl>
    <w:lvl w:ilvl="1">
      <w:lvlJc w:val="left"/>
      <w:lvlText w:val="%2."/>
      <w:numFmt w:val="lowerLetter"/>
      <w:start w:val="1"/>
    </w:lvl>
  </w:abstractNum>
  <w:abstractNum w:abstractNumId="183">
    <w:nsid w:val="2B4B8B53"/>
    <w:multiLevelType w:val="hybridMultilevel"/>
    <w:lvl w:ilvl="0">
      <w:lvlJc w:val="left"/>
      <w:lvlText w:val="(%1)"/>
      <w:numFmt w:val="decimal"/>
      <w:start w:val="1"/>
    </w:lvl>
  </w:abstractNum>
  <w:abstractNum w:abstractNumId="184">
    <w:nsid w:val="72E3413A"/>
    <w:multiLevelType w:val="hybridMultilevel"/>
    <w:lvl w:ilvl="0">
      <w:lvlJc w:val="left"/>
      <w:lvlText w:val="(%1)"/>
      <w:numFmt w:val="decimal"/>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209" Type="http://schemas.openxmlformats.org/officeDocument/2006/relationships/image" Target="media/image183.png"/><Relationship Id="rId226" Type="http://schemas.openxmlformats.org/officeDocument/2006/relationships/image" Target="media/image184.png"/><Relationship Id="rId246" Type="http://schemas.openxmlformats.org/officeDocument/2006/relationships/image" Target="media/image185.png"/><Relationship Id="rId247" Type="http://schemas.openxmlformats.org/officeDocument/2006/relationships/image" Target="media/image186.png"/><Relationship Id="rId267" Type="http://schemas.openxmlformats.org/officeDocument/2006/relationships/image" Target="media/image187.png"/><Relationship Id="rId268" Type="http://schemas.openxmlformats.org/officeDocument/2006/relationships/image" Target="media/image188.png"/><Relationship Id="rId276" Type="http://schemas.openxmlformats.org/officeDocument/2006/relationships/image" Target="media/image189.png"/><Relationship Id="rId277" Type="http://schemas.openxmlformats.org/officeDocument/2006/relationships/image" Target="media/image190.png"/><Relationship Id="rId278" Type="http://schemas.openxmlformats.org/officeDocument/2006/relationships/image" Target="media/image191.png"/><Relationship Id="rId279" Type="http://schemas.openxmlformats.org/officeDocument/2006/relationships/image" Target="media/image192.png"/><Relationship Id="rId280" Type="http://schemas.openxmlformats.org/officeDocument/2006/relationships/image" Target="media/image193.png"/><Relationship Id="rId281" Type="http://schemas.openxmlformats.org/officeDocument/2006/relationships/image" Target="media/image194.png"/><Relationship Id="rId282" Type="http://schemas.openxmlformats.org/officeDocument/2006/relationships/image" Target="media/image195.png"/><Relationship Id="rId283" Type="http://schemas.openxmlformats.org/officeDocument/2006/relationships/image" Target="media/image196.png"/><Relationship Id="rId284" Type="http://schemas.openxmlformats.org/officeDocument/2006/relationships/image" Target="media/image197.png"/><Relationship Id="rId285" Type="http://schemas.openxmlformats.org/officeDocument/2006/relationships/image" Target="media/image198.png"/><Relationship Id="rId286" Type="http://schemas.openxmlformats.org/officeDocument/2006/relationships/image" Target="media/image199.png"/><Relationship Id="rId287" Type="http://schemas.openxmlformats.org/officeDocument/2006/relationships/image" Target="media/image200.png"/><Relationship Id="rId288" Type="http://schemas.openxmlformats.org/officeDocument/2006/relationships/image" Target="media/image201.png"/><Relationship Id="rId289" Type="http://schemas.openxmlformats.org/officeDocument/2006/relationships/image" Target="media/image202.png"/><Relationship Id="rId290" Type="http://schemas.openxmlformats.org/officeDocument/2006/relationships/image" Target="media/image203.png"/><Relationship Id="rId291" Type="http://schemas.openxmlformats.org/officeDocument/2006/relationships/image" Target="media/image204.png"/><Relationship Id="rId292" Type="http://schemas.openxmlformats.org/officeDocument/2006/relationships/image" Target="media/image205.png"/><Relationship Id="rId293" Type="http://schemas.openxmlformats.org/officeDocument/2006/relationships/image" Target="media/image206.png"/><Relationship Id="rId294" Type="http://schemas.openxmlformats.org/officeDocument/2006/relationships/image" Target="media/image207.png"/><Relationship Id="rId295" Type="http://schemas.openxmlformats.org/officeDocument/2006/relationships/image" Target="media/image208.png"/><Relationship Id="rId296" Type="http://schemas.openxmlformats.org/officeDocument/2006/relationships/image" Target="media/image209.png"/><Relationship Id="rId297" Type="http://schemas.openxmlformats.org/officeDocument/2006/relationships/image" Target="media/image210.png"/><Relationship Id="rId298" Type="http://schemas.openxmlformats.org/officeDocument/2006/relationships/image" Target="media/image211.png"/><Relationship Id="rId299" Type="http://schemas.openxmlformats.org/officeDocument/2006/relationships/image" Target="media/image212.png"/><Relationship Id="rId300" Type="http://schemas.openxmlformats.org/officeDocument/2006/relationships/image" Target="media/image213.png"/><Relationship Id="rId301" Type="http://schemas.openxmlformats.org/officeDocument/2006/relationships/image" Target="media/image214.png"/><Relationship Id="rId302" Type="http://schemas.openxmlformats.org/officeDocument/2006/relationships/image" Target="media/image215.png"/><Relationship Id="rId303" Type="http://schemas.openxmlformats.org/officeDocument/2006/relationships/image" Target="media/image216.png"/><Relationship Id="rId304" Type="http://schemas.openxmlformats.org/officeDocument/2006/relationships/image" Target="media/image217.png"/><Relationship Id="rId305" Type="http://schemas.openxmlformats.org/officeDocument/2006/relationships/image" Target="media/image218.png"/><Relationship Id="rId306" Type="http://schemas.openxmlformats.org/officeDocument/2006/relationships/image" Target="media/image219.png"/><Relationship Id="rId307" Type="http://schemas.openxmlformats.org/officeDocument/2006/relationships/image" Target="media/image220.png"/><Relationship Id="rId308" Type="http://schemas.openxmlformats.org/officeDocument/2006/relationships/image" Target="media/image221.png"/><Relationship Id="rId309" Type="http://schemas.openxmlformats.org/officeDocument/2006/relationships/image" Target="media/image222.png"/><Relationship Id="rId310" Type="http://schemas.openxmlformats.org/officeDocument/2006/relationships/image" Target="media/image223.png"/><Relationship Id="rId311" Type="http://schemas.openxmlformats.org/officeDocument/2006/relationships/image" Target="media/image224.png"/><Relationship Id="rId312" Type="http://schemas.openxmlformats.org/officeDocument/2006/relationships/image" Target="media/image225.png"/><Relationship Id="rId313" Type="http://schemas.openxmlformats.org/officeDocument/2006/relationships/image" Target="media/image226.png"/><Relationship Id="rId314" Type="http://schemas.openxmlformats.org/officeDocument/2006/relationships/image" Target="media/image227.png"/><Relationship Id="rId315" Type="http://schemas.openxmlformats.org/officeDocument/2006/relationships/image" Target="media/image228.png"/><Relationship Id="rId316" Type="http://schemas.openxmlformats.org/officeDocument/2006/relationships/image" Target="media/image229.png"/><Relationship Id="rId317" Type="http://schemas.openxmlformats.org/officeDocument/2006/relationships/image" Target="media/image230.png"/><Relationship Id="rId318" Type="http://schemas.openxmlformats.org/officeDocument/2006/relationships/image" Target="media/image231.png"/><Relationship Id="rId319" Type="http://schemas.openxmlformats.org/officeDocument/2006/relationships/image" Target="media/image232.png"/><Relationship Id="rId320" Type="http://schemas.openxmlformats.org/officeDocument/2006/relationships/image" Target="media/image233.png"/><Relationship Id="rId321" Type="http://schemas.openxmlformats.org/officeDocument/2006/relationships/image" Target="media/image234.png"/><Relationship Id="rId322" Type="http://schemas.openxmlformats.org/officeDocument/2006/relationships/image" Target="media/image235.png"/><Relationship Id="rId323" Type="http://schemas.openxmlformats.org/officeDocument/2006/relationships/image" Target="media/image236.png"/><Relationship Id="rId324" Type="http://schemas.openxmlformats.org/officeDocument/2006/relationships/image" Target="media/image237.png"/><Relationship Id="rId325" Type="http://schemas.openxmlformats.org/officeDocument/2006/relationships/image" Target="media/image238.png"/><Relationship Id="rId326" Type="http://schemas.openxmlformats.org/officeDocument/2006/relationships/image" Target="media/image239.png"/><Relationship Id="rId327" Type="http://schemas.openxmlformats.org/officeDocument/2006/relationships/image" Target="media/image240.png"/><Relationship Id="rId328" Type="http://schemas.openxmlformats.org/officeDocument/2006/relationships/image" Target="media/image241.png"/><Relationship Id="rId329" Type="http://schemas.openxmlformats.org/officeDocument/2006/relationships/image" Target="media/image242.png"/><Relationship Id="rId330" Type="http://schemas.openxmlformats.org/officeDocument/2006/relationships/image" Target="media/image243.png"/><Relationship Id="rId331" Type="http://schemas.openxmlformats.org/officeDocument/2006/relationships/image" Target="media/image244.png"/><Relationship Id="rId332" Type="http://schemas.openxmlformats.org/officeDocument/2006/relationships/image" Target="media/image245.png"/><Relationship Id="rId333" Type="http://schemas.openxmlformats.org/officeDocument/2006/relationships/image" Target="media/image246.png"/><Relationship Id="rId334" Type="http://schemas.openxmlformats.org/officeDocument/2006/relationships/image" Target="media/image247.png"/><Relationship Id="rId335" Type="http://schemas.openxmlformats.org/officeDocument/2006/relationships/image" Target="media/image248.png"/><Relationship Id="rId336" Type="http://schemas.openxmlformats.org/officeDocument/2006/relationships/image" Target="media/image249.png"/><Relationship Id="rId337" Type="http://schemas.openxmlformats.org/officeDocument/2006/relationships/image" Target="media/image250.png"/><Relationship Id="rId338" Type="http://schemas.openxmlformats.org/officeDocument/2006/relationships/image" Target="media/image251.png"/><Relationship Id="rId339" Type="http://schemas.openxmlformats.org/officeDocument/2006/relationships/image" Target="media/image252.png"/><Relationship Id="rId340" Type="http://schemas.openxmlformats.org/officeDocument/2006/relationships/image" Target="media/image253.png"/><Relationship Id="rId341" Type="http://schemas.openxmlformats.org/officeDocument/2006/relationships/image" Target="media/image254.png"/><Relationship Id="rId342" Type="http://schemas.openxmlformats.org/officeDocument/2006/relationships/image" Target="media/image255.png"/><Relationship Id="rId343" Type="http://schemas.openxmlformats.org/officeDocument/2006/relationships/image" Target="media/image256.png"/><Relationship Id="rId344" Type="http://schemas.openxmlformats.org/officeDocument/2006/relationships/image" Target="media/image257.png"/><Relationship Id="rId345" Type="http://schemas.openxmlformats.org/officeDocument/2006/relationships/image" Target="media/image258.png"/><Relationship Id="rId346" Type="http://schemas.openxmlformats.org/officeDocument/2006/relationships/image" Target="media/image259.png"/><Relationship Id="rId347" Type="http://schemas.openxmlformats.org/officeDocument/2006/relationships/image" Target="media/image260.png"/><Relationship Id="rId348" Type="http://schemas.openxmlformats.org/officeDocument/2006/relationships/image" Target="media/image261.png"/><Relationship Id="rId349" Type="http://schemas.openxmlformats.org/officeDocument/2006/relationships/image" Target="media/image262.png"/><Relationship Id="rId350" Type="http://schemas.openxmlformats.org/officeDocument/2006/relationships/image" Target="media/image263.png"/><Relationship Id="rId351" Type="http://schemas.openxmlformats.org/officeDocument/2006/relationships/image" Target="media/image264.png"/><Relationship Id="rId352" Type="http://schemas.openxmlformats.org/officeDocument/2006/relationships/image" Target="media/image265.png"/><Relationship Id="rId353" Type="http://schemas.openxmlformats.org/officeDocument/2006/relationships/image" Target="media/image266.png"/><Relationship Id="rId354" Type="http://schemas.openxmlformats.org/officeDocument/2006/relationships/image" Target="media/image267.png"/><Relationship Id="rId355" Type="http://schemas.openxmlformats.org/officeDocument/2006/relationships/image" Target="media/image268.png"/><Relationship Id="rId356" Type="http://schemas.openxmlformats.org/officeDocument/2006/relationships/image" Target="media/image269.png"/><Relationship Id="rId357" Type="http://schemas.openxmlformats.org/officeDocument/2006/relationships/image" Target="media/image270.png"/><Relationship Id="rId358" Type="http://schemas.openxmlformats.org/officeDocument/2006/relationships/image" Target="media/image271.png"/><Relationship Id="rId359" Type="http://schemas.openxmlformats.org/officeDocument/2006/relationships/image" Target="media/image272.png"/><Relationship Id="rId360" Type="http://schemas.openxmlformats.org/officeDocument/2006/relationships/image" Target="media/image273.png"/><Relationship Id="rId361" Type="http://schemas.openxmlformats.org/officeDocument/2006/relationships/image" Target="media/image274.png"/><Relationship Id="rId362" Type="http://schemas.openxmlformats.org/officeDocument/2006/relationships/image" Target="media/image275.png"/><Relationship Id="rId363" Type="http://schemas.openxmlformats.org/officeDocument/2006/relationships/image" Target="media/image276.png"/><Relationship Id="rId364" Type="http://schemas.openxmlformats.org/officeDocument/2006/relationships/image" Target="media/image277.png"/><Relationship Id="rId365" Type="http://schemas.openxmlformats.org/officeDocument/2006/relationships/image" Target="media/image278.png"/><Relationship Id="rId366" Type="http://schemas.openxmlformats.org/officeDocument/2006/relationships/image" Target="media/image279.png"/><Relationship Id="rId367" Type="http://schemas.openxmlformats.org/officeDocument/2006/relationships/image" Target="media/image280.png"/><Relationship Id="rId368" Type="http://schemas.openxmlformats.org/officeDocument/2006/relationships/image" Target="media/image281.png"/><Relationship Id="rId369" Type="http://schemas.openxmlformats.org/officeDocument/2006/relationships/image" Target="media/image282.png"/><Relationship Id="rId370" Type="http://schemas.openxmlformats.org/officeDocument/2006/relationships/image" Target="media/image283.png"/><Relationship Id="rId371" Type="http://schemas.openxmlformats.org/officeDocument/2006/relationships/image" Target="media/image284.png"/><Relationship Id="rId372" Type="http://schemas.openxmlformats.org/officeDocument/2006/relationships/image" Target="media/image285.png"/><Relationship Id="rId373" Type="http://schemas.openxmlformats.org/officeDocument/2006/relationships/image" Target="media/image286.png"/><Relationship Id="rId374" Type="http://schemas.openxmlformats.org/officeDocument/2006/relationships/image" Target="media/image287.png"/><Relationship Id="rId375" Type="http://schemas.openxmlformats.org/officeDocument/2006/relationships/image" Target="media/image288.png"/><Relationship Id="rId376" Type="http://schemas.openxmlformats.org/officeDocument/2006/relationships/image" Target="media/image289.png"/><Relationship Id="rId377" Type="http://schemas.openxmlformats.org/officeDocument/2006/relationships/image" Target="media/image290.png"/><Relationship Id="rId378" Type="http://schemas.openxmlformats.org/officeDocument/2006/relationships/image" Target="media/image291.png"/><Relationship Id="rId379" Type="http://schemas.openxmlformats.org/officeDocument/2006/relationships/image" Target="media/image292.png"/><Relationship Id="rId380" Type="http://schemas.openxmlformats.org/officeDocument/2006/relationships/image" Target="media/image293.png"/><Relationship Id="rId381" Type="http://schemas.openxmlformats.org/officeDocument/2006/relationships/image" Target="media/image294.png"/><Relationship Id="rId382" Type="http://schemas.openxmlformats.org/officeDocument/2006/relationships/image" Target="media/image295.png"/><Relationship Id="rId383" Type="http://schemas.openxmlformats.org/officeDocument/2006/relationships/image" Target="media/image296.png"/><Relationship Id="rId384" Type="http://schemas.openxmlformats.org/officeDocument/2006/relationships/image" Target="media/image297.png"/><Relationship Id="rId385" Type="http://schemas.openxmlformats.org/officeDocument/2006/relationships/image" Target="media/image298.png"/><Relationship Id="rId386" Type="http://schemas.openxmlformats.org/officeDocument/2006/relationships/image" Target="media/image299.png"/><Relationship Id="rId387" Type="http://schemas.openxmlformats.org/officeDocument/2006/relationships/image" Target="media/image300.png"/><Relationship Id="rId388" Type="http://schemas.openxmlformats.org/officeDocument/2006/relationships/image" Target="media/image301.png"/><Relationship Id="rId389" Type="http://schemas.openxmlformats.org/officeDocument/2006/relationships/image" Target="media/image302.png"/><Relationship Id="rId390" Type="http://schemas.openxmlformats.org/officeDocument/2006/relationships/image" Target="media/image303.png"/><Relationship Id="rId391" Type="http://schemas.openxmlformats.org/officeDocument/2006/relationships/image" Target="media/image304.png"/><Relationship Id="rId392" Type="http://schemas.openxmlformats.org/officeDocument/2006/relationships/image" Target="media/image305.png"/><Relationship Id="rId393" Type="http://schemas.openxmlformats.org/officeDocument/2006/relationships/image" Target="media/image306.png"/><Relationship Id="rId394" Type="http://schemas.openxmlformats.org/officeDocument/2006/relationships/image" Target="media/image307.png"/><Relationship Id="rId395" Type="http://schemas.openxmlformats.org/officeDocument/2006/relationships/image" Target="media/image308.png"/><Relationship Id="rId396" Type="http://schemas.openxmlformats.org/officeDocument/2006/relationships/image" Target="media/image309.png"/><Relationship Id="rId397" Type="http://schemas.openxmlformats.org/officeDocument/2006/relationships/image" Target="media/image310.png"/><Relationship Id="rId398" Type="http://schemas.openxmlformats.org/officeDocument/2006/relationships/image" Target="media/image311.png"/><Relationship Id="rId399" Type="http://schemas.openxmlformats.org/officeDocument/2006/relationships/image" Target="media/image312.png"/><Relationship Id="rId400" Type="http://schemas.openxmlformats.org/officeDocument/2006/relationships/image" Target="media/image313.png"/><Relationship Id="rId190" Type="http://schemas.openxmlformats.org/officeDocument/2006/relationships/hyperlink" Target="https://www.sec.gov/Archives/edgar/data/1276187/000119312505179978/dex32.htm" TargetMode="External"/><Relationship Id="rId191" Type="http://schemas.openxmlformats.org/officeDocument/2006/relationships/hyperlink" Target="https://www.sec.gov/Archives/edgar/data/1276187/000119312518303169/d639079dex31.htm" TargetMode="External"/><Relationship Id="rId192" Type="http://schemas.openxmlformats.org/officeDocument/2006/relationships/hyperlink" Target="https://www.sec.gov/Archives/edgar/data/1276187/000119312506031657/dex31.htm" TargetMode="External"/><Relationship Id="rId193" Type="http://schemas.openxmlformats.org/officeDocument/2006/relationships/hyperlink" Target="https://www.sec.gov/Archives/edgar/data/1276187/000119312523270805/d563168dex32.htm" TargetMode="External"/><Relationship Id="rId194" Type="http://schemas.openxmlformats.org/officeDocument/2006/relationships/hyperlink" Target="https://www.sec.gov/Archives/edgar/data/1276187/000095012310087517/h76247exv4w1.htm" TargetMode="External"/><Relationship Id="rId195" Type="http://schemas.openxmlformats.org/officeDocument/2006/relationships/hyperlink" Target="https://www.sec.gov/Archives/edgar/data/1276187/000119312515198921/d930453dex42.htm" TargetMode="External"/><Relationship Id="rId196" Type="http://schemas.openxmlformats.org/officeDocument/2006/relationships/hyperlink" Target="https://www.sec.gov/Archives/edgar/data/1276187/000119312519088650/d700955dex42.htm" TargetMode="External"/><Relationship Id="rId197" Type="http://schemas.openxmlformats.org/officeDocument/2006/relationships/hyperlink" Target="https://www.sec.gov/Archives/edgar/data/1012569/000095013405000945/d21771exv4w1.txt" TargetMode="External"/><Relationship Id="rId198" Type="http://schemas.openxmlformats.org/officeDocument/2006/relationships/hyperlink" Target="https://www.sec.gov/Archives/edgar/data/1012569/000119312506214743/dex41.htm" TargetMode="External"/><Relationship Id="rId199" Type="http://schemas.openxmlformats.org/officeDocument/2006/relationships/hyperlink" Target="https://www.sec.gov/Archives/edgar/data/1012569/000095012908002024/h55383exv4w2.htm" TargetMode="External"/><Relationship Id="rId200" Type="http://schemas.openxmlformats.org/officeDocument/2006/relationships/hyperlink" Target="https://www.sec.gov/Archives/edgar/data/1012569/000095012311049420/h82272exv4w2.htm" TargetMode="External"/><Relationship Id="rId201" Type="http://schemas.openxmlformats.org/officeDocument/2006/relationships/hyperlink" Target="https://www.sec.gov/Archives/edgar/data/1012569/000119312512013745/d284160dex42.htm" TargetMode="External"/><Relationship Id="rId202" Type="http://schemas.openxmlformats.org/officeDocument/2006/relationships/hyperlink" Target="https://www.sec.gov/Archives/edgar/data/1012569/000119312513020474/d471925dex42.htm" TargetMode="External"/><Relationship Id="rId203" Type="http://schemas.openxmlformats.org/officeDocument/2006/relationships/hyperlink" Target="https://www.sec.gov/Archives/edgar/data/1012569/000119312513272536/d560581dex42.htm" TargetMode="External"/><Relationship Id="rId204" Type="http://schemas.openxmlformats.org/officeDocument/2006/relationships/hyperlink" Target="https://www.sec.gov/Archives/edgar/data/1012569/000119312513371388/d600971dex42.htm" TargetMode="External"/><Relationship Id="rId205" Type="http://schemas.openxmlformats.org/officeDocument/2006/relationships/hyperlink" Target="https://www.sec.gov/Archives/edgar/data/1012569/000101256915000035/etp-ex4214thsupplementalin.htm" TargetMode="External"/><Relationship Id="rId206" Type="http://schemas.openxmlformats.org/officeDocument/2006/relationships/hyperlink" Target="https://www.sec.gov/Archives/edgar/data/1012569/000119312515232084/d946336dex43.htm" TargetMode="External"/><Relationship Id="rId207" Type="http://schemas.openxmlformats.org/officeDocument/2006/relationships/hyperlink" Target="https://www.sec.gov/Archives/edgar/data/1012569/000101256917000013/ex42etp-sixteenthsupplemen.htm" TargetMode="External"/><Relationship Id="rId208" Type="http://schemas.openxmlformats.org/officeDocument/2006/relationships/hyperlink" Target="https://www.sec.gov/Archives/edgar/data/1161154/000116115417000085/ex108-etpassettransferusba.htm" TargetMode="External"/><Relationship Id="rId210" Type="http://schemas.openxmlformats.org/officeDocument/2006/relationships/hyperlink" Target="https://www.sec.gov/Archives/edgar/data/1161154/000116115417000063/etpsixteenthsupplementalin.htm" TargetMode="External"/><Relationship Id="rId211" Type="http://schemas.openxmlformats.org/officeDocument/2006/relationships/hyperlink" Target="https://www.sec.gov/Archives/edgar/data/1161154/000116115417000063/etpfifteenthsupplementalin.htm" TargetMode="External"/><Relationship Id="rId212" Type="http://schemas.openxmlformats.org/officeDocument/2006/relationships/hyperlink" Target="https://www.sec.gov/Archives/edgar/data/1161154/000116115417000090/ex102eighteenthsupplementa.htm" TargetMode="External"/><Relationship Id="rId213" Type="http://schemas.openxmlformats.org/officeDocument/2006/relationships/hyperlink" Target="https://www.sec.gov/Archives/edgar/data/1161154/000116115417000085/ex106-etpassettransferusba.htm" TargetMode="External"/><Relationship Id="rId214" Type="http://schemas.openxmlformats.org/officeDocument/2006/relationships/hyperlink" Target="https://www.sec.gov/Archives/edgar/data/1161154/000119312518188269/d602345dex41.htm" TargetMode="External"/><Relationship Id="rId215" Type="http://schemas.openxmlformats.org/officeDocument/2006/relationships/hyperlink" Target="https://www.sec.gov/Archives/edgar/data/1161154/000119312518188269/d602345dex42.htm" TargetMode="External"/><Relationship Id="rId216" Type="http://schemas.openxmlformats.org/officeDocument/2006/relationships/hyperlink" Target="https://www.sec.gov/Archives/edgar/data/1161154/000119312519009771/d672287dex42.htm" TargetMode="External"/><Relationship Id="rId217" Type="http://schemas.openxmlformats.org/officeDocument/2006/relationships/hyperlink" Target="https://www.sec.gov/Archives/edgar/data/1161154/000119312519088623/d705877dex42.htm" TargetMode="External"/><Relationship Id="rId218" Type="http://schemas.openxmlformats.org/officeDocument/2006/relationships/hyperlink" Target="https://www.sec.gov/Archives/edgar/data/1161154/000119312520012077/d874700dex42.htm" TargetMode="External"/><Relationship Id="rId219" Type="http://schemas.openxmlformats.org/officeDocument/2006/relationships/hyperlink" Target="https://www.sec.gov/Archives/edgar/data/0001276187/000119312521369387/d35799dex41.htm" TargetMode="External"/><Relationship Id="rId220" Type="http://schemas.openxmlformats.org/officeDocument/2006/relationships/hyperlink" Target="https://www.sec.gov/Archives/edgar/data/1591763/000119312514217214/d734070dex41.htm" TargetMode="External"/><Relationship Id="rId221" Type="http://schemas.openxmlformats.org/officeDocument/2006/relationships/hyperlink" Target="https://www.sec.gov/Archives/edgar/data/1591763/000119312514217214/d734070dex42.htm" TargetMode="External"/><Relationship Id="rId222" Type="http://schemas.openxmlformats.org/officeDocument/2006/relationships/hyperlink" Target="https://www.sec.gov/Archives/edgar/data/1591763/000119312517076941/d349052dex42.htm" TargetMode="External"/><Relationship Id="rId223" Type="http://schemas.openxmlformats.org/officeDocument/2006/relationships/hyperlink" Target="https://www.sec.gov/Archives/edgar/data/1591763/000119312518158582/d587686dex42.htm" TargetMode="External"/><Relationship Id="rId224" Type="http://schemas.openxmlformats.org/officeDocument/2006/relationships/hyperlink" Target="https://www.sec.gov/Archives/edgar/data/1591763/000119312519244883/d798888dex42.htm" TargetMode="External"/><Relationship Id="rId225" Type="http://schemas.openxmlformats.org/officeDocument/2006/relationships/hyperlink" Target="https://www.sec.gov/Archives/edgar/data/76063/0000950124-99-003268.txt" TargetMode="External"/><Relationship Id="rId227" Type="http://schemas.openxmlformats.org/officeDocument/2006/relationships/hyperlink" Target="https://www.sec.gov/Archives/edgar/data/203248/0000912057-94-000113.txt" TargetMode="External"/><Relationship Id="rId228" Type="http://schemas.openxmlformats.org/officeDocument/2006/relationships/hyperlink" Target="https://www.sec.gov/Archives/edgar/data/203248/0000203248-95-000012.txt" TargetMode="External"/><Relationship Id="rId229" Type="http://schemas.openxmlformats.org/officeDocument/2006/relationships/hyperlink" Target="https://www.sec.gov/Archives/edgar/data/203248/000020324806000097/exh401.htm" TargetMode="External"/><Relationship Id="rId230" Type="http://schemas.openxmlformats.org/officeDocument/2006/relationships/hyperlink" Target="https://www.sec.gov/Archives/edgar/data/203248/000119312513272561/d560507dex43.htm" TargetMode="External"/><Relationship Id="rId231" Type="http://schemas.openxmlformats.org/officeDocument/2006/relationships/hyperlink" Target="https://www.sec.gov/Archives/edgar/data/76063/000020324808000046/ex4_1.htm" TargetMode="External"/><Relationship Id="rId232" Type="http://schemas.openxmlformats.org/officeDocument/2006/relationships/hyperlink" Target="https://www.sec.gov/Archives/edgar/data/76063/000020324809000031/ex4_1.htm" TargetMode="External"/><Relationship Id="rId233" Type="http://schemas.openxmlformats.org/officeDocument/2006/relationships/hyperlink" Target="https://www.sec.gov/Archives/edgar/data/203248/000119312513272561/d560507dex42.htm" TargetMode="External"/><Relationship Id="rId234" Type="http://schemas.openxmlformats.org/officeDocument/2006/relationships/hyperlink" Target="https://www.sec.gov/Archives/edgar/data/0001276187/000119312521104908/d123645dex101.htm" TargetMode="External"/><Relationship Id="rId235" Type="http://schemas.openxmlformats.org/officeDocument/2006/relationships/hyperlink" Target="https://www.sec.gov/Archives/edgar/data/0001276187/000119312521104908/d123645dex103.htm" TargetMode="External"/><Relationship Id="rId236" Type="http://schemas.openxmlformats.org/officeDocument/2006/relationships/hyperlink" Target="https://www.sec.gov/Archives/edgar/data/0001276187/000119312521104908/d123645dex104.htm" TargetMode="External"/><Relationship Id="rId237" Type="http://schemas.openxmlformats.org/officeDocument/2006/relationships/hyperlink" Target="https://www.sec.gov/Archives/edgar/data/0001276187/000119312521104908/d123645dex105.htm" TargetMode="External"/><Relationship Id="rId238" Type="http://schemas.openxmlformats.org/officeDocument/2006/relationships/hyperlink" Target="https://www.sec.gov/Archives/edgar/data/76063/000007606322000044/exhibit101.htm" TargetMode="External"/><Relationship Id="rId239" Type="http://schemas.openxmlformats.org/officeDocument/2006/relationships/hyperlink" Target="https://www.sec.gov/Archives/edgar/data/76063/000007606322000044/exhibit102.htm" TargetMode="External"/><Relationship Id="rId240" Type="http://schemas.openxmlformats.org/officeDocument/2006/relationships/hyperlink" Target="https://www.sec.gov/Archives/edgar/data/76063/000007606322000044/exhibit103.htm" TargetMode="External"/><Relationship Id="rId241" Type="http://schemas.openxmlformats.org/officeDocument/2006/relationships/hyperlink" Target="https://www.sec.gov/Archives/edgar/data/1276187/000119312522304790/d433404dex41.htm" TargetMode="External"/><Relationship Id="rId242" Type="http://schemas.openxmlformats.org/officeDocument/2006/relationships/hyperlink" Target="https://www.sec.gov/Archives/edgar/data/1276187/000119312522304790/d433404dex42.htm" TargetMode="External"/><Relationship Id="rId243" Type="http://schemas.openxmlformats.org/officeDocument/2006/relationships/hyperlink" Target="https://www.sec.gov/Archives/edgar/data/1276187/000119312523256129/d306991dex42.htm" TargetMode="External"/><Relationship Id="rId244" Type="http://schemas.openxmlformats.org/officeDocument/2006/relationships/hyperlink" Target="https://www.sec.gov/Archives/edgar/data/1276187/000119312524015450/d751351dex42.htm" TargetMode="External"/><Relationship Id="rId245" Type="http://schemas.openxmlformats.org/officeDocument/2006/relationships/hyperlink" Target="https://www.sec.gov/Archives/edgar/data/1276187/000119312524015450/d751351dex43.htm" TargetMode="External"/><Relationship Id="rId248" Type="http://schemas.openxmlformats.org/officeDocument/2006/relationships/hyperlink" Target="https://www.sec.gov/Archives/edgar/data/1276187/000119312524165790/d831160dex42.htm" TargetMode="External"/><Relationship Id="rId249" Type="http://schemas.openxmlformats.org/officeDocument/2006/relationships/hyperlink" Target="https://www.sec.gov/Archives/edgar/data/1276187/000119312524165790/d831160dex43.htm" TargetMode="External"/><Relationship Id="rId250" Type="http://schemas.openxmlformats.org/officeDocument/2006/relationships/hyperlink" Target="https://www.sec.gov/Archives/edgar/data/1276187/000127618724000024/et12312023ex469.htm" TargetMode="External"/><Relationship Id="rId251" Type="http://schemas.openxmlformats.org/officeDocument/2006/relationships/hyperlink" Target="https://www.sec.gov/Archives/edgar/data/1276187/000127618724000024/et12312023ex470.htm" TargetMode="External"/><Relationship Id="rId252" Type="http://schemas.openxmlformats.org/officeDocument/2006/relationships/hyperlink" Target="https://www.sec.gov/Archives/edgar/data/1276187/000127618724000024/et12312023ex1015.htm" TargetMode="External"/><Relationship Id="rId253" Type="http://schemas.openxmlformats.org/officeDocument/2006/relationships/hyperlink" Target="https://www.sec.gov/Archives/edgar/data/0001276187/000127618721000034/et12312020ex102.htm" TargetMode="External"/><Relationship Id="rId254" Type="http://schemas.openxmlformats.org/officeDocument/2006/relationships/hyperlink" Target="https://www.sec.gov/Archives/edgar/data/1276187/000119312521003288/d104966dex101.htm" TargetMode="External"/><Relationship Id="rId255" Type="http://schemas.openxmlformats.org/officeDocument/2006/relationships/hyperlink" Target="https://www.sec.gov/Archives/edgar/data/1276187/000119312521003288/d104966dex102.htm" TargetMode="External"/><Relationship Id="rId256" Type="http://schemas.openxmlformats.org/officeDocument/2006/relationships/hyperlink" Target="https://www.sec.gov/Archives/edgar/data/1276187/000119312519024137/d699644dex41.htm" TargetMode="External"/><Relationship Id="rId257" Type="http://schemas.openxmlformats.org/officeDocument/2006/relationships/hyperlink" Target="https://www.sec.gov/Archives/edgar/data/1276187/000119312505245171/dex1026.htm" TargetMode="External"/><Relationship Id="rId258" Type="http://schemas.openxmlformats.org/officeDocument/2006/relationships/hyperlink" Target="https://www.sec.gov/Archives/edgar/data/1012569/000119312510112902/dex101.htm" TargetMode="External"/><Relationship Id="rId259" Type="http://schemas.openxmlformats.org/officeDocument/2006/relationships/hyperlink" Target="https://www.sec.gov/Archives/edgar/data/1276187/000127618722000020/et12312021ex1012.htm" TargetMode="External"/><Relationship Id="rId260" Type="http://schemas.openxmlformats.org/officeDocument/2006/relationships/hyperlink" Target="https://www.sec.gov/Archives/edgar/data/1276187/000127618722000020/et12312021ex1013.htm" TargetMode="External"/><Relationship Id="rId261" Type="http://schemas.openxmlformats.org/officeDocument/2006/relationships/hyperlink" Target="https://www.sec.gov/Archives/edgar/data/1276187/000119312506244368/dex991.htm" TargetMode="External"/><Relationship Id="rId262" Type="http://schemas.openxmlformats.org/officeDocument/2006/relationships/hyperlink" Target="https://www.sec.gov/Archives/edgar/data/1276187/000119312507046447/dex991.htm" TargetMode="External"/><Relationship Id="rId263" Type="http://schemas.openxmlformats.org/officeDocument/2006/relationships/hyperlink" Target="https://www.sec.gov/Archives/edgar/data/1276187/000119312507105351/dex1045.htm" TargetMode="External"/><Relationship Id="rId264" Type="http://schemas.openxmlformats.org/officeDocument/2006/relationships/hyperlink" Target="https://www.sec.gov/Archives/edgar/data/1276187/000119312518011379/d468149dex101.htm" TargetMode="External"/><Relationship Id="rId265" Type="http://schemas.openxmlformats.org/officeDocument/2006/relationships/hyperlink" Target="https://www.sec.gov/Archives/edgar/data/1276187/000127618718000016/ex101registrationrightsagr.htm" TargetMode="External"/><Relationship Id="rId266" Type="http://schemas.openxmlformats.org/officeDocument/2006/relationships/hyperlink" Target="https://www.sec.gov/Archives/edgar/data/1012569/000119312507152768/dex1056.htm" TargetMode="External"/><Relationship Id="rId269" Type="http://schemas.openxmlformats.org/officeDocument/2006/relationships/hyperlink" Target="https://www.sec.gov/Archives/edgar/data/1276187/000119312522102362/d314510dex101.htm" TargetMode="External"/><Relationship Id="rId270" Type="http://schemas.openxmlformats.org/officeDocument/2006/relationships/hyperlink" Target="https://www.sec.gov/Archives/edgar/data/1012569/000095013405001812/d22110exv10w2.htm" TargetMode="External"/><Relationship Id="rId271" Type="http://schemas.openxmlformats.org/officeDocument/2006/relationships/hyperlink" Target="https://www.sec.gov/Archives/edgar/data/1012569/000119312512136517/d321520dex101.htm" TargetMode="External"/><Relationship Id="rId272" Type="http://schemas.openxmlformats.org/officeDocument/2006/relationships/hyperlink" Target="https://www.sec.gov/Archives/edgar/data/1012569/000119312512136517/d321520dex102.htm" TargetMode="External"/><Relationship Id="rId273" Type="http://schemas.openxmlformats.org/officeDocument/2006/relationships/hyperlink" Target="https://www.sec.gov/Archives/edgar/data/1012569/000101256916000203/ex991etpformofdealeragreem.htm" TargetMode="External"/><Relationship Id="rId274" Type="http://schemas.openxmlformats.org/officeDocument/2006/relationships/hyperlink" Target="https://www.sec.gov/Archives/edgar/data/1276187/000127618721000067/et06-30x2021ex221.htm" TargetMode="External"/><Relationship Id="rId275" Type="http://schemas.openxmlformats.org/officeDocument/2006/relationships/hyperlink" Target="https://www.sec.gov/Archives/edgar/data/1276187/000127618724000024/et12312023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2025-02-14T13:19:02Z</dcterms:created>
  <dcterms:modified xsi:type="dcterms:W3CDTF">2025-02-14T13:19:02Z</dcterms:modified>
</cp:coreProperties>
</file>